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2910205</wp:posOffset>
            </wp:positionH>
            <wp:positionV relativeFrom="page">
              <wp:posOffset>157480</wp:posOffset>
            </wp:positionV>
            <wp:extent cx="174117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41170" cy="222885"/>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6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2"/>
              </w:rPr>
              <w:t>For the quarterly period ended February 28, 2011</w:t>
            </w:r>
          </w:p>
        </w:tc>
        <w:tc>
          <w:tcPr>
            <w:tcW w:w="6720" w:type="dxa"/>
            <w:vAlign w:val="bottom"/>
          </w:tcPr>
          <w:p>
            <w:pPr>
              <w:ind w:left="3180"/>
              <w:spacing w:after="0"/>
              <w:rPr>
                <w:sz w:val="20"/>
                <w:szCs w:val="20"/>
                <w:color w:val="auto"/>
              </w:rPr>
            </w:pPr>
            <w:r>
              <w:rPr>
                <w:rFonts w:ascii="Arial" w:cs="Arial" w:eastAsia="Arial" w:hAnsi="Arial"/>
                <w:sz w:val="18"/>
                <w:szCs w:val="18"/>
                <w:color w:val="auto"/>
              </w:rPr>
              <w:t>Commission File No. 000-19860</w:t>
            </w:r>
          </w:p>
        </w:tc>
      </w:tr>
      <w:tr>
        <w:trPr>
          <w:trHeight w:val="358"/>
        </w:trPr>
        <w:tc>
          <w:tcPr>
            <w:tcW w:w="3680" w:type="dxa"/>
            <w:vAlign w:val="bottom"/>
          </w:tcPr>
          <w:p>
            <w:pPr>
              <w:spacing w:after="0"/>
              <w:rPr>
                <w:sz w:val="24"/>
                <w:szCs w:val="24"/>
                <w:color w:val="auto"/>
              </w:rPr>
            </w:pPr>
          </w:p>
        </w:tc>
        <w:tc>
          <w:tcPr>
            <w:tcW w:w="6720" w:type="dxa"/>
            <w:vAlign w:val="bottom"/>
          </w:tcPr>
          <w:p>
            <w:pPr>
              <w:jc w:val="center"/>
              <w:ind w:right="255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80" w:type="dxa"/>
            <w:vAlign w:val="bottom"/>
          </w:tcPr>
          <w:p>
            <w:pPr>
              <w:spacing w:after="0"/>
              <w:rPr>
                <w:sz w:val="19"/>
                <w:szCs w:val="19"/>
                <w:color w:val="auto"/>
              </w:rPr>
            </w:pPr>
          </w:p>
        </w:tc>
        <w:tc>
          <w:tcPr>
            <w:tcW w:w="6720" w:type="dxa"/>
            <w:vAlign w:val="bottom"/>
          </w:tcPr>
          <w:p>
            <w:pPr>
              <w:jc w:val="center"/>
              <w:ind w:right="255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680" w:type="dxa"/>
            <w:vAlign w:val="bottom"/>
          </w:tcPr>
          <w:p>
            <w:pPr>
              <w:ind w:left="800"/>
              <w:spacing w:after="0"/>
              <w:rPr>
                <w:sz w:val="20"/>
                <w:szCs w:val="20"/>
                <w:color w:val="auto"/>
              </w:rPr>
            </w:pPr>
            <w:r>
              <w:rPr>
                <w:rFonts w:ascii="Arial" w:cs="Arial" w:eastAsia="Arial" w:hAnsi="Arial"/>
                <w:sz w:val="18"/>
                <w:szCs w:val="18"/>
                <w:b w:val="1"/>
                <w:bCs w:val="1"/>
                <w:color w:val="auto"/>
              </w:rPr>
              <w:t>Delaware</w:t>
            </w:r>
          </w:p>
        </w:tc>
        <w:tc>
          <w:tcPr>
            <w:tcW w:w="672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6720" w:type="dxa"/>
            <w:vAlign w:val="bottom"/>
          </w:tcPr>
          <w:p>
            <w:pPr>
              <w:jc w:val="center"/>
              <w:ind w:left="42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6720" w:type="dxa"/>
            <w:vAlign w:val="bottom"/>
          </w:tcPr>
          <w:p>
            <w:pPr>
              <w:spacing w:after="0"/>
              <w:rPr>
                <w:sz w:val="19"/>
                <w:szCs w:val="19"/>
                <w:color w:val="auto"/>
              </w:rPr>
            </w:pPr>
          </w:p>
        </w:tc>
      </w:tr>
      <w:tr>
        <w:trPr>
          <w:trHeight w:val="358"/>
        </w:trPr>
        <w:tc>
          <w:tcPr>
            <w:tcW w:w="368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672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6720" w:type="dxa"/>
            <w:vAlign w:val="bottom"/>
          </w:tcPr>
          <w:p>
            <w:pPr>
              <w:jc w:val="center"/>
              <w:ind w:left="4232"/>
              <w:spacing w:after="0"/>
              <w:rPr>
                <w:sz w:val="20"/>
                <w:szCs w:val="20"/>
                <w:color w:val="auto"/>
              </w:rPr>
            </w:pPr>
            <w:r>
              <w:rPr>
                <w:rFonts w:ascii="Arial" w:cs="Arial" w:eastAsia="Arial" w:hAnsi="Arial"/>
                <w:sz w:val="18"/>
                <w:szCs w:val="18"/>
                <w:color w:val="auto"/>
                <w:w w:val="89"/>
              </w:rPr>
              <w:t>(Zip Code)</w:t>
            </w:r>
          </w:p>
        </w:tc>
      </w:tr>
    </w:tbl>
    <w:p>
      <w:pPr>
        <w:spacing w:after="0" w:line="14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814"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5000" w:space="720"/>
            <w:col w:w="5740"/>
          </w:cols>
          <w:pgMar w:left="240" w:top="814"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Title</w:t>
            </w:r>
          </w:p>
        </w:tc>
        <w:tc>
          <w:tcPr>
            <w:tcW w:w="33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40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of each class</w:t>
            </w:r>
          </w:p>
        </w:tc>
        <w:tc>
          <w:tcPr>
            <w:tcW w:w="33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6"/>
              </w:rPr>
              <w:t>as of February 28, 2011</w:t>
            </w:r>
          </w:p>
        </w:tc>
        <w:tc>
          <w:tcPr>
            <w:tcW w:w="1400" w:type="dxa"/>
            <w:vAlign w:val="bottom"/>
          </w:tcPr>
          <w:p>
            <w:pPr>
              <w:spacing w:after="0"/>
              <w:rPr>
                <w:sz w:val="19"/>
                <w:szCs w:val="19"/>
                <w:color w:val="auto"/>
              </w:rPr>
            </w:pPr>
          </w:p>
        </w:tc>
      </w:tr>
      <w:tr>
        <w:trPr>
          <w:trHeight w:val="110"/>
        </w:trPr>
        <w:tc>
          <w:tcPr>
            <w:tcW w:w="166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336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r>
      <w:tr>
        <w:trPr>
          <w:trHeight w:val="458"/>
        </w:trPr>
        <w:tc>
          <w:tcPr>
            <w:tcW w:w="16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6160" w:type="dxa"/>
            <w:vAlign w:val="bottom"/>
            <w:gridSpan w:val="2"/>
          </w:tcPr>
          <w:p>
            <w:pPr>
              <w:jc w:val="right"/>
              <w:ind w:right="932"/>
              <w:spacing w:after="0"/>
              <w:rPr>
                <w:sz w:val="20"/>
                <w:szCs w:val="20"/>
                <w:color w:val="auto"/>
              </w:rPr>
            </w:pPr>
            <w:r>
              <w:rPr>
                <w:rFonts w:ascii="Arial" w:cs="Arial" w:eastAsia="Arial" w:hAnsi="Arial"/>
                <w:sz w:val="18"/>
                <w:szCs w:val="18"/>
                <w:color w:val="auto"/>
              </w:rPr>
              <w:t>29,272,974</w:t>
            </w:r>
          </w:p>
        </w:tc>
        <w:tc>
          <w:tcPr>
            <w:tcW w:w="1400" w:type="dxa"/>
            <w:vAlign w:val="bottom"/>
          </w:tcPr>
          <w:p>
            <w:pPr>
              <w:spacing w:after="0"/>
              <w:rPr>
                <w:sz w:val="24"/>
                <w:szCs w:val="24"/>
                <w:color w:val="auto"/>
              </w:rPr>
            </w:pPr>
          </w:p>
        </w:tc>
      </w:tr>
      <w:tr>
        <w:trPr>
          <w:trHeight w:val="222"/>
        </w:trPr>
        <w:tc>
          <w:tcPr>
            <w:tcW w:w="16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Class A Stock, $.01 par value</w:t>
            </w:r>
          </w:p>
        </w:tc>
        <w:tc>
          <w:tcPr>
            <w:tcW w:w="6160" w:type="dxa"/>
            <w:vAlign w:val="bottom"/>
            <w:gridSpan w:val="2"/>
          </w:tcPr>
          <w:p>
            <w:pPr>
              <w:jc w:val="right"/>
              <w:ind w:right="972"/>
              <w:spacing w:after="0"/>
              <w:rPr>
                <w:sz w:val="20"/>
                <w:szCs w:val="20"/>
                <w:color w:val="auto"/>
              </w:rPr>
            </w:pPr>
            <w:r>
              <w:rPr>
                <w:rFonts w:ascii="Arial" w:cs="Arial" w:eastAsia="Arial" w:hAnsi="Arial"/>
                <w:sz w:val="18"/>
                <w:szCs w:val="18"/>
                <w:color w:val="auto"/>
              </w:rPr>
              <w:t>1,656,200</w:t>
            </w:r>
          </w:p>
        </w:tc>
        <w:tc>
          <w:tcPr>
            <w:tcW w:w="1400" w:type="dxa"/>
            <w:vAlign w:val="bottom"/>
          </w:tcPr>
          <w:p>
            <w:pPr>
              <w:spacing w:after="0"/>
              <w:rPr>
                <w:sz w:val="19"/>
                <w:szCs w:val="19"/>
                <w:color w:val="auto"/>
              </w:rPr>
            </w:pPr>
          </w:p>
        </w:tc>
      </w:tr>
      <w:tr>
        <w:trPr>
          <w:trHeight w:val="350"/>
        </w:trPr>
        <w:tc>
          <w:tcPr>
            <w:tcW w:w="1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
        </w:trPr>
        <w:tc>
          <w:tcPr>
            <w:tcW w:w="166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3360" w:type="dxa"/>
            <w:vAlign w:val="bottom"/>
            <w:shd w:val="clear" w:color="auto" w:fill="808080"/>
          </w:tcPr>
          <w:p>
            <w:pPr>
              <w:spacing w:after="0"/>
              <w:rPr>
                <w:sz w:val="5"/>
                <w:szCs w:val="5"/>
                <w:color w:val="auto"/>
              </w:rPr>
            </w:pPr>
          </w:p>
        </w:tc>
        <w:tc>
          <w:tcPr>
            <w:tcW w:w="28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14"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FEBRUARY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7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740" w:type="dxa"/>
            <w:vAlign w:val="bottom"/>
            <w:gridSpan w:val="16"/>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(Unaudited)</w:t>
              </w:r>
            </w:hyperlink>
          </w:p>
        </w:tc>
        <w:tc>
          <w:tcPr>
            <w:tcW w:w="700" w:type="dxa"/>
            <w:vAlign w:val="bottom"/>
            <w:tcBorders>
              <w:top w:val="single" w:sz="8" w:color="0000EE"/>
            </w:tcBorders>
            <w:gridSpan w:val="2"/>
          </w:tcPr>
          <w:p>
            <w:pPr>
              <w:spacing w:after="0"/>
              <w:rPr>
                <w:sz w:val="24"/>
                <w:szCs w:val="24"/>
                <w:color w:val="auto"/>
              </w:rPr>
            </w:pPr>
          </w:p>
        </w:tc>
        <w:tc>
          <w:tcPr>
            <w:tcW w:w="4560" w:type="dxa"/>
            <w:vAlign w:val="bottom"/>
            <w:gridSpan w:val="3"/>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5320" w:type="dxa"/>
            <w:vAlign w:val="bottom"/>
            <w:gridSpan w:val="6"/>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220" w:type="dxa"/>
            <w:vAlign w:val="bottom"/>
            <w:gridSpan w:val="2"/>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2.</w:t>
              </w:r>
            </w:hyperlink>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3.</w:t>
              </w:r>
            </w:hyperlink>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4.</w:t>
              </w:r>
            </w:hyperlink>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74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1.</w:t>
              </w:r>
            </w:hyperlink>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6.</w:t>
              </w:r>
            </w:hyperlink>
          </w:p>
        </w:tc>
        <w:tc>
          <w:tcPr>
            <w:tcW w:w="900" w:type="dxa"/>
            <w:vAlign w:val="bottom"/>
          </w:tcPr>
          <w:p>
            <w:pPr>
              <w:spacing w:after="0"/>
              <w:rPr>
                <w:sz w:val="24"/>
                <w:szCs w:val="24"/>
                <w:color w:val="auto"/>
              </w:rPr>
            </w:pPr>
          </w:p>
        </w:tc>
        <w:tc>
          <w:tcPr>
            <w:tcW w:w="902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20" w:type="dxa"/>
            <w:vAlign w:val="bottom"/>
            <w:gridSpan w:val="3"/>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90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tcBorders>
              <w:lef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6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w w:val="97"/>
              </w:rPr>
              <w:t>Three months ended</w:t>
            </w:r>
          </w:p>
        </w:tc>
        <w:tc>
          <w:tcPr>
            <w:tcW w:w="360" w:type="dxa"/>
            <w:vAlign w:val="bottom"/>
          </w:tcPr>
          <w:p>
            <w:pPr>
              <w:spacing w:after="0"/>
              <w:rPr>
                <w:sz w:val="18"/>
                <w:szCs w:val="18"/>
                <w:color w:val="auto"/>
              </w:rPr>
            </w:pPr>
          </w:p>
        </w:tc>
        <w:tc>
          <w:tcPr>
            <w:tcW w:w="2360" w:type="dxa"/>
            <w:vAlign w:val="bottom"/>
            <w:gridSpan w:val="3"/>
          </w:tcPr>
          <w:p>
            <w:pPr>
              <w:jc w:val="right"/>
              <w:ind w:right="592"/>
              <w:spacing w:after="0"/>
              <w:rPr>
                <w:sz w:val="20"/>
                <w:szCs w:val="20"/>
                <w:color w:val="auto"/>
              </w:rPr>
            </w:pPr>
            <w:r>
              <w:rPr>
                <w:rFonts w:ascii="Arial" w:cs="Arial" w:eastAsia="Arial" w:hAnsi="Arial"/>
                <w:sz w:val="18"/>
                <w:szCs w:val="18"/>
                <w:b w:val="1"/>
                <w:bCs w:val="1"/>
                <w:i w:val="1"/>
                <w:iCs w:val="1"/>
                <w:color w:val="auto"/>
                <w:w w:val="99"/>
              </w:rPr>
              <w:t>Nine months ended</w:t>
            </w:r>
          </w:p>
        </w:tc>
      </w:tr>
      <w:tr>
        <w:trPr>
          <w:trHeight w:val="222"/>
        </w:trPr>
        <w:tc>
          <w:tcPr>
            <w:tcW w:w="5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60" w:type="dxa"/>
            <w:vAlign w:val="bottom"/>
            <w:gridSpan w:val="3"/>
          </w:tcPr>
          <w:p>
            <w:pPr>
              <w:jc w:val="right"/>
              <w:ind w:right="772"/>
              <w:spacing w:after="0"/>
              <w:rPr>
                <w:sz w:val="20"/>
                <w:szCs w:val="20"/>
                <w:color w:val="auto"/>
              </w:rPr>
            </w:pPr>
            <w:r>
              <w:rPr>
                <w:rFonts w:ascii="Arial" w:cs="Arial" w:eastAsia="Arial" w:hAnsi="Arial"/>
                <w:sz w:val="18"/>
                <w:szCs w:val="18"/>
                <w:b w:val="1"/>
                <w:bCs w:val="1"/>
                <w:i w:val="1"/>
                <w:iCs w:val="1"/>
                <w:color w:val="auto"/>
              </w:rPr>
              <w:t>February 28,</w:t>
            </w:r>
          </w:p>
        </w:tc>
        <w:tc>
          <w:tcPr>
            <w:tcW w:w="3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February 28,</w:t>
            </w:r>
          </w:p>
        </w:tc>
        <w:tc>
          <w:tcPr>
            <w:tcW w:w="860" w:type="dxa"/>
            <w:vAlign w:val="bottom"/>
          </w:tcPr>
          <w:p>
            <w:pPr>
              <w:spacing w:after="0"/>
              <w:rPr>
                <w:sz w:val="19"/>
                <w:szCs w:val="19"/>
                <w:color w:val="auto"/>
              </w:rPr>
            </w:pP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w w:val="84"/>
              </w:rPr>
              <w:t>2010</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393.7</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398.8</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1,360.3</w:t>
            </w:r>
          </w:p>
        </w:tc>
        <w:tc>
          <w:tcPr>
            <w:tcW w:w="4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1,374.5</w:t>
            </w:r>
          </w:p>
        </w:tc>
      </w:tr>
      <w:tr>
        <w:trPr>
          <w:trHeight w:val="358"/>
        </w:trPr>
        <w:tc>
          <w:tcPr>
            <w:tcW w:w="58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200.2</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195.2</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644.1</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627.1</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w w:val="94"/>
              </w:rPr>
              <w:t>Selling, general and administrative expenses (exclusive of depreciation and</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203.0</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185.1</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605.9</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577.1</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9.4</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43.4</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43.7</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40.1</w:t>
            </w: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5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7.3</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425.6</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399.3</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1,310.3</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1,304.7</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50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(31.9)</w:t>
            </w:r>
          </w:p>
        </w:tc>
        <w:tc>
          <w:tcPr>
            <w:tcW w:w="3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(0.5)</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50.0</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69.8</w:t>
            </w:r>
          </w:p>
        </w:tc>
      </w:tr>
      <w:tr>
        <w:trPr>
          <w:trHeight w:val="358"/>
        </w:trPr>
        <w:tc>
          <w:tcPr>
            <w:tcW w:w="5860" w:type="dxa"/>
            <w:vAlign w:val="bottom"/>
          </w:tcPr>
          <w:p>
            <w:pPr>
              <w:ind w:left="160"/>
              <w:spacing w:after="0"/>
              <w:rPr>
                <w:sz w:val="20"/>
                <w:szCs w:val="20"/>
                <w:color w:val="auto"/>
              </w:rPr>
            </w:pPr>
            <w:r>
              <w:rPr>
                <w:rFonts w:ascii="Arial" w:cs="Arial" w:eastAsia="Arial" w:hAnsi="Arial"/>
                <w:sz w:val="18"/>
                <w:szCs w:val="18"/>
                <w:color w:val="auto"/>
              </w:rPr>
              <w:t>Other (expense) income</w:t>
            </w:r>
          </w:p>
        </w:tc>
        <w:tc>
          <w:tcPr>
            <w:tcW w:w="5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12.2</w:t>
            </w: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Loss on investments</w:t>
            </w:r>
          </w:p>
        </w:tc>
        <w:tc>
          <w:tcPr>
            <w:tcW w:w="5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rPr>
              <w:t>(Loss) earnings from continuing operations before income taxes</w:t>
            </w:r>
          </w:p>
        </w:tc>
        <w:tc>
          <w:tcPr>
            <w:tcW w:w="50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(35.8)</w:t>
            </w:r>
          </w:p>
        </w:tc>
        <w:tc>
          <w:tcPr>
            <w:tcW w:w="3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(6.0)</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37.9</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57.0</w:t>
            </w:r>
          </w:p>
        </w:tc>
      </w:tr>
      <w:tr>
        <w:trPr>
          <w:trHeight w:val="365"/>
        </w:trPr>
        <w:tc>
          <w:tcPr>
            <w:tcW w:w="5860" w:type="dxa"/>
            <w:vAlign w:val="bottom"/>
          </w:tcPr>
          <w:p>
            <w:pPr>
              <w:ind w:left="160"/>
              <w:spacing w:after="0"/>
              <w:rPr>
                <w:sz w:val="20"/>
                <w:szCs w:val="20"/>
                <w:color w:val="auto"/>
              </w:rPr>
            </w:pPr>
            <w:r>
              <w:rPr>
                <w:rFonts w:ascii="Arial" w:cs="Arial" w:eastAsia="Arial" w:hAnsi="Arial"/>
                <w:sz w:val="18"/>
                <w:szCs w:val="18"/>
                <w:color w:val="auto"/>
              </w:rPr>
              <w:t>(Benefit) provision for income taxes</w:t>
            </w:r>
          </w:p>
        </w:tc>
        <w:tc>
          <w:tcPr>
            <w:tcW w:w="50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29.1</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rPr>
              <w:t>(Loss) earnings from continuing operations</w:t>
            </w:r>
          </w:p>
        </w:tc>
        <w:tc>
          <w:tcPr>
            <w:tcW w:w="50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(25.3)</w:t>
            </w:r>
          </w:p>
        </w:tc>
        <w:tc>
          <w:tcPr>
            <w:tcW w:w="3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(4.3)</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17.4</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27.9</w:t>
            </w:r>
          </w:p>
        </w:tc>
      </w:tr>
      <w:tr>
        <w:trPr>
          <w:trHeight w:val="365"/>
        </w:trPr>
        <w:tc>
          <w:tcPr>
            <w:tcW w:w="586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5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0.2</w:t>
            </w:r>
          </w:p>
        </w:tc>
        <w:tc>
          <w:tcPr>
            <w:tcW w:w="3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(2.8)</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rPr>
              <w:t>Net (loss) earnings</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(25.1)</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(5.6)</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14.6</w:t>
            </w:r>
          </w:p>
        </w:tc>
        <w:tc>
          <w:tcPr>
            <w:tcW w:w="4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26.9</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5860" w:type="dxa"/>
            <w:vAlign w:val="bottom"/>
          </w:tcPr>
          <w:p>
            <w:pPr>
              <w:spacing w:after="0"/>
              <w:rPr>
                <w:sz w:val="20"/>
                <w:szCs w:val="20"/>
                <w:color w:val="auto"/>
              </w:rPr>
            </w:pPr>
            <w:r>
              <w:rPr>
                <w:rFonts w:ascii="Arial" w:cs="Arial" w:eastAsia="Arial" w:hAnsi="Arial"/>
                <w:sz w:val="18"/>
                <w:szCs w:val="18"/>
                <w:b w:val="1"/>
                <w:bCs w:val="1"/>
                <w:color w:val="auto"/>
                <w:w w:val="90"/>
              </w:rPr>
              <w:t>Basic and diluted (loss) earnings per Share of Class A and Common Stock:</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(Loss) earnings from continuing operations</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(0.81)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(0.12)</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0.51</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0.76</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Net (loss) earnings</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(0.81)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(0.15)</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0.43</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0.74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(Loss) earnings from continuing operations</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(0.81)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(0.12)</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0.50</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0.75</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Net (loss) earnings</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(0.81)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(0.15)</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0.42</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0.73</w:t>
            </w:r>
          </w:p>
        </w:tc>
      </w:tr>
      <w:tr>
        <w:trPr>
          <w:trHeight w:val="365"/>
        </w:trPr>
        <w:tc>
          <w:tcPr>
            <w:tcW w:w="58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0.100</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0.075</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0.275</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0.225</w:t>
            </w:r>
          </w:p>
        </w:tc>
      </w:tr>
      <w:tr>
        <w:trPr>
          <w:trHeight w:val="110"/>
        </w:trPr>
        <w:tc>
          <w:tcPr>
            <w:tcW w:w="5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32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February 28, 2011</w:t>
            </w:r>
          </w:p>
        </w:tc>
        <w:tc>
          <w:tcPr>
            <w:tcW w:w="15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May 31, 2010</w:t>
            </w:r>
          </w:p>
        </w:tc>
        <w:tc>
          <w:tcPr>
            <w:tcW w:w="18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2010</w:t>
            </w:r>
          </w:p>
        </w:tc>
      </w:tr>
      <w:tr>
        <w:trPr>
          <w:trHeight w:val="110"/>
        </w:trPr>
        <w:tc>
          <w:tcPr>
            <w:tcW w:w="48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4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6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90.7</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244.1</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238.9</w:t>
            </w:r>
          </w:p>
        </w:tc>
      </w:tr>
      <w:tr>
        <w:trPr>
          <w:trHeight w:val="216"/>
        </w:trPr>
        <w:tc>
          <w:tcPr>
            <w:tcW w:w="486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16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193.6</w:t>
            </w:r>
          </w:p>
        </w:tc>
        <w:tc>
          <w:tcPr>
            <w:tcW w:w="6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212.5</w:t>
            </w:r>
          </w:p>
        </w:tc>
        <w:tc>
          <w:tcPr>
            <w:tcW w:w="7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185.7</w:t>
            </w:r>
          </w:p>
        </w:tc>
      </w:tr>
      <w:tr>
        <w:trPr>
          <w:trHeight w:val="216"/>
        </w:trPr>
        <w:tc>
          <w:tcPr>
            <w:tcW w:w="486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16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375.8</w:t>
            </w:r>
          </w:p>
        </w:tc>
        <w:tc>
          <w:tcPr>
            <w:tcW w:w="6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315.7</w:t>
            </w:r>
          </w:p>
        </w:tc>
        <w:tc>
          <w:tcPr>
            <w:tcW w:w="7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374.6</w:t>
            </w:r>
          </w:p>
        </w:tc>
      </w:tr>
      <w:tr>
        <w:trPr>
          <w:trHeight w:val="216"/>
        </w:trPr>
        <w:tc>
          <w:tcPr>
            <w:tcW w:w="48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59.7</w:t>
            </w:r>
          </w:p>
        </w:tc>
        <w:tc>
          <w:tcPr>
            <w:tcW w:w="6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59.3</w:t>
            </w:r>
          </w:p>
        </w:tc>
        <w:tc>
          <w:tcPr>
            <w:tcW w:w="7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65.4</w:t>
            </w:r>
          </w:p>
        </w:tc>
      </w:tr>
      <w:tr>
        <w:trPr>
          <w:trHeight w:val="216"/>
        </w:trPr>
        <w:tc>
          <w:tcPr>
            <w:tcW w:w="486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78.7</w:t>
            </w:r>
          </w:p>
        </w:tc>
        <w:tc>
          <w:tcPr>
            <w:tcW w:w="6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42.5</w:t>
            </w:r>
          </w:p>
        </w:tc>
        <w:tc>
          <w:tcPr>
            <w:tcW w:w="7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45.2</w:t>
            </w:r>
          </w:p>
        </w:tc>
      </w:tr>
      <w:tr>
        <w:trPr>
          <w:trHeight w:val="222"/>
        </w:trPr>
        <w:tc>
          <w:tcPr>
            <w:tcW w:w="486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160" w:type="dxa"/>
            <w:vAlign w:val="bottom"/>
          </w:tcPr>
          <w:p>
            <w:pPr>
              <w:spacing w:after="0"/>
              <w:rPr>
                <w:sz w:val="19"/>
                <w:szCs w:val="19"/>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12.9</w:t>
            </w:r>
          </w:p>
        </w:tc>
        <w:tc>
          <w:tcPr>
            <w:tcW w:w="780" w:type="dxa"/>
            <w:vAlign w:val="bottom"/>
          </w:tcPr>
          <w:p>
            <w:pPr>
              <w:spacing w:after="0"/>
              <w:rPr>
                <w:sz w:val="19"/>
                <w:szCs w:val="19"/>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16.3</w:t>
            </w:r>
          </w:p>
        </w:tc>
      </w:tr>
      <w:tr>
        <w:trPr>
          <w:trHeight w:val="110"/>
        </w:trPr>
        <w:tc>
          <w:tcPr>
            <w:tcW w:w="48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98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807.7</w:t>
            </w:r>
          </w:p>
        </w:tc>
        <w:tc>
          <w:tcPr>
            <w:tcW w:w="62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rPr>
              <w:t>887.0</w:t>
            </w:r>
          </w:p>
        </w:tc>
        <w:tc>
          <w:tcPr>
            <w:tcW w:w="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rPr>
              <w:t>926.1</w:t>
            </w:r>
          </w:p>
        </w:tc>
      </w:tr>
      <w:tr>
        <w:trPr>
          <w:trHeight w:val="358"/>
        </w:trPr>
        <w:tc>
          <w:tcPr>
            <w:tcW w:w="596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337.5</w:t>
            </w:r>
          </w:p>
        </w:tc>
        <w:tc>
          <w:tcPr>
            <w:tcW w:w="6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316.6</w:t>
            </w:r>
          </w:p>
        </w:tc>
        <w:tc>
          <w:tcPr>
            <w:tcW w:w="58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308.7</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113.4</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110.7</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109.4</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37.2</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38.0</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40.0</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7.0</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158.3</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156.6</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157.0</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20.2</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15.5</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18.5</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33.7</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33.6</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59.4</w:t>
            </w:r>
          </w:p>
        </w:tc>
      </w:tr>
      <w:tr>
        <w:trPr>
          <w:trHeight w:val="222"/>
        </w:trPr>
        <w:tc>
          <w:tcPr>
            <w:tcW w:w="596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98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38.1</w:t>
            </w:r>
          </w:p>
        </w:tc>
        <w:tc>
          <w:tcPr>
            <w:tcW w:w="62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35.3</w:t>
            </w:r>
          </w:p>
        </w:tc>
        <w:tc>
          <w:tcPr>
            <w:tcW w:w="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36.7</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1,554.2</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w w:val="99"/>
              </w:rPr>
              <w:t>1,600.4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1,662.8</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59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49.5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52.2</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1.6</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163.0</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126.1</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62.2</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42.3</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60.6</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66.2</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39.8</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59.0</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166.6</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156.2</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167.7</w:t>
            </w:r>
          </w:p>
        </w:tc>
      </w:tr>
      <w:tr>
        <w:trPr>
          <w:trHeight w:val="222"/>
        </w:trPr>
        <w:tc>
          <w:tcPr>
            <w:tcW w:w="596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98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1.6</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96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98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508.6</w:t>
            </w:r>
          </w:p>
        </w:tc>
        <w:tc>
          <w:tcPr>
            <w:tcW w:w="6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rPr>
              <w:t>393.4</w:t>
            </w:r>
          </w:p>
        </w:tc>
        <w:tc>
          <w:tcPr>
            <w:tcW w:w="58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rPr>
              <w:t>468.8</w:t>
            </w:r>
          </w:p>
        </w:tc>
      </w:tr>
      <w:tr>
        <w:trPr>
          <w:trHeight w:val="358"/>
        </w:trPr>
        <w:tc>
          <w:tcPr>
            <w:tcW w:w="5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170.6</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213.1</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54.7</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54.7</w:t>
            </w:r>
          </w:p>
        </w:tc>
      </w:tr>
      <w:tr>
        <w:trPr>
          <w:trHeight w:val="222"/>
        </w:trPr>
        <w:tc>
          <w:tcPr>
            <w:tcW w:w="596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98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118.8</w:t>
            </w:r>
          </w:p>
        </w:tc>
        <w:tc>
          <w:tcPr>
            <w:tcW w:w="62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119.1</w:t>
            </w:r>
          </w:p>
        </w:tc>
        <w:tc>
          <w:tcPr>
            <w:tcW w:w="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101.2</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96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98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344.1</w:t>
            </w:r>
          </w:p>
        </w:tc>
        <w:tc>
          <w:tcPr>
            <w:tcW w:w="6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rPr>
              <w:t>376.6</w:t>
            </w:r>
          </w:p>
        </w:tc>
        <w:tc>
          <w:tcPr>
            <w:tcW w:w="58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rPr>
              <w:t>369.0</w:t>
            </w:r>
          </w:p>
        </w:tc>
      </w:tr>
      <w:tr>
        <w:trPr>
          <w:trHeight w:val="365"/>
        </w:trPr>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98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358"/>
        </w:trPr>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0.0</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0.4</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574.1</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569.2</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566.3</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98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(67.6)</w:t>
            </w:r>
          </w:p>
        </w:tc>
        <w:tc>
          <w:tcPr>
            <w:tcW w:w="620" w:type="dxa"/>
            <w:vAlign w:val="bottom"/>
          </w:tcPr>
          <w:p>
            <w:pPr>
              <w:spacing w:after="0"/>
              <w:rPr>
                <w:sz w:val="18"/>
                <w:szCs w:val="18"/>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(85.4)</w:t>
            </w:r>
          </w:p>
        </w:tc>
        <w:tc>
          <w:tcPr>
            <w:tcW w:w="5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color w:val="auto"/>
              </w:rPr>
              <w:t>(70.5)</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9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614.2</w:t>
            </w:r>
          </w:p>
        </w:tc>
        <w:tc>
          <w:tcPr>
            <w:tcW w:w="6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607.8</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581.4</w:t>
            </w:r>
          </w:p>
        </w:tc>
      </w:tr>
      <w:tr>
        <w:trPr>
          <w:trHeight w:val="222"/>
        </w:trPr>
        <w:tc>
          <w:tcPr>
            <w:tcW w:w="596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980" w:type="dxa"/>
            <w:vAlign w:val="bottom"/>
          </w:tcPr>
          <w:p>
            <w:pPr>
              <w:spacing w:after="0"/>
              <w:rPr>
                <w:sz w:val="19"/>
                <w:szCs w:val="19"/>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(419.6)</w:t>
            </w:r>
          </w:p>
        </w:tc>
        <w:tc>
          <w:tcPr>
            <w:tcW w:w="62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(261.6)</w:t>
            </w:r>
          </w:p>
        </w:tc>
        <w:tc>
          <w:tcPr>
            <w:tcW w:w="580" w:type="dxa"/>
            <w:vAlign w:val="bottom"/>
          </w:tcPr>
          <w:p>
            <w:pPr>
              <w:spacing w:after="0"/>
              <w:rPr>
                <w:sz w:val="19"/>
                <w:szCs w:val="19"/>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color w:val="auto"/>
              </w:rPr>
              <w:t>(252.6)</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96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98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701.5</w:t>
            </w:r>
          </w:p>
        </w:tc>
        <w:tc>
          <w:tcPr>
            <w:tcW w:w="6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rPr>
              <w:t>830.4</w:t>
            </w:r>
          </w:p>
        </w:tc>
        <w:tc>
          <w:tcPr>
            <w:tcW w:w="58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rPr>
              <w:t>825.0</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1,554.2</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w w:val="99"/>
              </w:rPr>
              <w:t>1,600.4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1,662.8</w:t>
            </w:r>
          </w:p>
        </w:tc>
      </w:tr>
      <w:tr>
        <w:trPr>
          <w:trHeight w:val="110"/>
        </w:trPr>
        <w:tc>
          <w:tcPr>
            <w:tcW w:w="5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i w:val="1"/>
          <w:iCs w:val="1"/>
          <w:color w:val="auto"/>
        </w:rPr>
        <w:t>Nine months ended</w:t>
      </w:r>
    </w:p>
    <w:p>
      <w:pPr>
        <w:spacing w:after="0" w:line="15"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i w:val="1"/>
          <w:i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r>
      <w:tr>
        <w:trPr>
          <w:trHeight w:val="110"/>
        </w:trPr>
        <w:tc>
          <w:tcPr>
            <w:tcW w:w="8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9"/>
        </w:trPr>
        <w:tc>
          <w:tcPr>
            <w:tcW w:w="8580" w:type="dxa"/>
            <w:vAlign w:val="bottom"/>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26.9</w:t>
            </w:r>
          </w:p>
        </w:tc>
      </w:tr>
      <w:tr>
        <w:trPr>
          <w:trHeight w:val="222"/>
        </w:trPr>
        <w:tc>
          <w:tcPr>
            <w:tcW w:w="8580" w:type="dxa"/>
            <w:vAlign w:val="bottom"/>
          </w:tcPr>
          <w:p>
            <w:pPr>
              <w:ind w:left="160"/>
              <w:spacing w:after="0"/>
              <w:rPr>
                <w:sz w:val="20"/>
                <w:szCs w:val="20"/>
                <w:color w:val="auto"/>
              </w:rPr>
            </w:pPr>
            <w:r>
              <w:rPr>
                <w:rFonts w:ascii="Arial" w:cs="Arial" w:eastAsia="Arial" w:hAnsi="Arial"/>
                <w:sz w:val="18"/>
                <w:szCs w:val="18"/>
                <w:color w:val="auto"/>
              </w:rPr>
              <w:t>Loss from discontinued operations, net of tax</w:t>
            </w:r>
          </w:p>
        </w:tc>
        <w:tc>
          <w:tcPr>
            <w:tcW w:w="5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10"/>
        </w:trPr>
        <w:tc>
          <w:tcPr>
            <w:tcW w:w="8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858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52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27.9</w:t>
            </w:r>
          </w:p>
        </w:tc>
      </w:tr>
      <w:tr>
        <w:trPr>
          <w:trHeight w:val="358"/>
        </w:trPr>
        <w:tc>
          <w:tcPr>
            <w:tcW w:w="8580" w:type="dxa"/>
            <w:vAlign w:val="bottom"/>
          </w:tcPr>
          <w:p>
            <w:pPr>
              <w:spacing w:after="0"/>
              <w:rPr>
                <w:sz w:val="20"/>
                <w:szCs w:val="20"/>
                <w:color w:val="auto"/>
              </w:rPr>
            </w:pPr>
            <w:r>
              <w:rPr>
                <w:rFonts w:ascii="Arial" w:cs="Arial" w:eastAsia="Arial" w:hAnsi="Arial"/>
                <w:sz w:val="18"/>
                <w:szCs w:val="18"/>
                <w:color w:val="auto"/>
                <w:w w:val="92"/>
              </w:rPr>
              <w:t>Adjustments to reconcile earnings from continuing operations to net cash provided by (used in) operating activities of</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9.4</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20.2</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Provision for losses on royalty advances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5.1</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36.6</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43.4</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43.7</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11.1</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Non-cash write off related to asset impairments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40.1</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Unrealized loss on investment</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216"/>
        </w:trPr>
        <w:tc>
          <w:tcPr>
            <w:tcW w:w="85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(69.1)</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57.6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28.9</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18.5</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24.7</w:t>
            </w:r>
          </w:p>
        </w:tc>
      </w:tr>
      <w:tr>
        <w:trPr>
          <w:trHeight w:val="216"/>
        </w:trPr>
        <w:tc>
          <w:tcPr>
            <w:tcW w:w="858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85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10"/>
        </w:trPr>
        <w:tc>
          <w:tcPr>
            <w:tcW w:w="8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858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52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137.0</w:t>
            </w:r>
          </w:p>
        </w:tc>
        <w:tc>
          <w:tcPr>
            <w:tcW w:w="36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172.0</w:t>
            </w:r>
          </w:p>
        </w:tc>
      </w:tr>
      <w:tr>
        <w:trPr>
          <w:trHeight w:val="110"/>
        </w:trPr>
        <w:tc>
          <w:tcPr>
            <w:tcW w:w="8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85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52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154.4</w:t>
            </w:r>
          </w:p>
        </w:tc>
        <w:tc>
          <w:tcPr>
            <w:tcW w:w="36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199.9</w:t>
            </w:r>
          </w:p>
        </w:tc>
      </w:tr>
      <w:tr>
        <w:trPr>
          <w:trHeight w:val="222"/>
        </w:trPr>
        <w:tc>
          <w:tcPr>
            <w:tcW w:w="85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5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110"/>
        </w:trPr>
        <w:tc>
          <w:tcPr>
            <w:tcW w:w="8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85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154.9</w:t>
            </w:r>
          </w:p>
        </w:tc>
        <w:tc>
          <w:tcPr>
            <w:tcW w:w="36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200.9</w:t>
            </w:r>
          </w:p>
        </w:tc>
      </w:tr>
      <w:tr>
        <w:trPr>
          <w:trHeight w:val="358"/>
        </w:trPr>
        <w:tc>
          <w:tcPr>
            <w:tcW w:w="8580" w:type="dxa"/>
            <w:vAlign w:val="bottom"/>
          </w:tcPr>
          <w:p>
            <w:pPr>
              <w:spacing w:after="0"/>
              <w:rPr>
                <w:sz w:val="20"/>
                <w:szCs w:val="20"/>
                <w:color w:val="auto"/>
              </w:rPr>
            </w:pPr>
            <w:r>
              <w:rPr>
                <w:rFonts w:ascii="Arial" w:cs="Arial" w:eastAsia="Arial" w:hAnsi="Arial"/>
                <w:sz w:val="18"/>
                <w:szCs w:val="18"/>
                <w:b w:val="1"/>
                <w:bCs w:val="1"/>
                <w:color w:val="auto"/>
              </w:rPr>
              <w:t>Cash flows (used in) provided by investing activities: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(38.4)</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Repayment of loan from investee</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Net proceeds from sale of discontinued operations</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0.2</w:t>
            </w:r>
          </w:p>
        </w:tc>
      </w:tr>
      <w:tr>
        <w:trPr>
          <w:trHeight w:val="216"/>
        </w:trPr>
        <w:tc>
          <w:tcPr>
            <w:tcW w:w="8580" w:type="dxa"/>
            <w:vAlign w:val="bottom"/>
          </w:tcPr>
          <w:p>
            <w:pPr>
              <w:ind w:left="160"/>
              <w:spacing w:after="0"/>
              <w:rPr>
                <w:sz w:val="20"/>
                <w:szCs w:val="20"/>
                <w:color w:val="auto"/>
              </w:rPr>
            </w:pPr>
            <w:r>
              <w:rPr>
                <w:rFonts w:ascii="Arial" w:cs="Arial" w:eastAsia="Arial" w:hAnsi="Arial"/>
                <w:sz w:val="18"/>
                <w:szCs w:val="18"/>
                <w:color w:val="auto"/>
              </w:rPr>
              <w:t>Land acquisition</w:t>
            </w:r>
          </w:p>
        </w:tc>
        <w:tc>
          <w:tcPr>
            <w:tcW w:w="5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8580" w:type="dxa"/>
            <w:vAlign w:val="bottom"/>
          </w:tcPr>
          <w:p>
            <w:pPr>
              <w:ind w:left="160"/>
              <w:spacing w:after="0"/>
              <w:rPr>
                <w:sz w:val="20"/>
                <w:szCs w:val="20"/>
                <w:color w:val="auto"/>
              </w:rPr>
            </w:pPr>
            <w:r>
              <w:rPr>
                <w:rFonts w:ascii="Arial" w:cs="Arial" w:eastAsia="Arial" w:hAnsi="Arial"/>
                <w:sz w:val="18"/>
                <w:szCs w:val="18"/>
                <w:color w:val="auto"/>
              </w:rPr>
              <w:t>Acquisition-related payments (net of cash received of $2.5 and $0.0)</w:t>
            </w:r>
          </w:p>
        </w:tc>
        <w:tc>
          <w:tcPr>
            <w:tcW w:w="5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10"/>
        </w:trPr>
        <w:tc>
          <w:tcPr>
            <w:tcW w:w="8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85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(102.1)</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365"/>
        </w:trPr>
        <w:tc>
          <w:tcPr>
            <w:tcW w:w="858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382" w:right="21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9380"/>
        <w:spacing w:after="0"/>
        <w:rPr>
          <w:sz w:val="20"/>
          <w:szCs w:val="20"/>
          <w:color w:val="auto"/>
        </w:rPr>
      </w:pPr>
      <w:r>
        <w:rPr>
          <w:rFonts w:ascii="Arial" w:cs="Arial" w:eastAsia="Arial" w:hAnsi="Arial"/>
          <w:sz w:val="18"/>
          <w:szCs w:val="18"/>
          <w:b w:val="1"/>
          <w:bCs w:val="1"/>
          <w:i w:val="1"/>
          <w:iCs w:val="1"/>
          <w:color w:val="auto"/>
        </w:rPr>
        <w:t>Nine months ended</w:t>
      </w:r>
    </w:p>
    <w:p>
      <w:pPr>
        <w:spacing w:after="0" w:line="15" w:lineRule="exact"/>
        <w:rPr>
          <w:sz w:val="20"/>
          <w:szCs w:val="20"/>
          <w:color w:val="auto"/>
        </w:rPr>
      </w:pPr>
    </w:p>
    <w:p>
      <w:pPr>
        <w:ind w:left="9620"/>
        <w:spacing w:after="0"/>
        <w:rPr>
          <w:sz w:val="20"/>
          <w:szCs w:val="20"/>
          <w:color w:val="auto"/>
        </w:rPr>
      </w:pPr>
      <w:r>
        <w:rPr>
          <w:rFonts w:ascii="Arial" w:cs="Arial" w:eastAsia="Arial" w:hAnsi="Arial"/>
          <w:sz w:val="18"/>
          <w:szCs w:val="18"/>
          <w:b w:val="1"/>
          <w:bCs w:val="1"/>
          <w:i w:val="1"/>
          <w:i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9"/>
        </w:trPr>
        <w:tc>
          <w:tcPr>
            <w:tcW w:w="668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Revolver</w:t>
            </w:r>
          </w:p>
        </w:tc>
        <w:tc>
          <w:tcPr>
            <w:tcW w:w="24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Revolver</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Repurchase of 5% notes</w:t>
            </w:r>
          </w:p>
        </w:tc>
        <w:tc>
          <w:tcPr>
            <w:tcW w:w="24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24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92.3</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135.0</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(94.6)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(132.8)</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(166.9)</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24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3.8</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6680" w:type="dxa"/>
            <w:vAlign w:val="bottom"/>
          </w:tcPr>
          <w:p>
            <w:pPr>
              <w:ind w:left="160"/>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668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4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(209.5)</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2"/>
        </w:trPr>
        <w:tc>
          <w:tcPr>
            <w:tcW w:w="66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24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66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(153.4)</w:t>
            </w:r>
          </w:p>
        </w:tc>
        <w:tc>
          <w:tcPr>
            <w:tcW w:w="36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95.3</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244.1</w:t>
            </w:r>
          </w:p>
        </w:tc>
        <w:tc>
          <w:tcPr>
            <w:tcW w:w="3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143.6</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66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90.7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238.9</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2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2010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2010 relate to the twelve month period ended May 31, 2010.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 closed or sold several operations during fiscal 2008, 2009 and 2010 and presently holds for sale one operation. All of these businesses are classified as discontinued operations in the Company’s financial statements.</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remaining assets and liabilities associated with the foregoing discontinued businesses or operations are presented in the Company’s condensed consolidated balance sheets as “Current assets of discontinued operations” and “Current liabilities of discontinued operations” as of February 28, 2011, May 31, 2010 and February 28, 2010. The aggregate results of operations of these businesses for the three and nine months ended February 28, 2011 and 2010 are included in the condensed consolidated statements of operations as “Earnings (loss) from discontinued operations, net of tax.” The aggregate cash flows of these businesses are also presented separately in the Company’s consolidated statements of cash flows for the nine months ended February 28, 2011 and 2010.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first quarter of fiscal 2011, the Company determined that its distribution facility in Danbury, Connecticut (the “Danbury Facility”) was no longer “held for sale.” Accordingly, the assets, liabilities and results of operations of the Danbury Facility are included in continuing operations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February 28, 2010 condensed consolidated balance sheet is included for comparative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returns; gross margin rates used to determine inventory values; gross profits for book fair operations during interim periods; amortization periods; stock-based compensation expense; pension and other post-retirement obligations; taxes; recoverability of inventories, deferred income taxes and tax reserves, prepublication costs and royalty advances; and the fair value of goodwill reporting units and other intangibles.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condensed consolidated balance sheets include restricted cash of $1.1, $0.0 and $0.0 as of February 28, 2011, May 31, 2010 and February 28, 2010, respectively, which is reported in “Other current assets.” This restricted cash was acquired with the assets of Math Solutions. See Note 2, “Acquisition and Land Purchase,” for a further description of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October 2009, the Financial Accounting Standards Board (the “FASB”) issued an update to authoritative guidance on the revenue recognition related to multiple deliverable revenue arrangements. The guidance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The current authoritative guidance establishes the accounting and reporting guidance for arrangements under which the vendor will perform multiple revenue-generating activities. Specifically, this guidance addresses how to separate deliverables and how to measure and allocate arrangement consideration to one or more units of accounting.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2009, the FASB issued an update to authoritative guidance related to certain revenue arrangements that include software elements. The accounting guidance update addresses the accounting revenue arrangements that contain tangible products and software and it affects vendors that sell or lease tangible products in an arrangement that contains software that is more than incidental to the tangible product as a whole. The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“Software – Revenue Recognition.” The amendment requires that hardware components of a tangible product containing software components always be excluded from the software revenue guidance. This guidance will be effective prospectively for revenue arrangements entered into or materially modified in fiscal years beginning on or after June 15, 2010. Early adoption is permitted. The Company has not chosen early adoption and is evaluating the update. The Company does not expect a significant impact on its consolidated financial position, results of operations and cash flows.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2010, the FASB issued an update to the authoritative guidance on the two-step testing required for impairment of goodwill and other intangible assets. When a goodwill impairment test is performed (either on an annual or interim basis), an entity must assess whether the carrying amount of a reporting unit exceeds its fair value. If it does, an entity must perform an additional test to determine whether goodwill has been impaired and to calculate the amount of that impairment. The amendments in this update modify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an impairment of goodwill exists, an entity should consider whether there are any adverse qualitative factors indicating that impairment may exist. The amendments in this update are effective for fiscal years, and interim periods within those years, beginning on or after December 15, 2010. Early adoption is not permitted. The Company is evaluating the impact on its consolidated financial position and results of operations.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Land Purchase</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On September 9, 2010, the Company purchased the assets of Math Solutions, an education resources and professional development company focusing on K-12 math instruction, for $8.0, net of cash acquired. The Company has integrated this business with its existing educational technology businesses. As a result of this transaction, the Company recognized $1.5 of goodwill and $5.6 of amortizable intangible assets.</w:t>
      </w:r>
    </w:p>
    <w:p>
      <w:pPr>
        <w:spacing w:after="0" w:line="16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Transaction costs of $0.4 were expensed in fiscal 2011 and are included in “Other (expense) income” on the Company’s condensed consolidated statements of operations. The results of operations of this acquisition subsequent to the acquisition date are included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w:t>
      </w:r>
    </w:p>
    <w:p>
      <w:pPr>
        <w:spacing w:after="0" w:line="13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the second quarter of fiscal 2011, the Company purchased the land on which its corporate headquarters are located for $24.3 and also satisfied capital lease obligations on this property of $1.3.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monitors the expected cash proceeds to be realized from the disposition of discontinued operations’ assets, and adjusts asset values accordingly.</w:t>
      </w:r>
    </w:p>
    <w:p>
      <w:pPr>
        <w:spacing w:after="0" w:line="24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did not cease any additional operations or classify any additional operations as “held for sale” during the nine-month period ended February 28, 2011. During the first quarter of fiscal 2011, the Company determined that the Danbury Facility was no longer “held for sale.” Accordingly, the assets, liabilities and results of operations of the Danbury Facility are included in continuing operations for all periods presented.</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second quarter of fiscal 2011, the Company began the process of settling the pension plan of Grolier Limited, a Canadian entity in the continuities business. Losses related to the recognition of prior service costs associated with the portion of the settlement completed in the current fiscal year are reflected in the table below. See Note 10, “Employee Benefit Plans,” for further details pertaining to the settlement.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300" w:type="dxa"/>
            <w:vAlign w:val="bottom"/>
            <w:gridSpan w:val="3"/>
          </w:tcPr>
          <w:p>
            <w:pPr>
              <w:jc w:val="right"/>
              <w:ind w:right="52"/>
              <w:spacing w:after="0"/>
              <w:rPr>
                <w:sz w:val="20"/>
                <w:szCs w:val="20"/>
                <w:color w:val="auto"/>
              </w:rPr>
            </w:pPr>
            <w:r>
              <w:rPr>
                <w:rFonts w:ascii="Arial" w:cs="Arial" w:eastAsia="Arial" w:hAnsi="Arial"/>
                <w:sz w:val="18"/>
                <w:szCs w:val="18"/>
                <w:b w:val="1"/>
                <w:bCs w:val="1"/>
                <w:i w:val="1"/>
                <w:iCs w:val="1"/>
                <w:color w:val="auto"/>
              </w:rPr>
              <w:t>Three months ended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ind w:right="572"/>
              <w:spacing w:after="0"/>
              <w:rPr>
                <w:sz w:val="20"/>
                <w:szCs w:val="20"/>
                <w:color w:val="auto"/>
              </w:rPr>
            </w:pPr>
            <w:r>
              <w:rPr>
                <w:rFonts w:ascii="Arial" w:cs="Arial" w:eastAsia="Arial" w:hAnsi="Arial"/>
                <w:sz w:val="18"/>
                <w:szCs w:val="18"/>
                <w:b w:val="1"/>
                <w:bCs w:val="1"/>
                <w:i w:val="1"/>
                <w:iCs w:val="1"/>
                <w:color w:val="auto"/>
              </w:rPr>
              <w:t>Nine months ended</w:t>
            </w:r>
          </w:p>
        </w:tc>
        <w:tc>
          <w:tcPr>
            <w:tcW w:w="20" w:type="dxa"/>
            <w:vAlign w:val="bottom"/>
          </w:tcPr>
          <w:p>
            <w:pPr>
              <w:spacing w:after="0"/>
              <w:rPr>
                <w:sz w:val="18"/>
                <w:szCs w:val="18"/>
                <w:color w:val="auto"/>
              </w:rPr>
            </w:pPr>
          </w:p>
        </w:tc>
      </w:tr>
      <w:tr>
        <w:trPr>
          <w:trHeight w:val="222"/>
        </w:trPr>
        <w:tc>
          <w:tcPr>
            <w:tcW w:w="4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80" w:type="dxa"/>
            <w:vAlign w:val="bottom"/>
            <w:gridSpan w:val="2"/>
          </w:tcPr>
          <w:p>
            <w:pPr>
              <w:jc w:val="right"/>
              <w:ind w:right="332"/>
              <w:spacing w:after="0"/>
              <w:rPr>
                <w:sz w:val="20"/>
                <w:szCs w:val="20"/>
                <w:color w:val="auto"/>
              </w:rPr>
            </w:pPr>
            <w:r>
              <w:rPr>
                <w:rFonts w:ascii="Arial" w:cs="Arial" w:eastAsia="Arial" w:hAnsi="Arial"/>
                <w:sz w:val="18"/>
                <w:szCs w:val="18"/>
                <w:b w:val="1"/>
                <w:bCs w:val="1"/>
                <w:i w:val="1"/>
                <w:iCs w:val="1"/>
                <w:color w:val="auto"/>
                <w:w w:val="87"/>
              </w:rPr>
              <w:t>February 28,</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February 28,</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w w:val="84"/>
              </w:rPr>
              <w:t>2010</w:t>
            </w:r>
          </w:p>
        </w:tc>
        <w:tc>
          <w:tcPr>
            <w:tcW w:w="20" w:type="dxa"/>
            <w:vAlign w:val="bottom"/>
          </w:tcPr>
          <w:p>
            <w:pPr>
              <w:spacing w:after="0"/>
              <w:rPr>
                <w:sz w:val="24"/>
                <w:szCs w:val="24"/>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r>
      <w:tr>
        <w:trPr>
          <w:trHeight w:val="358"/>
        </w:trPr>
        <w:tc>
          <w:tcPr>
            <w:tcW w:w="4920" w:type="dxa"/>
            <w:vAlign w:val="bottom"/>
          </w:tcPr>
          <w:p>
            <w:pPr>
              <w:spacing w:after="0"/>
              <w:rPr>
                <w:sz w:val="20"/>
                <w:szCs w:val="20"/>
                <w:color w:val="auto"/>
              </w:rPr>
            </w:pPr>
            <w:r>
              <w:rPr>
                <w:rFonts w:ascii="Arial" w:cs="Arial" w:eastAsia="Arial" w:hAnsi="Arial"/>
                <w:sz w:val="18"/>
                <w:szCs w:val="18"/>
                <w:color w:val="auto"/>
              </w:rPr>
              <w:t>Loss on sale</w:t>
            </w:r>
          </w:p>
        </w:tc>
        <w:tc>
          <w:tcPr>
            <w:tcW w:w="1920" w:type="dxa"/>
            <w:vAlign w:val="bottom"/>
          </w:tcPr>
          <w:p>
            <w:pPr>
              <w:spacing w:after="0"/>
              <w:rPr>
                <w:sz w:val="24"/>
                <w:szCs w:val="24"/>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9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18"/>
                <w:szCs w:val="18"/>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1"/>
              </w:rPr>
              <w:t>(1.5)</w:t>
            </w:r>
          </w:p>
        </w:tc>
        <w:tc>
          <w:tcPr>
            <w:tcW w:w="3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9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192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b w:val="1"/>
                <w:bCs w:val="1"/>
                <w:color w:val="auto"/>
              </w:rPr>
              <w:t>0.2</w:t>
            </w:r>
          </w:p>
        </w:tc>
        <w:tc>
          <w:tcPr>
            <w:tcW w:w="88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(1.3)</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(2.8)</w:t>
            </w:r>
          </w:p>
        </w:tc>
        <w:tc>
          <w:tcPr>
            <w:tcW w:w="4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24"/>
                <w:szCs w:val="24"/>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920" w:type="dxa"/>
            <w:vAlign w:val="bottom"/>
          </w:tcPr>
          <w:p>
            <w:pPr>
              <w:spacing w:after="0"/>
              <w:rPr>
                <w:sz w:val="24"/>
                <w:szCs w:val="24"/>
                <w:color w:val="auto"/>
              </w:rPr>
            </w:pPr>
          </w:p>
        </w:tc>
        <w:tc>
          <w:tcPr>
            <w:tcW w:w="1920" w:type="dxa"/>
            <w:vAlign w:val="bottom"/>
          </w:tcPr>
          <w:p>
            <w:pPr>
              <w:jc w:val="right"/>
              <w:ind w:right="992"/>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2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350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February 28, 2011</w:t>
            </w:r>
          </w:p>
        </w:tc>
        <w:tc>
          <w:tcPr>
            <w:tcW w:w="150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May 31, 2010</w:t>
            </w:r>
          </w:p>
        </w:tc>
        <w:tc>
          <w:tcPr>
            <w:tcW w:w="184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February 28, 2010</w:t>
            </w:r>
          </w:p>
        </w:tc>
        <w:tc>
          <w:tcPr>
            <w:tcW w:w="20" w:type="dxa"/>
            <w:vAlign w:val="bottom"/>
          </w:tcPr>
          <w:p>
            <w:pPr>
              <w:spacing w:after="0"/>
              <w:rPr>
                <w:sz w:val="19"/>
                <w:szCs w:val="19"/>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6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3.7</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Other assets</w:t>
            </w:r>
          </w:p>
        </w:tc>
        <w:tc>
          <w:tcPr>
            <w:tcW w:w="2500" w:type="dxa"/>
            <w:vAlign w:val="bottom"/>
          </w:tcPr>
          <w:p>
            <w:pPr>
              <w:spacing w:after="0"/>
              <w:rPr>
                <w:sz w:val="19"/>
                <w:szCs w:val="19"/>
                <w:color w:val="auto"/>
              </w:rPr>
            </w:pP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9.2</w:t>
            </w:r>
          </w:p>
        </w:tc>
        <w:tc>
          <w:tcPr>
            <w:tcW w:w="640" w:type="dxa"/>
            <w:vAlign w:val="bottom"/>
          </w:tcPr>
          <w:p>
            <w:pPr>
              <w:spacing w:after="0"/>
              <w:rPr>
                <w:sz w:val="19"/>
                <w:szCs w:val="19"/>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9.2</w:t>
            </w:r>
          </w:p>
        </w:tc>
        <w:tc>
          <w:tcPr>
            <w:tcW w:w="84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Current assets of discontinued operations</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612"/>
              <w:spacing w:after="0"/>
              <w:rPr>
                <w:sz w:val="20"/>
                <w:szCs w:val="20"/>
                <w:color w:val="auto"/>
              </w:rPr>
            </w:pPr>
            <w:r>
              <w:rPr>
                <w:rFonts w:ascii="Arial" w:cs="Arial" w:eastAsia="Arial" w:hAnsi="Arial"/>
                <w:sz w:val="18"/>
                <w:szCs w:val="18"/>
                <w:b w:val="1"/>
                <w:bCs w:val="1"/>
                <w:color w:val="auto"/>
              </w:rPr>
              <w:t>9.2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w w:val="85"/>
              </w:rPr>
              <w:t>12.9</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w w:val="96"/>
              </w:rPr>
              <w:t>16.3</w:t>
            </w:r>
          </w:p>
        </w:tc>
        <w:tc>
          <w:tcPr>
            <w:tcW w:w="20" w:type="dxa"/>
            <w:vAlign w:val="bottom"/>
          </w:tcPr>
          <w:p>
            <w:pPr>
              <w:spacing w:after="0"/>
              <w:rPr>
                <w:sz w:val="24"/>
                <w:szCs w:val="24"/>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600" w:type="dxa"/>
            <w:vAlign w:val="bottom"/>
          </w:tcPr>
          <w:p>
            <w:pPr>
              <w:spacing w:after="0"/>
              <w:rPr>
                <w:sz w:val="20"/>
                <w:szCs w:val="20"/>
                <w:color w:val="auto"/>
              </w:rPr>
            </w:pPr>
            <w:r>
              <w:rPr>
                <w:rFonts w:ascii="Arial" w:cs="Arial" w:eastAsia="Arial" w:hAnsi="Arial"/>
                <w:sz w:val="18"/>
                <w:szCs w:val="18"/>
                <w:color w:val="auto"/>
              </w:rPr>
              <w:t>Accounts payable</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500" w:type="dxa"/>
            <w:vAlign w:val="bottom"/>
          </w:tcPr>
          <w:p>
            <w:pPr>
              <w:spacing w:after="0"/>
              <w:rPr>
                <w:sz w:val="19"/>
                <w:szCs w:val="19"/>
                <w:color w:val="auto"/>
              </w:rPr>
            </w:pP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0.6</w:t>
            </w:r>
          </w:p>
        </w:tc>
        <w:tc>
          <w:tcPr>
            <w:tcW w:w="640" w:type="dxa"/>
            <w:vAlign w:val="bottom"/>
          </w:tcPr>
          <w:p>
            <w:pPr>
              <w:spacing w:after="0"/>
              <w:rPr>
                <w:sz w:val="19"/>
                <w:szCs w:val="19"/>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2.9</w:t>
            </w:r>
          </w:p>
        </w:tc>
        <w:tc>
          <w:tcPr>
            <w:tcW w:w="84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612"/>
              <w:spacing w:after="0"/>
              <w:rPr>
                <w:sz w:val="20"/>
                <w:szCs w:val="20"/>
                <w:color w:val="auto"/>
              </w:rPr>
            </w:pPr>
            <w:r>
              <w:rPr>
                <w:rFonts w:ascii="Arial" w:cs="Arial" w:eastAsia="Arial" w:hAnsi="Arial"/>
                <w:sz w:val="18"/>
                <w:szCs w:val="18"/>
                <w:b w:val="1"/>
                <w:bCs w:val="1"/>
                <w:color w:val="auto"/>
              </w:rPr>
              <w:t>0.6</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rPr>
              <w:t>2.9</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600" w:type="dxa"/>
            <w:vAlign w:val="bottom"/>
          </w:tcPr>
          <w:p>
            <w:pPr>
              <w:spacing w:after="0"/>
              <w:rPr>
                <w:sz w:val="24"/>
                <w:szCs w:val="24"/>
                <w:color w:val="auto"/>
              </w:rPr>
            </w:pPr>
          </w:p>
        </w:tc>
        <w:tc>
          <w:tcPr>
            <w:tcW w:w="2500" w:type="dxa"/>
            <w:vAlign w:val="bottom"/>
          </w:tcPr>
          <w:p>
            <w:pPr>
              <w:jc w:val="right"/>
              <w:ind w:right="1252"/>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60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 services consistent with the method by which the Company’s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decision-maker assesses operating performance and allocates resources.</w:t>
      </w:r>
    </w:p>
    <w:p>
      <w:pPr>
        <w:spacing w:after="0" w:line="194" w:lineRule="exact"/>
        <w:rPr>
          <w:sz w:val="20"/>
          <w:szCs w:val="20"/>
          <w:color w:val="auto"/>
        </w:rPr>
      </w:pPr>
    </w:p>
    <w:p>
      <w:pPr>
        <w:ind w:right="22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color w:val="auto"/>
        </w:rPr>
      </w:pPr>
    </w:p>
    <w:p>
      <w:pPr>
        <w:jc w:val="both"/>
        <w:ind w:right="36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curriculum materials, children’s books, classroom magazines and print and on-line reference and non-fiction products for grades pre-kindergarten to 12 in the United States. This segment is comprised of three operating segments.</w:t>
      </w:r>
    </w:p>
    <w:p>
      <w:pPr>
        <w:spacing w:after="0" w:line="194" w:lineRule="exact"/>
        <w:rPr>
          <w:rFonts w:ascii="Arial" w:cs="Arial" w:eastAsia="Arial" w:hAnsi="Arial"/>
          <w:sz w:val="18"/>
          <w:szCs w:val="18"/>
          <w:color w:val="auto"/>
        </w:rPr>
      </w:pPr>
    </w:p>
    <w:p>
      <w:pPr>
        <w:ind w:right="5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consumer promotions and merchandising and advertising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sponsorship programs. This segment is comprised of three operating segments.</w:t>
      </w:r>
    </w:p>
    <w:p>
      <w:pPr>
        <w:spacing w:after="0" w:line="185"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9"/>
              </w:rPr>
              <w:t>Children’s Book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72"/>
              <w:spacing w:after="0"/>
              <w:rPr>
                <w:sz w:val="20"/>
                <w:szCs w:val="20"/>
                <w:color w:val="auto"/>
              </w:rPr>
            </w:pPr>
            <w:r>
              <w:rPr>
                <w:rFonts w:ascii="Arial" w:cs="Arial" w:eastAsia="Arial" w:hAnsi="Arial"/>
                <w:sz w:val="14"/>
                <w:szCs w:val="14"/>
                <w:b w:val="1"/>
                <w:bCs w:val="1"/>
                <w:color w:val="auto"/>
                <w:w w:val="91"/>
              </w:rPr>
              <w:t>Media,</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3"/>
              </w:rPr>
              <w:t>Publishing</w:t>
            </w:r>
          </w:p>
        </w:tc>
        <w:tc>
          <w:tcPr>
            <w:tcW w:w="160" w:type="dxa"/>
            <w:vAlign w:val="bottom"/>
          </w:tcPr>
          <w:p>
            <w:pPr>
              <w:spacing w:after="0"/>
              <w:rPr>
                <w:sz w:val="12"/>
                <w:szCs w:val="12"/>
                <w:color w:val="auto"/>
              </w:rPr>
            </w:pPr>
          </w:p>
        </w:tc>
        <w:tc>
          <w:tcPr>
            <w:tcW w:w="9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0"/>
              </w:rPr>
              <w:t>Educational</w:t>
            </w:r>
          </w:p>
        </w:tc>
        <w:tc>
          <w:tcPr>
            <w:tcW w:w="18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Licensing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jc w:val="center"/>
              <w:ind w:right="172"/>
              <w:spacing w:after="0" w:line="135" w:lineRule="exact"/>
              <w:rPr>
                <w:sz w:val="20"/>
                <w:szCs w:val="20"/>
                <w:color w:val="auto"/>
              </w:rPr>
            </w:pPr>
            <w:r>
              <w:rPr>
                <w:rFonts w:ascii="Arial" w:cs="Arial" w:eastAsia="Arial" w:hAnsi="Arial"/>
                <w:sz w:val="14"/>
                <w:szCs w:val="14"/>
                <w:b w:val="1"/>
                <w:bCs w:val="1"/>
                <w:color w:val="auto"/>
                <w:w w:val="80"/>
              </w:rPr>
              <w:t>and</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6"/>
              </w:rPr>
              <w:t>Overhead</w:t>
            </w:r>
            <w:r>
              <w:rPr>
                <w:rFonts w:ascii="Arial" w:cs="Arial" w:eastAsia="Arial" w:hAnsi="Arial"/>
                <w:sz w:val="22"/>
                <w:szCs w:val="22"/>
                <w:b w:val="1"/>
                <w:bCs w:val="1"/>
                <w:color w:val="auto"/>
                <w:w w:val="96"/>
                <w:vertAlign w:val="superscript"/>
              </w:rPr>
              <w:t>(2)</w:t>
            </w:r>
          </w:p>
        </w:tc>
        <w:tc>
          <w:tcPr>
            <w:tcW w:w="200" w:type="dxa"/>
            <w:vAlign w:val="bottom"/>
          </w:tcPr>
          <w:p>
            <w:pPr>
              <w:spacing w:after="0"/>
              <w:rPr>
                <w:sz w:val="11"/>
                <w:szCs w:val="11"/>
                <w:color w:val="auto"/>
              </w:rPr>
            </w:pPr>
          </w:p>
        </w:tc>
        <w:tc>
          <w:tcPr>
            <w:tcW w:w="82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91"/>
              </w:rPr>
              <w:t>Distribution</w:t>
            </w: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15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8"/>
              </w:rPr>
              <w:t>Advertising</w:t>
            </w:r>
          </w:p>
        </w:tc>
        <w:tc>
          <w:tcPr>
            <w:tcW w:w="1000" w:type="dxa"/>
            <w:vAlign w:val="bottom"/>
            <w:tcBorders>
              <w:bottom w:val="single" w:sz="8" w:color="808080"/>
            </w:tcBorders>
            <w:gridSpan w:val="2"/>
            <w:vMerge w:val="continue"/>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5"/>
              </w:rPr>
              <w:t>Domestic</w:t>
            </w:r>
          </w:p>
        </w:tc>
        <w:tc>
          <w:tcPr>
            <w:tcW w:w="1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20"/>
                <w:szCs w:val="20"/>
                <w:color w:val="auto"/>
              </w:rPr>
            </w:pPr>
            <w:r>
              <w:rPr>
                <w:rFonts w:ascii="Arial" w:cs="Arial" w:eastAsia="Arial" w:hAnsi="Arial"/>
                <w:sz w:val="14"/>
                <w:szCs w:val="14"/>
                <w:b w:val="1"/>
                <w:bCs w:val="1"/>
                <w:color w:val="auto"/>
              </w:rPr>
              <w:t>February 28, 2011</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193.0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24.3</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298.6</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95.1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393.7</w:t>
            </w:r>
          </w:p>
        </w:tc>
        <w:tc>
          <w:tcPr>
            <w:tcW w:w="0" w:type="dxa"/>
            <w:vAlign w:val="bottom"/>
          </w:tcPr>
          <w:p>
            <w:pPr>
              <w:spacing w:after="0"/>
              <w:rPr>
                <w:sz w:val="1"/>
                <w:szCs w:val="1"/>
                <w:color w:val="auto"/>
              </w:rPr>
            </w:pPr>
          </w:p>
        </w:tc>
      </w:tr>
      <w:tr>
        <w:trPr>
          <w:trHeight w:val="144"/>
        </w:trPr>
        <w:tc>
          <w:tcPr>
            <w:tcW w:w="37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2"/>
                <w:szCs w:val="12"/>
                <w:color w:val="auto"/>
              </w:rPr>
            </w:pPr>
          </w:p>
        </w:tc>
        <w:tc>
          <w:tcPr>
            <w:tcW w:w="9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9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0.1</w:t>
            </w:r>
          </w:p>
        </w:tc>
        <w:tc>
          <w:tcPr>
            <w:tcW w:w="360" w:type="dxa"/>
            <w:vAlign w:val="bottom"/>
          </w:tcPr>
          <w:p>
            <w:pPr>
              <w:spacing w:after="0"/>
              <w:rPr>
                <w:sz w:val="12"/>
                <w:szCs w:val="12"/>
                <w:color w:val="auto"/>
              </w:rPr>
            </w:pPr>
          </w:p>
        </w:tc>
        <w:tc>
          <w:tcPr>
            <w:tcW w:w="6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5.8</w:t>
            </w:r>
          </w:p>
        </w:tc>
        <w:tc>
          <w:tcPr>
            <w:tcW w:w="400" w:type="dxa"/>
            <w:vAlign w:val="bottom"/>
          </w:tcPr>
          <w:p>
            <w:pPr>
              <w:spacing w:after="0"/>
              <w:rPr>
                <w:sz w:val="12"/>
                <w:szCs w:val="12"/>
                <w:color w:val="auto"/>
              </w:rPr>
            </w:pPr>
          </w:p>
        </w:tc>
        <w:tc>
          <w:tcPr>
            <w:tcW w:w="6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6"/>
        </w:trPr>
        <w:tc>
          <w:tcPr>
            <w:tcW w:w="37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13.0</w:t>
            </w:r>
          </w:p>
        </w:tc>
        <w:tc>
          <w:tcPr>
            <w:tcW w:w="40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37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10.2</w:t>
            </w:r>
          </w:p>
        </w:tc>
        <w:tc>
          <w:tcPr>
            <w:tcW w:w="40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3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5.3</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loss</w:t>
            </w:r>
          </w:p>
        </w:tc>
        <w:tc>
          <w:tcPr>
            <w:tcW w:w="3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w:t>
            </w:r>
          </w:p>
        </w:tc>
        <w:tc>
          <w:tcPr>
            <w:tcW w:w="16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3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(12.9)</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(30.5)</w:t>
            </w:r>
          </w:p>
        </w:tc>
        <w:tc>
          <w:tcPr>
            <w:tcW w:w="4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72"/>
        </w:trPr>
        <w:tc>
          <w:tcPr>
            <w:tcW w:w="3780" w:type="dxa"/>
            <w:vAlign w:val="bottom"/>
          </w:tcPr>
          <w:p>
            <w:pPr>
              <w:ind w:left="160"/>
              <w:spacing w:after="0"/>
              <w:rPr>
                <w:sz w:val="20"/>
                <w:szCs w:val="20"/>
                <w:color w:val="auto"/>
              </w:rPr>
            </w:pPr>
            <w:r>
              <w:rPr>
                <w:rFonts w:ascii="Arial" w:cs="Arial" w:eastAsia="Arial" w:hAnsi="Arial"/>
                <w:sz w:val="14"/>
                <w:szCs w:val="14"/>
                <w:color w:val="auto"/>
                <w:w w:val="95"/>
              </w:rPr>
              <w:t>Expenditures for long-lived assets including royalty advances</w:t>
            </w:r>
          </w:p>
        </w:tc>
        <w:tc>
          <w:tcPr>
            <w:tcW w:w="3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25.1</w:t>
            </w:r>
          </w:p>
        </w:tc>
        <w:tc>
          <w:tcPr>
            <w:tcW w:w="4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20"/>
                <w:szCs w:val="20"/>
                <w:color w:val="auto"/>
              </w:rPr>
            </w:pPr>
            <w:r>
              <w:rPr>
                <w:rFonts w:ascii="Arial" w:cs="Arial" w:eastAsia="Arial" w:hAnsi="Arial"/>
                <w:sz w:val="14"/>
                <w:szCs w:val="14"/>
                <w:b w:val="1"/>
                <w:bCs w:val="1"/>
                <w:color w:val="auto"/>
              </w:rPr>
              <w:t>February 28, 2010</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192.1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30.0</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310.1</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88.7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398.8</w:t>
            </w:r>
          </w:p>
        </w:tc>
        <w:tc>
          <w:tcPr>
            <w:tcW w:w="0" w:type="dxa"/>
            <w:vAlign w:val="bottom"/>
          </w:tcPr>
          <w:p>
            <w:pPr>
              <w:spacing w:after="0"/>
              <w:rPr>
                <w:sz w:val="1"/>
                <w:szCs w:val="1"/>
                <w:color w:val="auto"/>
              </w:rPr>
            </w:pPr>
          </w:p>
        </w:tc>
      </w:tr>
      <w:tr>
        <w:trPr>
          <w:trHeight w:val="144"/>
        </w:trPr>
        <w:tc>
          <w:tcPr>
            <w:tcW w:w="37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9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0.1</w:t>
            </w:r>
          </w:p>
        </w:tc>
        <w:tc>
          <w:tcPr>
            <w:tcW w:w="360" w:type="dxa"/>
            <w:vAlign w:val="bottom"/>
          </w:tcPr>
          <w:p>
            <w:pPr>
              <w:spacing w:after="0"/>
              <w:rPr>
                <w:sz w:val="12"/>
                <w:szCs w:val="12"/>
                <w:color w:val="auto"/>
              </w:rPr>
            </w:pPr>
          </w:p>
        </w:tc>
        <w:tc>
          <w:tcPr>
            <w:tcW w:w="6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2.3</w:t>
            </w:r>
          </w:p>
        </w:tc>
        <w:tc>
          <w:tcPr>
            <w:tcW w:w="400" w:type="dxa"/>
            <w:vAlign w:val="bottom"/>
          </w:tcPr>
          <w:p>
            <w:pPr>
              <w:spacing w:after="0"/>
              <w:rPr>
                <w:sz w:val="12"/>
                <w:szCs w:val="12"/>
                <w:color w:val="auto"/>
              </w:rPr>
            </w:pPr>
          </w:p>
        </w:tc>
        <w:tc>
          <w:tcPr>
            <w:tcW w:w="6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37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0.1</w:t>
            </w:r>
          </w:p>
        </w:tc>
        <w:tc>
          <w:tcPr>
            <w:tcW w:w="36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8.5</w:t>
            </w:r>
          </w:p>
        </w:tc>
        <w:tc>
          <w:tcPr>
            <w:tcW w:w="2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12.7</w:t>
            </w:r>
          </w:p>
        </w:tc>
        <w:tc>
          <w:tcPr>
            <w:tcW w:w="40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0"/>
        </w:trPr>
        <w:tc>
          <w:tcPr>
            <w:tcW w:w="37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2.2</w:t>
            </w:r>
          </w:p>
        </w:tc>
        <w:tc>
          <w:tcPr>
            <w:tcW w:w="36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11.4</w:t>
            </w:r>
          </w:p>
        </w:tc>
        <w:tc>
          <w:tcPr>
            <w:tcW w:w="40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3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5.3</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3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8.3</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3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(0.3)</w:t>
            </w:r>
          </w:p>
        </w:tc>
        <w:tc>
          <w:tcPr>
            <w:tcW w:w="4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2"/>
        </w:trPr>
        <w:tc>
          <w:tcPr>
            <w:tcW w:w="3780" w:type="dxa"/>
            <w:vAlign w:val="bottom"/>
          </w:tcPr>
          <w:p>
            <w:pPr>
              <w:ind w:left="160"/>
              <w:spacing w:after="0"/>
              <w:rPr>
                <w:sz w:val="20"/>
                <w:szCs w:val="20"/>
                <w:color w:val="auto"/>
              </w:rPr>
            </w:pPr>
            <w:r>
              <w:rPr>
                <w:rFonts w:ascii="Arial" w:cs="Arial" w:eastAsia="Arial" w:hAnsi="Arial"/>
                <w:sz w:val="14"/>
                <w:szCs w:val="14"/>
                <w:color w:val="auto"/>
                <w:w w:val="95"/>
              </w:rPr>
              <w:t>Expenditures for long-lived assets including royalty advances</w:t>
            </w:r>
          </w:p>
        </w:tc>
        <w:tc>
          <w:tcPr>
            <w:tcW w:w="3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7.8</w:t>
            </w:r>
          </w:p>
        </w:tc>
        <w:tc>
          <w:tcPr>
            <w:tcW w:w="1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25.3</w:t>
            </w:r>
          </w:p>
        </w:tc>
        <w:tc>
          <w:tcPr>
            <w:tcW w:w="4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7"/>
              </w:rPr>
              <w:t>Children’s Book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72"/>
              <w:spacing w:after="0"/>
              <w:rPr>
                <w:sz w:val="20"/>
                <w:szCs w:val="20"/>
                <w:color w:val="auto"/>
              </w:rPr>
            </w:pPr>
            <w:r>
              <w:rPr>
                <w:rFonts w:ascii="Arial" w:cs="Arial" w:eastAsia="Arial" w:hAnsi="Arial"/>
                <w:sz w:val="14"/>
                <w:szCs w:val="14"/>
                <w:b w:val="1"/>
                <w:bCs w:val="1"/>
                <w:color w:val="auto"/>
                <w:w w:val="91"/>
              </w:rPr>
              <w:t>Media,</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2"/>
                <w:szCs w:val="12"/>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0"/>
              </w:rPr>
              <w:t>Educational</w:t>
            </w:r>
          </w:p>
        </w:tc>
        <w:tc>
          <w:tcPr>
            <w:tcW w:w="200" w:type="dxa"/>
            <w:vAlign w:val="bottom"/>
          </w:tcPr>
          <w:p>
            <w:pPr>
              <w:spacing w:after="0"/>
              <w:rPr>
                <w:sz w:val="12"/>
                <w:szCs w:val="12"/>
                <w:color w:val="auto"/>
              </w:rPr>
            </w:pPr>
          </w:p>
        </w:tc>
        <w:tc>
          <w:tcPr>
            <w:tcW w:w="8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Licensing</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jc w:val="center"/>
              <w:ind w:right="172"/>
              <w:spacing w:after="0" w:line="135"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9"/>
              </w:rPr>
              <w:t>Overhead</w:t>
            </w:r>
            <w:r>
              <w:rPr>
                <w:rFonts w:ascii="Arial" w:cs="Arial" w:eastAsia="Arial" w:hAnsi="Arial"/>
                <w:sz w:val="22"/>
                <w:szCs w:val="22"/>
                <w:b w:val="1"/>
                <w:bCs w:val="1"/>
                <w:color w:val="auto"/>
                <w:w w:val="99"/>
                <w:vertAlign w:val="superscript"/>
              </w:rPr>
              <w:t>(2)</w:t>
            </w:r>
          </w:p>
        </w:tc>
        <w:tc>
          <w:tcPr>
            <w:tcW w:w="180" w:type="dxa"/>
            <w:vAlign w:val="bottom"/>
          </w:tcPr>
          <w:p>
            <w:pPr>
              <w:spacing w:after="0"/>
              <w:rPr>
                <w:sz w:val="11"/>
                <w:szCs w:val="11"/>
                <w:color w:val="auto"/>
              </w:rPr>
            </w:pPr>
          </w:p>
        </w:tc>
        <w:tc>
          <w:tcPr>
            <w:tcW w:w="82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9"/>
              </w:rPr>
              <w:t>Distribution</w:t>
            </w: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10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8"/>
              </w:rPr>
              <w:t>Advertising</w:t>
            </w:r>
          </w:p>
        </w:tc>
        <w:tc>
          <w:tcPr>
            <w:tcW w:w="1020" w:type="dxa"/>
            <w:vAlign w:val="bottom"/>
            <w:tcBorders>
              <w:bottom w:val="single" w:sz="8" w:color="808080"/>
            </w:tcBorders>
            <w:gridSpan w:val="2"/>
            <w:vMerge w:val="continue"/>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172"/>
              <w:spacing w:after="0"/>
              <w:rPr>
                <w:sz w:val="20"/>
                <w:szCs w:val="20"/>
                <w:color w:val="auto"/>
              </w:rPr>
            </w:pPr>
            <w:r>
              <w:rPr>
                <w:rFonts w:ascii="Arial" w:cs="Arial" w:eastAsia="Arial" w:hAnsi="Arial"/>
                <w:sz w:val="14"/>
                <w:szCs w:val="14"/>
                <w:b w:val="1"/>
                <w:bCs w:val="1"/>
                <w:color w:val="auto"/>
                <w:w w:val="88"/>
              </w:rPr>
              <w:t>Domestic</w:t>
            </w:r>
          </w:p>
        </w:tc>
        <w:tc>
          <w:tcPr>
            <w:tcW w:w="1040" w:type="dxa"/>
            <w:vAlign w:val="bottom"/>
            <w:tcBorders>
              <w:bottom w:val="single" w:sz="8" w:color="808080"/>
            </w:tcBorders>
            <w:gridSpan w:val="2"/>
          </w:tcPr>
          <w:p>
            <w:pPr>
              <w:jc w:val="right"/>
              <w:ind w:right="72"/>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20"/>
                <w:szCs w:val="20"/>
                <w:color w:val="auto"/>
              </w:rPr>
            </w:pPr>
            <w:r>
              <w:rPr>
                <w:rFonts w:ascii="Arial" w:cs="Arial" w:eastAsia="Arial" w:hAnsi="Arial"/>
                <w:sz w:val="14"/>
                <w:szCs w:val="14"/>
                <w:b w:val="1"/>
                <w:bCs w:val="1"/>
                <w:color w:val="auto"/>
              </w:rPr>
              <w:t>February 28, 2011</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653.2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301.5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82.7</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1,037.4</w:t>
            </w: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322.9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44"/>
        </w:trPr>
        <w:tc>
          <w:tcPr>
            <w:tcW w:w="37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420" w:type="dxa"/>
            <w:vAlign w:val="bottom"/>
          </w:tcPr>
          <w:p>
            <w:pPr>
              <w:spacing w:after="0"/>
              <w:rPr>
                <w:sz w:val="12"/>
                <w:szCs w:val="12"/>
                <w:color w:val="auto"/>
              </w:rPr>
            </w:pPr>
          </w:p>
        </w:tc>
        <w:tc>
          <w:tcPr>
            <w:tcW w:w="10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8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0.2</w:t>
            </w:r>
          </w:p>
        </w:tc>
        <w:tc>
          <w:tcPr>
            <w:tcW w:w="360" w:type="dxa"/>
            <w:vAlign w:val="bottom"/>
          </w:tcPr>
          <w:p>
            <w:pPr>
              <w:spacing w:after="0"/>
              <w:rPr>
                <w:sz w:val="12"/>
                <w:szCs w:val="12"/>
                <w:color w:val="auto"/>
              </w:rPr>
            </w:pPr>
          </w:p>
        </w:tc>
        <w:tc>
          <w:tcPr>
            <w:tcW w:w="6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10.2</w:t>
            </w:r>
          </w:p>
        </w:tc>
        <w:tc>
          <w:tcPr>
            <w:tcW w:w="400" w:type="dxa"/>
            <w:vAlign w:val="bottom"/>
          </w:tcPr>
          <w:p>
            <w:pPr>
              <w:spacing w:after="0"/>
              <w:rPr>
                <w:sz w:val="12"/>
                <w:szCs w:val="12"/>
                <w:color w:val="auto"/>
              </w:rPr>
            </w:pPr>
          </w:p>
        </w:tc>
        <w:tc>
          <w:tcPr>
            <w:tcW w:w="6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6"/>
        </w:trPr>
        <w:tc>
          <w:tcPr>
            <w:tcW w:w="37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4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11.6</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36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39.3</w:t>
            </w:r>
          </w:p>
        </w:tc>
        <w:tc>
          <w:tcPr>
            <w:tcW w:w="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80"/>
        </w:trPr>
        <w:tc>
          <w:tcPr>
            <w:tcW w:w="37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4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9.5</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18.7</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5.1</w:t>
            </w:r>
          </w:p>
        </w:tc>
        <w:tc>
          <w:tcPr>
            <w:tcW w:w="36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33.3</w:t>
            </w:r>
          </w:p>
        </w:tc>
        <w:tc>
          <w:tcPr>
            <w:tcW w:w="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13.3</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0.3</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14.2</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36.5</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36.8</w:t>
            </w:r>
          </w:p>
        </w:tc>
        <w:tc>
          <w:tcPr>
            <w:tcW w:w="2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w:t>
            </w:r>
          </w:p>
        </w:tc>
        <w:tc>
          <w:tcPr>
            <w:tcW w:w="3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(41.1)</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28.3</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February 28, 2011</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483.6</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297.8</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42.0</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433.5</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1,256.9</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288.1</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1,545.0</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Goodwill at February 28, 2011</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89.9</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149.6</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w w:val="95"/>
              </w:rPr>
              <w:t>Expenditures for long-lived assets including royalty advances</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29.5</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31.7</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42.6</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109.6</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72"/>
        </w:trPr>
        <w:tc>
          <w:tcPr>
            <w:tcW w:w="3780" w:type="dxa"/>
            <w:vAlign w:val="bottom"/>
          </w:tcPr>
          <w:p>
            <w:pPr>
              <w:ind w:left="160"/>
              <w:spacing w:after="0"/>
              <w:rPr>
                <w:sz w:val="20"/>
                <w:szCs w:val="20"/>
                <w:color w:val="auto"/>
              </w:rPr>
            </w:pPr>
            <w:r>
              <w:rPr>
                <w:rFonts w:ascii="Arial" w:cs="Arial" w:eastAsia="Arial" w:hAnsi="Arial"/>
                <w:sz w:val="14"/>
                <w:szCs w:val="14"/>
                <w:color w:val="auto"/>
              </w:rPr>
              <w:t>Long-lived assets at February 28, 2011</w:t>
            </w:r>
          </w:p>
        </w:tc>
        <w:tc>
          <w:tcPr>
            <w:tcW w:w="4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177.9</w:t>
            </w:r>
          </w:p>
        </w:tc>
        <w:tc>
          <w:tcPr>
            <w:tcW w:w="18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178.9</w:t>
            </w:r>
          </w:p>
        </w:tc>
        <w:tc>
          <w:tcPr>
            <w:tcW w:w="20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19.5</w:t>
            </w:r>
          </w:p>
        </w:tc>
        <w:tc>
          <w:tcPr>
            <w:tcW w:w="36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247.2</w:t>
            </w:r>
          </w:p>
        </w:tc>
        <w:tc>
          <w:tcPr>
            <w:tcW w:w="18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623.5</w:t>
            </w:r>
          </w:p>
        </w:tc>
        <w:tc>
          <w:tcPr>
            <w:tcW w:w="400" w:type="dxa"/>
            <w:vAlign w:val="bottom"/>
          </w:tcPr>
          <w:p>
            <w:pPr>
              <w:spacing w:after="0"/>
              <w:rPr>
                <w:sz w:val="14"/>
                <w:szCs w:val="1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74.4</w:t>
            </w:r>
          </w:p>
        </w:tc>
        <w:tc>
          <w:tcPr>
            <w:tcW w:w="26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697.9</w:t>
            </w: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20"/>
                <w:szCs w:val="20"/>
                <w:color w:val="auto"/>
              </w:rPr>
            </w:pPr>
            <w:r>
              <w:rPr>
                <w:rFonts w:ascii="Arial" w:cs="Arial" w:eastAsia="Arial" w:hAnsi="Arial"/>
                <w:sz w:val="14"/>
                <w:szCs w:val="14"/>
                <w:b w:val="1"/>
                <w:bCs w:val="1"/>
                <w:color w:val="auto"/>
              </w:rPr>
              <w:t>February 28, 2010</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637.1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359.3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82.9</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1,079.3</w:t>
            </w: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295.2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1,374.5</w:t>
            </w:r>
          </w:p>
        </w:tc>
        <w:tc>
          <w:tcPr>
            <w:tcW w:w="0" w:type="dxa"/>
            <w:vAlign w:val="bottom"/>
          </w:tcPr>
          <w:p>
            <w:pPr>
              <w:spacing w:after="0"/>
              <w:rPr>
                <w:sz w:val="1"/>
                <w:szCs w:val="1"/>
                <w:color w:val="auto"/>
              </w:rPr>
            </w:pPr>
          </w:p>
        </w:tc>
      </w:tr>
      <w:tr>
        <w:trPr>
          <w:trHeight w:val="144"/>
        </w:trPr>
        <w:tc>
          <w:tcPr>
            <w:tcW w:w="37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420" w:type="dxa"/>
            <w:vAlign w:val="bottom"/>
          </w:tcPr>
          <w:p>
            <w:pPr>
              <w:spacing w:after="0"/>
              <w:rPr>
                <w:sz w:val="12"/>
                <w:szCs w:val="12"/>
                <w:color w:val="auto"/>
              </w:rPr>
            </w:pPr>
          </w:p>
        </w:tc>
        <w:tc>
          <w:tcPr>
            <w:tcW w:w="10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8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0.1</w:t>
            </w:r>
          </w:p>
        </w:tc>
        <w:tc>
          <w:tcPr>
            <w:tcW w:w="360" w:type="dxa"/>
            <w:vAlign w:val="bottom"/>
          </w:tcPr>
          <w:p>
            <w:pPr>
              <w:spacing w:after="0"/>
              <w:rPr>
                <w:sz w:val="12"/>
                <w:szCs w:val="12"/>
                <w:color w:val="auto"/>
              </w:rPr>
            </w:pPr>
          </w:p>
        </w:tc>
        <w:tc>
          <w:tcPr>
            <w:tcW w:w="6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5.9</w:t>
            </w:r>
          </w:p>
        </w:tc>
        <w:tc>
          <w:tcPr>
            <w:tcW w:w="400" w:type="dxa"/>
            <w:vAlign w:val="bottom"/>
          </w:tcPr>
          <w:p>
            <w:pPr>
              <w:spacing w:after="0"/>
              <w:rPr>
                <w:sz w:val="12"/>
                <w:szCs w:val="12"/>
                <w:color w:val="auto"/>
              </w:rPr>
            </w:pPr>
          </w:p>
        </w:tc>
        <w:tc>
          <w:tcPr>
            <w:tcW w:w="6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3.5</w:t>
            </w:r>
          </w:p>
        </w:tc>
        <w:tc>
          <w:tcPr>
            <w:tcW w:w="26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6"/>
        </w:trPr>
        <w:tc>
          <w:tcPr>
            <w:tcW w:w="37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4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36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26.1</w:t>
            </w:r>
          </w:p>
        </w:tc>
        <w:tc>
          <w:tcPr>
            <w:tcW w:w="18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39.2</w:t>
            </w:r>
          </w:p>
        </w:tc>
        <w:tc>
          <w:tcPr>
            <w:tcW w:w="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80"/>
        </w:trPr>
        <w:tc>
          <w:tcPr>
            <w:tcW w:w="37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4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19.4</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6.4</w:t>
            </w:r>
          </w:p>
        </w:tc>
        <w:tc>
          <w:tcPr>
            <w:tcW w:w="36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34.5</w:t>
            </w:r>
          </w:p>
        </w:tc>
        <w:tc>
          <w:tcPr>
            <w:tcW w:w="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36.3</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36.3</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0.6</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15.5</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67.2</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45.5</w:t>
            </w:r>
          </w:p>
        </w:tc>
        <w:tc>
          <w:tcPr>
            <w:tcW w:w="2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w:t>
            </w:r>
          </w:p>
        </w:tc>
        <w:tc>
          <w:tcPr>
            <w:tcW w:w="3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(53.0)</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57.1</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February 28, 2010</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478.3</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285.6</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51.6</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577.9</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1,393.4</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253.1</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1,646.5</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Goodwill at February 28, 2010</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88.4</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148.6</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w w:val="95"/>
              </w:rPr>
              <w:t>Expenditures for long-lived assets including royalty advances</w:t>
            </w:r>
          </w:p>
        </w:tc>
        <w:tc>
          <w:tcPr>
            <w:tcW w:w="4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31.7</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20.4</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w:t>
            </w:r>
          </w:p>
        </w:tc>
        <w:tc>
          <w:tcPr>
            <w:tcW w:w="3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15.1</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71.8</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72"/>
        </w:trPr>
        <w:tc>
          <w:tcPr>
            <w:tcW w:w="3780" w:type="dxa"/>
            <w:vAlign w:val="bottom"/>
          </w:tcPr>
          <w:p>
            <w:pPr>
              <w:ind w:left="160"/>
              <w:spacing w:after="0"/>
              <w:rPr>
                <w:sz w:val="20"/>
                <w:szCs w:val="20"/>
                <w:color w:val="auto"/>
              </w:rPr>
            </w:pPr>
            <w:r>
              <w:rPr>
                <w:rFonts w:ascii="Arial" w:cs="Arial" w:eastAsia="Arial" w:hAnsi="Arial"/>
                <w:sz w:val="14"/>
                <w:szCs w:val="14"/>
                <w:color w:val="auto"/>
              </w:rPr>
              <w:t>Long-lived assets at February 28, 2010</w:t>
            </w:r>
          </w:p>
        </w:tc>
        <w:tc>
          <w:tcPr>
            <w:tcW w:w="4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177.9</w:t>
            </w:r>
          </w:p>
        </w:tc>
        <w:tc>
          <w:tcPr>
            <w:tcW w:w="18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166.0</w:t>
            </w:r>
          </w:p>
        </w:tc>
        <w:tc>
          <w:tcPr>
            <w:tcW w:w="20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23.9</w:t>
            </w:r>
          </w:p>
        </w:tc>
        <w:tc>
          <w:tcPr>
            <w:tcW w:w="36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225.0</w:t>
            </w:r>
          </w:p>
        </w:tc>
        <w:tc>
          <w:tcPr>
            <w:tcW w:w="18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592.8</w:t>
            </w:r>
          </w:p>
        </w:tc>
        <w:tc>
          <w:tcPr>
            <w:tcW w:w="400" w:type="dxa"/>
            <w:vAlign w:val="bottom"/>
          </w:tcPr>
          <w:p>
            <w:pPr>
              <w:spacing w:after="0"/>
              <w:rPr>
                <w:sz w:val="14"/>
                <w:szCs w:val="1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69.4</w:t>
            </w:r>
          </w:p>
        </w:tc>
        <w:tc>
          <w:tcPr>
            <w:tcW w:w="26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662.2</w:t>
            </w: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combination as of September 9, 2010.</w:t>
      </w:r>
    </w:p>
    <w:p>
      <w:pPr>
        <w:spacing w:after="0" w:line="157"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the Danbury facility.</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Carrying</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w w:val="87"/>
              </w:rPr>
              <w:t>Value</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Fair Value</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gridSpan w:val="3"/>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gridSpan w:val="3"/>
          </w:tcPr>
          <w:p>
            <w:pPr>
              <w:spacing w:after="0"/>
              <w:rPr>
                <w:sz w:val="9"/>
                <w:szCs w:val="9"/>
                <w:color w:val="auto"/>
              </w:rPr>
            </w:pPr>
          </w:p>
        </w:tc>
      </w:tr>
      <w:tr>
        <w:trPr>
          <w:trHeight w:val="31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ind w:right="332"/>
              <w:spacing w:after="0"/>
              <w:rPr>
                <w:sz w:val="20"/>
                <w:szCs w:val="20"/>
                <w:color w:val="auto"/>
              </w:rPr>
            </w:pPr>
            <w:r>
              <w:rPr>
                <w:rFonts w:ascii="Arial" w:cs="Arial" w:eastAsia="Arial" w:hAnsi="Arial"/>
                <w:sz w:val="18"/>
                <w:szCs w:val="18"/>
                <w:b w:val="1"/>
                <w:bCs w:val="1"/>
                <w:i w:val="1"/>
                <w:iCs w:val="1"/>
                <w:color w:val="auto"/>
                <w:w w:val="95"/>
              </w:rPr>
              <w:t>February 28, 2011</w:t>
            </w:r>
          </w:p>
        </w:tc>
        <w:tc>
          <w:tcPr>
            <w:tcW w:w="1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May 31, 2010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32"/>
              <w:spacing w:after="0"/>
              <w:rPr>
                <w:sz w:val="20"/>
                <w:szCs w:val="20"/>
                <w:color w:val="auto"/>
              </w:rPr>
            </w:pPr>
            <w:r>
              <w:rPr>
                <w:rFonts w:ascii="Arial" w:cs="Arial" w:eastAsia="Arial" w:hAnsi="Arial"/>
                <w:sz w:val="18"/>
                <w:szCs w:val="18"/>
                <w:b w:val="1"/>
                <w:bCs w:val="1"/>
                <w:i w:val="1"/>
                <w:iCs w:val="1"/>
                <w:color w:val="auto"/>
                <w:w w:val="88"/>
              </w:rPr>
              <w:t>February 28, 2010</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458"/>
        </w:trPr>
        <w:tc>
          <w:tcPr>
            <w:tcW w:w="5260" w:type="dxa"/>
            <w:vAlign w:val="bottom"/>
          </w:tcPr>
          <w:p>
            <w:pPr>
              <w:spacing w:after="0"/>
              <w:rPr>
                <w:sz w:val="20"/>
                <w:szCs w:val="20"/>
                <w:color w:val="auto"/>
              </w:rPr>
            </w:pPr>
            <w:r>
              <w:rPr>
                <w:rFonts w:ascii="Arial" w:cs="Arial" w:eastAsia="Arial" w:hAnsi="Arial"/>
                <w:sz w:val="18"/>
                <w:szCs w:val="18"/>
                <w:color w:val="auto"/>
                <w:w w:val="90"/>
              </w:rPr>
              <w:t>Lines of Credit (weighted average interest rates of 4.0%, 3.9% and 3.9%,</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respectively)</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38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Loan Agreement: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2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w w:val="99"/>
              </w:rPr>
              <w:t>Term Loan (interest rates of 1.1%, 1.1% and 1.0%, respectively)</w:t>
            </w:r>
          </w:p>
        </w:tc>
        <w:tc>
          <w:tcPr>
            <w:tcW w:w="2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60.9</w:t>
            </w:r>
          </w:p>
        </w:tc>
        <w:tc>
          <w:tcPr>
            <w:tcW w:w="4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5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103.7</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2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152.5</w:t>
            </w:r>
          </w:p>
        </w:tc>
        <w:tc>
          <w:tcPr>
            <w:tcW w:w="4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155.3</w:t>
            </w:r>
          </w:p>
        </w:tc>
        <w:tc>
          <w:tcPr>
            <w:tcW w:w="18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152.3</w:t>
            </w:r>
          </w:p>
        </w:tc>
        <w:tc>
          <w:tcPr>
            <w:tcW w:w="58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151.3</w:t>
            </w:r>
          </w:p>
        </w:tc>
        <w:tc>
          <w:tcPr>
            <w:tcW w:w="2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152.2</w:t>
            </w:r>
          </w:p>
        </w:tc>
        <w:tc>
          <w:tcPr>
            <w:tcW w:w="3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146.9</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16"/>
        </w:trPr>
        <w:tc>
          <w:tcPr>
            <w:tcW w:w="526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220.1</w:t>
            </w:r>
          </w:p>
        </w:tc>
        <w:tc>
          <w:tcPr>
            <w:tcW w:w="4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222.9</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252.8</w:t>
            </w:r>
          </w:p>
        </w:tc>
        <w:tc>
          <w:tcPr>
            <w:tcW w:w="5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251.8</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265.3</w:t>
            </w:r>
          </w:p>
        </w:tc>
        <w:tc>
          <w:tcPr>
            <w:tcW w:w="380" w:type="dxa"/>
            <w:vAlign w:val="bottom"/>
          </w:tcPr>
          <w:p>
            <w:pPr>
              <w:jc w:val="center"/>
              <w:ind w:right="3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260.0</w:t>
            </w:r>
          </w:p>
        </w:tc>
      </w:tr>
      <w:tr>
        <w:trPr>
          <w:trHeight w:val="358"/>
        </w:trPr>
        <w:tc>
          <w:tcPr>
            <w:tcW w:w="5260" w:type="dxa"/>
            <w:vAlign w:val="bottom"/>
          </w:tcPr>
          <w:p>
            <w:pPr>
              <w:spacing w:after="0"/>
              <w:rPr>
                <w:sz w:val="20"/>
                <w:szCs w:val="20"/>
                <w:color w:val="auto"/>
              </w:rPr>
            </w:pPr>
            <w:r>
              <w:rPr>
                <w:rFonts w:ascii="Arial" w:cs="Arial" w:eastAsia="Arial" w:hAnsi="Arial"/>
                <w:sz w:val="18"/>
                <w:szCs w:val="18"/>
                <w:color w:val="auto"/>
                <w:w w:val="97"/>
              </w:rPr>
              <w:t>Less lines of credit, short-term debt and current portion of long-term</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(50.3)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464"/>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170.6</w:t>
            </w:r>
          </w:p>
        </w:tc>
        <w:tc>
          <w:tcPr>
            <w:tcW w:w="4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173.4</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202.5</w:t>
            </w:r>
          </w:p>
        </w:tc>
        <w:tc>
          <w:tcPr>
            <w:tcW w:w="5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201.5</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213.1</w:t>
            </w:r>
          </w:p>
        </w:tc>
        <w:tc>
          <w:tcPr>
            <w:tcW w:w="380" w:type="dxa"/>
            <w:vAlign w:val="bottom"/>
          </w:tcPr>
          <w:p>
            <w:pPr>
              <w:jc w:val="center"/>
              <w:ind w:right="3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207.8</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stable credit rating. Fair values of the 5%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February 28, 2011, for the remainder of fiscal 2011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154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Three-month period ending May 31:</w:t>
            </w:r>
          </w:p>
        </w:tc>
        <w:tc>
          <w:tcPr>
            <w:tcW w:w="2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2011</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17.4</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2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2012</w:t>
            </w:r>
          </w:p>
        </w:tc>
        <w:tc>
          <w:tcPr>
            <w:tcW w:w="25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42.8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2013</w:t>
            </w:r>
          </w:p>
        </w:tc>
        <w:tc>
          <w:tcPr>
            <w:tcW w:w="25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159.9</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2014</w:t>
            </w:r>
          </w:p>
        </w:tc>
        <w:tc>
          <w:tcPr>
            <w:tcW w:w="25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2015</w:t>
            </w:r>
          </w:p>
        </w:tc>
        <w:tc>
          <w:tcPr>
            <w:tcW w:w="25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252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8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220.1</w:t>
            </w:r>
          </w:p>
        </w:tc>
      </w:tr>
      <w:tr>
        <w:trPr>
          <w:trHeight w:val="110"/>
        </w:trPr>
        <w:tc>
          <w:tcPr>
            <w:tcW w:w="48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February 28, 2011, the Company’s domestic credit lines available under unsecured money market bid rate credit lines totaled $20.0. There were no outstanding borrowings under these credit lines at February 28, 2011, May 31, 2010 and February 28, 2010.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February 28, 2011, the Company had various local currency credit lines, with maximum available borrowings in amounts equivalent to $30.1, underwritten by banks primarily in the United States, Canada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w:t>
      </w:r>
    </w:p>
    <w:p>
      <w:pPr>
        <w:sectPr>
          <w:pgSz w:w="11900" w:h="16838" w:orient="portrait"/>
          <w:cols w:equalWidth="0" w:num="1">
            <w:col w:w="11440"/>
          </w:cols>
          <w:pgMar w:left="240" w:top="382" w:right="21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having been due on December 31, 2007, and a final payment of $7.4 due on June 1, 2012.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February 28, 2011, there were no borrowings outstanding under the Revolving Loan.</w:t>
      </w:r>
    </w:p>
    <w:p>
      <w:pPr>
        <w:spacing w:after="0" w:line="19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of February 28, 2011, the applicable margin on the Term Loan was 0.750% and the applicable margin on the Revolving Loan was 0.600%. The Loan Agreement also provides for the payment of a facility fee ranging from 0.125% to 0.250% per annum on the Revolving Loan only, which at February 28, 2011, was 0.150%. As of February 28, 2011, $60.9 was outstanding under the Term Loan at an interest rate of 1.06%.</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February 28, 2011, standby letters of credit outstanding under the Loan Agreement totaled $1.4. The Loan Agreement contains certain covenants, including interest coverage and leverage ratio tests and certain limitations on the amount of dividends and other distributions, and at February 28, 2011,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repurchased $5.0 of the 5% Notes on the open market in fiscal 2010. The Company did not make any additional purchases during the nine-month period ended February 28, 2011.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(Loss)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(loss) income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gridSpan w:val="8"/>
          </w:tcPr>
          <w:p>
            <w:pPr>
              <w:jc w:val="right"/>
              <w:ind w:right="280"/>
              <w:spacing w:after="0"/>
              <w:rPr>
                <w:sz w:val="20"/>
                <w:szCs w:val="20"/>
                <w:color w:val="auto"/>
              </w:rPr>
            </w:pPr>
            <w:r>
              <w:rPr>
                <w:rFonts w:ascii="Arial" w:cs="Arial" w:eastAsia="Arial" w:hAnsi="Arial"/>
                <w:sz w:val="18"/>
                <w:szCs w:val="18"/>
                <w:b w:val="1"/>
                <w:bCs w:val="1"/>
                <w:i w:val="1"/>
                <w:iCs w:val="1"/>
                <w:color w:val="auto"/>
                <w:w w:val="87"/>
              </w:rPr>
              <w:t>Three months ended February 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w w:val="93"/>
              </w:rPr>
              <w:t>Nine months ended February 28,</w:t>
            </w:r>
          </w:p>
        </w:tc>
        <w:tc>
          <w:tcPr>
            <w:tcW w:w="20" w:type="dxa"/>
            <w:vAlign w:val="bottom"/>
          </w:tcPr>
          <w:p>
            <w:pPr>
              <w:spacing w:after="0"/>
              <w:rPr>
                <w:sz w:val="19"/>
                <w:szCs w:val="19"/>
                <w:color w:val="auto"/>
              </w:rPr>
            </w:pPr>
          </w:p>
        </w:tc>
      </w:tr>
      <w:tr>
        <w:trPr>
          <w:trHeight w:val="110"/>
        </w:trPr>
        <w:tc>
          <w:tcPr>
            <w:tcW w:w="4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480" w:type="dxa"/>
            <w:vAlign w:val="bottom"/>
          </w:tcPr>
          <w:p>
            <w:pPr>
              <w:spacing w:after="0"/>
              <w:rPr>
                <w:sz w:val="24"/>
                <w:szCs w:val="24"/>
                <w:color w:val="auto"/>
              </w:rPr>
            </w:pPr>
          </w:p>
        </w:tc>
        <w:tc>
          <w:tcPr>
            <w:tcW w:w="20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480" w:type="dxa"/>
            <w:vAlign w:val="bottom"/>
          </w:tcPr>
          <w:p>
            <w:pPr>
              <w:spacing w:after="0"/>
              <w:rPr>
                <w:sz w:val="20"/>
                <w:szCs w:val="20"/>
                <w:color w:val="auto"/>
              </w:rPr>
            </w:pPr>
            <w:r>
              <w:rPr>
                <w:rFonts w:ascii="Arial" w:cs="Arial" w:eastAsia="Arial" w:hAnsi="Arial"/>
                <w:sz w:val="18"/>
                <w:szCs w:val="18"/>
                <w:color w:val="auto"/>
              </w:rPr>
              <w:t>Net (loss) earnings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(25.1)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480" w:type="dxa"/>
            <w:vAlign w:val="bottom"/>
          </w:tcPr>
          <w:p>
            <w:pPr>
              <w:spacing w:after="0"/>
              <w:rPr>
                <w:sz w:val="20"/>
                <w:szCs w:val="20"/>
                <w:color w:val="auto"/>
              </w:rPr>
            </w:pPr>
            <w:r>
              <w:rPr>
                <w:rFonts w:ascii="Arial" w:cs="Arial" w:eastAsia="Arial" w:hAnsi="Arial"/>
                <w:sz w:val="18"/>
                <w:szCs w:val="18"/>
                <w:color w:val="auto"/>
              </w:rPr>
              <w:t>Other comprehensive income (loss), net:</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480" w:type="dxa"/>
            <w:vAlign w:val="bottom"/>
          </w:tcPr>
          <w:p>
            <w:pPr>
              <w:ind w:left="160"/>
              <w:spacing w:after="0"/>
              <w:rPr>
                <w:sz w:val="20"/>
                <w:szCs w:val="20"/>
                <w:color w:val="auto"/>
              </w:rPr>
            </w:pPr>
            <w:r>
              <w:rPr>
                <w:rFonts w:ascii="Arial" w:cs="Arial" w:eastAsia="Arial" w:hAnsi="Arial"/>
                <w:sz w:val="18"/>
                <w:szCs w:val="18"/>
                <w:color w:val="auto"/>
              </w:rPr>
              <w:t>Pension and post-retirement adjustments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480" w:type="dxa"/>
            <w:vAlign w:val="bottom"/>
          </w:tcPr>
          <w:p>
            <w:pPr>
              <w:spacing w:after="0"/>
              <w:rPr>
                <w:sz w:val="20"/>
                <w:szCs w:val="20"/>
                <w:color w:val="auto"/>
              </w:rPr>
            </w:pPr>
            <w:r>
              <w:rPr>
                <w:rFonts w:ascii="Arial" w:cs="Arial" w:eastAsia="Arial" w:hAnsi="Arial"/>
                <w:sz w:val="18"/>
                <w:szCs w:val="18"/>
                <w:color w:val="auto"/>
              </w:rPr>
              <w:t>Total other comprehensive income (loss), net:</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4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480" w:type="dxa"/>
            <w:vAlign w:val="bottom"/>
          </w:tcPr>
          <w:p>
            <w:pPr>
              <w:ind w:left="160"/>
              <w:spacing w:after="0"/>
              <w:rPr>
                <w:sz w:val="20"/>
                <w:szCs w:val="20"/>
                <w:color w:val="auto"/>
              </w:rPr>
            </w:pPr>
            <w:r>
              <w:rPr>
                <w:rFonts w:ascii="Arial" w:cs="Arial" w:eastAsia="Arial" w:hAnsi="Arial"/>
                <w:sz w:val="18"/>
                <w:szCs w:val="18"/>
                <w:color w:val="auto"/>
              </w:rPr>
              <w:t>Total comprehensive (loss)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(20.1)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44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portion of the Company’s restricted stock units (“RSUs”) granted to employees participate in earnings through cumulative non-forfeitable dividends payable to the employees upon vesting of the RSUs. For periods in which the Company has net income, basic earnings per Common and Class A shares outstanding (the “Issued Shares”) is calculated as the lesser of:</w:t>
      </w:r>
    </w:p>
    <w:p>
      <w:pPr>
        <w:spacing w:after="0" w:line="208"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earnings divided by the weighted average shares outstanding of the Issued Shares during the period (the “Treasury Stock Method”); or</w:t>
      </w:r>
    </w:p>
    <w:p>
      <w:pPr>
        <w:spacing w:after="0" w:line="180" w:lineRule="exact"/>
        <w:rPr>
          <w:rFonts w:ascii="Arial" w:cs="Arial" w:eastAsia="Arial" w:hAnsi="Arial"/>
          <w:sz w:val="16"/>
          <w:szCs w:val="16"/>
          <w:color w:val="auto"/>
        </w:rPr>
      </w:pPr>
    </w:p>
    <w:p>
      <w:pPr>
        <w:ind w:left="920" w:right="300" w:hanging="453"/>
        <w:spacing w:after="0" w:line="2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earnings distributed in the period to the Issued Shares and undistributed earnings available to the Issued Shares (excluding earnings attributable to the participating RSUs) divided by the weighted average shares outstanding of the Issued Shares during the period (the “Two Class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periods in which the Company has net income is calculated as the lesser of:</w:t>
      </w:r>
    </w:p>
    <w:p>
      <w:pPr>
        <w:spacing w:after="0" w:line="158"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Treasury Stock Method incorporating the effect of dilutive shares; or</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Two Class Method incorporating the effect of dilutive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 period in which the Company reports a discontinued operation, Earnings (loss) from continuing operations is used as the “control number” in determining whether potentially dilutive common shares are dilutive or anti-dilutive. The Company calculates per share figures prior to rounding in millions.</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three and nine month periods ended February 28,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3"/>
          </w:tcPr>
          <w:p>
            <w:pPr>
              <w:jc w:val="right"/>
              <w:ind w:right="332"/>
              <w:spacing w:after="0"/>
              <w:rPr>
                <w:sz w:val="20"/>
                <w:szCs w:val="20"/>
                <w:color w:val="auto"/>
              </w:rPr>
            </w:pPr>
            <w:r>
              <w:rPr>
                <w:rFonts w:ascii="Arial" w:cs="Arial" w:eastAsia="Arial" w:hAnsi="Arial"/>
                <w:sz w:val="18"/>
                <w:szCs w:val="18"/>
                <w:b w:val="1"/>
                <w:bCs w:val="1"/>
                <w:i w:val="1"/>
                <w:iCs w:val="1"/>
                <w:color w:val="auto"/>
                <w:w w:val="88"/>
              </w:rPr>
              <w:t>Three months ended</w:t>
            </w:r>
          </w:p>
        </w:tc>
        <w:tc>
          <w:tcPr>
            <w:tcW w:w="300" w:type="dxa"/>
            <w:vAlign w:val="bottom"/>
          </w:tcPr>
          <w:p>
            <w:pPr>
              <w:spacing w:after="0"/>
              <w:rPr>
                <w:sz w:val="18"/>
                <w:szCs w:val="18"/>
                <w:color w:val="auto"/>
              </w:rPr>
            </w:pPr>
          </w:p>
        </w:tc>
        <w:tc>
          <w:tcPr>
            <w:tcW w:w="2040" w:type="dxa"/>
            <w:vAlign w:val="bottom"/>
            <w:gridSpan w:val="3"/>
          </w:tcPr>
          <w:p>
            <w:pPr>
              <w:jc w:val="right"/>
              <w:ind w:right="412"/>
              <w:spacing w:after="0"/>
              <w:rPr>
                <w:sz w:val="20"/>
                <w:szCs w:val="20"/>
                <w:color w:val="auto"/>
              </w:rPr>
            </w:pPr>
            <w:r>
              <w:rPr>
                <w:rFonts w:ascii="Arial" w:cs="Arial" w:eastAsia="Arial" w:hAnsi="Arial"/>
                <w:sz w:val="18"/>
                <w:szCs w:val="18"/>
                <w:b w:val="1"/>
                <w:bCs w:val="1"/>
                <w:i w:val="1"/>
                <w:iCs w:val="1"/>
                <w:color w:val="auto"/>
                <w:w w:val="90"/>
              </w:rPr>
              <w:t>Nine months ended</w:t>
            </w:r>
          </w:p>
        </w:tc>
        <w:tc>
          <w:tcPr>
            <w:tcW w:w="0" w:type="dxa"/>
            <w:vAlign w:val="bottom"/>
          </w:tcPr>
          <w:p>
            <w:pPr>
              <w:spacing w:after="0"/>
              <w:rPr>
                <w:sz w:val="1"/>
                <w:szCs w:val="1"/>
                <w:color w:val="auto"/>
              </w:rPr>
            </w:pPr>
          </w:p>
        </w:tc>
      </w:tr>
      <w:tr>
        <w:trPr>
          <w:trHeight w:val="222"/>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2"/>
              <w:spacing w:after="0"/>
              <w:rPr>
                <w:sz w:val="20"/>
                <w:szCs w:val="20"/>
                <w:color w:val="auto"/>
              </w:rPr>
            </w:pPr>
            <w:r>
              <w:rPr>
                <w:rFonts w:ascii="Arial" w:cs="Arial" w:eastAsia="Arial" w:hAnsi="Arial"/>
                <w:sz w:val="18"/>
                <w:szCs w:val="18"/>
                <w:b w:val="1"/>
                <w:bCs w:val="1"/>
                <w:i w:val="1"/>
                <w:iCs w:val="1"/>
                <w:color w:val="auto"/>
              </w:rPr>
              <w:t>February 28,</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2"/>
              <w:spacing w:after="0"/>
              <w:rPr>
                <w:sz w:val="20"/>
                <w:szCs w:val="20"/>
                <w:color w:val="auto"/>
              </w:rPr>
            </w:pPr>
            <w:r>
              <w:rPr>
                <w:rFonts w:ascii="Arial" w:cs="Arial" w:eastAsia="Arial" w:hAnsi="Arial"/>
                <w:sz w:val="18"/>
                <w:szCs w:val="18"/>
                <w:b w:val="1"/>
                <w:bCs w:val="1"/>
                <w:i w:val="1"/>
                <w:iCs w:val="1"/>
                <w:color w:val="auto"/>
              </w:rPr>
              <w:t>February 28,</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7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i w:val="1"/>
                <w:iCs w:val="1"/>
                <w:color w:val="auto"/>
              </w:rPr>
              <w:t>2011</w:t>
            </w:r>
          </w:p>
        </w:tc>
        <w:tc>
          <w:tcPr>
            <w:tcW w:w="60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i w:val="1"/>
                <w:iCs w:val="1"/>
                <w:color w:val="auto"/>
              </w:rPr>
              <w:t>2010</w:t>
            </w:r>
          </w:p>
        </w:tc>
        <w:tc>
          <w:tcPr>
            <w:tcW w:w="3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2011</w:t>
            </w:r>
          </w:p>
        </w:tc>
        <w:tc>
          <w:tcPr>
            <w:tcW w:w="50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2010</w:t>
            </w:r>
          </w:p>
        </w:tc>
        <w:tc>
          <w:tcPr>
            <w:tcW w:w="0" w:type="dxa"/>
            <w:vAlign w:val="bottom"/>
          </w:tcPr>
          <w:p>
            <w:pPr>
              <w:spacing w:after="0"/>
              <w:rPr>
                <w:sz w:val="1"/>
                <w:szCs w:val="1"/>
                <w:color w:val="auto"/>
              </w:rPr>
            </w:pPr>
          </w:p>
        </w:tc>
      </w:tr>
      <w:tr>
        <w:trPr>
          <w:trHeight w:val="110"/>
        </w:trPr>
        <w:tc>
          <w:tcPr>
            <w:tcW w:w="67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(25.3)</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17.4</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27.9</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3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(loss) earnings</w:t>
            </w:r>
          </w:p>
        </w:tc>
        <w:tc>
          <w:tcPr>
            <w:tcW w:w="34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6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14.6</w:t>
            </w:r>
          </w:p>
        </w:tc>
        <w:tc>
          <w:tcPr>
            <w:tcW w:w="50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w w:val="89"/>
              </w:rPr>
              <w:t>Weighted average Shares of Class A Stock and Common Stock outstanding for basic earnings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per share (in millions)</w:t>
            </w:r>
          </w:p>
        </w:tc>
        <w:tc>
          <w:tcPr>
            <w:tcW w:w="34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30.9</w:t>
            </w:r>
          </w:p>
        </w:tc>
        <w:tc>
          <w:tcPr>
            <w:tcW w:w="6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33.8</w:t>
            </w:r>
          </w:p>
        </w:tc>
        <w:tc>
          <w:tcPr>
            <w:tcW w:w="50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358"/>
        </w:trPr>
        <w:tc>
          <w:tcPr>
            <w:tcW w:w="6760" w:type="dxa"/>
            <w:vAlign w:val="bottom"/>
          </w:tcPr>
          <w:p>
            <w:pPr>
              <w:spacing w:after="0"/>
              <w:rPr>
                <w:sz w:val="20"/>
                <w:szCs w:val="20"/>
                <w:color w:val="auto"/>
              </w:rPr>
            </w:pPr>
            <w:r>
              <w:rPr>
                <w:rFonts w:ascii="Arial" w:cs="Arial" w:eastAsia="Arial" w:hAnsi="Arial"/>
                <w:sz w:val="18"/>
                <w:szCs w:val="18"/>
                <w:color w:val="auto"/>
                <w:w w:val="94"/>
              </w:rPr>
              <w:t>Dilutive effect of Class A Stock and Common Stock potentially issuable pursuant to stock-</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based compensation plans (in millions)</w:t>
            </w:r>
          </w:p>
        </w:tc>
        <w:tc>
          <w:tcPr>
            <w:tcW w:w="34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58"/>
        </w:trPr>
        <w:tc>
          <w:tcPr>
            <w:tcW w:w="6760" w:type="dxa"/>
            <w:vAlign w:val="bottom"/>
          </w:tcPr>
          <w:p>
            <w:pPr>
              <w:spacing w:after="0"/>
              <w:rPr>
                <w:sz w:val="20"/>
                <w:szCs w:val="20"/>
                <w:color w:val="auto"/>
              </w:rPr>
            </w:pPr>
            <w:r>
              <w:rPr>
                <w:rFonts w:ascii="Arial" w:cs="Arial" w:eastAsia="Arial" w:hAnsi="Arial"/>
                <w:sz w:val="18"/>
                <w:szCs w:val="18"/>
                <w:color w:val="auto"/>
                <w:w w:val="95"/>
              </w:rPr>
              <w:t>Adjusted weighted average Shares of Class A Stock and Common Stock outstanding for</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diluted earnings per share (in millions)</w:t>
            </w:r>
          </w:p>
        </w:tc>
        <w:tc>
          <w:tcPr>
            <w:tcW w:w="34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30.9</w:t>
            </w:r>
          </w:p>
        </w:tc>
        <w:tc>
          <w:tcPr>
            <w:tcW w:w="6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352"/>
        </w:trPr>
        <w:tc>
          <w:tcPr>
            <w:tcW w:w="6760" w:type="dxa"/>
            <w:vAlign w:val="bottom"/>
          </w:tcPr>
          <w:p>
            <w:pPr>
              <w:spacing w:after="0"/>
              <w:rPr>
                <w:sz w:val="20"/>
                <w:szCs w:val="20"/>
                <w:color w:val="auto"/>
              </w:rPr>
            </w:pPr>
            <w:r>
              <w:rPr>
                <w:rFonts w:ascii="Arial" w:cs="Arial" w:eastAsia="Arial" w:hAnsi="Arial"/>
                <w:sz w:val="18"/>
                <w:szCs w:val="18"/>
                <w:b w:val="1"/>
                <w:bCs w:val="1"/>
                <w:color w:val="auto"/>
              </w:rPr>
              <w:t>(Loss) earnings per share of Class A Stock and Common Stock:</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Basic (loss) earnings per share:</w:t>
            </w:r>
          </w:p>
        </w:tc>
        <w:tc>
          <w:tcPr>
            <w:tcW w:w="3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(0.81)</w:t>
            </w:r>
          </w:p>
        </w:tc>
        <w:tc>
          <w:tcPr>
            <w:tcW w:w="60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(0.12)</w:t>
            </w:r>
          </w:p>
        </w:tc>
        <w:tc>
          <w:tcPr>
            <w:tcW w:w="3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0.51</w:t>
            </w:r>
          </w:p>
        </w:tc>
        <w:tc>
          <w:tcPr>
            <w:tcW w:w="5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0.76</w:t>
            </w:r>
          </w:p>
        </w:tc>
        <w:tc>
          <w:tcPr>
            <w:tcW w:w="0" w:type="dxa"/>
            <w:vAlign w:val="bottom"/>
          </w:tcPr>
          <w:p>
            <w:pPr>
              <w:spacing w:after="0"/>
              <w:rPr>
                <w:sz w:val="1"/>
                <w:szCs w:val="1"/>
                <w:color w:val="auto"/>
              </w:rPr>
            </w:pPr>
          </w:p>
        </w:tc>
      </w:tr>
      <w:tr>
        <w:trPr>
          <w:trHeight w:val="210"/>
        </w:trPr>
        <w:tc>
          <w:tcPr>
            <w:tcW w:w="676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3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Earnings (loss) from discontinued operations, net of tax</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(0.03)</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28"/>
        </w:trPr>
        <w:tc>
          <w:tcPr>
            <w:tcW w:w="6760" w:type="dxa"/>
            <w:vAlign w:val="bottom"/>
          </w:tcPr>
          <w:p>
            <w:pPr>
              <w:ind w:left="320"/>
              <w:spacing w:after="0"/>
              <w:rPr>
                <w:sz w:val="20"/>
                <w:szCs w:val="20"/>
                <w:color w:val="auto"/>
              </w:rPr>
            </w:pPr>
            <w:r>
              <w:rPr>
                <w:rFonts w:ascii="Arial" w:cs="Arial" w:eastAsia="Arial" w:hAnsi="Arial"/>
                <w:sz w:val="18"/>
                <w:szCs w:val="18"/>
                <w:color w:val="auto"/>
              </w:rPr>
              <w:t>Net (loss) earnings</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(0.81)</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(0.15)</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0.43</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0.74</w:t>
            </w:r>
          </w:p>
        </w:tc>
        <w:tc>
          <w:tcPr>
            <w:tcW w:w="0" w:type="dxa"/>
            <w:vAlign w:val="bottom"/>
          </w:tcPr>
          <w:p>
            <w:pPr>
              <w:spacing w:after="0"/>
              <w:rPr>
                <w:sz w:val="1"/>
                <w:szCs w:val="1"/>
                <w:color w:val="auto"/>
              </w:rPr>
            </w:pPr>
          </w:p>
        </w:tc>
      </w:tr>
      <w:tr>
        <w:trPr>
          <w:trHeight w:val="358"/>
        </w:trPr>
        <w:tc>
          <w:tcPr>
            <w:tcW w:w="676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3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(0.81)</w:t>
            </w:r>
          </w:p>
        </w:tc>
        <w:tc>
          <w:tcPr>
            <w:tcW w:w="60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(0.12)</w:t>
            </w:r>
          </w:p>
        </w:tc>
        <w:tc>
          <w:tcPr>
            <w:tcW w:w="3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0.50</w:t>
            </w:r>
          </w:p>
        </w:tc>
        <w:tc>
          <w:tcPr>
            <w:tcW w:w="5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0.75</w:t>
            </w:r>
          </w:p>
        </w:tc>
        <w:tc>
          <w:tcPr>
            <w:tcW w:w="0" w:type="dxa"/>
            <w:vAlign w:val="bottom"/>
          </w:tcPr>
          <w:p>
            <w:pPr>
              <w:spacing w:after="0"/>
              <w:rPr>
                <w:sz w:val="1"/>
                <w:szCs w:val="1"/>
                <w:color w:val="auto"/>
              </w:rPr>
            </w:pPr>
          </w:p>
        </w:tc>
      </w:tr>
      <w:tr>
        <w:trPr>
          <w:trHeight w:val="210"/>
        </w:trPr>
        <w:tc>
          <w:tcPr>
            <w:tcW w:w="676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3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Earnings (loss) from discontinued operations, net of tax</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(0.03)</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28"/>
        </w:trPr>
        <w:tc>
          <w:tcPr>
            <w:tcW w:w="6760" w:type="dxa"/>
            <w:vAlign w:val="bottom"/>
          </w:tcPr>
          <w:p>
            <w:pPr>
              <w:ind w:left="320"/>
              <w:spacing w:after="0"/>
              <w:rPr>
                <w:sz w:val="20"/>
                <w:szCs w:val="20"/>
                <w:color w:val="auto"/>
              </w:rPr>
            </w:pPr>
            <w:r>
              <w:rPr>
                <w:rFonts w:ascii="Arial" w:cs="Arial" w:eastAsia="Arial" w:hAnsi="Arial"/>
                <w:sz w:val="18"/>
                <w:szCs w:val="18"/>
                <w:color w:val="auto"/>
              </w:rPr>
              <w:t>Net (loss) earnings</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(0.81)</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(0.15)</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0.42</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0.73</w:t>
            </w:r>
          </w:p>
        </w:tc>
        <w:tc>
          <w:tcPr>
            <w:tcW w:w="0" w:type="dxa"/>
            <w:vAlign w:val="bottom"/>
          </w:tcPr>
          <w:p>
            <w:pPr>
              <w:spacing w:after="0"/>
              <w:rPr>
                <w:sz w:val="1"/>
                <w:szCs w:val="1"/>
                <w:color w:val="auto"/>
              </w:rPr>
            </w:pPr>
          </w:p>
        </w:tc>
      </w:tr>
      <w:tr>
        <w:trPr>
          <w:trHeight w:val="110"/>
        </w:trPr>
        <w:tc>
          <w:tcPr>
            <w:tcW w:w="67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60" w:firstLine="8"/>
        <w:spacing w:after="0" w:line="268" w:lineRule="auto"/>
        <w:tabs>
          <w:tab w:leader="none" w:pos="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three months ended February 28, 2011 and 2010, the Company experienced a loss from continuing operations and therefore did not reflect any dilutive share impact.</w:t>
      </w:r>
    </w:p>
    <w:p>
      <w:pPr>
        <w:spacing w:after="0" w:line="18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Earnings from continuing operations exclude earnings of less than $0.1 for the nine months ended February 28, 2011, in respect of earnings attributable to participating RSUs.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Potentially dilutive options outstanding pursuant to compensation plans that were not included in the diluted earnings per share calculation because they were anti-dilutive were 5.4 million and 5.6 million for the three-month periods ended February 28, 2011 and 2010, respectively, and 4.4 million and 5.3 million for the nine-month periods ended February 28, 2011 and 2010, respectively.</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Had the Company reported net income for the three-month period ended February 28, 2011 and 2010, the dilutive effect for the periods ended February 28, 2011 and 2010 would have been 0.7 million and 0.5 million, respectively.</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nine months ended February 28, 2011, the Company repurchased 388,426 common shares on the open market for approximately $9.7 pursuant to a share buy-back program authorized by the Board of Directors.</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addition, on November 3, 2010, the Company completed a modified Dutch auction tender offer. The Company accepted for purchase 5,199,699 of its common shares at a price of $30.00 per share for a total cost of $156.0, excluding related fees and expenses. The common shares purchased pursuant to the tender offer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28, 2011, $44.5 remains available for future purchases of common shares under the current repurchase authorization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13, “Treasury Stock,” for a more complete description of the Company’s share buy-back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18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Nine months ended</w:t>
            </w: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92"/>
              </w:rPr>
              <w:t>Twelve months ended</w:t>
            </w:r>
          </w:p>
        </w:tc>
        <w:tc>
          <w:tcPr>
            <w:tcW w:w="17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3"/>
              </w:rPr>
              <w:t>Nine months ended</w:t>
            </w:r>
          </w:p>
        </w:tc>
      </w:tr>
      <w:tr>
        <w:trPr>
          <w:trHeight w:val="222"/>
        </w:trPr>
        <w:tc>
          <w:tcPr>
            <w:tcW w:w="4600" w:type="dxa"/>
            <w:vAlign w:val="bottom"/>
          </w:tcPr>
          <w:p>
            <w:pPr>
              <w:spacing w:after="0"/>
              <w:rPr>
                <w:sz w:val="19"/>
                <w:szCs w:val="19"/>
                <w:color w:val="auto"/>
              </w:rPr>
            </w:pPr>
          </w:p>
        </w:tc>
        <w:tc>
          <w:tcPr>
            <w:tcW w:w="318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February 28, 2011</w:t>
            </w:r>
          </w:p>
        </w:tc>
        <w:tc>
          <w:tcPr>
            <w:tcW w:w="340" w:type="dxa"/>
            <w:vAlign w:val="bottom"/>
          </w:tcPr>
          <w:p>
            <w:pPr>
              <w:spacing w:after="0"/>
              <w:rPr>
                <w:sz w:val="19"/>
                <w:szCs w:val="19"/>
                <w:color w:val="auto"/>
              </w:rPr>
            </w:pPr>
          </w:p>
        </w:tc>
        <w:tc>
          <w:tcPr>
            <w:tcW w:w="158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w w:val="96"/>
              </w:rPr>
              <w:t>May 31, 2010</w:t>
            </w:r>
          </w:p>
        </w:tc>
        <w:tc>
          <w:tcPr>
            <w:tcW w:w="1740" w:type="dxa"/>
            <w:vAlign w:val="bottom"/>
            <w:gridSpan w:val="2"/>
          </w:tcPr>
          <w:p>
            <w:pPr>
              <w:jc w:val="right"/>
              <w:ind w:right="112"/>
              <w:spacing w:after="0"/>
              <w:rPr>
                <w:sz w:val="20"/>
                <w:szCs w:val="20"/>
                <w:color w:val="auto"/>
              </w:rPr>
            </w:pPr>
            <w:r>
              <w:rPr>
                <w:rFonts w:ascii="Arial" w:cs="Arial" w:eastAsia="Arial" w:hAnsi="Arial"/>
                <w:sz w:val="18"/>
                <w:szCs w:val="18"/>
                <w:b w:val="1"/>
                <w:bCs w:val="1"/>
                <w:i w:val="1"/>
                <w:iCs w:val="1"/>
                <w:color w:val="auto"/>
                <w:w w:val="99"/>
              </w:rPr>
              <w:t>February 28, 2010</w:t>
            </w:r>
          </w:p>
        </w:tc>
      </w:tr>
      <w:tr>
        <w:trPr>
          <w:trHeight w:val="110"/>
        </w:trPr>
        <w:tc>
          <w:tcPr>
            <w:tcW w:w="46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460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2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174.0</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174.0</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174.0</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Accumulated impairment beginning balance</w:t>
            </w:r>
          </w:p>
        </w:tc>
        <w:tc>
          <w:tcPr>
            <w:tcW w:w="206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(17.0)</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110"/>
        </w:trPr>
        <w:tc>
          <w:tcPr>
            <w:tcW w:w="46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4600" w:type="dxa"/>
            <w:vAlign w:val="bottom"/>
          </w:tcPr>
          <w:p>
            <w:pPr>
              <w:spacing w:after="0"/>
              <w:rPr>
                <w:sz w:val="20"/>
                <w:szCs w:val="20"/>
                <w:color w:val="auto"/>
              </w:rPr>
            </w:pPr>
            <w:r>
              <w:rPr>
                <w:rFonts w:ascii="Arial" w:cs="Arial" w:eastAsia="Arial" w:hAnsi="Arial"/>
                <w:sz w:val="18"/>
                <w:szCs w:val="18"/>
                <w:color w:val="auto"/>
              </w:rPr>
              <w:t>Beginning balance</w:t>
            </w:r>
          </w:p>
        </w:tc>
        <w:tc>
          <w:tcPr>
            <w:tcW w:w="2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156.6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157.0</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157.0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20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Impairment charge</w:t>
            </w:r>
          </w:p>
        </w:tc>
        <w:tc>
          <w:tcPr>
            <w:tcW w:w="20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46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06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b w:val="1"/>
                <w:bCs w:val="1"/>
                <w:color w:val="auto"/>
              </w:rPr>
              <w:t>158.3</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b w:val="1"/>
                <w:bCs w:val="1"/>
                <w:color w:val="auto"/>
              </w:rPr>
              <w:t>156.6</w:t>
            </w:r>
          </w:p>
        </w:tc>
        <w:tc>
          <w:tcPr>
            <w:tcW w:w="72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157.0</w:t>
            </w:r>
          </w:p>
        </w:tc>
      </w:tr>
      <w:tr>
        <w:trPr>
          <w:trHeight w:val="110"/>
        </w:trPr>
        <w:tc>
          <w:tcPr>
            <w:tcW w:w="46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9, 2010, the Company purchased the assets of Math Solutions, an education resources and professional development company focusing on K-12 math instruction, for $8.0, net of cash acquired. The Company has integrated this business with its existing educational technology businesses. The Company utilized Level 3 fair value measurement inputs, using its own assumptions including internally developed discounted cash flow forecasts, to determine the fair value of the assets acquired and the amount of goodwill to be allocated to the Math Solutions business. As a result, the Company recognized $1.5 of goodwill and $5.6 of amortizable intangible assets. In the second quarter of fiscal 2011, the Company also recognized $0.2 of goodwill associated with a previously acquired international entity.</w:t>
      </w:r>
    </w:p>
    <w:p>
      <w:pPr>
        <w:spacing w:after="0" w:line="19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of May 31, 2010, the Company determined that the carrying value of its direct-to-home catalog business specializing in toys exceeded the fair value of this reporting unit. The Company employed internally developed discounted cash flow forecasts and market comparisons to determine the fair value of the reporting unit and the implied fair value of the reporting unit’s assets and liabilities. Accordingly, the Company recognized an impairment charge of $0.4 at May 31, 2010.</w:t>
      </w:r>
    </w:p>
    <w:p>
      <w:pPr>
        <w:spacing w:after="0" w:line="16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As of February 28, 2011, goodwill of $76.8 resides in reporting units within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with fair values that modestly exceed the reporting units’ carrying values. A decline in the business environment could result in a goodwill impairment.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Total other intangibles subject to amortization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Customer Lists</w:t>
            </w:r>
          </w:p>
        </w:tc>
        <w:tc>
          <w:tcPr>
            <w:tcW w:w="214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Nine months ended</w:t>
            </w: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92"/>
              </w:rPr>
              <w:t>Twelve months ended</w:t>
            </w:r>
          </w:p>
        </w:tc>
        <w:tc>
          <w:tcPr>
            <w:tcW w:w="17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3"/>
              </w:rPr>
              <w:t>Nine months ended</w:t>
            </w:r>
          </w:p>
        </w:tc>
        <w:tc>
          <w:tcPr>
            <w:tcW w:w="0" w:type="dxa"/>
            <w:vAlign w:val="bottom"/>
          </w:tcPr>
          <w:p>
            <w:pPr>
              <w:spacing w:after="0"/>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214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February 28, 2011</w:t>
            </w:r>
          </w:p>
        </w:tc>
        <w:tc>
          <w:tcPr>
            <w:tcW w:w="340" w:type="dxa"/>
            <w:vAlign w:val="bottom"/>
          </w:tcPr>
          <w:p>
            <w:pPr>
              <w:spacing w:after="0"/>
              <w:rPr>
                <w:sz w:val="19"/>
                <w:szCs w:val="19"/>
                <w:color w:val="auto"/>
              </w:rPr>
            </w:pPr>
          </w:p>
        </w:tc>
        <w:tc>
          <w:tcPr>
            <w:tcW w:w="158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w w:val="96"/>
              </w:rPr>
              <w:t>May 31, 2010</w:t>
            </w:r>
          </w:p>
        </w:tc>
        <w:tc>
          <w:tcPr>
            <w:tcW w:w="1740" w:type="dxa"/>
            <w:vAlign w:val="bottom"/>
            <w:gridSpan w:val="2"/>
          </w:tcPr>
          <w:p>
            <w:pPr>
              <w:jc w:val="right"/>
              <w:ind w:right="112"/>
              <w:spacing w:after="0"/>
              <w:rPr>
                <w:sz w:val="20"/>
                <w:szCs w:val="20"/>
                <w:color w:val="auto"/>
              </w:rPr>
            </w:pPr>
            <w:r>
              <w:rPr>
                <w:rFonts w:ascii="Arial" w:cs="Arial" w:eastAsia="Arial" w:hAnsi="Arial"/>
                <w:sz w:val="18"/>
                <w:szCs w:val="18"/>
                <w:b w:val="1"/>
                <w:bCs w:val="1"/>
                <w:i w:val="1"/>
                <w:iCs w:val="1"/>
                <w:color w:val="auto"/>
                <w:w w:val="99"/>
              </w:rPr>
              <w:t>February 28, 2010</w:t>
            </w: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640" w:type="dxa"/>
            <w:vAlign w:val="bottom"/>
          </w:tcPr>
          <w:p>
            <w:pPr>
              <w:spacing w:after="0"/>
              <w:rPr>
                <w:sz w:val="20"/>
                <w:szCs w:val="20"/>
                <w:color w:val="auto"/>
              </w:rPr>
            </w:pPr>
            <w:r>
              <w:rPr>
                <w:rFonts w:ascii="Arial" w:cs="Arial" w:eastAsia="Arial" w:hAnsi="Arial"/>
                <w:sz w:val="18"/>
                <w:szCs w:val="18"/>
                <w:color w:val="auto"/>
              </w:rPr>
              <w:t>Beginning balance</w:t>
            </w: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7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Additions</w:t>
            </w:r>
          </w:p>
        </w:tc>
        <w:tc>
          <w:tcPr>
            <w:tcW w:w="108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Impairment charge</w:t>
            </w:r>
          </w:p>
        </w:tc>
        <w:tc>
          <w:tcPr>
            <w:tcW w:w="108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adjustments</w:t>
            </w:r>
          </w:p>
        </w:tc>
        <w:tc>
          <w:tcPr>
            <w:tcW w:w="108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expense</w:t>
            </w:r>
          </w:p>
        </w:tc>
        <w:tc>
          <w:tcPr>
            <w:tcW w:w="10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7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8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40" w:type="dxa"/>
            <w:vAlign w:val="bottom"/>
          </w:tcPr>
          <w:p>
            <w:pPr>
              <w:spacing w:after="0"/>
              <w:rPr>
                <w:sz w:val="20"/>
                <w:szCs w:val="20"/>
                <w:color w:val="auto"/>
              </w:rPr>
            </w:pPr>
            <w:r>
              <w:rPr>
                <w:rFonts w:ascii="Arial" w:cs="Arial" w:eastAsia="Arial" w:hAnsi="Arial"/>
                <w:sz w:val="18"/>
                <w:szCs w:val="18"/>
                <w:color w:val="auto"/>
                <w:w w:val="99"/>
              </w:rPr>
              <w:t>Customer lists, net of accumulated amortization of $1.1, $0.9 and $0.7,</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7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b w:val="1"/>
                <w:bCs w:val="1"/>
                <w:color w:val="auto"/>
              </w:rPr>
              <w:t>Other Intangibles</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640" w:type="dxa"/>
            <w:vAlign w:val="bottom"/>
          </w:tcPr>
          <w:p>
            <w:pPr>
              <w:spacing w:after="0"/>
              <w:rPr>
                <w:sz w:val="20"/>
                <w:szCs w:val="20"/>
                <w:color w:val="auto"/>
              </w:rPr>
            </w:pPr>
            <w:r>
              <w:rPr>
                <w:rFonts w:ascii="Arial" w:cs="Arial" w:eastAsia="Arial" w:hAnsi="Arial"/>
                <w:sz w:val="18"/>
                <w:szCs w:val="18"/>
                <w:color w:val="auto"/>
              </w:rPr>
              <w:t>Beginning balance</w:t>
            </w: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7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108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Reclassified from indefinite-lived intangible assets</w:t>
            </w:r>
          </w:p>
        </w:tc>
        <w:tc>
          <w:tcPr>
            <w:tcW w:w="108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Amortization expense</w:t>
            </w:r>
          </w:p>
        </w:tc>
        <w:tc>
          <w:tcPr>
            <w:tcW w:w="108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640" w:type="dxa"/>
            <w:vAlign w:val="bottom"/>
          </w:tcPr>
          <w:p>
            <w:pPr>
              <w:spacing w:after="0"/>
              <w:rPr>
                <w:sz w:val="20"/>
                <w:szCs w:val="20"/>
                <w:color w:val="auto"/>
              </w:rPr>
            </w:pPr>
            <w:r>
              <w:rPr>
                <w:rFonts w:ascii="Arial" w:cs="Arial" w:eastAsia="Arial" w:hAnsi="Arial"/>
                <w:sz w:val="18"/>
                <w:szCs w:val="18"/>
                <w:color w:val="auto"/>
                <w:w w:val="95"/>
              </w:rPr>
              <w:t>Other intangibles, net of accumulated amortization of $3.8, $3.0 and $2.9,</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17.7</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56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b w:val="1"/>
                <w:bCs w:val="1"/>
                <w:color w:val="auto"/>
              </w:rPr>
              <w:t>3.0</w:t>
            </w:r>
          </w:p>
        </w:tc>
        <w:tc>
          <w:tcPr>
            <w:tcW w:w="78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Amortization expense for Total other intangibles was $1.0 for the nine months ended February 28, 2011, $0.8 for the twelve months ended May 31, 2010 and $0.5 for the nine months ended February 28, 2010.</w:t>
      </w:r>
    </w:p>
    <w:p>
      <w:pPr>
        <w:spacing w:after="0" w:line="18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During the first quarter of fiscal 2010,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 ultimately be combined with its existing customer list. As a result, the Company assessed this customer list for impairment and determined that the customer list was impaired based upon the highest and best use for this asset. This assessment incorporated internally developed cash flow projections to measure fair value, as market data for this asset is not readily available. Accordingly, the Company recognized an impairment charge in the second quarter of fiscal 2010 related to this asset of $3.8.</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current fiscal year, the Company recognized $5.6 of amortizable intangible assets as a result of the Math Solutions acquisition. The Company utilized Level 3 fair value measurement inputs, using its own assumptions including internally developed discounted cash flow forecasts and market comparisons, to determine the fair value of the intangible assets acquired.</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current fiscal year, the Company determined that certain intangible assets associated with publishing and trademark rights, which were previously accounted for as indefinite-lived assets, were no longer indefinite-lived. Accordingly, the Company assessed these assets for impairment as of September 1, 2010, and subsequently commenced amortization of the assets. The Company determined that the fair value of the assets exceeded their carrying value as of September 1, 2010, and therefore no impairment was recognized. The Company employed Level 3 fair value measurement techniques to determine the fair value of these assets as of September 1, 2010, including the relief from royalty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350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February 28, 2011</w:t>
            </w:r>
          </w:p>
        </w:tc>
        <w:tc>
          <w:tcPr>
            <w:tcW w:w="34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94"/>
              </w:rPr>
              <w:t>May 31, 2010</w:t>
            </w:r>
          </w:p>
        </w:tc>
        <w:tc>
          <w:tcPr>
            <w:tcW w:w="182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February 28, 2010</w:t>
            </w:r>
          </w:p>
        </w:tc>
      </w:tr>
      <w:tr>
        <w:trPr>
          <w:trHeight w:val="110"/>
        </w:trPr>
        <w:tc>
          <w:tcPr>
            <w:tcW w:w="428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Trademarks and Other</w:t>
            </w:r>
          </w:p>
        </w:tc>
        <w:tc>
          <w:tcPr>
            <w:tcW w:w="252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8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15.1</w:t>
            </w:r>
          </w:p>
        </w:tc>
      </w:tr>
      <w:tr>
        <w:trPr>
          <w:trHeight w:val="110"/>
        </w:trPr>
        <w:tc>
          <w:tcPr>
            <w:tcW w:w="428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4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b w:val="1"/>
                <w:bCs w:val="1"/>
                <w:color w:val="auto"/>
              </w:rPr>
              <w:t>12.5</w:t>
            </w:r>
          </w:p>
        </w:tc>
        <w:tc>
          <w:tcPr>
            <w:tcW w:w="82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15.1</w:t>
            </w:r>
          </w:p>
        </w:tc>
      </w:tr>
      <w:tr>
        <w:trPr>
          <w:trHeight w:val="110"/>
        </w:trPr>
        <w:tc>
          <w:tcPr>
            <w:tcW w:w="428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Company implemented certain strategic initiatives during fiscal 2010 to centralize publishing efforts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These initiatives included the elimination of the front list for certain library-specific titles. The Company will continue to serve the library market through other channels, notably the trade channel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and various on-line and digital initiatives. As a result of these initiatives, and in tandem with reduced expectations in certain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print businesses, the Company determined that intangible assets of $28.7 and prepublication costs of $7.6 associated with such businesses, totaling $36.3, were impaired. The Company employed qualitative and internally developed quantitative methods, including discounted cash flow models, to determine the fair value of the asset to a market participant. Significant inputs, including a best use analysis of the existing market for the asset, and an analysis of the uses for the asset other than its current usage resulted in a determination that the market for the asset had declined significantly.</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fourth quarter of fiscal 2010, the Company determined that the fair value of the trademark associated with the Company’s direct-to-home catalog business specializing in toys was less than the carrying value of the trademark. The Company used historical and projected results while applying a residual income fair value method to make this determination and recognized an impairment of this trademark of $2.6.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$23.2, $20.6 and $21.6 at February 28, 2011, May 31, 2010 and February 28, 2010, respectively.</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The carrying value of this cost-method investment was $9.1 as of February 28, 2011.</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Company’s investment in Usborne Publishing Ltd. (“Usborne”), which consists of a 26.2% non controlling interest in a children’s book publishing business located in the United Kingdom, is accounted for using the equity method of accounting. The net value of this investment at February 28, 2011 was $13.4.</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maintains a 12.25% equity interest in an entity that produces and distributes educational children’s television programming which is accounted for using the equity method of accounting. The net value of this investment at February 28, 2011 was $0.6. The Company does not have a contractual commitment to fund this entity prospectively, and has not guaranteed any liabilities of the entity.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joint ventures totaled $1.2 for the nine months ended February 28, 2011 and $0.6 for the nine months ended February 28, 2010.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2010, the Company determined that a cost-method investment in a U.S. based internet company was other than temporarily impaired.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recognized a loss of $1.5.</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196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February 28, 2011</w:t>
            </w:r>
          </w:p>
        </w:tc>
        <w:tc>
          <w:tcPr>
            <w:tcW w:w="290" w:type="dxa"/>
            <w:vAlign w:val="bottom"/>
          </w:tcPr>
          <w:p>
            <w:pPr>
              <w:spacing w:after="0"/>
              <w:rPr>
                <w:sz w:val="19"/>
                <w:szCs w:val="19"/>
                <w:color w:val="auto"/>
              </w:rPr>
            </w:pPr>
          </w:p>
        </w:tc>
        <w:tc>
          <w:tcPr>
            <w:tcW w:w="155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98"/>
              </w:rPr>
              <w:t>May 31, 2010</w:t>
            </w:r>
          </w:p>
        </w:tc>
        <w:tc>
          <w:tcPr>
            <w:tcW w:w="182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February 28, 2010</w:t>
            </w:r>
          </w:p>
        </w:tc>
        <w:tc>
          <w:tcPr>
            <w:tcW w:w="20" w:type="dxa"/>
            <w:vAlign w:val="bottom"/>
          </w:tcPr>
          <w:p>
            <w:pPr>
              <w:spacing w:after="0"/>
              <w:rPr>
                <w:sz w:val="19"/>
                <w:szCs w:val="19"/>
                <w:color w:val="auto"/>
              </w:rPr>
            </w:pPr>
          </w:p>
        </w:tc>
      </w:tr>
      <w:tr>
        <w:trPr>
          <w:trHeight w:val="110"/>
        </w:trPr>
        <w:tc>
          <w:tcPr>
            <w:tcW w:w="58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9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82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155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820" w:type="dxa"/>
            <w:vAlign w:val="bottom"/>
          </w:tcPr>
          <w:p>
            <w:pPr>
              <w:ind w:left="160"/>
              <w:spacing w:after="0"/>
              <w:rPr>
                <w:sz w:val="20"/>
                <w:szCs w:val="20"/>
                <w:color w:val="auto"/>
              </w:rPr>
            </w:pPr>
            <w:r>
              <w:rPr>
                <w:rFonts w:ascii="Arial" w:cs="Arial" w:eastAsia="Arial" w:hAnsi="Arial"/>
                <w:sz w:val="18"/>
                <w:szCs w:val="18"/>
                <w:color w:val="auto"/>
              </w:rPr>
              <w:t>The Book People Ltd.</w:t>
            </w:r>
          </w:p>
        </w:tc>
        <w:tc>
          <w:tcPr>
            <w:tcW w:w="9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29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r>
      <w:tr>
        <w:trPr>
          <w:trHeight w:val="110"/>
        </w:trPr>
        <w:tc>
          <w:tcPr>
            <w:tcW w:w="58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9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Total cost method investments</w:t>
            </w:r>
          </w:p>
        </w:tc>
        <w:tc>
          <w:tcPr>
            <w:tcW w:w="9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29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r>
      <w:tr>
        <w:trPr>
          <w:trHeight w:val="110"/>
        </w:trPr>
        <w:tc>
          <w:tcPr>
            <w:tcW w:w="58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9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58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155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Usborne</w:t>
            </w:r>
          </w:p>
        </w:tc>
        <w:tc>
          <w:tcPr>
            <w:tcW w:w="9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29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Childrens television programming holdings</w:t>
            </w:r>
          </w:p>
        </w:tc>
        <w:tc>
          <w:tcPr>
            <w:tcW w:w="9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290" w:type="dxa"/>
            <w:vAlign w:val="bottom"/>
          </w:tcPr>
          <w:p>
            <w:pPr>
              <w:spacing w:after="0"/>
              <w:rPr>
                <w:sz w:val="18"/>
                <w:szCs w:val="18"/>
                <w:color w:val="auto"/>
              </w:rPr>
            </w:pP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8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22"/>
        </w:trPr>
        <w:tc>
          <w:tcPr>
            <w:tcW w:w="5820" w:type="dxa"/>
            <w:vAlign w:val="bottom"/>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90" w:type="dxa"/>
            <w:vAlign w:val="bottom"/>
          </w:tcPr>
          <w:p>
            <w:pPr>
              <w:spacing w:after="0"/>
              <w:rPr>
                <w:sz w:val="19"/>
                <w:szCs w:val="19"/>
                <w:color w:val="auto"/>
              </w:rPr>
            </w:pP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10"/>
        </w:trPr>
        <w:tc>
          <w:tcPr>
            <w:tcW w:w="58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9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Total equity method investments</w:t>
            </w:r>
          </w:p>
        </w:tc>
        <w:tc>
          <w:tcPr>
            <w:tcW w:w="9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14.1</w:t>
            </w:r>
          </w:p>
        </w:tc>
        <w:tc>
          <w:tcPr>
            <w:tcW w:w="29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r>
      <w:tr>
        <w:trPr>
          <w:trHeight w:val="110"/>
        </w:trPr>
        <w:tc>
          <w:tcPr>
            <w:tcW w:w="58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9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58"/>
        </w:trPr>
        <w:tc>
          <w:tcPr>
            <w:tcW w:w="58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90" w:type="dxa"/>
            <w:vAlign w:val="bottom"/>
            <w:tcBorders>
              <w:bottom w:val="single" w:sz="8" w:color="808080"/>
            </w:tcBorders>
          </w:tcPr>
          <w:p>
            <w:pPr>
              <w:spacing w:after="0"/>
              <w:rPr>
                <w:sz w:val="24"/>
                <w:szCs w:val="24"/>
                <w:color w:val="auto"/>
              </w:rPr>
            </w:pPr>
          </w:p>
        </w:tc>
        <w:tc>
          <w:tcPr>
            <w:tcW w:w="155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23.2</w:t>
            </w:r>
          </w:p>
        </w:tc>
        <w:tc>
          <w:tcPr>
            <w:tcW w:w="29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92"/>
              <w:spacing w:after="0"/>
              <w:rPr>
                <w:sz w:val="20"/>
                <w:szCs w:val="20"/>
                <w:color w:val="auto"/>
              </w:rPr>
            </w:pPr>
            <w:r>
              <w:rPr>
                <w:rFonts w:ascii="Arial" w:cs="Arial" w:eastAsia="Arial" w:hAnsi="Arial"/>
                <w:sz w:val="18"/>
                <w:szCs w:val="18"/>
                <w:color w:val="auto"/>
              </w:rPr>
              <w:t>20.6</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4"/>
                <w:szCs w:val="24"/>
                <w:color w:val="auto"/>
              </w:rPr>
            </w:pPr>
          </w:p>
        </w:tc>
      </w:tr>
      <w:tr>
        <w:trPr>
          <w:trHeight w:val="134"/>
        </w:trPr>
        <w:tc>
          <w:tcPr>
            <w:tcW w:w="58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90" w:type="dxa"/>
            <w:vAlign w:val="bottom"/>
            <w:tcBorders>
              <w:bottom w:val="single" w:sz="8" w:color="808080"/>
            </w:tcBorders>
          </w:tcPr>
          <w:p>
            <w:pPr>
              <w:spacing w:after="0"/>
              <w:rPr>
                <w:sz w:val="11"/>
                <w:szCs w:val="11"/>
                <w:color w:val="auto"/>
              </w:rPr>
            </w:pPr>
          </w:p>
        </w:tc>
        <w:tc>
          <w:tcPr>
            <w:tcW w:w="155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following table sets forth components of the net periodic benefit costs for the periods indicated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and the defined benefit pension plan of Grolier Limited, an indirect subsidiary of Scholastic Corporation located in Canada (the “Canadian Pension Plan” and together with the U.S. Pension Plan and the UK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Plans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Post-Retirement Benefits</w:t>
            </w:r>
          </w:p>
        </w:tc>
        <w:tc>
          <w:tcPr>
            <w:tcW w:w="20" w:type="dxa"/>
            <w:vAlign w:val="bottom"/>
          </w:tcPr>
          <w:p>
            <w:pPr>
              <w:spacing w:after="0"/>
              <w:rPr>
                <w:sz w:val="19"/>
                <w:szCs w:val="19"/>
                <w:color w:val="auto"/>
              </w:rPr>
            </w:pPr>
          </w:p>
        </w:tc>
      </w:tr>
      <w:tr>
        <w:trPr>
          <w:trHeight w:val="222"/>
        </w:trPr>
        <w:tc>
          <w:tcPr>
            <w:tcW w:w="5660" w:type="dxa"/>
            <w:vAlign w:val="bottom"/>
          </w:tcPr>
          <w:p>
            <w:pPr>
              <w:spacing w:after="0"/>
              <w:rPr>
                <w:sz w:val="19"/>
                <w:szCs w:val="19"/>
                <w:color w:val="auto"/>
              </w:rPr>
            </w:pPr>
          </w:p>
        </w:tc>
        <w:tc>
          <w:tcPr>
            <w:tcW w:w="2840" w:type="dxa"/>
            <w:vAlign w:val="bottom"/>
            <w:gridSpan w:val="4"/>
          </w:tcPr>
          <w:p>
            <w:pPr>
              <w:jc w:val="right"/>
              <w:ind w:right="192"/>
              <w:spacing w:after="0"/>
              <w:rPr>
                <w:sz w:val="20"/>
                <w:szCs w:val="20"/>
                <w:color w:val="auto"/>
              </w:rPr>
            </w:pPr>
            <w:r>
              <w:rPr>
                <w:rFonts w:ascii="Arial" w:cs="Arial" w:eastAsia="Arial" w:hAnsi="Arial"/>
                <w:sz w:val="18"/>
                <w:szCs w:val="18"/>
                <w:b w:val="1"/>
                <w:bCs w:val="1"/>
                <w:i w:val="1"/>
                <w:iCs w:val="1"/>
                <w:color w:val="auto"/>
                <w:w w:val="87"/>
              </w:rPr>
              <w:t>Three months ended February 28,</w:t>
            </w:r>
          </w:p>
        </w:tc>
        <w:tc>
          <w:tcPr>
            <w:tcW w:w="220" w:type="dxa"/>
            <w:vAlign w:val="bottom"/>
          </w:tcPr>
          <w:p>
            <w:pPr>
              <w:spacing w:after="0"/>
              <w:rPr>
                <w:sz w:val="19"/>
                <w:szCs w:val="19"/>
                <w:color w:val="auto"/>
              </w:rPr>
            </w:pPr>
          </w:p>
        </w:tc>
        <w:tc>
          <w:tcPr>
            <w:tcW w:w="2720" w:type="dxa"/>
            <w:vAlign w:val="bottom"/>
            <w:gridSpan w:val="3"/>
          </w:tcPr>
          <w:p>
            <w:pPr>
              <w:jc w:val="right"/>
              <w:ind w:right="152"/>
              <w:spacing w:after="0"/>
              <w:rPr>
                <w:sz w:val="20"/>
                <w:szCs w:val="20"/>
                <w:color w:val="auto"/>
              </w:rPr>
            </w:pPr>
            <w:r>
              <w:rPr>
                <w:rFonts w:ascii="Arial" w:cs="Arial" w:eastAsia="Arial" w:hAnsi="Arial"/>
                <w:sz w:val="18"/>
                <w:szCs w:val="18"/>
                <w:b w:val="1"/>
                <w:bCs w:val="1"/>
                <w:i w:val="1"/>
                <w:iCs w:val="1"/>
                <w:color w:val="auto"/>
                <w:w w:val="85"/>
              </w:rPr>
              <w:t>Three months ended February 28,</w:t>
            </w:r>
          </w:p>
        </w:tc>
        <w:tc>
          <w:tcPr>
            <w:tcW w:w="20" w:type="dxa"/>
            <w:vAlign w:val="bottom"/>
          </w:tcPr>
          <w:p>
            <w:pPr>
              <w:spacing w:after="0"/>
              <w:rPr>
                <w:sz w:val="19"/>
                <w:szCs w:val="19"/>
                <w:color w:val="auto"/>
              </w:rPr>
            </w:pPr>
          </w:p>
        </w:tc>
      </w:tr>
      <w:tr>
        <w:trPr>
          <w:trHeight w:val="110"/>
        </w:trPr>
        <w:tc>
          <w:tcPr>
            <w:tcW w:w="56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512"/>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4"/>
                <w:szCs w:val="24"/>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r>
      <w:tr>
        <w:trPr>
          <w:trHeight w:val="110"/>
        </w:trPr>
        <w:tc>
          <w:tcPr>
            <w:tcW w:w="56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66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7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78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78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5660" w:type="dxa"/>
            <w:vAlign w:val="bottom"/>
          </w:tcPr>
          <w:p>
            <w:pPr>
              <w:ind w:left="160"/>
              <w:spacing w:after="0"/>
              <w:rPr>
                <w:sz w:val="20"/>
                <w:szCs w:val="20"/>
                <w:color w:val="auto"/>
              </w:rPr>
            </w:pPr>
            <w:r>
              <w:rPr>
                <w:rFonts w:ascii="Arial" w:cs="Arial" w:eastAsia="Arial" w:hAnsi="Arial"/>
                <w:sz w:val="18"/>
                <w:szCs w:val="18"/>
                <w:color w:val="auto"/>
              </w:rPr>
              <w:t>Settlement of Canadian plan</w:t>
            </w:r>
          </w:p>
        </w:tc>
        <w:tc>
          <w:tcPr>
            <w:tcW w:w="7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10"/>
        </w:trPr>
        <w:tc>
          <w:tcPr>
            <w:tcW w:w="56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6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4"/>
                <w:szCs w:val="24"/>
                <w:color w:val="auto"/>
              </w:rPr>
            </w:pPr>
          </w:p>
        </w:tc>
      </w:tr>
      <w:tr>
        <w:trPr>
          <w:trHeight w:val="134"/>
        </w:trPr>
        <w:tc>
          <w:tcPr>
            <w:tcW w:w="56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Plans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w w:val="99"/>
              </w:rPr>
              <w:t>Post-Retirement Benefits</w:t>
            </w:r>
          </w:p>
        </w:tc>
        <w:tc>
          <w:tcPr>
            <w:tcW w:w="20" w:type="dxa"/>
            <w:vAlign w:val="bottom"/>
          </w:tcPr>
          <w:p>
            <w:pPr>
              <w:spacing w:after="0"/>
              <w:rPr>
                <w:sz w:val="19"/>
                <w:szCs w:val="19"/>
                <w:color w:val="auto"/>
              </w:rPr>
            </w:pPr>
          </w:p>
        </w:tc>
      </w:tr>
      <w:tr>
        <w:trPr>
          <w:trHeight w:val="222"/>
        </w:trPr>
        <w:tc>
          <w:tcPr>
            <w:tcW w:w="4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20" w:type="dxa"/>
            <w:vAlign w:val="bottom"/>
            <w:gridSpan w:val="4"/>
          </w:tcPr>
          <w:p>
            <w:pPr>
              <w:jc w:val="right"/>
              <w:ind w:right="232"/>
              <w:spacing w:after="0"/>
              <w:rPr>
                <w:sz w:val="20"/>
                <w:szCs w:val="20"/>
                <w:color w:val="auto"/>
              </w:rPr>
            </w:pPr>
            <w:r>
              <w:rPr>
                <w:rFonts w:ascii="Arial" w:cs="Arial" w:eastAsia="Arial" w:hAnsi="Arial"/>
                <w:sz w:val="18"/>
                <w:szCs w:val="18"/>
                <w:b w:val="1"/>
                <w:bCs w:val="1"/>
                <w:i w:val="1"/>
                <w:iCs w:val="1"/>
                <w:color w:val="auto"/>
                <w:w w:val="85"/>
              </w:rPr>
              <w:t>Nine months ended February 28,</w:t>
            </w:r>
          </w:p>
        </w:tc>
        <w:tc>
          <w:tcPr>
            <w:tcW w:w="240" w:type="dxa"/>
            <w:vAlign w:val="bottom"/>
          </w:tcPr>
          <w:p>
            <w:pPr>
              <w:spacing w:after="0"/>
              <w:rPr>
                <w:sz w:val="19"/>
                <w:szCs w:val="19"/>
                <w:color w:val="auto"/>
              </w:rPr>
            </w:pPr>
          </w:p>
        </w:tc>
        <w:tc>
          <w:tcPr>
            <w:tcW w:w="2700" w:type="dxa"/>
            <w:vAlign w:val="bottom"/>
            <w:gridSpan w:val="3"/>
          </w:tcPr>
          <w:p>
            <w:pPr>
              <w:jc w:val="right"/>
              <w:ind w:right="192"/>
              <w:spacing w:after="0"/>
              <w:rPr>
                <w:sz w:val="20"/>
                <w:szCs w:val="20"/>
                <w:color w:val="auto"/>
              </w:rPr>
            </w:pPr>
            <w:r>
              <w:rPr>
                <w:rFonts w:ascii="Arial" w:cs="Arial" w:eastAsia="Arial" w:hAnsi="Arial"/>
                <w:sz w:val="18"/>
                <w:szCs w:val="18"/>
                <w:b w:val="1"/>
                <w:bCs w:val="1"/>
                <w:i w:val="1"/>
                <w:iCs w:val="1"/>
                <w:color w:val="auto"/>
                <w:w w:val="85"/>
              </w:rPr>
              <w:t>Nine months ended February 28,</w:t>
            </w:r>
          </w:p>
        </w:tc>
        <w:tc>
          <w:tcPr>
            <w:tcW w:w="20" w:type="dxa"/>
            <w:vAlign w:val="bottom"/>
          </w:tcPr>
          <w:p>
            <w:pPr>
              <w:spacing w:after="0"/>
              <w:rPr>
                <w:sz w:val="19"/>
                <w:szCs w:val="19"/>
                <w:color w:val="auto"/>
              </w:rPr>
            </w:pPr>
          </w:p>
        </w:tc>
      </w:tr>
      <w:tr>
        <w:trPr>
          <w:trHeight w:val="110"/>
        </w:trPr>
        <w:tc>
          <w:tcPr>
            <w:tcW w:w="43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512"/>
              <w:spacing w:after="0"/>
              <w:rPr>
                <w:sz w:val="20"/>
                <w:szCs w:val="20"/>
                <w:color w:val="auto"/>
              </w:rPr>
            </w:pPr>
            <w:r>
              <w:rPr>
                <w:rFonts w:ascii="Arial" w:cs="Arial" w:eastAsia="Arial" w:hAnsi="Arial"/>
                <w:sz w:val="18"/>
                <w:szCs w:val="18"/>
                <w:b w:val="1"/>
                <w:bCs w:val="1"/>
                <w:color w:val="auto"/>
                <w:w w:val="89"/>
              </w:rPr>
              <w:t>2010</w:t>
            </w:r>
          </w:p>
        </w:tc>
        <w:tc>
          <w:tcPr>
            <w:tcW w:w="240" w:type="dxa"/>
            <w:vAlign w:val="bottom"/>
          </w:tcPr>
          <w:p>
            <w:pPr>
              <w:spacing w:after="0"/>
              <w:rPr>
                <w:sz w:val="24"/>
                <w:szCs w:val="24"/>
                <w:color w:val="auto"/>
              </w:rPr>
            </w:pPr>
          </w:p>
        </w:tc>
        <w:tc>
          <w:tcPr>
            <w:tcW w:w="1240" w:type="dxa"/>
            <w:vAlign w:val="bottom"/>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r>
      <w:tr>
        <w:trPr>
          <w:trHeight w:val="110"/>
        </w:trPr>
        <w:tc>
          <w:tcPr>
            <w:tcW w:w="43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30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22"/>
        </w:trPr>
        <w:tc>
          <w:tcPr>
            <w:tcW w:w="4300" w:type="dxa"/>
            <w:vAlign w:val="bottom"/>
          </w:tcPr>
          <w:p>
            <w:pPr>
              <w:ind w:left="160"/>
              <w:spacing w:after="0"/>
              <w:rPr>
                <w:sz w:val="20"/>
                <w:szCs w:val="20"/>
                <w:color w:val="auto"/>
              </w:rPr>
            </w:pPr>
            <w:r>
              <w:rPr>
                <w:rFonts w:ascii="Arial" w:cs="Arial" w:eastAsia="Arial" w:hAnsi="Arial"/>
                <w:sz w:val="18"/>
                <w:szCs w:val="18"/>
                <w:color w:val="auto"/>
              </w:rPr>
              <w:t>Settlement of Canadian plan</w:t>
            </w: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10"/>
        </w:trPr>
        <w:tc>
          <w:tcPr>
            <w:tcW w:w="43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0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r>
        <w:trPr>
          <w:trHeight w:val="134"/>
        </w:trPr>
        <w:tc>
          <w:tcPr>
            <w:tcW w:w="430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441" w:gutter="0" w:footer="0" w:header="0"/>
        </w:sect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441"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1, 2009, the Company modified the U.S Pension Plan, such that no further benefits will accrue to employees under the plan.</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Effective June 1, 2009, the Company modified the terms of the Post-Retirement Benefits, effectively excluding a large percentage of current employees from the plan. Under the plan amendments, only employees with 10 or more years of service to the Company and whose age plus service is at least 65 as of June 1, 2009 will be eligible to receive benefits upon retirement.</w:t>
      </w:r>
    </w:p>
    <w:p>
      <w:pPr>
        <w:spacing w:after="0" w:line="19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the second quarter of fiscal 2011, the Company settled the majority of its outstanding liabilities of the Canadian Pension Plan by purchasing annuities to service these liabilities prospectively. Accordingly, net liabilities of $1.3 were settled with $1.2 of contributions above plan assets and the Company recognized pension expense of $3.4. The third quarter of fiscal 2011 includes pension expense of $0.2 recognized related to the partial settlement of this pension plan.</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funding practice with respect to the Pension Plans is to contribute on an annual basis at least the minimum amounts required by applicable laws. For the nine months ended February 28, 2011, the Company contributed $2.3 to the U.S. Pension Plan, $0.4 to the UK Pension Plan and $1.4 to the Canadian Pension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based on actuarial calculations, to contribute cash of approximately $5.8 to the Pension Plans for the fiscal year ending May 31,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19"/>
                <w:szCs w:val="19"/>
                <w:color w:val="auto"/>
              </w:rPr>
            </w:pPr>
          </w:p>
        </w:tc>
        <w:tc>
          <w:tcPr>
            <w:tcW w:w="3980" w:type="dxa"/>
            <w:vAlign w:val="bottom"/>
            <w:gridSpan w:val="4"/>
          </w:tcPr>
          <w:p>
            <w:pPr>
              <w:jc w:val="right"/>
              <w:ind w:right="12"/>
              <w:spacing w:after="0"/>
              <w:rPr>
                <w:sz w:val="20"/>
                <w:szCs w:val="20"/>
                <w:color w:val="auto"/>
              </w:rPr>
            </w:pPr>
            <w:r>
              <w:rPr>
                <w:rFonts w:ascii="Arial" w:cs="Arial" w:eastAsia="Arial" w:hAnsi="Arial"/>
                <w:sz w:val="18"/>
                <w:szCs w:val="18"/>
                <w:b w:val="1"/>
                <w:bCs w:val="1"/>
                <w:i w:val="1"/>
                <w:iCs w:val="1"/>
                <w:color w:val="auto"/>
              </w:rPr>
              <w:t>Three months ended February 28,</w:t>
            </w:r>
          </w:p>
        </w:tc>
        <w:tc>
          <w:tcPr>
            <w:tcW w:w="430" w:type="dxa"/>
            <w:vAlign w:val="bottom"/>
          </w:tcPr>
          <w:p>
            <w:pPr>
              <w:spacing w:after="0"/>
              <w:rPr>
                <w:sz w:val="19"/>
                <w:szCs w:val="19"/>
                <w:color w:val="auto"/>
              </w:rPr>
            </w:pPr>
          </w:p>
        </w:tc>
        <w:tc>
          <w:tcPr>
            <w:tcW w:w="2690" w:type="dxa"/>
            <w:vAlign w:val="bottom"/>
            <w:gridSpan w:val="3"/>
          </w:tcPr>
          <w:p>
            <w:pPr>
              <w:jc w:val="right"/>
              <w:ind w:right="192"/>
              <w:spacing w:after="0"/>
              <w:rPr>
                <w:sz w:val="20"/>
                <w:szCs w:val="20"/>
                <w:color w:val="auto"/>
              </w:rPr>
            </w:pPr>
            <w:r>
              <w:rPr>
                <w:rFonts w:ascii="Arial" w:cs="Arial" w:eastAsia="Arial" w:hAnsi="Arial"/>
                <w:sz w:val="18"/>
                <w:szCs w:val="18"/>
                <w:b w:val="1"/>
                <w:bCs w:val="1"/>
                <w:i w:val="1"/>
                <w:iCs w:val="1"/>
                <w:color w:val="auto"/>
                <w:w w:val="85"/>
              </w:rPr>
              <w:t>Nine months ended February 28,</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107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430" w:type="dxa"/>
            <w:vAlign w:val="bottom"/>
          </w:tcPr>
          <w:p>
            <w:pPr>
              <w:spacing w:after="0"/>
              <w:rPr>
                <w:sz w:val="24"/>
                <w:szCs w:val="24"/>
                <w:color w:val="auto"/>
              </w:rPr>
            </w:pPr>
          </w:p>
        </w:tc>
        <w:tc>
          <w:tcPr>
            <w:tcW w:w="1070" w:type="dxa"/>
            <w:vAlign w:val="bottom"/>
          </w:tcPr>
          <w:p>
            <w:pPr>
              <w:jc w:val="right"/>
              <w:ind w:right="352"/>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107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340" w:type="dxa"/>
            <w:vAlign w:val="bottom"/>
          </w:tcPr>
          <w:p>
            <w:pPr>
              <w:spacing w:after="0"/>
              <w:rPr>
                <w:sz w:val="20"/>
                <w:szCs w:val="20"/>
                <w:color w:val="auto"/>
              </w:rPr>
            </w:pPr>
            <w:r>
              <w:rPr>
                <w:rFonts w:ascii="Arial" w:cs="Arial" w:eastAsia="Arial" w:hAnsi="Arial"/>
                <w:sz w:val="18"/>
                <w:szCs w:val="18"/>
                <w:color w:val="auto"/>
              </w:rPr>
              <w:t>Stock option expense</w:t>
            </w:r>
          </w:p>
        </w:tc>
        <w:tc>
          <w:tcPr>
            <w:tcW w:w="21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430" w:type="dxa"/>
            <w:vAlign w:val="bottom"/>
          </w:tcPr>
          <w:p>
            <w:pPr>
              <w:jc w:val="right"/>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7.1</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216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43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Management stock purchase plan expense</w:t>
            </w:r>
          </w:p>
        </w:tc>
        <w:tc>
          <w:tcPr>
            <w:tcW w:w="216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43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2160" w:type="dxa"/>
            <w:vAlign w:val="bottom"/>
          </w:tcPr>
          <w:p>
            <w:pPr>
              <w:spacing w:after="0"/>
              <w:rPr>
                <w:sz w:val="19"/>
                <w:szCs w:val="19"/>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43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107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21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430" w:type="dxa"/>
            <w:vAlign w:val="bottom"/>
          </w:tcPr>
          <w:p>
            <w:pPr>
              <w:jc w:val="right"/>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11.1</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4"/>
                <w:szCs w:val="24"/>
                <w:color w:val="auto"/>
              </w:rPr>
            </w:pPr>
          </w:p>
        </w:tc>
      </w:tr>
      <w:tr>
        <w:trPr>
          <w:trHeight w:val="134"/>
        </w:trPr>
        <w:tc>
          <w:tcPr>
            <w:tcW w:w="434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107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each of the three and nine month periods ended February 28, 2011 and 2010,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Severance</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table below provides information regarding the Company’s severance cost associated with certain cost reduction measures. Accrued severance of $1.5, $3.4 and $1.9 as of February 28, 2011, May 31, 2010 and February 28, 2010, respectively, is included in “Other accrued expenses” on the Company’s 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86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Nine months ended</w:t>
            </w:r>
          </w:p>
        </w:tc>
        <w:tc>
          <w:tcPr>
            <w:tcW w:w="222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w w:val="97"/>
              </w:rPr>
              <w:t>Twelve months ended</w:t>
            </w:r>
          </w:p>
        </w:tc>
        <w:tc>
          <w:tcPr>
            <w:tcW w:w="2160" w:type="dxa"/>
            <w:vAlign w:val="bottom"/>
            <w:gridSpan w:val="2"/>
          </w:tcPr>
          <w:p>
            <w:pPr>
              <w:jc w:val="right"/>
              <w:ind w:right="312"/>
              <w:spacing w:after="0"/>
              <w:rPr>
                <w:sz w:val="20"/>
                <w:szCs w:val="20"/>
                <w:color w:val="auto"/>
              </w:rPr>
            </w:pPr>
            <w:r>
              <w:rPr>
                <w:rFonts w:ascii="Arial" w:cs="Arial" w:eastAsia="Arial" w:hAnsi="Arial"/>
                <w:sz w:val="18"/>
                <w:szCs w:val="18"/>
                <w:b w:val="1"/>
                <w:bCs w:val="1"/>
                <w:i w:val="1"/>
                <w:iCs w:val="1"/>
                <w:color w:val="auto"/>
              </w:rPr>
              <w:t>Nine months ended</w:t>
            </w:r>
          </w:p>
        </w:tc>
        <w:tc>
          <w:tcPr>
            <w:tcW w:w="172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286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February 28, 2011</w:t>
            </w:r>
          </w:p>
        </w:tc>
        <w:tc>
          <w:tcPr>
            <w:tcW w:w="2220" w:type="dxa"/>
            <w:vAlign w:val="bottom"/>
            <w:gridSpan w:val="2"/>
          </w:tcPr>
          <w:p>
            <w:pPr>
              <w:jc w:val="right"/>
              <w:ind w:right="572"/>
              <w:spacing w:after="0"/>
              <w:rPr>
                <w:sz w:val="20"/>
                <w:szCs w:val="20"/>
                <w:color w:val="auto"/>
              </w:rPr>
            </w:pPr>
            <w:r>
              <w:rPr>
                <w:rFonts w:ascii="Arial" w:cs="Arial" w:eastAsia="Arial" w:hAnsi="Arial"/>
                <w:sz w:val="18"/>
                <w:szCs w:val="18"/>
                <w:b w:val="1"/>
                <w:bCs w:val="1"/>
                <w:i w:val="1"/>
                <w:iCs w:val="1"/>
                <w:color w:val="auto"/>
              </w:rPr>
              <w:t>May 31, 2010</w:t>
            </w:r>
          </w:p>
        </w:tc>
        <w:tc>
          <w:tcPr>
            <w:tcW w:w="2160" w:type="dxa"/>
            <w:vAlign w:val="bottom"/>
            <w:gridSpan w:val="2"/>
          </w:tcPr>
          <w:p>
            <w:pPr>
              <w:jc w:val="right"/>
              <w:ind w:right="352"/>
              <w:spacing w:after="0"/>
              <w:rPr>
                <w:sz w:val="20"/>
                <w:szCs w:val="20"/>
                <w:color w:val="auto"/>
              </w:rPr>
            </w:pPr>
            <w:r>
              <w:rPr>
                <w:rFonts w:ascii="Arial" w:cs="Arial" w:eastAsia="Arial" w:hAnsi="Arial"/>
                <w:sz w:val="18"/>
                <w:szCs w:val="18"/>
                <w:b w:val="1"/>
                <w:bCs w:val="1"/>
                <w:i w:val="1"/>
                <w:iCs w:val="1"/>
                <w:color w:val="auto"/>
              </w:rPr>
              <w:t>February 28, 2010</w:t>
            </w:r>
          </w:p>
        </w:tc>
        <w:tc>
          <w:tcPr>
            <w:tcW w:w="1720" w:type="dxa"/>
            <w:vAlign w:val="bottom"/>
          </w:tcPr>
          <w:p>
            <w:pPr>
              <w:spacing w:after="0"/>
              <w:rPr>
                <w:sz w:val="19"/>
                <w:szCs w:val="19"/>
                <w:color w:val="auto"/>
              </w:rPr>
            </w:pPr>
          </w:p>
        </w:tc>
      </w:tr>
      <w:tr>
        <w:trPr>
          <w:trHeight w:val="110"/>
        </w:trPr>
        <w:tc>
          <w:tcPr>
            <w:tcW w:w="25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r>
      <w:tr>
        <w:trPr>
          <w:trHeight w:val="309"/>
        </w:trPr>
        <w:tc>
          <w:tcPr>
            <w:tcW w:w="2500" w:type="dxa"/>
            <w:vAlign w:val="bottom"/>
          </w:tcPr>
          <w:p>
            <w:pPr>
              <w:spacing w:after="0"/>
              <w:rPr>
                <w:sz w:val="20"/>
                <w:szCs w:val="20"/>
                <w:color w:val="auto"/>
              </w:rPr>
            </w:pPr>
            <w:r>
              <w:rPr>
                <w:rFonts w:ascii="Arial" w:cs="Arial" w:eastAsia="Arial" w:hAnsi="Arial"/>
                <w:sz w:val="18"/>
                <w:szCs w:val="18"/>
                <w:color w:val="auto"/>
              </w:rPr>
              <w:t>Beginning balance</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3.4</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3.4</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812"/>
              <w:spacing w:after="0"/>
              <w:rPr>
                <w:sz w:val="20"/>
                <w:szCs w:val="20"/>
                <w:color w:val="auto"/>
              </w:rPr>
            </w:pPr>
            <w:r>
              <w:rPr>
                <w:rFonts w:ascii="Arial" w:cs="Arial" w:eastAsia="Arial" w:hAnsi="Arial"/>
                <w:sz w:val="18"/>
                <w:szCs w:val="18"/>
                <w:color w:val="auto"/>
              </w:rPr>
              <w:t>3.4</w:t>
            </w:r>
          </w:p>
        </w:tc>
        <w:tc>
          <w:tcPr>
            <w:tcW w:w="1720" w:type="dxa"/>
            <w:vAlign w:val="bottom"/>
          </w:tcPr>
          <w:p>
            <w:pPr>
              <w:spacing w:after="0"/>
              <w:rPr>
                <w:sz w:val="24"/>
                <w:szCs w:val="24"/>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Accruals</w:t>
            </w:r>
          </w:p>
        </w:tc>
        <w:tc>
          <w:tcPr>
            <w:tcW w:w="1740" w:type="dxa"/>
            <w:vAlign w:val="bottom"/>
          </w:tcPr>
          <w:p>
            <w:pPr>
              <w:spacing w:after="0"/>
              <w:rPr>
                <w:sz w:val="18"/>
                <w:szCs w:val="18"/>
                <w:color w:val="auto"/>
              </w:rPr>
            </w:pP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18"/>
                <w:szCs w:val="18"/>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9.2</w:t>
            </w:r>
          </w:p>
        </w:tc>
        <w:tc>
          <w:tcPr>
            <w:tcW w:w="900" w:type="dxa"/>
            <w:vAlign w:val="bottom"/>
          </w:tcPr>
          <w:p>
            <w:pPr>
              <w:spacing w:after="0"/>
              <w:rPr>
                <w:sz w:val="18"/>
                <w:szCs w:val="18"/>
                <w:color w:val="auto"/>
              </w:rPr>
            </w:pPr>
          </w:p>
        </w:tc>
        <w:tc>
          <w:tcPr>
            <w:tcW w:w="1260" w:type="dxa"/>
            <w:vAlign w:val="bottom"/>
          </w:tcPr>
          <w:p>
            <w:pPr>
              <w:jc w:val="right"/>
              <w:ind w:right="812"/>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Payments</w:t>
            </w:r>
          </w:p>
        </w:tc>
        <w:tc>
          <w:tcPr>
            <w:tcW w:w="1740" w:type="dxa"/>
            <w:vAlign w:val="bottom"/>
          </w:tcPr>
          <w:p>
            <w:pPr>
              <w:spacing w:after="0"/>
              <w:rPr>
                <w:sz w:val="19"/>
                <w:szCs w:val="19"/>
                <w:color w:val="auto"/>
              </w:rPr>
            </w:pPr>
          </w:p>
        </w:tc>
        <w:tc>
          <w:tcPr>
            <w:tcW w:w="1120" w:type="dxa"/>
            <w:vAlign w:val="bottom"/>
          </w:tcPr>
          <w:p>
            <w:pPr>
              <w:jc w:val="right"/>
              <w:ind w:right="632"/>
              <w:spacing w:after="0"/>
              <w:rPr>
                <w:sz w:val="20"/>
                <w:szCs w:val="20"/>
                <w:color w:val="auto"/>
              </w:rPr>
            </w:pPr>
            <w:r>
              <w:rPr>
                <w:rFonts w:ascii="Arial" w:cs="Arial" w:eastAsia="Arial" w:hAnsi="Arial"/>
                <w:sz w:val="18"/>
                <w:szCs w:val="18"/>
                <w:color w:val="auto"/>
              </w:rPr>
              <w:t>(6.2)</w:t>
            </w:r>
          </w:p>
        </w:tc>
        <w:tc>
          <w:tcPr>
            <w:tcW w:w="980" w:type="dxa"/>
            <w:vAlign w:val="bottom"/>
          </w:tcPr>
          <w:p>
            <w:pPr>
              <w:spacing w:after="0"/>
              <w:rPr>
                <w:sz w:val="19"/>
                <w:szCs w:val="19"/>
                <w:color w:val="auto"/>
              </w:rPr>
            </w:pP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(9.2)</w:t>
            </w:r>
          </w:p>
        </w:tc>
        <w:tc>
          <w:tcPr>
            <w:tcW w:w="900" w:type="dxa"/>
            <w:vAlign w:val="bottom"/>
          </w:tcPr>
          <w:p>
            <w:pPr>
              <w:spacing w:after="0"/>
              <w:rPr>
                <w:sz w:val="19"/>
                <w:szCs w:val="19"/>
                <w:color w:val="auto"/>
              </w:rPr>
            </w:pPr>
          </w:p>
        </w:tc>
        <w:tc>
          <w:tcPr>
            <w:tcW w:w="1260" w:type="dxa"/>
            <w:vAlign w:val="bottom"/>
          </w:tcPr>
          <w:p>
            <w:pPr>
              <w:jc w:val="right"/>
              <w:ind w:right="752"/>
              <w:spacing w:after="0"/>
              <w:rPr>
                <w:sz w:val="20"/>
                <w:szCs w:val="20"/>
                <w:color w:val="auto"/>
              </w:rPr>
            </w:pPr>
            <w:r>
              <w:rPr>
                <w:rFonts w:ascii="Arial" w:cs="Arial" w:eastAsia="Arial" w:hAnsi="Arial"/>
                <w:sz w:val="18"/>
                <w:szCs w:val="18"/>
                <w:color w:val="auto"/>
              </w:rPr>
              <w:t>(8.8)</w:t>
            </w:r>
          </w:p>
        </w:tc>
        <w:tc>
          <w:tcPr>
            <w:tcW w:w="1720" w:type="dxa"/>
            <w:vAlign w:val="bottom"/>
          </w:tcPr>
          <w:p>
            <w:pPr>
              <w:spacing w:after="0"/>
              <w:rPr>
                <w:sz w:val="19"/>
                <w:szCs w:val="19"/>
                <w:color w:val="auto"/>
              </w:rPr>
            </w:pPr>
          </w:p>
        </w:tc>
      </w:tr>
      <w:tr>
        <w:trPr>
          <w:trHeight w:val="110"/>
        </w:trPr>
        <w:tc>
          <w:tcPr>
            <w:tcW w:w="25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r>
      <w:tr>
        <w:trPr>
          <w:trHeight w:val="316"/>
        </w:trPr>
        <w:tc>
          <w:tcPr>
            <w:tcW w:w="25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1.5</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3.4</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812"/>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24"/>
                <w:szCs w:val="24"/>
                <w:color w:val="auto"/>
              </w:rPr>
            </w:pPr>
          </w:p>
        </w:tc>
      </w:tr>
      <w:tr>
        <w:trPr>
          <w:trHeight w:val="134"/>
        </w:trPr>
        <w:tc>
          <w:tcPr>
            <w:tcW w:w="25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720" w:type="dxa"/>
            <w:vAlign w:val="bottom"/>
          </w:tcPr>
          <w:p>
            <w:pPr>
              <w:spacing w:after="0"/>
              <w:rPr>
                <w:sz w:val="11"/>
                <w:szCs w:val="11"/>
                <w:color w:val="auto"/>
              </w:rPr>
            </w:pPr>
          </w:p>
        </w:tc>
      </w:tr>
      <w:tr>
        <w:trPr>
          <w:trHeight w:val="535"/>
        </w:trPr>
        <w:tc>
          <w:tcPr>
            <w:tcW w:w="2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color w:val="auto"/>
              </w:rPr>
              <w:t>19</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2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61"/>
        </w:trPr>
        <w:tc>
          <w:tcPr>
            <w:tcW w:w="250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-543560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-543560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-543560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-543560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-543560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-543560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-543560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-543560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-543560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-543560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-543560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-543560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-543560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-543560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-543560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-543560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-543560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December 16, 2009, the Company announced that its Board of Directors had authorized a program to purchase up to $20.0 of its Common Stock, from time to time as conditions allow, on the open market or through negotiated private transactions. During the nine months ended February 28, 2011, the Company repurchased 388,426 shares on the open market for approximately $9.7 at an average cost of $24.98 per share pursuant to this program.</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pursuant to a subsequent Board of Directors authorization, on November 3, 2010 the Company completed a modified Dutch auction tender offer. The Company accepted for purchase 5,199,699 of its common shares at a price of $30.00 per share for a total cost of $156.0, excluding related fees and expenses. The common shares purchased pursuant to the tender offer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 Fees for the modified Dutch auction tender offer were $1.2.</w:t>
      </w:r>
    </w:p>
    <w:p>
      <w:pPr>
        <w:spacing w:after="0" w:line="17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of February 28, 2011, $44.5 remains available for future purchases under the current Board of Directors authorizations, which purchases may be made from time to time as conditions allow, on the open market or in negotiated private transactions. The repurchase program may be suspended at any time without prior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45"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The accounting standard regarding fair value measurements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121"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64" w:lineRule="exact"/>
        <w:rPr>
          <w:sz w:val="20"/>
          <w:szCs w:val="20"/>
          <w:color w:val="auto"/>
        </w:rPr>
      </w:pPr>
    </w:p>
    <w:p>
      <w:pPr>
        <w:ind w:left="1840" w:hanging="454"/>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840" w:hanging="454"/>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920" w:right="120" w:hanging="453"/>
        <w:spacing w:after="0" w:line="275"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and debt, as well as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5,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16, “Derivatives and Hedging,” for a more complete description of fair value measurements employed.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Level 2 and Level 3 inputs are employed by the Company in the fair value measurement of these assets and liabilities. In fiscal 2010, the Company recognized impairments of indefinite-lived and long-lived assets and investments totaling $44.6. In fiscal 2011, the Company acquired certain assets in a business combination for $8.0, net of cash acquired. The Company utilized Level 3 fair value measurement inputs, using its own assumptions, including internally developed discounted cash flow forecasts, to determine the fair value of the assets acquired. See Note 8, “Goodwill and Other Intangibles,” for a discussion of the fair value measures employed in these asset impairment and acquisition analyses.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20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Company’s annual effective tax rate for the fiscal year ending May 31, 2011 is currently expected to be approximately 48%.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February 28, 2011, notwithstanding changes expected to result from the settlement of the IRS examination for fiscal years ended May 31, 2003 through 2006. However, actual developments can change these expectations, including the final terms of settlement of such audit.</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New York State for its fiscal years ended May 31, 2002 through 2004. It is possible that state and foreign tax examinations will be settled during the next twelve months. If any of these tax examinations are settled within that period, the Company will make any necessary adjustments to its unrecognized tax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Hedging</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losses of $1.0 were recognized at February 28, 2011 and unrealized gains of $0.6 were recognized at February 28, 2010,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On March 23, 2011, the Company announced that the Board of Directors declared a cash dividend of $0.10 per Class A and Common share. The dividend is payable on June 15, 2011 to shareholders of record as of April 29, 2011.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Revenues for the quarter ended February 28, 2011 were $393.7 million, a decrease of $5.1 million, compared to revenues of $398.8 million in the prior fiscal year quarter, driven by lower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and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segments, partially offset by higher revenues in the </w:t>
      </w: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and</w:t>
      </w:r>
      <w:r>
        <w:rPr>
          <w:rFonts w:ascii="Arial" w:cs="Arial" w:eastAsia="Arial" w:hAnsi="Arial"/>
          <w:sz w:val="16"/>
          <w:szCs w:val="16"/>
          <w:i w:val="1"/>
          <w:iCs w:val="1"/>
          <w:color w:val="auto"/>
        </w:rPr>
        <w:t xml:space="preserve"> Children’s Book Publishing and Distribution </w:t>
      </w:r>
      <w:r>
        <w:rPr>
          <w:rFonts w:ascii="Arial" w:cs="Arial" w:eastAsia="Arial" w:hAnsi="Arial"/>
          <w:sz w:val="16"/>
          <w:szCs w:val="16"/>
          <w:color w:val="auto"/>
        </w:rPr>
        <w:t>segments. The Company experienced lower revenues in</w:t>
      </w:r>
      <w:r>
        <w:rPr>
          <w:rFonts w:ascii="Arial" w:cs="Arial" w:eastAsia="Arial" w:hAnsi="Arial"/>
          <w:sz w:val="16"/>
          <w:szCs w:val="16"/>
          <w:i w:val="1"/>
          <w:iCs w:val="1"/>
          <w:color w:val="auto"/>
        </w:rPr>
        <w:t xml:space="preserve"> Educational Publishing </w:t>
      </w:r>
      <w:r>
        <w:rPr>
          <w:rFonts w:ascii="Arial" w:cs="Arial" w:eastAsia="Arial" w:hAnsi="Arial"/>
          <w:sz w:val="16"/>
          <w:szCs w:val="16"/>
          <w:color w:val="auto"/>
        </w:rPr>
        <w:t>in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as state and local budget issues caused school districts to reduce spending, including of federal stimulus funds, from which the Company had benefitted in the prior fiscal year period. Revenues were also down in the book club channel, where, while order volumes increased, teachers made greater use of discounts and promotions online. Partially offsetting these was an increase in the trade channel revenues driven by strong sales of Harry Potter and the Hunger Games series as well as lower returns, in the current fiscal year quarter.</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loss for the quarter ended February 28, 2011 was $25.1 million, compared to a net loss of $5.6 million in the prior fiscal year quarter. Consolidated loss per share was $0.81 versus a $0.15 loss per share in the prior fiscal year quarter. The greater loss in the current period primarily reflected lower sales of higher margin education technology compared to the prior fiscal year quarter and increased investment in digital initiatives relating to the Company’s children’s books ecommerce and ebook initiatives. Additionally, the Company recorded $3.5 million in bad debt expense related to the Border’s February bankruptcy filing. The third quarter is the Company’s second smallest revenue quarter, when it usually generates a net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Revenues for the nine months ended February 28, 2011 decreased by $14.2 million, to $1,360.3 million, compared to $1,374.5 million in the prior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period, primarily due to lower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Net income for the nine months ended February 28, 2011 was $14.6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$0.42 per diluted share, compared to $26.9 million, or $0.73 per diluted share, in the prior fiscal year period. The lower net income in the current fiscal year is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primarily to lower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and the increased spending on digital initiatives, as well as increased promotional expense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book club channel.</w:t>
      </w:r>
    </w:p>
    <w:p>
      <w:pPr>
        <w:spacing w:after="0" w:line="21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had total debt of $220.1 million at February 28, 2011, down from $265.3 million a year ago, and continued to maintain a strong balance sheet and free cash flow, while returning shareholder value through a modified Dutch auction tender offer completed in the second quarter of fiscal 2011.</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Based on the Company’s year-to-date results and its expectation of continued pressure on school funding and accelerated spending on digital initiatives during the balance of fiscal 2011, Scholastic now expects fiscal 2011 revenues of approximately $1.9 billion and earnings per diluted share from continuing operations in the range of $1.25 to $1.40, before the impact of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Revenues for the quarter ended February 28, 2011 decreased by $5.1 million, or 1.3%, to $393.7 million, compared to $398.8 million in the prior fiscal year quarter, driven by lower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of $6.7 million and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of $5.7 million, partially offset by higher 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of $6.4 million and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of $0.9 million. Revenues for the nine months ended February 28, 2011 decreased by $14.2 million to $1,360.3 million, compared to $1,374.5 million in the prior year fiscal period, primarily due to lower revenues of $57.8 million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partially offset by higher revenues in the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 of $16.1 million and the</w:t>
      </w:r>
      <w:r>
        <w:rPr>
          <w:rFonts w:ascii="Arial" w:cs="Arial" w:eastAsia="Arial" w:hAnsi="Arial"/>
          <w:sz w:val="16"/>
          <w:szCs w:val="16"/>
          <w:i w:val="1"/>
          <w:iCs w:val="1"/>
          <w:color w:val="auto"/>
        </w:rPr>
        <w:t xml:space="preserve"> International </w:t>
      </w:r>
      <w:r>
        <w:rPr>
          <w:rFonts w:ascii="Arial" w:cs="Arial" w:eastAsia="Arial" w:hAnsi="Arial"/>
          <w:sz w:val="16"/>
          <w:szCs w:val="16"/>
          <w:color w:val="auto"/>
        </w:rPr>
        <w:t>segment of $27.7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Cost of goods sold as a percentage of revenue for the quarter ended February 28, 2011 increased to 50.9%, compared to 48.9% in the prior fiscal year quarter. Cost of goods sold as a percentage of revenue for the nine months ended February 28, 2011 increased to 47.3%, compared to 45.6% in the prior fiscal year period. The increase in both periods is primarily related to higher product, fulfillment and postage costs attributable to increased promotional activities in the Company’s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 The components of Cost of goods sold for the three and nine months ended February 28, 2011 and 2010</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tcPr>
          <w:p>
            <w:pPr>
              <w:spacing w:after="0"/>
              <w:rPr>
                <w:sz w:val="19"/>
                <w:szCs w:val="19"/>
                <w:color w:val="auto"/>
              </w:rPr>
            </w:pPr>
          </w:p>
        </w:tc>
        <w:tc>
          <w:tcPr>
            <w:tcW w:w="3700" w:type="dxa"/>
            <w:vAlign w:val="bottom"/>
            <w:gridSpan w:val="4"/>
          </w:tcPr>
          <w:p>
            <w:pPr>
              <w:jc w:val="right"/>
              <w:ind w:right="172"/>
              <w:spacing w:after="0"/>
              <w:rPr>
                <w:sz w:val="20"/>
                <w:szCs w:val="20"/>
                <w:color w:val="auto"/>
              </w:rPr>
            </w:pPr>
            <w:r>
              <w:rPr>
                <w:rFonts w:ascii="Arial" w:cs="Arial" w:eastAsia="Arial" w:hAnsi="Arial"/>
                <w:sz w:val="18"/>
                <w:szCs w:val="18"/>
                <w:b w:val="1"/>
                <w:bCs w:val="1"/>
                <w:i w:val="1"/>
                <w:iCs w:val="1"/>
                <w:color w:val="auto"/>
              </w:rPr>
              <w:t>Three months ended February 28,</w:t>
            </w:r>
          </w:p>
        </w:tc>
        <w:tc>
          <w:tcPr>
            <w:tcW w:w="260" w:type="dxa"/>
            <w:vAlign w:val="bottom"/>
          </w:tcPr>
          <w:p>
            <w:pPr>
              <w:spacing w:after="0"/>
              <w:rPr>
                <w:sz w:val="19"/>
                <w:szCs w:val="19"/>
                <w:color w:val="auto"/>
              </w:rPr>
            </w:pPr>
          </w:p>
        </w:tc>
        <w:tc>
          <w:tcPr>
            <w:tcW w:w="2640" w:type="dxa"/>
            <w:vAlign w:val="bottom"/>
            <w:gridSpan w:val="3"/>
          </w:tcPr>
          <w:p>
            <w:pPr>
              <w:jc w:val="right"/>
              <w:ind w:right="152"/>
              <w:spacing w:after="0"/>
              <w:rPr>
                <w:sz w:val="20"/>
                <w:szCs w:val="20"/>
                <w:color w:val="auto"/>
              </w:rPr>
            </w:pPr>
            <w:r>
              <w:rPr>
                <w:rFonts w:ascii="Arial" w:cs="Arial" w:eastAsia="Arial" w:hAnsi="Arial"/>
                <w:sz w:val="18"/>
                <w:szCs w:val="18"/>
                <w:b w:val="1"/>
                <w:bCs w:val="1"/>
                <w:i w:val="1"/>
                <w:iCs w:val="1"/>
                <w:color w:val="auto"/>
                <w:w w:val="85"/>
              </w:rPr>
              <w:t>Nine months ended February 28,</w:t>
            </w:r>
          </w:p>
        </w:tc>
      </w:tr>
      <w:tr>
        <w:trPr>
          <w:trHeight w:val="110"/>
        </w:trPr>
        <w:tc>
          <w:tcPr>
            <w:tcW w:w="48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8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2010</w:t>
            </w:r>
          </w:p>
        </w:tc>
      </w:tr>
      <w:tr>
        <w:trPr>
          <w:trHeight w:val="110"/>
        </w:trPr>
        <w:tc>
          <w:tcPr>
            <w:tcW w:w="48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484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16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107.6</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365.0</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364.3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Royalty costs</w:t>
            </w:r>
          </w:p>
        </w:tc>
        <w:tc>
          <w:tcPr>
            <w:tcW w:w="166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68.4</w:t>
            </w:r>
          </w:p>
        </w:tc>
        <w:tc>
          <w:tcPr>
            <w:tcW w:w="4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166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36.6</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166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60.1</w:t>
            </w:r>
          </w:p>
        </w:tc>
        <w:tc>
          <w:tcPr>
            <w:tcW w:w="42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175.4</w:t>
            </w: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156.5</w:t>
            </w:r>
          </w:p>
        </w:tc>
      </w:tr>
      <w:tr>
        <w:trPr>
          <w:trHeight w:val="110"/>
        </w:trPr>
        <w:tc>
          <w:tcPr>
            <w:tcW w:w="48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200.2</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195.2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644.1</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627.1</w:t>
            </w:r>
          </w:p>
        </w:tc>
      </w:tr>
      <w:tr>
        <w:trPr>
          <w:trHeight w:val="110"/>
        </w:trPr>
        <w:tc>
          <w:tcPr>
            <w:tcW w:w="48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Selling, general and administrative expenses increased to $203.0 million in the quarter, or 51.6% of revenue, compared to $185.1 million, or 46.4% of revenue, in the prior fiscal year quarter. Selling, general and administrative expenses for the nine months ended February 28, 2011 were $605.9 million, or 44.5% of revenue, compared to $577.1 million, or 42.0% of revenue, in the prior fiscal year period. The increases over the prior periods are primarily due to increased technology spending on digital growth initiatives, as well as higher promotional expense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Bad debt expense increased by $3.8 million, to $6.7 million, for the quarter ended February 28, 2011, compared to $2.9 million in the prior fiscal year quarter, and by $3.2 million, to $12.6 million, for the nine months ended February 28, 2011, compared to $9.4 million in the prior fiscal year period, in each case primarily related to higher bad debt expense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related to the Borders’ February bankruptcy filing in the current fiscal year quarter. Total bad debt expense associated with this customer was $3.5 million in both the current fiscal year quarter and fiscal year period.</w:t>
      </w:r>
    </w:p>
    <w:p>
      <w:pPr>
        <w:spacing w:after="0" w:line="16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prior year nine month period reflects a non-cash charge of $40.1 million, of which $36.3 million was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impairment of intangible assets and prepublication costs associated with print publishing for libraries and $3.8 million was for a non-cash impairment charge in the </w:t>
      </w: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segment related to a customer list acquired in connection with the dissolution of a joint venture.</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Severance expense decreased slightly to $1.2 million for the quarter ended February 28, 2011, compared to $1.9 million in the prior fiscal year quarter. For the nine months ended February 28, 2011, severance expense decreased by $3.0 million, to $4.3 million, compared to $7.3 million in the prior fiscal year period when the Company was implementing a cost reduction program.</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resulting operating loss for the quarter ended February 28, 2011 was $31.9 million, compared to an operating loss of $0.5 million in the prior fiscal year quarter. For the nine months ended February 28, 2011, the resulting operating income was $50.0 million, compared to operating income of $69.8 million in the prior fiscal year period.</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interest expense decreased by $0.1 million, to $3.9 million, in the quarter ended February 28, 2011, compared to $4.0 million in the prior fiscal year quarter. For the nine months ended February 28, 2011, net interest expense decreased by $0.5 million, to $11.7 million, compared to $12.2 million in the prior fiscal year period. Both decreases were due to lower average borrowings.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effective tax rates were 29.3% and 28.3% for the fiscal quarters ended February 28, 2011 and 2010, respectively. Significant factors that impact the effective tax rate include changes in the Company’s assessment of certain tax contingencies and the mix of earnings among the Company’s U.S. and international operations.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Loss from continuing operations was $25.3 million, or $0.81 per share, for the quarter ended February 28, 2011, compared to a loss of $4.3 million, or $0.12 per share, for the prior fiscal year quarter. For the nine months ended February 28, 2011, earnings from continuing operations were $17.4 million, or $0.50 per diluted share, compared to $27.9 million, or $0.75 per diluted share, in the prior fiscal year period.</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Earnings from discontinued operations, net of tax, was $0.2 million, or less than $0.01 per diluted share, for the quarter ended February 28, 2011, compared to a loss of $1.3 million, or $0.03 per share, for the prior fiscal year quarter. Loss from discontinued operations for the nine months ended February 28, 2011 was $2.8 million, or $0.08 per share, compared to a loss from discontinued operations of $1.0 million, or $0.02 per share, for the prior fiscal year period. The results of discontinued operations for the nine months ended February 28, 2011 includes a charge associated with the partial settlement of the pension plan of Grolier Limited, a Canadian entity in the continuities business, of $3.6 million.</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loss was $25.1 million, or $0.81 per share, for the quarter ended February 28, 2011, compared to a net loss of $5.6 million, or $0.15 per share, in the prior fiscal year quarter. Net earnings were $14.6 million, or $0.42 per diluted share, for the nine months ended February 28, 2011, compared to net earnings of $26.9 million, or $0.73 per diluted share, in the prior fiscal year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20"/>
                <w:szCs w:val="20"/>
                <w:color w:val="auto"/>
              </w:rPr>
            </w:pPr>
            <w:r>
              <w:rPr>
                <w:rFonts w:ascii="Arial" w:cs="Arial" w:eastAsia="Arial" w:hAnsi="Arial"/>
                <w:sz w:val="18"/>
                <w:szCs w:val="18"/>
                <w:b w:val="1"/>
                <w:bCs w:val="1"/>
                <w:color w:val="auto"/>
              </w:rPr>
              <w:t>Results of Continuing Operations</w:t>
            </w:r>
          </w:p>
        </w:tc>
        <w:tc>
          <w:tcPr>
            <w:tcW w:w="1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9"/>
        </w:trPr>
        <w:tc>
          <w:tcPr>
            <w:tcW w:w="4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20" w:type="dxa"/>
            <w:vAlign w:val="bottom"/>
            <w:gridSpan w:val="3"/>
          </w:tcPr>
          <w:p>
            <w:pPr>
              <w:jc w:val="center"/>
              <w:ind w:right="37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300" w:type="dxa"/>
            <w:vAlign w:val="bottom"/>
          </w:tcPr>
          <w:p>
            <w:pPr>
              <w:spacing w:after="0"/>
              <w:rPr>
                <w:sz w:val="24"/>
                <w:szCs w:val="24"/>
                <w:color w:val="auto"/>
              </w:rPr>
            </w:pPr>
          </w:p>
        </w:tc>
        <w:tc>
          <w:tcPr>
            <w:tcW w:w="2400" w:type="dxa"/>
            <w:vAlign w:val="bottom"/>
            <w:gridSpan w:val="3"/>
          </w:tcPr>
          <w:p>
            <w:pPr>
              <w:jc w:val="center"/>
              <w:ind w:right="332"/>
              <w:spacing w:after="0"/>
              <w:rPr>
                <w:sz w:val="20"/>
                <w:szCs w:val="20"/>
                <w:color w:val="auto"/>
              </w:rPr>
            </w:pPr>
            <w:r>
              <w:rPr>
                <w:rFonts w:ascii="Arial" w:cs="Arial" w:eastAsia="Arial" w:hAnsi="Arial"/>
                <w:sz w:val="18"/>
                <w:szCs w:val="18"/>
                <w:b w:val="1"/>
                <w:bCs w:val="1"/>
                <w:i w:val="1"/>
                <w:iCs w:val="1"/>
                <w:color w:val="auto"/>
                <w:w w:val="84"/>
              </w:rPr>
              <w:t>Nine months ended</w:t>
            </w:r>
          </w:p>
        </w:tc>
      </w:tr>
      <w:tr>
        <w:trPr>
          <w:trHeight w:val="222"/>
        </w:trPr>
        <w:tc>
          <w:tcPr>
            <w:tcW w:w="46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640" w:type="dxa"/>
            <w:vAlign w:val="bottom"/>
          </w:tcPr>
          <w:p>
            <w:pPr>
              <w:spacing w:after="0"/>
              <w:rPr>
                <w:sz w:val="19"/>
                <w:szCs w:val="19"/>
                <w:color w:val="auto"/>
              </w:rPr>
            </w:pPr>
          </w:p>
        </w:tc>
        <w:tc>
          <w:tcPr>
            <w:tcW w:w="146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9"/>
              </w:rPr>
              <w:t>February 28,</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7"/>
              </w:rPr>
              <w:t>February 28,</w:t>
            </w:r>
          </w:p>
        </w:tc>
        <w:tc>
          <w:tcPr>
            <w:tcW w:w="920" w:type="dxa"/>
            <w:vAlign w:val="bottom"/>
          </w:tcPr>
          <w:p>
            <w:pPr>
              <w:spacing w:after="0"/>
              <w:rPr>
                <w:sz w:val="19"/>
                <w:szCs w:val="19"/>
                <w:color w:val="auto"/>
              </w:rPr>
            </w:pPr>
          </w:p>
        </w:tc>
      </w:tr>
      <w:tr>
        <w:trPr>
          <w:trHeight w:val="110"/>
        </w:trPr>
        <w:tc>
          <w:tcPr>
            <w:tcW w:w="4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4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2010</w:t>
            </w:r>
          </w:p>
        </w:tc>
      </w:tr>
      <w:tr>
        <w:trPr>
          <w:trHeight w:val="110"/>
        </w:trPr>
        <w:tc>
          <w:tcPr>
            <w:tcW w:w="4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193.0</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192.1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653.2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637.1</w:t>
            </w:r>
          </w:p>
        </w:tc>
      </w:tr>
      <w:tr>
        <w:trPr>
          <w:trHeight w:val="365"/>
        </w:trPr>
        <w:tc>
          <w:tcPr>
            <w:tcW w:w="4680" w:type="dxa"/>
            <w:vAlign w:val="bottom"/>
          </w:tcPr>
          <w:p>
            <w:pPr>
              <w:spacing w:after="0"/>
              <w:rPr>
                <w:sz w:val="20"/>
                <w:szCs w:val="20"/>
                <w:color w:val="auto"/>
              </w:rPr>
            </w:pPr>
            <w:r>
              <w:rPr>
                <w:rFonts w:ascii="Arial" w:cs="Arial" w:eastAsia="Arial" w:hAnsi="Arial"/>
                <w:sz w:val="18"/>
                <w:szCs w:val="18"/>
                <w:color w:val="auto"/>
              </w:rPr>
              <w:t>Operating (loss) income</w:t>
            </w:r>
          </w:p>
        </w:tc>
        <w:tc>
          <w:tcPr>
            <w:tcW w:w="164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67.2</w:t>
            </w:r>
          </w:p>
        </w:tc>
      </w:tr>
      <w:tr>
        <w:trPr>
          <w:trHeight w:val="110"/>
        </w:trPr>
        <w:tc>
          <w:tcPr>
            <w:tcW w:w="4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64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5.6%</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432"/>
        </w:trPr>
        <w:tc>
          <w:tcPr>
            <w:tcW w:w="468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February 28, 2011 increased by $0.9 million, or 0.5%, to $193.0 million, compared to $192.1 million in the prior fiscal year quarter. The increase is principally related to increased revenues in the Company’s trade channel, driven primarily by higher sales of core titles, including the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titles, The Hunger Games series and higher sales of e-books, as well as decreased returns. This was partially offset by lower revenues in the book club channel due to lower revenue per order, partially mitigated by a higher number of orders in the quarter. Revenues from School Book Fairs declined slightly, as adverse winter weather resulted in fair cancellations, most of which have been rescheduled for the spring. Revenues for the nine months ended February 28, 2011 increased by $16.1 million, or 2.5%, to $653.2 million, compared to $637.1 million in the prior fiscal year period. This increase is related to higher revenues in the Company’s trade channel, due to strong core sales, driven by Suzanne Collins’ The Hunger Games series, and decreased returns.</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Segment operating income for the quarter ended February 28, 2011 decreased by $16.1 million to a loss of $9.2 million, compared to operating income of $6.9 million in the prior fiscal year quarter, primarily related to increased promotional expense in the Company’s book club channel and increased expenditures related to the Company’s digital initiatives as well as higher bad debt expense of $3.5 million related to the Borders’ bankruptcy filing. Segment operating income for the nine months ended February 28, 2011 decreased by $30.7 million to $36.5 million, compared to $67.2 million in the prior fiscal year period, principally due to increased expenditures related to the Company’s children’s books digital, e-commerce and e-book initiatives. In addition, the Company had higher promotional expense in the book club channel and the bad debt expense related to Borders.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9"/>
        </w:trPr>
        <w:tc>
          <w:tcPr>
            <w:tcW w:w="3940" w:type="dxa"/>
            <w:vAlign w:val="bottom"/>
          </w:tcPr>
          <w:p>
            <w:pPr>
              <w:spacing w:after="0"/>
              <w:rPr>
                <w:sz w:val="24"/>
                <w:szCs w:val="24"/>
                <w:color w:val="auto"/>
              </w:rPr>
            </w:pPr>
          </w:p>
        </w:tc>
        <w:tc>
          <w:tcPr>
            <w:tcW w:w="4340" w:type="dxa"/>
            <w:vAlign w:val="bottom"/>
            <w:gridSpan w:val="3"/>
          </w:tcPr>
          <w:p>
            <w:pPr>
              <w:jc w:val="center"/>
              <w:ind w:left="2472"/>
              <w:spacing w:after="0"/>
              <w:rPr>
                <w:sz w:val="20"/>
                <w:szCs w:val="20"/>
                <w:color w:val="auto"/>
              </w:rPr>
            </w:pPr>
            <w:r>
              <w:rPr>
                <w:rFonts w:ascii="Arial" w:cs="Arial" w:eastAsia="Arial" w:hAnsi="Arial"/>
                <w:sz w:val="18"/>
                <w:szCs w:val="18"/>
                <w:b w:val="1"/>
                <w:bCs w:val="1"/>
                <w:i w:val="1"/>
                <w:iCs w:val="1"/>
                <w:color w:val="auto"/>
                <w:w w:val="84"/>
              </w:rPr>
              <w:t>Three months ended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3"/>
          </w:tcPr>
          <w:p>
            <w:pPr>
              <w:jc w:val="right"/>
              <w:ind w:right="652"/>
              <w:spacing w:after="0"/>
              <w:rPr>
                <w:sz w:val="20"/>
                <w:szCs w:val="20"/>
                <w:color w:val="auto"/>
              </w:rPr>
            </w:pPr>
            <w:r>
              <w:rPr>
                <w:rFonts w:ascii="Arial" w:cs="Arial" w:eastAsia="Arial" w:hAnsi="Arial"/>
                <w:sz w:val="18"/>
                <w:szCs w:val="18"/>
                <w:b w:val="1"/>
                <w:bCs w:val="1"/>
                <w:i w:val="1"/>
                <w:iCs w:val="1"/>
                <w:color w:val="auto"/>
                <w:w w:val="98"/>
              </w:rPr>
              <w:t>Nine months ended</w:t>
            </w:r>
          </w:p>
        </w:tc>
      </w:tr>
      <w:tr>
        <w:trPr>
          <w:trHeight w:val="222"/>
        </w:trPr>
        <w:tc>
          <w:tcPr>
            <w:tcW w:w="39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940" w:type="dxa"/>
            <w:vAlign w:val="bottom"/>
          </w:tcPr>
          <w:p>
            <w:pPr>
              <w:spacing w:after="0"/>
              <w:rPr>
                <w:sz w:val="19"/>
                <w:szCs w:val="19"/>
                <w:color w:val="auto"/>
              </w:rPr>
            </w:pPr>
          </w:p>
        </w:tc>
        <w:tc>
          <w:tcPr>
            <w:tcW w:w="1400" w:type="dxa"/>
            <w:vAlign w:val="bottom"/>
            <w:gridSpan w:val="2"/>
          </w:tcPr>
          <w:p>
            <w:pPr>
              <w:jc w:val="center"/>
              <w:ind w:right="292"/>
              <w:spacing w:after="0"/>
              <w:rPr>
                <w:sz w:val="20"/>
                <w:szCs w:val="20"/>
                <w:color w:val="auto"/>
              </w:rPr>
            </w:pPr>
            <w:r>
              <w:rPr>
                <w:rFonts w:ascii="Arial" w:cs="Arial" w:eastAsia="Arial" w:hAnsi="Arial"/>
                <w:sz w:val="18"/>
                <w:szCs w:val="18"/>
                <w:b w:val="1"/>
                <w:bCs w:val="1"/>
                <w:i w:val="1"/>
                <w:iCs w:val="1"/>
                <w:color w:val="auto"/>
                <w:w w:val="87"/>
              </w:rPr>
              <w:t>February 28,</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3"/>
          </w:tcPr>
          <w:p>
            <w:pPr>
              <w:jc w:val="right"/>
              <w:ind w:right="872"/>
              <w:spacing w:after="0"/>
              <w:rPr>
                <w:sz w:val="20"/>
                <w:szCs w:val="20"/>
                <w:color w:val="auto"/>
              </w:rPr>
            </w:pPr>
            <w:r>
              <w:rPr>
                <w:rFonts w:ascii="Arial" w:cs="Arial" w:eastAsia="Arial" w:hAnsi="Arial"/>
                <w:sz w:val="18"/>
                <w:szCs w:val="18"/>
                <w:b w:val="1"/>
                <w:bCs w:val="1"/>
                <w:i w:val="1"/>
                <w:iCs w:val="1"/>
                <w:color w:val="auto"/>
              </w:rPr>
              <w:t>February 28,</w:t>
            </w:r>
          </w:p>
        </w:tc>
      </w:tr>
      <w:tr>
        <w:trPr>
          <w:trHeight w:val="110"/>
        </w:trPr>
        <w:tc>
          <w:tcPr>
            <w:tcW w:w="394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39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4"/>
                <w:szCs w:val="24"/>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b w:val="1"/>
                <w:bCs w:val="1"/>
                <w:color w:val="auto"/>
              </w:rPr>
              <w:t>2010</w:t>
            </w:r>
          </w:p>
        </w:tc>
      </w:tr>
      <w:tr>
        <w:trPr>
          <w:trHeight w:val="110"/>
        </w:trPr>
        <w:tc>
          <w:tcPr>
            <w:tcW w:w="394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3940" w:type="dxa"/>
            <w:vAlign w:val="bottom"/>
          </w:tcPr>
          <w:p>
            <w:pPr>
              <w:spacing w:after="0"/>
              <w:rPr>
                <w:sz w:val="20"/>
                <w:szCs w:val="20"/>
                <w:color w:val="auto"/>
              </w:rPr>
            </w:pPr>
            <w:r>
              <w:rPr>
                <w:rFonts w:ascii="Arial" w:cs="Arial" w:eastAsia="Arial" w:hAnsi="Arial"/>
                <w:sz w:val="18"/>
                <w:szCs w:val="18"/>
                <w:color w:val="auto"/>
              </w:rPr>
              <w:t>Revenues</w:t>
            </w:r>
          </w:p>
        </w:tc>
        <w:tc>
          <w:tcPr>
            <w:tcW w:w="29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81.3</w:t>
            </w:r>
          </w:p>
        </w:tc>
        <w:tc>
          <w:tcPr>
            <w:tcW w:w="86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w w:val="91"/>
              </w:rPr>
              <w:t>88.0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301.5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359.3</w:t>
            </w:r>
          </w:p>
        </w:tc>
      </w:tr>
      <w:tr>
        <w:trPr>
          <w:trHeight w:val="365"/>
        </w:trPr>
        <w:tc>
          <w:tcPr>
            <w:tcW w:w="3940" w:type="dxa"/>
            <w:vAlign w:val="bottom"/>
          </w:tcPr>
          <w:p>
            <w:pPr>
              <w:spacing w:after="0"/>
              <w:rPr>
                <w:sz w:val="20"/>
                <w:szCs w:val="20"/>
                <w:color w:val="auto"/>
              </w:rPr>
            </w:pPr>
            <w:r>
              <w:rPr>
                <w:rFonts w:ascii="Arial" w:cs="Arial" w:eastAsia="Arial" w:hAnsi="Arial"/>
                <w:sz w:val="18"/>
                <w:szCs w:val="18"/>
                <w:color w:val="auto"/>
              </w:rPr>
              <w:t>Operating (loss) income</w:t>
            </w:r>
          </w:p>
        </w:tc>
        <w:tc>
          <w:tcPr>
            <w:tcW w:w="29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w w:val="97"/>
              </w:rPr>
              <w:t>(2.7)</w:t>
            </w:r>
          </w:p>
        </w:tc>
        <w:tc>
          <w:tcPr>
            <w:tcW w:w="86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45.5</w:t>
            </w:r>
          </w:p>
        </w:tc>
      </w:tr>
      <w:tr>
        <w:trPr>
          <w:trHeight w:val="110"/>
        </w:trPr>
        <w:tc>
          <w:tcPr>
            <w:tcW w:w="394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39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432"/>
        </w:trPr>
        <w:tc>
          <w:tcPr>
            <w:tcW w:w="394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for the quarter ended February 28, 2011 decreased by $6.7 million, or 7.6%, to $81.3 million, compared to $88.0 million in the prior fiscal year quarter. This decrease was principally driven by lower sales of educational technology compared to the prior fiscal year period as well as lower revenues in the Company’s classroom and library businesses in the current period, as the Company experienced a significant change in the school funding environment in fiscal 2011 compared to fiscal 2010. The decrease was partially offset by incremental revenues of $1.9 million from the recently acquired Math Solutions business in the current fiscal quarter. Revenues for the nine months ended February 28, 2011 decreased by $57.8 million, or 16.1%, to $301.5 million, compared to $359.3 million in the prior fiscal year period, primarily due to the strong level of educational technology sales in the prior year period, as well as lower school classroom and library revenues in the current period, partially offset by incremental revenues of $4.1 million from the Math Solutions business.</w:t>
      </w:r>
    </w:p>
    <w:p>
      <w:pPr>
        <w:spacing w:after="0" w:line="1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Segment operating income for the quarter ended February 28, 2011 decreased by $11.0 million, to a loss of $2.7 million, compared to operating income of $8.3 million in the prior fiscal year quarter, primarily driven by the lower revenues in the Company’s educational technology business. Segment operating income for the nine months ended February 28, 2011 decreased by $8.7 million, to $36.8 million, from $45.5 million in the prior fiscal year period, primarily due to lower revenues in the Company’s technology business, as discussed above, partially offset by the prior year’s impairment charge of $36.3 million recognized by the Company in connection with its decision to consolidate supplemental non-fiction and library publishing activities.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9"/>
        </w:trPr>
        <w:tc>
          <w:tcPr>
            <w:tcW w:w="3900" w:type="dxa"/>
            <w:vAlign w:val="bottom"/>
          </w:tcPr>
          <w:p>
            <w:pPr>
              <w:spacing w:after="0"/>
              <w:rPr>
                <w:sz w:val="24"/>
                <w:szCs w:val="24"/>
                <w:color w:val="auto"/>
              </w:rPr>
            </w:pPr>
          </w:p>
        </w:tc>
        <w:tc>
          <w:tcPr>
            <w:tcW w:w="4260" w:type="dxa"/>
            <w:vAlign w:val="bottom"/>
            <w:gridSpan w:val="3"/>
          </w:tcPr>
          <w:p>
            <w:pPr>
              <w:jc w:val="center"/>
              <w:ind w:left="245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center"/>
              <w:ind w:right="332"/>
              <w:spacing w:after="0"/>
              <w:rPr>
                <w:sz w:val="20"/>
                <w:szCs w:val="20"/>
                <w:color w:val="auto"/>
              </w:rPr>
            </w:pPr>
            <w:r>
              <w:rPr>
                <w:rFonts w:ascii="Arial" w:cs="Arial" w:eastAsia="Arial" w:hAnsi="Arial"/>
                <w:sz w:val="18"/>
                <w:szCs w:val="18"/>
                <w:b w:val="1"/>
                <w:bCs w:val="1"/>
                <w:i w:val="1"/>
                <w:iCs w:val="1"/>
                <w:color w:val="auto"/>
                <w:w w:val="84"/>
              </w:rPr>
              <w:t>Nine months ended</w:t>
            </w:r>
          </w:p>
        </w:tc>
      </w:tr>
      <w:tr>
        <w:trPr>
          <w:trHeight w:val="222"/>
        </w:trPr>
        <w:tc>
          <w:tcPr>
            <w:tcW w:w="39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900" w:type="dxa"/>
            <w:vAlign w:val="bottom"/>
          </w:tcPr>
          <w:p>
            <w:pPr>
              <w:spacing w:after="0"/>
              <w:rPr>
                <w:sz w:val="19"/>
                <w:szCs w:val="19"/>
                <w:color w:val="auto"/>
              </w:rPr>
            </w:pPr>
          </w:p>
        </w:tc>
        <w:tc>
          <w:tcPr>
            <w:tcW w:w="1360" w:type="dxa"/>
            <w:vAlign w:val="bottom"/>
            <w:gridSpan w:val="2"/>
          </w:tcPr>
          <w:p>
            <w:pPr>
              <w:jc w:val="center"/>
              <w:ind w:right="272"/>
              <w:spacing w:after="0"/>
              <w:rPr>
                <w:sz w:val="20"/>
                <w:szCs w:val="20"/>
                <w:color w:val="auto"/>
              </w:rPr>
            </w:pPr>
            <w:r>
              <w:rPr>
                <w:rFonts w:ascii="Arial" w:cs="Arial" w:eastAsia="Arial" w:hAnsi="Arial"/>
                <w:sz w:val="18"/>
                <w:szCs w:val="18"/>
                <w:b w:val="1"/>
                <w:bCs w:val="1"/>
                <w:i w:val="1"/>
                <w:iCs w:val="1"/>
                <w:color w:val="auto"/>
                <w:w w:val="89"/>
              </w:rPr>
              <w:t>February 28,</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7"/>
              </w:rPr>
              <w:t>February 28,</w:t>
            </w:r>
          </w:p>
        </w:tc>
        <w:tc>
          <w:tcPr>
            <w:tcW w:w="920" w:type="dxa"/>
            <w:vAlign w:val="bottom"/>
          </w:tcPr>
          <w:p>
            <w:pPr>
              <w:spacing w:after="0"/>
              <w:rPr>
                <w:sz w:val="19"/>
                <w:szCs w:val="19"/>
                <w:color w:val="auto"/>
              </w:rPr>
            </w:pPr>
          </w:p>
        </w:tc>
      </w:tr>
      <w:tr>
        <w:trPr>
          <w:trHeight w:val="110"/>
        </w:trPr>
        <w:tc>
          <w:tcPr>
            <w:tcW w:w="39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390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2010</w:t>
            </w:r>
          </w:p>
        </w:tc>
      </w:tr>
      <w:tr>
        <w:trPr>
          <w:trHeight w:val="110"/>
        </w:trPr>
        <w:tc>
          <w:tcPr>
            <w:tcW w:w="39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3900" w:type="dxa"/>
            <w:vAlign w:val="bottom"/>
          </w:tcPr>
          <w:p>
            <w:pPr>
              <w:spacing w:after="0"/>
              <w:rPr>
                <w:sz w:val="20"/>
                <w:szCs w:val="20"/>
                <w:color w:val="auto"/>
              </w:rPr>
            </w:pPr>
            <w:r>
              <w:rPr>
                <w:rFonts w:ascii="Arial" w:cs="Arial" w:eastAsia="Arial" w:hAnsi="Arial"/>
                <w:sz w:val="18"/>
                <w:szCs w:val="18"/>
                <w:color w:val="auto"/>
              </w:rPr>
              <w:t>Revenues</w:t>
            </w:r>
          </w:p>
        </w:tc>
        <w:tc>
          <w:tcPr>
            <w:tcW w:w="29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95.1</w:t>
            </w:r>
          </w:p>
        </w:tc>
        <w:tc>
          <w:tcPr>
            <w:tcW w:w="84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88.7</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322.9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295.2</w:t>
            </w:r>
          </w:p>
        </w:tc>
      </w:tr>
      <w:tr>
        <w:trPr>
          <w:trHeight w:val="365"/>
        </w:trPr>
        <w:tc>
          <w:tcPr>
            <w:tcW w:w="39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90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(1.4)</w:t>
            </w:r>
          </w:p>
        </w:tc>
        <w:tc>
          <w:tcPr>
            <w:tcW w:w="84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(0.2)</w:t>
            </w:r>
          </w:p>
        </w:tc>
        <w:tc>
          <w:tcPr>
            <w:tcW w:w="36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12.7</w:t>
            </w:r>
          </w:p>
        </w:tc>
      </w:tr>
      <w:tr>
        <w:trPr>
          <w:trHeight w:val="110"/>
        </w:trPr>
        <w:tc>
          <w:tcPr>
            <w:tcW w:w="39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39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90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6.7%</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32"/>
        </w:trPr>
        <w:tc>
          <w:tcPr>
            <w:tcW w:w="390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1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February 28, 2011 increased by $6.4 million, or 7.2%, to $95.1 million, compared to $88.7 million in the prior fiscal year quarter, primarily due to the favorable impact of foreign currency exchange rates of $5.2 million and an increase in revenue of $3.2 million in the Company’s Canadian and Australian operations. Revenues for the nine months ended February 28, 2011 increased by $27.7 million, or 9.4%, to $322.9 million, compared to $295.2 million during the prior fiscal year period, primarily due to the favorable impact of foreign currency exchange rates of $14.2 million, as well as higher revenues of $13.6 million in the Company’s Australian and Canadian operations.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Segment operating loss for the quarter ended February 28, 2011 increased by $1.2 million to a loss of $1.4 million, compared to a loss of $0.2 million in the prior fiscal year quarter, primarily due to lower foreign rights revenues and higher general expenses partially offset by stronger Australian operations results. The current year quarter includes restructuring costs of $1.8 million related to the consolidation of distribution facilities in the UK, compared to the prior fiscal year quarter UK restructuring costs of $2.4 million. Segment operating income for the nine months ended February 28, 2011 increased by $9.0 million, to $21.7 million, compared to $12.7 million in the prior fiscal year period, primarily due to the increased revenues in the Company’s Canadian and Australian operations, which have experienced strong results in their trade distribution channels. The nine months ended February 28, 2011 include restructuring costs of $3.0 million in the UK. In the prior fiscal year period, the Company recognized an impairment charge of $3.8 million related to customer lists acquired in connection with the dissolution of a joint venture in the UK, as well as restructuring costs of $3.9 million related to the consolidation of UK distribution facilities.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39"/>
        </w:trPr>
        <w:tc>
          <w:tcPr>
            <w:tcW w:w="4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gridSpan w:val="3"/>
          </w:tcPr>
          <w:p>
            <w:pPr>
              <w:jc w:val="right"/>
              <w:ind w:right="412"/>
              <w:spacing w:after="0"/>
              <w:rPr>
                <w:sz w:val="20"/>
                <w:szCs w:val="20"/>
                <w:color w:val="auto"/>
              </w:rPr>
            </w:pPr>
            <w:r>
              <w:rPr>
                <w:rFonts w:ascii="Arial" w:cs="Arial" w:eastAsia="Arial" w:hAnsi="Arial"/>
                <w:sz w:val="18"/>
                <w:szCs w:val="18"/>
                <w:b w:val="1"/>
                <w:bCs w:val="1"/>
                <w:i w:val="1"/>
                <w:iCs w:val="1"/>
                <w:color w:val="auto"/>
                <w:w w:val="91"/>
              </w:rPr>
              <w:t>Three months ended</w:t>
            </w:r>
          </w:p>
        </w:tc>
        <w:tc>
          <w:tcPr>
            <w:tcW w:w="300" w:type="dxa"/>
            <w:vAlign w:val="bottom"/>
          </w:tcPr>
          <w:p>
            <w:pPr>
              <w:spacing w:after="0"/>
              <w:rPr>
                <w:sz w:val="24"/>
                <w:szCs w:val="24"/>
                <w:color w:val="auto"/>
              </w:rPr>
            </w:pPr>
          </w:p>
        </w:tc>
        <w:tc>
          <w:tcPr>
            <w:tcW w:w="2200" w:type="dxa"/>
            <w:vAlign w:val="bottom"/>
            <w:gridSpan w:val="3"/>
          </w:tcPr>
          <w:p>
            <w:pPr>
              <w:jc w:val="right"/>
              <w:ind w:right="492"/>
              <w:spacing w:after="0"/>
              <w:rPr>
                <w:sz w:val="20"/>
                <w:szCs w:val="20"/>
                <w:color w:val="auto"/>
              </w:rPr>
            </w:pPr>
            <w:r>
              <w:rPr>
                <w:rFonts w:ascii="Arial" w:cs="Arial" w:eastAsia="Arial" w:hAnsi="Arial"/>
                <w:sz w:val="18"/>
                <w:szCs w:val="18"/>
                <w:b w:val="1"/>
                <w:bCs w:val="1"/>
                <w:i w:val="1"/>
                <w:iCs w:val="1"/>
                <w:color w:val="auto"/>
                <w:w w:val="95"/>
              </w:rPr>
              <w:t>Nine months ended</w:t>
            </w:r>
          </w:p>
        </w:tc>
      </w:tr>
      <w:tr>
        <w:trPr>
          <w:trHeight w:val="222"/>
        </w:trPr>
        <w:tc>
          <w:tcPr>
            <w:tcW w:w="45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280" w:type="dxa"/>
            <w:vAlign w:val="bottom"/>
          </w:tcPr>
          <w:p>
            <w:pPr>
              <w:spacing w:after="0"/>
              <w:rPr>
                <w:sz w:val="19"/>
                <w:szCs w:val="19"/>
                <w:color w:val="auto"/>
              </w:rPr>
            </w:pPr>
          </w:p>
        </w:tc>
        <w:tc>
          <w:tcPr>
            <w:tcW w:w="2140" w:type="dxa"/>
            <w:vAlign w:val="bottom"/>
            <w:gridSpan w:val="3"/>
          </w:tcPr>
          <w:p>
            <w:pPr>
              <w:jc w:val="right"/>
              <w:ind w:right="672"/>
              <w:spacing w:after="0"/>
              <w:rPr>
                <w:sz w:val="20"/>
                <w:szCs w:val="20"/>
                <w:color w:val="auto"/>
              </w:rPr>
            </w:pPr>
            <w:r>
              <w:rPr>
                <w:rFonts w:ascii="Arial" w:cs="Arial" w:eastAsia="Arial" w:hAnsi="Arial"/>
                <w:sz w:val="18"/>
                <w:szCs w:val="18"/>
                <w:b w:val="1"/>
                <w:bCs w:val="1"/>
                <w:i w:val="1"/>
                <w:iCs w:val="1"/>
                <w:color w:val="auto"/>
              </w:rPr>
              <w:t>February 28,</w:t>
            </w:r>
          </w:p>
        </w:tc>
        <w:tc>
          <w:tcPr>
            <w:tcW w:w="300" w:type="dxa"/>
            <w:vAlign w:val="bottom"/>
          </w:tcPr>
          <w:p>
            <w:pPr>
              <w:spacing w:after="0"/>
              <w:rPr>
                <w:sz w:val="19"/>
                <w:szCs w:val="19"/>
                <w:color w:val="auto"/>
              </w:rPr>
            </w:pPr>
          </w:p>
        </w:tc>
        <w:tc>
          <w:tcPr>
            <w:tcW w:w="220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February 28,</w:t>
            </w:r>
          </w:p>
        </w:tc>
      </w:tr>
      <w:tr>
        <w:trPr>
          <w:trHeight w:val="110"/>
        </w:trPr>
        <w:tc>
          <w:tcPr>
            <w:tcW w:w="45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6"/>
        </w:trPr>
        <w:tc>
          <w:tcPr>
            <w:tcW w:w="4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4"/>
                <w:szCs w:val="24"/>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r>
      <w:tr>
        <w:trPr>
          <w:trHeight w:val="110"/>
        </w:trPr>
        <w:tc>
          <w:tcPr>
            <w:tcW w:w="45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24.3</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82.7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82.9</w:t>
            </w:r>
          </w:p>
        </w:tc>
      </w:tr>
      <w:tr>
        <w:trPr>
          <w:trHeight w:val="365"/>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2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10"/>
        </w:trPr>
        <w:tc>
          <w:tcPr>
            <w:tcW w:w="45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2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452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for the quarter ended February 28, 2011 decreased by $5.7 million, or 19.0%, to $24.3 million, compared to $30.0 million in the prior fiscal year quarter, primarily due to lower sales in the direct-to-home toy catalog business and of interactive products, as well as the timing of advertising revenues. Revenues for the nine months ended February 28, 2011 decreased by $0.2 million, or 0.2%, to $82.7 million, compared to $82.9 million in the prior fiscal year period, primarily due to lower revenues from interactive products, partially offset by higher advertising revenues from consumer magazines.</w:t>
      </w:r>
    </w:p>
    <w:p>
      <w:pPr>
        <w:spacing w:after="0" w:line="19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Segment operating loss for the quarter ended February 28, 2011 increased by $4.2 million, to a loss of $5.7 million, compared to a loss of $1.5 million in the prior fiscal year quarter, primarily related to the lower revenues in the Company’s direct-to-home toy catalog business. Segment operating loss for the nine months ended February 28, 2011 increased by $1.3 million, to a loss of $3.9 million, compared to a loss of $2.6 million in the prior fiscal year period, primarily due to lower revenues and higher promotional expense in the Company’s direct-to-home toy catalog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Company’s cash and cash equivalents totaled $90.7 million at February 28, 2011, compared to $244.1 million at May 31, 2010 and $238.9 million at February 28, 2010.</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provided by operating activities decreased by $46.0 million to $154.9 million for the nine months ended February 28, 2011, compared to $200.9 million of cash provided by operating activities in the prior fiscal year period.</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adjusted for non cash items yielded cash from operations of $142.5 million in the current fiscal year period, compared to $192.4 million in the prior year period, a decrease of $49.9 million. While earnings from continuing operations was only $10.5 million higher in the prior year period than in the current year period, non cash items were significantly higher in the prior year period, driven by impairment charges of $40.1 million, resulting in the decreased cash flows of $49.9 million.</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Changes in the Company’s working capital and other operating accounts yielded positive cash flows of $11.9 million in the nine months ended February 28, 2011, compared to positive cash flows of $7.5 million in the prior year period. The increased cash flow of $4.4 million was attributable to an increase in accounts payable and accrued expenses in the current year period of $65.3 million compared to the prior year period increase of $25.9 million, yielding an increase in cash provided by operating activities of $39.4 million. The current year increase in accounts payable relates primarily to inventory purchases and the timing of payments. These improvements were partially offset by a $69.1 million increase in inventories in the current year period compared to an increase of $47.1 million in the prior year period, yielding higher cash use of $22.0 million and higher tax payments of $14.0 million in the current year period. The change in inventory was driven by higher purchases in the current year period following significant inventory reductions during the second half of fiscal 2010.</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Cash used in investing activities increased by $39.8 million to $102.1 million for the nine months ended February 28, 2011, compared to $62.3 million in the prior fiscal year period. This change was primarily related to:</w:t>
      </w:r>
    </w:p>
    <w:p>
      <w:pPr>
        <w:spacing w:after="0" w:line="199" w:lineRule="exact"/>
        <w:rPr>
          <w:sz w:val="20"/>
          <w:szCs w:val="20"/>
          <w:color w:val="auto"/>
        </w:rPr>
      </w:pPr>
    </w:p>
    <w:p>
      <w:pPr>
        <w:ind w:left="920" w:right="120" w:hanging="453"/>
        <w:spacing w:after="0" w:line="26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property, plant and equipment and prepublication and production costs in the current year period of $69.8 million, compared to $61.5 million in the prior year period, largely related to increased spending on digital initiatives;</w:t>
      </w:r>
    </w:p>
    <w:p>
      <w:pPr>
        <w:spacing w:after="0" w:line="118" w:lineRule="exact"/>
        <w:rPr>
          <w:rFonts w:ascii="Arial" w:cs="Arial" w:eastAsia="Arial" w:hAnsi="Arial"/>
          <w:sz w:val="18"/>
          <w:szCs w:val="18"/>
          <w:color w:val="auto"/>
        </w:rPr>
      </w:pPr>
    </w:p>
    <w:p>
      <w:pPr>
        <w:ind w:left="920" w:right="120" w:hanging="453"/>
        <w:spacing w:after="0" w:line="26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and related payments of $9.2 million in the current year period as compared to acquisition related payments of $1.0 million in the prior year period; and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of the land on which the Company’s corporate headquarters are located for $24.3 million in the current year period.</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Cash used in financing activities was $209.5 million for the nine months ended February 28, 2011, compared to $43.1 million for the prior fiscal year period. The change was primarily due to the completion of a modified Dutch auction tender offer in the current year period. The Company accepted for purchase 5,199,699 of its common shares at a price of $30.00 per share, for a total cost of $157.2 million, inclusive of related fees and expenses. The Company funded the purchase of the shares in the tender offer using cash on hand and short-term borrowings under its existing credit facility, which have since been repaid.</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has maintained sufficient liquidity to fund ongoing operations, dividends, authorized common share repurchases (including its recently-completed tender offer), debt service, planned capital expenditures and other investments. As of February 28, 2011, the Company’s primary sources of liquidity consisted of cash and cash equivalents of $90.7 million, cash from operations, and borrowings remaining available under the Revolving Loan (as described under “Financing” below) totaling $325.0 million. Approximately 73% of the Company’s outstanding debt is due in fiscal 2013, 24% is spread ratably over each preceding period and the remaining 3% represents borrowings under the Company’s lines of credit.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 The Company’s credit rating from Standard &amp; Poor’s Rating Services is “BB-” and its credit rating from Moody’s Investors Service is “Ba2.” Moody’s Investors Service has rated the outlook for the Company as “Positive,” and Standard and Poor’s Rating Services has rated the outlook for the Company as “Stable.”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or decrease in interest costs under the Company’s Loan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February 28, 2011, the Company’s domestic credit lines available under unsecured money market bid rate credit lines totaled $20.0 million. There were no outstanding borrowings under these credit lines at February 28, 2011, May 31, 2010 and February 28, 2010.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February 28, 2011, the Company had various local currency credit lines, with maximum available borrowings in amounts equivalent to $30.1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credit lines equivalent to $6.7 million at February 28, 2011 at a weighted average interest rate of 4.0%; $7.5 million at May 31, 2010 at a weighted average interest rate of 3.9%; and $9.4 million at February 28, 2010 at a weighted average interest rate of 3.9%.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having been due on December 31, 2007, and a final payment of $7.4 million due on June 1, 2012.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February 28, 2011, there were no borrowings outstanding under the Revolving Loan.</w:t>
      </w:r>
    </w:p>
    <w:p>
      <w:pPr>
        <w:spacing w:after="0" w:line="19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of February 28, 2011, the applicable margin on the Term Loan was 0.750% and the applicable margin on the Revolving Loan was 0.600%. The Loan Agreement also provides for the payment of a facility fee ranging from 0.125% to 0.250% per annum on the Revolving Loan only, which at February 28, 2011, was 0.150%. As of February 28, 2011, $60.9 million was outstanding under the Term Loan at an interest rate of 1.06%.</w:t>
      </w:r>
    </w:p>
    <w:p>
      <w:pPr>
        <w:spacing w:after="0" w:line="16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of February 28, 2011, standby letters of credit outstanding under the Loan Agreement totaled $1.4 million. The Loan Agreement contains certain covenants, including interest coverage and leverage ratio tests and certain limitations on the amount of dividends and other distributions, and at February 28, 2011, the Company was in compliance with these covenants. See Note 5 of Notes to condensed consolidated financial statements – unaudited in Item 1, “Financial Statements,” for outstanding balances and interest rates for the Term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100" w:firstLine="8"/>
        <w:spacing w:after="0" w:line="255" w:lineRule="auto"/>
        <w:tabs>
          <w:tab w:leader="none" w:pos="2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repurchased $5.0 million and $2.5 million of the 5% Notes on the open market in fiscal 2010 and 2009, respectively. The Company did not make any additional repurchases during the nine month period ended February 28, 2011.</w:t>
      </w:r>
    </w:p>
    <w:p>
      <w:pPr>
        <w:spacing w:after="0" w:line="19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Company’s total debt obligations were $220.1 million at February 28, 2011, $252.8 million at May 31, 2010 and $265.3 million at February 28, 2010. The lower level of debt at February 28, 2011 as compared to May 31, 2010 and February 28, 2010 was primarily due to repayments made on the Term Loan, repurchases of the Company’s 5% Notes on the open market in fiscal 2010 and reduced borrowings resulting from lower debt requirements.</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condensed consolidated financial statements – unaudited in Item 1,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 unaudited in Item 1, “Financial Statements,” for information concerning recent accounting pronouncements since the filing of the Company’s Annual Report.</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382"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conditions in the children’s book and educational material markets and acceptance of the Company’s products in those markets, earnings per share, levels of government spending for educational programs, e-commerce and digital initiatives strategies, goals, revenues, improved efficiencies, general costs, manufacturing costs, medical costs, merit pay, operating margins, working capital, liquidity, capital needs, expectations regarding the Company’s financing arrangements, expected investing activity, interest costs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6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February 28, 2011,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31% of the Company’s debt at February 28, 2011 bore interest at a variable rate and was sensitive to changes in interest rates, compared to approximately 40% at May 31, 2010 and 43% at February 28, 2010. The decrease in variable-rate debt as of February 28, 2011 compared to May 31, 2010 and February 28, 2010 was primarily due to repayments made on the Term Loan.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February 28, 2011 (see Note 5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rPr>
              <w:t>Fiscal Year Maturity</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30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6"/>
        </w:trPr>
        <w:tc>
          <w:tcPr>
            <w:tcW w:w="30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92"/>
              <w:spacing w:after="0"/>
              <w:rPr>
                <w:sz w:val="20"/>
                <w:szCs w:val="20"/>
                <w:color w:val="auto"/>
              </w:rPr>
            </w:pPr>
            <w:r>
              <w:rPr>
                <w:rFonts w:ascii="Arial" w:cs="Arial" w:eastAsia="Arial" w:hAnsi="Arial"/>
                <w:sz w:val="18"/>
                <w:szCs w:val="18"/>
                <w:b w:val="1"/>
                <w:bCs w:val="1"/>
                <w:color w:val="auto"/>
                <w:w w:val="99"/>
              </w:rPr>
              <w:t>2012</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92"/>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99"/>
              </w:rPr>
              <w:t>2014</w:t>
            </w:r>
          </w:p>
        </w:tc>
        <w:tc>
          <w:tcPr>
            <w:tcW w:w="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99"/>
              </w:rPr>
              <w:t>2015</w:t>
            </w:r>
          </w:p>
        </w:tc>
        <w:tc>
          <w:tcPr>
            <w:tcW w:w="1140" w:type="dxa"/>
            <w:vAlign w:val="bottom"/>
            <w:tcBorders>
              <w:bottom w:val="single" w:sz="8" w:color="808080"/>
            </w:tcBorders>
            <w:gridSpan w:val="2"/>
          </w:tcPr>
          <w:p>
            <w:pPr>
              <w:ind w:left="180"/>
              <w:spacing w:after="0"/>
              <w:rPr>
                <w:sz w:val="20"/>
                <w:szCs w:val="20"/>
                <w:color w:val="auto"/>
              </w:rPr>
            </w:pPr>
            <w:r>
              <w:rPr>
                <w:rFonts w:ascii="Arial" w:cs="Arial" w:eastAsia="Arial" w:hAnsi="Arial"/>
                <w:sz w:val="18"/>
                <w:szCs w:val="18"/>
                <w:b w:val="1"/>
                <w:bCs w:val="1"/>
                <w:color w:val="auto"/>
              </w:rPr>
              <w:t>Thereafter</w:t>
            </w: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232"/>
              <w:spacing w:after="0"/>
              <w:rPr>
                <w:sz w:val="20"/>
                <w:szCs w:val="20"/>
                <w:color w:val="auto"/>
              </w:rPr>
            </w:pPr>
            <w:r>
              <w:rPr>
                <w:rFonts w:ascii="Arial" w:cs="Arial" w:eastAsia="Arial" w:hAnsi="Arial"/>
                <w:sz w:val="18"/>
                <w:szCs w:val="18"/>
                <w:b w:val="1"/>
                <w:bCs w:val="1"/>
                <w:color w:val="auto"/>
                <w:w w:val="97"/>
              </w:rPr>
              <w:t>Total</w:t>
            </w:r>
          </w:p>
        </w:tc>
      </w:tr>
      <w:tr>
        <w:trPr>
          <w:trHeight w:val="309"/>
        </w:trPr>
        <w:tc>
          <w:tcPr>
            <w:tcW w:w="302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Lines of Credit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6.7</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Average interest rate</w:t>
            </w:r>
          </w:p>
        </w:tc>
        <w:tc>
          <w:tcPr>
            <w:tcW w:w="7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6"/>
        </w:trPr>
        <w:tc>
          <w:tcPr>
            <w:tcW w:w="3020" w:type="dxa"/>
            <w:vAlign w:val="bottom"/>
          </w:tcPr>
          <w:p>
            <w:pPr>
              <w:spacing w:after="0"/>
              <w:rPr>
                <w:sz w:val="20"/>
                <w:szCs w:val="20"/>
                <w:color w:val="auto"/>
              </w:rPr>
            </w:pPr>
            <w:r>
              <w:rPr>
                <w:rFonts w:ascii="Arial" w:cs="Arial" w:eastAsia="Arial" w:hAnsi="Arial"/>
                <w:sz w:val="18"/>
                <w:szCs w:val="18"/>
                <w:color w:val="auto"/>
              </w:rPr>
              <w:t>Long-term debt including current</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Fixed-rate debt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153.0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153.0</w:t>
            </w:r>
          </w:p>
        </w:tc>
      </w:tr>
      <w:tr>
        <w:trPr>
          <w:trHeight w:val="222"/>
        </w:trPr>
        <w:tc>
          <w:tcPr>
            <w:tcW w:w="3020" w:type="dxa"/>
            <w:vAlign w:val="bottom"/>
          </w:tcPr>
          <w:p>
            <w:pPr>
              <w:ind w:left="360"/>
              <w:spacing w:after="0"/>
              <w:rPr>
                <w:sz w:val="20"/>
                <w:szCs w:val="20"/>
                <w:color w:val="auto"/>
              </w:rPr>
            </w:pPr>
            <w:r>
              <w:rPr>
                <w:rFonts w:ascii="Arial" w:cs="Arial" w:eastAsia="Arial" w:hAnsi="Arial"/>
                <w:sz w:val="18"/>
                <w:szCs w:val="18"/>
                <w:color w:val="auto"/>
              </w:rPr>
              <w:t>Interest rate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7"/>
        </w:trPr>
        <w:tc>
          <w:tcPr>
            <w:tcW w:w="3020" w:type="dxa"/>
            <w:vAlign w:val="bottom"/>
          </w:tcPr>
          <w:p>
            <w:pPr>
              <w:ind w:left="360"/>
              <w:spacing w:after="0"/>
              <w:rPr>
                <w:sz w:val="20"/>
                <w:szCs w:val="20"/>
                <w:color w:val="auto"/>
              </w:rPr>
            </w:pPr>
            <w:r>
              <w:rPr>
                <w:rFonts w:ascii="Arial" w:cs="Arial" w:eastAsia="Arial" w:hAnsi="Arial"/>
                <w:sz w:val="18"/>
                <w:szCs w:val="18"/>
                <w:color w:val="auto"/>
              </w:rPr>
              <w:t>Variable rate debt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60.9</w:t>
            </w:r>
          </w:p>
        </w:tc>
      </w:tr>
      <w:tr>
        <w:trPr>
          <w:trHeight w:val="372"/>
        </w:trPr>
        <w:tc>
          <w:tcPr>
            <w:tcW w:w="3020" w:type="dxa"/>
            <w:vAlign w:val="bottom"/>
            <w:tcBorders>
              <w:bottom w:val="single" w:sz="8" w:color="808080"/>
            </w:tcBorders>
          </w:tcPr>
          <w:p>
            <w:pPr>
              <w:ind w:left="36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(2)</w:t>
            </w:r>
          </w:p>
        </w:tc>
        <w:tc>
          <w:tcPr>
            <w:tcW w:w="7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337"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2011 includes the remaining three months of the current fiscal year, ending May 31, 2011.</w:t>
      </w:r>
    </w:p>
    <w:p>
      <w:pPr>
        <w:spacing w:after="0" w:line="163"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interest rate under the Term Loan at February 28, 2011; the interest rate is subject to change over the life of the Term Loan.</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28, 2011,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28, 2011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reported, the Company is party to certain actions originally filed by each of Alaska Laborer Employers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On September 30, 2010, the Court granted the Company’s motion to dismiss the second amended complaint for failure to state a cause of action, while also granting leave to the plaintiff to move to file a new proposed amended complaint. On December 1, 2010, the plaintiff filed a motion for leave to file a proposed third amended class action complaint, as well as a motion to replace Alaska Laborer Employers Retirement Fund with City of Sterling Heights Police and Fire Retirement System as lead plaintiff, and, on January 14, 2011, the Company filed an opposition to plaintiff’s motions for leave to file a third amended class action complaint and to substitute lead plaintiff, which was argued on March 3, 2011 and is awaiting decision by the court. The proposed third amended class action complaint shortens the original class action period to end on December 16, 2005 rather than on March 23, 2006, but otherwise continues to allege securities fraud relating to statements made by the Company concerning its operations and financial results, now for the period between March 18, 2005 and December 16, 2005, and seeks unspecified compensatory damages. The Company continues to believe that the allegations in such complaint are without merit and is vigorously defending the lawsuit.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Exhibits:</w:t>
            </w:r>
          </w:p>
        </w:tc>
        <w:tc>
          <w:tcPr>
            <w:tcW w:w="9820" w:type="dxa"/>
            <w:vAlign w:val="bottom"/>
          </w:tcPr>
          <w:p>
            <w:pPr>
              <w:spacing w:after="0"/>
              <w:rPr>
                <w:sz w:val="19"/>
                <w:szCs w:val="19"/>
                <w:color w:val="auto"/>
              </w:rPr>
            </w:pP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tcPr>
          <w:p>
            <w:pPr>
              <w:ind w:left="30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210" w:lineRule="exact"/>
        <w:rPr>
          <w:sz w:val="20"/>
          <w:szCs w:val="20"/>
          <w:color w:val="auto"/>
        </w:rPr>
      </w:pPr>
    </w:p>
    <w:p>
      <w:pPr>
        <w:ind w:left="1260" w:hanging="1252"/>
        <w:spacing w:after="0" w:line="268"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0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000" w:type="dxa"/>
            <w:vAlign w:val="bottom"/>
          </w:tcPr>
          <w:p>
            <w:pPr>
              <w:ind w:left="300"/>
              <w:spacing w:after="0"/>
              <w:rPr>
                <w:sz w:val="20"/>
                <w:szCs w:val="20"/>
                <w:color w:val="auto"/>
              </w:rPr>
            </w:pPr>
            <w:r>
              <w:rPr>
                <w:rFonts w:ascii="Arial" w:cs="Arial" w:eastAsia="Arial" w:hAnsi="Arial"/>
                <w:sz w:val="18"/>
                <w:szCs w:val="18"/>
                <w:color w:val="auto"/>
                <w:w w:val="97"/>
              </w:rPr>
              <w:t>XBRL Taxonomy Extension Schema Document</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000" w:type="dxa"/>
            <w:vAlign w:val="bottom"/>
          </w:tcPr>
          <w:p>
            <w:pPr>
              <w:ind w:left="300"/>
              <w:spacing w:after="0"/>
              <w:rPr>
                <w:sz w:val="20"/>
                <w:szCs w:val="20"/>
                <w:color w:val="auto"/>
              </w:rPr>
            </w:pPr>
            <w:r>
              <w:rPr>
                <w:rFonts w:ascii="Arial" w:cs="Arial" w:eastAsia="Arial" w:hAnsi="Arial"/>
                <w:sz w:val="18"/>
                <w:szCs w:val="18"/>
                <w:color w:val="auto"/>
                <w:w w:val="91"/>
              </w:rPr>
              <w:t>XBRL Taxonomy Extension Calculation Document</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000" w:type="dxa"/>
            <w:vAlign w:val="bottom"/>
          </w:tcPr>
          <w:p>
            <w:pPr>
              <w:ind w:left="300"/>
              <w:spacing w:after="0"/>
              <w:rPr>
                <w:sz w:val="20"/>
                <w:szCs w:val="20"/>
                <w:color w:val="auto"/>
              </w:rPr>
            </w:pPr>
            <w:r>
              <w:rPr>
                <w:rFonts w:ascii="Arial" w:cs="Arial" w:eastAsia="Arial" w:hAnsi="Arial"/>
                <w:sz w:val="18"/>
                <w:szCs w:val="18"/>
                <w:color w:val="auto"/>
                <w:w w:val="92"/>
              </w:rPr>
              <w:t>XBRL Taxonomy Extension Definitions Document</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000" w:type="dxa"/>
            <w:vAlign w:val="bottom"/>
          </w:tcPr>
          <w:p>
            <w:pPr>
              <w:ind w:left="300"/>
              <w:spacing w:after="0"/>
              <w:rPr>
                <w:sz w:val="20"/>
                <w:szCs w:val="20"/>
                <w:color w:val="auto"/>
              </w:rPr>
            </w:pPr>
            <w:r>
              <w:rPr>
                <w:rFonts w:ascii="Arial" w:cs="Arial" w:eastAsia="Arial" w:hAnsi="Arial"/>
                <w:sz w:val="18"/>
                <w:szCs w:val="18"/>
                <w:color w:val="auto"/>
              </w:rPr>
              <w:t>XBRL Taxonomy Extension Labels Document</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000" w:type="dxa"/>
            <w:vAlign w:val="bottom"/>
          </w:tcPr>
          <w:p>
            <w:pPr>
              <w:ind w:left="300"/>
              <w:spacing w:after="0"/>
              <w:rPr>
                <w:sz w:val="20"/>
                <w:szCs w:val="20"/>
                <w:color w:val="auto"/>
              </w:rPr>
            </w:pPr>
            <w:r>
              <w:rPr>
                <w:rFonts w:ascii="Arial" w:cs="Arial" w:eastAsia="Arial" w:hAnsi="Arial"/>
                <w:sz w:val="18"/>
                <w:szCs w:val="18"/>
                <w:color w:val="auto"/>
                <w:w w:val="89"/>
              </w:rPr>
              <w:t>XBRL Taxonomy Extension Presentation Document</w:t>
            </w:r>
          </w:p>
        </w:tc>
      </w:tr>
    </w:tbl>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240" w:top="382" w:right="5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March 31,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March 31, 2011</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FEBRUARY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tcPr>
          <w:p>
            <w:pPr>
              <w:ind w:left="80"/>
              <w:spacing w:after="0"/>
              <w:rPr>
                <w:sz w:val="20"/>
                <w:szCs w:val="20"/>
                <w:color w:val="auto"/>
              </w:rPr>
            </w:pPr>
            <w:r>
              <w:rPr>
                <w:rFonts w:ascii="Arial" w:cs="Arial" w:eastAsia="Arial" w:hAnsi="Arial"/>
                <w:sz w:val="18"/>
                <w:szCs w:val="18"/>
                <w:b w:val="1"/>
                <w:bCs w:val="1"/>
                <w:color w:val="auto"/>
                <w:w w:val="99"/>
              </w:rPr>
              <w:t>Exhibit Number</w:t>
            </w:r>
          </w:p>
        </w:tc>
        <w:tc>
          <w:tcPr>
            <w:tcW w:w="4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7620" w:type="dxa"/>
            <w:vAlign w:val="bottom"/>
          </w:tcPr>
          <w:p>
            <w:pPr>
              <w:spacing w:after="0"/>
              <w:rPr>
                <w:sz w:val="9"/>
                <w:szCs w:val="9"/>
                <w:color w:val="auto"/>
              </w:rPr>
            </w:pPr>
          </w:p>
        </w:tc>
      </w:tr>
      <w:tr>
        <w:trPr>
          <w:trHeight w:val="464"/>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Executive Officer of Scholastic Corporation filed pursuant to Section 302 of the Sarbanes-Oxley Act of 2002.</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w w:val="90"/>
              </w:rPr>
              <w:t>Certifications of the Chief Executive Officer and Chief Financial Officer of Scholastic Corporation furnished pursuant to Section 906 of</w:t>
            </w:r>
          </w:p>
        </w:tc>
      </w:tr>
      <w:tr>
        <w:trPr>
          <w:trHeight w:val="222"/>
        </w:trPr>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Instance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Definitions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Labels Document *</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right="60" w:firstLine="8"/>
        <w:spacing w:after="0" w:line="268" w:lineRule="auto"/>
        <w:tabs>
          <w:tab w:leader="none" w:pos="1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February 28,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40" w:hanging="463"/>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February 28, 2011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463"/>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Date: March 31, 2011</w:t>
            </w:r>
          </w:p>
        </w:tc>
        <w:tc>
          <w:tcPr>
            <w:tcW w:w="312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6860" w:type="dxa"/>
            <w:vAlign w:val="bottom"/>
          </w:tcPr>
          <w:p>
            <w:pPr>
              <w:spacing w:after="0"/>
              <w:rPr>
                <w:sz w:val="20"/>
                <w:szCs w:val="20"/>
                <w:color w:val="auto"/>
              </w:rPr>
            </w:pPr>
            <w:r>
              <w:rPr>
                <w:rFonts w:ascii="Arial" w:cs="Arial" w:eastAsia="Arial" w:hAnsi="Arial"/>
                <w:sz w:val="18"/>
                <w:szCs w:val="18"/>
                <w:color w:val="auto"/>
              </w:rPr>
              <w:t>Date: March 31, 2011</w:t>
            </w:r>
          </w:p>
        </w:tc>
        <w:tc>
          <w:tcPr>
            <w:tcW w:w="3120" w:type="dxa"/>
            <w:vAlign w:val="bottom"/>
          </w:tcPr>
          <w:p>
            <w:pPr>
              <w:spacing w:after="0"/>
              <w:rPr>
                <w:sz w:val="20"/>
                <w:szCs w:val="20"/>
                <w:color w:val="auto"/>
              </w:rPr>
            </w:pPr>
            <w:r>
              <w:rPr>
                <w:rFonts w:ascii="Arial" w:cs="Arial" w:eastAsia="Arial" w:hAnsi="Arial"/>
                <w:sz w:val="18"/>
                <w:szCs w:val="18"/>
                <w:color w:val="auto"/>
              </w:rPr>
              <w:t>/s/Maureen O’Connell</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o"/>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2019-12-10T10:06:25Z</dcterms:created>
  <dcterms:modified xsi:type="dcterms:W3CDTF">2019-12-10T10:06:25Z</dcterms:modified>
</cp:coreProperties>
</file>