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UNITED STATES</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SECURITIES AND EXCHANGE COMMISSION</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Quarterly Report pursuant to section 13 or 15(d) of the Securities Exchange Act of 1934</w:t>
      </w:r>
    </w:p>
    <w:tbl>
      <w:tblPr>
        <w:tblW w:w="8185" w:type="dxa"/>
        <w:jc w:val="left"/>
        <w:tblInd w:w="0" w:type="dxa"/>
        <w:tblLayout w:type="fixed"/>
        <w:tblCellMar>
          <w:top w:w="28" w:type="dxa"/>
          <w:left w:w="28" w:type="dxa"/>
          <w:bottom w:w="28" w:type="dxa"/>
          <w:right w:w="28" w:type="dxa"/>
        </w:tblCellMar>
      </w:tblPr>
      <w:tblGrid>
        <w:gridCol w:w="1052"/>
        <w:gridCol w:w="926"/>
        <w:gridCol w:w="932"/>
        <w:gridCol w:w="604"/>
        <w:gridCol w:w="604"/>
        <w:gridCol w:w="606"/>
        <w:gridCol w:w="109"/>
        <w:gridCol w:w="109"/>
        <w:gridCol w:w="109"/>
        <w:gridCol w:w="654"/>
        <w:gridCol w:w="654"/>
        <w:gridCol w:w="656"/>
        <w:gridCol w:w="343"/>
        <w:gridCol w:w="343"/>
        <w:gridCol w:w="48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Museo Sans 300;sans-serif" w:hAnsi="Museo Sans 300;sans-serif"/>
                <w:b w:val="false"/>
                <w:color w:val="000000"/>
                <w:sz w:val="18"/>
              </w:rPr>
            </w:pPr>
            <w:r>
              <w:rPr>
                <w:rFonts w:ascii="Museo Sans 300;sans-serif" w:hAnsi="Museo Sans 300;sans-serif"/>
                <w:b w:val="false"/>
                <w:color w:val="000000"/>
                <w:sz w:val="18"/>
              </w:rPr>
              <w:t>For the quarterly period ended</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 xml:space="preserve">Commission File No.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000-19860</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 xml:space="preserve">SCHOLASTIC CORPORATION </w:t>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(Exact name of Registrant as specified in its charter)</w:t>
      </w:r>
    </w:p>
    <w:tbl>
      <w:tblPr>
        <w:tblW w:w="7091" w:type="dxa"/>
        <w:jc w:val="left"/>
        <w:tblInd w:w="0" w:type="dxa"/>
        <w:tblLayout w:type="fixed"/>
        <w:tblCellMar>
          <w:top w:w="28" w:type="dxa"/>
          <w:left w:w="28" w:type="dxa"/>
          <w:bottom w:w="28" w:type="dxa"/>
          <w:right w:w="28" w:type="dxa"/>
        </w:tblCellMar>
      </w:tblPr>
      <w:tblGrid>
        <w:gridCol w:w="671"/>
        <w:gridCol w:w="588"/>
        <w:gridCol w:w="588"/>
        <w:gridCol w:w="588"/>
        <w:gridCol w:w="588"/>
        <w:gridCol w:w="607"/>
        <w:gridCol w:w="109"/>
        <w:gridCol w:w="109"/>
        <w:gridCol w:w="109"/>
        <w:gridCol w:w="916"/>
        <w:gridCol w:w="916"/>
        <w:gridCol w:w="1302"/>
      </w:tblGrid>
      <w:tr>
        <w:trPr/>
        <w:tc>
          <w:tcPr>
            <w:tcW w:w="67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13-3385513</w:t>
            </w:r>
          </w:p>
        </w:tc>
      </w:tr>
      <w:tr>
        <w:trPr/>
        <w:tc>
          <w:tcPr>
            <w:tcW w:w="363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8"/>
              </w:rPr>
            </w:pPr>
            <w:r>
              <w:rPr>
                <w:rFonts w:ascii="Museo Sans 300;sans-serif" w:hAnsi="Museo Sans 300;sans-serif"/>
                <w:b w:val="false"/>
                <w:color w:val="000000"/>
                <w:sz w:val="18"/>
              </w:rPr>
              <w:t>(State or other jurisdiction of</w:t>
            </w:r>
          </w:p>
          <w:p>
            <w:pPr>
              <w:pStyle w:val="TableContents"/>
              <w:bidi w:val="0"/>
              <w:spacing w:lineRule="auto" w:line="240" w:before="0" w:after="0"/>
              <w:jc w:val="center"/>
              <w:rPr>
                <w:rFonts w:ascii="Museo Sans 300;sans-serif" w:hAnsi="Museo Sans 300;sans-serif"/>
                <w:b w:val="false"/>
                <w:color w:val="000000"/>
                <w:sz w:val="18"/>
              </w:rPr>
            </w:pPr>
            <w:r>
              <w:rPr>
                <w:rFonts w:ascii="Museo Sans 300;sans-serif" w:hAnsi="Museo Sans 300;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(IRS Employer Identification No.)</w:t>
            </w:r>
          </w:p>
        </w:tc>
      </w:tr>
      <w:tr>
        <w:trPr/>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557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New York,</w:t>
            </w:r>
          </w:p>
        </w:tc>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10012</w:t>
            </w:r>
          </w:p>
        </w:tc>
      </w:tr>
      <w:tr>
        <w:trPr/>
        <w:tc>
          <w:tcPr>
            <w:tcW w:w="36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Registrant’s telephone number, including area code (212) 343-6100 </w:t>
      </w:r>
    </w:p>
    <w:tbl>
      <w:tblPr>
        <w:tblW w:w="9538" w:type="dxa"/>
        <w:jc w:val="center"/>
        <w:tblInd w:w="0" w:type="dxa"/>
        <w:tblLayout w:type="fixed"/>
        <w:tblCellMar>
          <w:top w:w="28" w:type="dxa"/>
          <w:left w:w="28" w:type="dxa"/>
          <w:bottom w:w="28" w:type="dxa"/>
          <w:right w:w="28" w:type="dxa"/>
        </w:tblCellMar>
      </w:tblPr>
      <w:tblGrid>
        <w:gridCol w:w="1109"/>
        <w:gridCol w:w="970"/>
        <w:gridCol w:w="981"/>
        <w:gridCol w:w="574"/>
        <w:gridCol w:w="574"/>
        <w:gridCol w:w="576"/>
        <w:gridCol w:w="1391"/>
        <w:gridCol w:w="1391"/>
        <w:gridCol w:w="1972"/>
      </w:tblGrid>
      <w:tr>
        <w:trPr/>
        <w:tc>
          <w:tcPr>
            <w:tcW w:w="1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Title of Class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Trading Symbol</w:t>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Name of Each Exchange on Which Registered</w:t>
            </w:r>
          </w:p>
        </w:tc>
      </w:tr>
      <w:tr>
        <w:trPr/>
        <w:tc>
          <w:tcPr>
            <w:tcW w:w="3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Common Stock, $0.01 par value</w:t>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SCHL</w:t>
            </w:r>
          </w:p>
        </w:tc>
        <w:tc>
          <w:tcPr>
            <w:tcW w:w="4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The NASDAQ Stock Market LLC</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color w:val="000000"/>
        </w:rPr>
      </w:pPr>
      <w:r>
        <w:rPr>
          <w:color w:val="000000"/>
        </w:rPr>
        <w:t>    </w:t>
      </w:r>
      <w:r>
        <w:rPr>
          <w:rFonts w:ascii="Museo Sans 300;sans-serif" w:hAnsi="Museo Sans 300;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Museo Sans 300;sans-serif" w:hAnsi="Museo Sans 300;sans-serif"/>
          <w:b w:val="false"/>
          <w:color w:val="000000"/>
          <w:sz w:val="18"/>
        </w:rPr>
        <w:t>Yes</w:t>
      </w:r>
      <w:r>
        <w:rPr>
          <w:color w:val="000000"/>
        </w:rPr>
        <w:t xml:space="preserve"> ☒ </w:t>
      </w:r>
      <w:r>
        <w:rPr>
          <w:rFonts w:ascii="Museo Sans 300;sans-serif" w:hAnsi="Museo Sans 300;sans-serif"/>
          <w:b w:val="false"/>
          <w:color w:val="000000"/>
          <w:sz w:val="18"/>
        </w:rPr>
        <w:t>No</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Museo Sans 300;sans-serif" w:hAnsi="Museo Sans 300;sans-serif"/>
          <w:b w:val="false"/>
          <w:color w:val="000000"/>
          <w:sz w:val="18"/>
        </w:rPr>
      </w:pPr>
      <w:r>
        <w:rPr>
          <w:rFonts w:ascii="Museo Sans 300;sans-serif" w:hAnsi="Museo Sans 300;sans-serif"/>
          <w:b w:val="false"/>
          <w:color w:val="000000"/>
          <w:sz w:val="18"/>
        </w:rPr>
        <w:t>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w:t>
      </w:r>
    </w:p>
    <w:p>
      <w:pPr>
        <w:pStyle w:val="TextBody"/>
        <w:bidi w:val="0"/>
        <w:spacing w:before="0" w:after="0"/>
        <w:jc w:val="both"/>
        <w:rPr/>
      </w:pPr>
      <w:r>
        <w:rPr/>
      </w:r>
    </w:p>
    <w:p>
      <w:pPr>
        <w:pStyle w:val="TextBody"/>
        <w:bidi w:val="0"/>
        <w:spacing w:lineRule="auto" w:line="288" w:before="0" w:after="0"/>
        <w:jc w:val="both"/>
        <w:rPr/>
      </w:pPr>
      <w:r>
        <w:rPr>
          <w:rFonts w:ascii="Museo Sans 300;sans-serif" w:hAnsi="Museo Sans 300;sans-serif"/>
          <w:b w:val="false"/>
          <w:color w:val="000000"/>
          <w:sz w:val="18"/>
        </w:rPr>
        <w:t>Yes</w:t>
      </w:r>
      <w:r>
        <w:rPr>
          <w:color w:val="000000"/>
        </w:rPr>
        <w:t xml:space="preserve"> ☒ </w:t>
      </w:r>
      <w:r>
        <w:rPr>
          <w:rFonts w:ascii="Museo Sans 300;sans-serif" w:hAnsi="Museo Sans 300;sans-serif"/>
          <w:b w:val="false"/>
          <w:color w:val="000000"/>
          <w:sz w:val="18"/>
        </w:rPr>
        <w:t>No</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Museo Sans 300;sans-serif" w:hAnsi="Museo Sans 300;sans-serif"/>
          <w:b w:val="false"/>
          <w:color w:val="000000"/>
          <w:sz w:val="18"/>
        </w:rPr>
      </w:pPr>
      <w:r>
        <w:rPr>
          <w:rFonts w:ascii="Museo Sans 300;sans-serif" w:hAnsi="Museo Sans 300;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4"/>
        <w:gridCol w:w="540"/>
        <w:gridCol w:w="542"/>
        <w:gridCol w:w="109"/>
        <w:gridCol w:w="109"/>
        <w:gridCol w:w="109"/>
        <w:gridCol w:w="451"/>
        <w:gridCol w:w="451"/>
        <w:gridCol w:w="452"/>
        <w:gridCol w:w="109"/>
        <w:gridCol w:w="109"/>
        <w:gridCol w:w="109"/>
        <w:gridCol w:w="576"/>
        <w:gridCol w:w="576"/>
        <w:gridCol w:w="577"/>
        <w:gridCol w:w="109"/>
        <w:gridCol w:w="109"/>
        <w:gridCol w:w="109"/>
        <w:gridCol w:w="624"/>
        <w:gridCol w:w="624"/>
        <w:gridCol w:w="626"/>
        <w:gridCol w:w="109"/>
        <w:gridCol w:w="109"/>
        <w:gridCol w:w="109"/>
        <w:gridCol w:w="621"/>
        <w:gridCol w:w="621"/>
        <w:gridCol w:w="623"/>
        <w:gridCol w:w="109"/>
        <w:gridCol w:w="109"/>
        <w:gridCol w:w="161"/>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pPr>
      <w:r>
        <w:rPr>
          <w:rFonts w:ascii="Museo Sans 300;sans-serif" w:hAnsi="Museo Sans 300;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Museo Sans 300;sans-serif" w:hAnsi="Museo Sans 300;sans-serif"/>
          <w:b w:val="false"/>
          <w:color w:val="000000"/>
          <w:sz w:val="18"/>
        </w:rPr>
        <w:t>Indicate by check mark whether the Registrant is a shell company (as defined in Rule 12b-2 of the Exchange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Museo Sans 300;sans-serif" w:hAnsi="Museo Sans 300;sans-serif"/>
          <w:b w:val="false"/>
          <w:color w:val="000000"/>
          <w:sz w:val="18"/>
        </w:rPr>
        <w:t>Yes</w:t>
      </w:r>
      <w:r>
        <w:rPr>
          <w:color w:val="000000"/>
        </w:rPr>
        <w:t xml:space="preserve"> ☐ </w:t>
      </w:r>
      <w:r>
        <w:rPr>
          <w:rFonts w:ascii="Museo Sans 300;sans-serif" w:hAnsi="Museo Sans 300;sans-serif"/>
          <w:b w:val="false"/>
          <w:color w:val="000000"/>
          <w:sz w:val="18"/>
        </w:rPr>
        <w:t>No</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Museo Sans 300;sans-serif" w:hAnsi="Museo Sans 300;sans-serif"/>
          <w:b w:val="false"/>
          <w:color w:val="000000"/>
          <w:sz w:val="18"/>
        </w:rPr>
      </w:pPr>
      <w:r>
        <w:rPr>
          <w:rFonts w:ascii="Museo Sans 300;sans-serif" w:hAnsi="Museo Sans 300;sans-serif"/>
          <w:b w:val="false"/>
          <w:color w:val="000000"/>
          <w:sz w:val="18"/>
        </w:rPr>
        <w:t xml:space="preserve">Indicate the number of shares outstanding of each of the issuer’s classes of Common Stock, as of the latest practicable date: </w:t>
      </w:r>
    </w:p>
    <w:tbl>
      <w:tblPr>
        <w:tblW w:w="9116" w:type="dxa"/>
        <w:jc w:val="center"/>
        <w:tblInd w:w="0" w:type="dxa"/>
        <w:tblLayout w:type="fixed"/>
        <w:tblCellMar>
          <w:top w:w="28" w:type="dxa"/>
          <w:left w:w="28" w:type="dxa"/>
          <w:bottom w:w="28" w:type="dxa"/>
          <w:right w:w="28" w:type="dxa"/>
        </w:tblCellMar>
      </w:tblPr>
      <w:tblGrid>
        <w:gridCol w:w="1108"/>
        <w:gridCol w:w="974"/>
        <w:gridCol w:w="978"/>
        <w:gridCol w:w="109"/>
        <w:gridCol w:w="109"/>
        <w:gridCol w:w="109"/>
        <w:gridCol w:w="1676"/>
        <w:gridCol w:w="1676"/>
        <w:gridCol w:w="2377"/>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Title of each class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Museo Sans 700;sans-serif" w:hAnsi="Museo Sans 700;sans-serif"/>
                <w:b/>
                <w:color w:val="000000"/>
                <w:sz w:val="18"/>
              </w:rPr>
            </w:pPr>
            <w:r>
              <w:rPr>
                <w:rFonts w:ascii="Museo Sans 700;sans-serif" w:hAnsi="Museo Sans 700;sans-serif"/>
                <w:b/>
                <w:color w:val="000000"/>
                <w:sz w:val="18"/>
              </w:rPr>
              <w:t>Number of shares outstanding as of February 28, 2026</w:t>
            </w:r>
          </w:p>
        </w:tc>
      </w:tr>
      <w:tr>
        <w:trPr/>
        <w:tc>
          <w:tcPr>
            <w:tcW w:w="306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20,914,276</w:t>
            </w:r>
          </w:p>
        </w:tc>
      </w:tr>
      <w:tr>
        <w:trPr/>
        <w:tc>
          <w:tcPr>
            <w:tcW w:w="306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Class A Stock, $0.01 par value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5729"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828,100</w:t>
            </w:r>
          </w:p>
        </w:tc>
      </w:tr>
    </w:tbl>
    <w:p>
      <w:pPr>
        <w:pStyle w:val="TextBody"/>
        <w:bidi w:val="0"/>
        <w:spacing w:before="0" w:after="0"/>
        <w:jc w:val="center"/>
        <w:rPr/>
      </w:pPr>
      <w:r>
        <w:rPr/>
        <w:drawing>
          <wp:inline distT="0" distB="0" distL="0" distR="0">
            <wp:extent cx="182880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20955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7955"/>
                <wp:effectExtent l="0" t="0" r="0" b="0"/>
                <wp:wrapNone/>
                <wp:docPr id="2" name="Frame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SCHOLASTIC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FORM 10-Q FOR THE QUARTERLY PERIOD ENDED February 28, 2026</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INDEX </w:t>
      </w:r>
    </w:p>
    <w:tbl>
      <w:tblPr>
        <w:tblW w:w="10205" w:type="dxa"/>
        <w:jc w:val="left"/>
        <w:tblInd w:w="0" w:type="dxa"/>
        <w:tblLayout w:type="fixed"/>
        <w:tblCellMar>
          <w:top w:w="28" w:type="dxa"/>
          <w:left w:w="28" w:type="dxa"/>
          <w:bottom w:w="28" w:type="dxa"/>
          <w:right w:w="28" w:type="dxa"/>
        </w:tblCellMar>
      </w:tblPr>
      <w:tblGrid>
        <w:gridCol w:w="594"/>
        <w:gridCol w:w="357"/>
        <w:gridCol w:w="357"/>
        <w:gridCol w:w="318"/>
        <w:gridCol w:w="318"/>
        <w:gridCol w:w="318"/>
        <w:gridCol w:w="2455"/>
        <w:gridCol w:w="2373"/>
        <w:gridCol w:w="2450"/>
        <w:gridCol w:w="193"/>
        <w:gridCol w:w="193"/>
        <w:gridCol w:w="279"/>
      </w:tblGrid>
      <w:tr>
        <w:trPr/>
        <w:tc>
          <w:tcPr>
            <w:tcW w:w="5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0">
              <w:r>
                <w:rPr>
                  <w:rStyle w:val="InternetLink"/>
                  <w:rFonts w:ascii="Museo Sans 700;sans-serif" w:hAnsi="Museo Sans 700;sans-serif"/>
                  <w:b/>
                  <w:color w:val="0000FF"/>
                  <w:sz w:val="20"/>
                  <w:u w:val="single"/>
                </w:rPr>
                <w:t>Part I - Financial Information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Page</w:t>
            </w:r>
          </w:p>
        </w:tc>
      </w:tr>
      <w:tr>
        <w:trPr/>
        <w:tc>
          <w:tcPr>
            <w:tcW w:w="954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3">
              <w:r>
                <w:rPr>
                  <w:rStyle w:val="InternetLink"/>
                  <w:rFonts w:ascii="Museo Sans 300;sans-serif" w:hAnsi="Museo Sans 300;sans-serif"/>
                  <w:b w:val="false"/>
                  <w:color w:val="0000FF"/>
                  <w:sz w:val="20"/>
                  <w:u w:val="single"/>
                </w:rPr>
                <w:t>Item 1.</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3">
              <w:r>
                <w:rPr>
                  <w:rStyle w:val="InternetLink"/>
                  <w:rFonts w:ascii="Museo Sans 300;sans-serif" w:hAnsi="Museo Sans 300;sans-serif"/>
                  <w:b w:val="false"/>
                  <w:color w:val="0000FF"/>
                  <w:sz w:val="20"/>
                  <w:u w:val="single"/>
                </w:rPr>
                <w:t>Financial Statements</w:t>
              </w:r>
            </w:hyperlink>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6">
              <w:r>
                <w:rPr>
                  <w:rStyle w:val="InternetLink"/>
                  <w:rFonts w:ascii="Museo Sans 300;sans-serif" w:hAnsi="Museo Sans 300;sans-serif"/>
                  <w:b w:val="false"/>
                  <w:color w:val="0000FF"/>
                  <w:sz w:val="20"/>
                  <w:u w:val="single"/>
                </w:rPr>
                <w:t>Condensed Consolidated Statements of Operations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6">
              <w:r>
                <w:rPr>
                  <w:rStyle w:val="InternetLink"/>
                  <w:rFonts w:ascii="Museo Sans 300;sans-serif" w:hAnsi="Museo Sans 300;sans-serif"/>
                  <w:b w:val="false"/>
                  <w:color w:val="0000FF"/>
                  <w:sz w:val="20"/>
                  <w:u w:val="single"/>
                </w:rPr>
                <w:t>3</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9">
              <w:r>
                <w:rPr>
                  <w:rStyle w:val="InternetLink"/>
                  <w:rFonts w:ascii="Museo Sans 300;sans-serif" w:hAnsi="Museo Sans 300;sans-serif"/>
                  <w:b w:val="false"/>
                  <w:color w:val="0000FF"/>
                  <w:sz w:val="20"/>
                  <w:u w:val="single"/>
                </w:rPr>
                <w:t>Condensed Consolidated Statements of Comprehensive Income (Loss)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9">
              <w:r>
                <w:rPr>
                  <w:rStyle w:val="InternetLink"/>
                  <w:rFonts w:ascii="Museo Sans 300;sans-serif" w:hAnsi="Museo Sans 300;sans-serif"/>
                  <w:b w:val="false"/>
                  <w:color w:val="0000FF"/>
                  <w:sz w:val="20"/>
                  <w:u w:val="single"/>
                </w:rPr>
                <w:t>4</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22">
              <w:r>
                <w:rPr>
                  <w:rStyle w:val="InternetLink"/>
                  <w:rFonts w:ascii="Museo Sans 300;sans-serif" w:hAnsi="Museo Sans 300;sans-serif"/>
                  <w:b w:val="false"/>
                  <w:color w:val="0000FF"/>
                  <w:sz w:val="20"/>
                  <w:u w:val="single"/>
                </w:rPr>
                <w:t>Condensed Consolidated Balance Sheets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22">
              <w:r>
                <w:rPr>
                  <w:rStyle w:val="InternetLink"/>
                  <w:rFonts w:ascii="Museo Sans 300;sans-serif" w:hAnsi="Museo Sans 300;sans-serif"/>
                  <w:b w:val="false"/>
                  <w:color w:val="0000FF"/>
                  <w:sz w:val="20"/>
                  <w:u w:val="single"/>
                </w:rPr>
                <w:t>5</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25">
              <w:r>
                <w:rPr>
                  <w:rStyle w:val="InternetLink"/>
                  <w:rFonts w:ascii="Museo Sans 300;sans-serif" w:hAnsi="Museo Sans 300;sans-serif"/>
                  <w:b w:val="false"/>
                  <w:color w:val="0000FF"/>
                  <w:sz w:val="20"/>
                  <w:u w:val="single"/>
                </w:rPr>
                <w:t>Condensed Consolidated Statements of Changes in Stockholders' Equity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25">
              <w:r>
                <w:rPr>
                  <w:rStyle w:val="InternetLink"/>
                  <w:rFonts w:ascii="Museo Sans 300;sans-serif" w:hAnsi="Museo Sans 300;sans-serif"/>
                  <w:b w:val="false"/>
                  <w:color w:val="0000FF"/>
                  <w:sz w:val="20"/>
                  <w:u w:val="single"/>
                </w:rPr>
                <w:t>6</w:t>
              </w:r>
            </w:hyperlink>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28">
              <w:r>
                <w:rPr>
                  <w:rStyle w:val="InternetLink"/>
                  <w:rFonts w:ascii="Museo Sans 300;sans-serif" w:hAnsi="Museo Sans 300;sans-serif"/>
                  <w:b w:val="false"/>
                  <w:color w:val="0000FF"/>
                  <w:sz w:val="20"/>
                  <w:u w:val="single"/>
                </w:rPr>
                <w:t>Condensed Consolidated Statements of Cash Flows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28">
              <w:r>
                <w:rPr>
                  <w:rStyle w:val="InternetLink"/>
                  <w:rFonts w:ascii="Museo Sans 300;sans-serif" w:hAnsi="Museo Sans 300;sans-serif"/>
                  <w:b w:val="false"/>
                  <w:color w:val="0000FF"/>
                  <w:sz w:val="20"/>
                  <w:u w:val="single"/>
                </w:rPr>
                <w:t>8</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34">
              <w:r>
                <w:rPr>
                  <w:rStyle w:val="InternetLink"/>
                  <w:rFonts w:ascii="Museo Sans 300;sans-serif" w:hAnsi="Museo Sans 300;sans-serif"/>
                  <w:b w:val="false"/>
                  <w:color w:val="0000FF"/>
                  <w:sz w:val="20"/>
                  <w:u w:val="single"/>
                </w:rPr>
                <w:t>Notes to Condensed Consolidated Financial Statements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34">
              <w:r>
                <w:rPr>
                  <w:rStyle w:val="InternetLink"/>
                  <w:rFonts w:ascii="Museo Sans 300;sans-serif" w:hAnsi="Museo Sans 300;sans-serif"/>
                  <w:b w:val="false"/>
                  <w:color w:val="0000FF"/>
                  <w:sz w:val="20"/>
                  <w:u w:val="single"/>
                </w:rPr>
                <w:t>9</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91">
              <w:r>
                <w:rPr>
                  <w:rStyle w:val="InternetLink"/>
                  <w:rFonts w:ascii="Museo Sans 300;sans-serif" w:hAnsi="Museo Sans 300;sans-serif"/>
                  <w:b w:val="false"/>
                  <w:color w:val="0000FF"/>
                  <w:sz w:val="20"/>
                  <w:u w:val="single"/>
                </w:rPr>
                <w:t>Item 2.</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91">
              <w:r>
                <w:rPr>
                  <w:rStyle w:val="InternetLink"/>
                  <w:rFonts w:ascii="Museo Sans 300;sans-serif" w:hAnsi="Museo Sans 300;sans-serif"/>
                  <w:b w:val="false"/>
                  <w:color w:val="0000FF"/>
                  <w:sz w:val="20"/>
                  <w:u w:val="single"/>
                </w:rPr>
                <w:t>Management’s Discussion and Analysis of Financial Condition and Results of Operations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91">
              <w:r>
                <w:rPr>
                  <w:rStyle w:val="InternetLink"/>
                  <w:rFonts w:ascii="Museo Sans 300;sans-serif" w:hAnsi="Museo Sans 300;sans-serif"/>
                  <w:b w:val="false"/>
                  <w:color w:val="0000FF"/>
                  <w:sz w:val="20"/>
                  <w:u w:val="single"/>
                </w:rPr>
                <w:t>29</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24">
              <w:r>
                <w:rPr>
                  <w:rStyle w:val="InternetLink"/>
                  <w:rFonts w:ascii="Museo Sans 300;sans-serif" w:hAnsi="Museo Sans 300;sans-serif"/>
                  <w:b w:val="false"/>
                  <w:color w:val="0000FF"/>
                  <w:sz w:val="20"/>
                  <w:u w:val="single"/>
                </w:rPr>
                <w:t>Item 3.</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24">
              <w:r>
                <w:rPr>
                  <w:rStyle w:val="InternetLink"/>
                  <w:rFonts w:ascii="Museo Sans 300;sans-serif" w:hAnsi="Museo Sans 300;sans-serif"/>
                  <w:b w:val="false"/>
                  <w:color w:val="0000FF"/>
                  <w:sz w:val="20"/>
                  <w:u w:val="single"/>
                </w:rPr>
                <w:t>Quantitative and Qualitative Disclosures about Market Risk</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24">
              <w:r>
                <w:rPr>
                  <w:rStyle w:val="InternetLink"/>
                  <w:rFonts w:ascii="Museo Sans 300;sans-serif" w:hAnsi="Museo Sans 300;sans-serif"/>
                  <w:b w:val="false"/>
                  <w:color w:val="0000FF"/>
                  <w:sz w:val="20"/>
                  <w:u w:val="single"/>
                </w:rPr>
                <w:t>41</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27">
              <w:r>
                <w:rPr>
                  <w:rStyle w:val="InternetLink"/>
                  <w:rFonts w:ascii="Museo Sans 300;sans-serif" w:hAnsi="Museo Sans 300;sans-serif"/>
                  <w:b w:val="false"/>
                  <w:color w:val="0000FF"/>
                  <w:sz w:val="20"/>
                  <w:u w:val="single"/>
                </w:rPr>
                <w:t>Item 4.</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27">
              <w:r>
                <w:rPr>
                  <w:rStyle w:val="InternetLink"/>
                  <w:rFonts w:ascii="Museo Sans 300;sans-serif" w:hAnsi="Museo Sans 300;sans-serif"/>
                  <w:b w:val="false"/>
                  <w:color w:val="0000FF"/>
                  <w:sz w:val="20"/>
                  <w:u w:val="single"/>
                </w:rPr>
                <w:t>Controls and Procedures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27">
              <w:r>
                <w:rPr>
                  <w:rStyle w:val="InternetLink"/>
                  <w:rFonts w:ascii="Museo Sans 300;sans-serif" w:hAnsi="Museo Sans 300;sans-serif"/>
                  <w:b w:val="false"/>
                  <w:color w:val="0000FF"/>
                  <w:sz w:val="20"/>
                  <w:u w:val="single"/>
                </w:rPr>
                <w:t>42</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4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30">
              <w:r>
                <w:rPr>
                  <w:rStyle w:val="InternetLink"/>
                  <w:rFonts w:ascii="Museo Sans 700;sans-serif" w:hAnsi="Museo Sans 700;sans-serif"/>
                  <w:b/>
                  <w:color w:val="0000FF"/>
                  <w:sz w:val="20"/>
                  <w:u w:val="single"/>
                </w:rPr>
                <w:t>Part II - Other Information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33">
              <w:r>
                <w:rPr>
                  <w:rStyle w:val="InternetLink"/>
                  <w:rFonts w:ascii="Museo Sans 300;sans-serif" w:hAnsi="Museo Sans 300;sans-serif"/>
                  <w:b w:val="false"/>
                  <w:color w:val="0000FF"/>
                  <w:sz w:val="20"/>
                  <w:u w:val="single"/>
                </w:rPr>
                <w:t>Item 2.</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33">
              <w:r>
                <w:rPr>
                  <w:rStyle w:val="InternetLink"/>
                  <w:rFonts w:ascii="Museo Sans 300;sans-serif" w:hAnsi="Museo Sans 300;sans-serif"/>
                  <w:b w:val="false"/>
                  <w:color w:val="0000FF"/>
                  <w:sz w:val="20"/>
                  <w:u w:val="single"/>
                </w:rPr>
                <w:t>Unregistered Sales of Equity Securities and Use of Proceeds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33">
              <w:r>
                <w:rPr>
                  <w:rStyle w:val="InternetLink"/>
                  <w:rFonts w:ascii="Museo Sans 300;sans-serif" w:hAnsi="Museo Sans 300;sans-serif"/>
                  <w:b w:val="false"/>
                  <w:color w:val="0000FF"/>
                  <w:sz w:val="20"/>
                  <w:u w:val="single"/>
                </w:rPr>
                <w:t>43</w:t>
              </w:r>
            </w:hyperlink>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36">
              <w:r>
                <w:rPr>
                  <w:rStyle w:val="InternetLink"/>
                  <w:rFonts w:ascii="Museo Sans 300;sans-serif" w:hAnsi="Museo Sans 300;sans-serif"/>
                  <w:b w:val="false"/>
                  <w:color w:val="0000FF"/>
                  <w:sz w:val="20"/>
                  <w:u w:val="single"/>
                </w:rPr>
                <w:t>Item 5.</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36">
              <w:r>
                <w:rPr>
                  <w:rStyle w:val="InternetLink"/>
                  <w:rFonts w:ascii="Museo Sans 300;sans-serif" w:hAnsi="Museo Sans 300;sans-serif"/>
                  <w:b w:val="false"/>
                  <w:color w:val="0000FF"/>
                  <w:sz w:val="20"/>
                  <w:u w:val="single"/>
                </w:rPr>
                <w:t>Other Information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36">
              <w:r>
                <w:rPr>
                  <w:rStyle w:val="InternetLink"/>
                  <w:rFonts w:ascii="Museo Sans 300;sans-serif" w:hAnsi="Museo Sans 300;sans-serif"/>
                  <w:b w:val="false"/>
                  <w:color w:val="0000FF"/>
                  <w:sz w:val="20"/>
                  <w:u w:val="single"/>
                </w:rPr>
                <w:t>44</w:t>
              </w:r>
            </w:hyperlink>
          </w:p>
        </w:tc>
      </w:tr>
      <w:tr>
        <w:trPr/>
        <w:tc>
          <w:tcPr>
            <w:tcW w:w="954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39">
              <w:r>
                <w:rPr>
                  <w:rStyle w:val="InternetLink"/>
                  <w:rFonts w:ascii="Museo Sans 300;sans-serif" w:hAnsi="Museo Sans 300;sans-serif"/>
                  <w:b w:val="false"/>
                  <w:color w:val="0000FF"/>
                  <w:sz w:val="20"/>
                  <w:u w:val="single"/>
                </w:rPr>
                <w:t>Item 6.</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39">
              <w:r>
                <w:rPr>
                  <w:rStyle w:val="InternetLink"/>
                  <w:rFonts w:ascii="Museo Sans 300;sans-serif" w:hAnsi="Museo Sans 300;sans-serif"/>
                  <w:b w:val="false"/>
                  <w:color w:val="0000FF"/>
                  <w:sz w:val="20"/>
                  <w:u w:val="single"/>
                </w:rPr>
                <w:t>Exhibits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39">
              <w:r>
                <w:rPr>
                  <w:rStyle w:val="InternetLink"/>
                  <w:rFonts w:ascii="Museo Sans 300;sans-serif" w:hAnsi="Museo Sans 300;sans-serif"/>
                  <w:b w:val="false"/>
                  <w:color w:val="0000FF"/>
                  <w:sz w:val="20"/>
                  <w:u w:val="single"/>
                </w:rPr>
                <w:t>45</w:t>
              </w:r>
            </w:hyperlink>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6196ff603449ceae4a3c5397013811_145">
              <w:r>
                <w:rPr>
                  <w:rStyle w:val="InternetLink"/>
                  <w:rFonts w:ascii="Museo Sans 700;sans-serif" w:hAnsi="Museo Sans 700;sans-serif"/>
                  <w:b/>
                  <w:color w:val="0000FF"/>
                  <w:sz w:val="20"/>
                  <w:u w:val="single"/>
                </w:rPr>
                <w:t>Signatures</w:t>
              </w:r>
            </w:hyperlink>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6196ff603449ceae4a3c5397013811_145">
              <w:r>
                <w:rPr>
                  <w:rStyle w:val="InternetLink"/>
                  <w:rFonts w:ascii="Museo Sans 300;sans-serif" w:hAnsi="Museo Sans 300;sans-serif"/>
                  <w:b w:val="false"/>
                  <w:color w:val="0000FF"/>
                  <w:sz w:val="20"/>
                  <w:u w:val="singl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PART I -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60" w:type="dxa"/>
        <w:jc w:val="left"/>
        <w:tblInd w:w="0" w:type="dxa"/>
        <w:tblLayout w:type="fixed"/>
        <w:tblCellMar>
          <w:top w:w="28" w:type="dxa"/>
          <w:left w:w="28" w:type="dxa"/>
          <w:bottom w:w="28" w:type="dxa"/>
          <w:right w:w="28" w:type="dxa"/>
        </w:tblCellMar>
      </w:tblPr>
      <w:tblGrid>
        <w:gridCol w:w="1075"/>
        <w:gridCol w:w="944"/>
        <w:gridCol w:w="1341"/>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94" w:type="dxa"/>
        <w:jc w:val="left"/>
        <w:tblInd w:w="0" w:type="dxa"/>
        <w:tblLayout w:type="fixed"/>
        <w:tblCellMar>
          <w:top w:w="28" w:type="dxa"/>
          <w:left w:w="28" w:type="dxa"/>
          <w:bottom w:w="28" w:type="dxa"/>
          <w:right w:w="28" w:type="dxa"/>
        </w:tblCellMar>
      </w:tblPr>
      <w:tblGrid>
        <w:gridCol w:w="2654"/>
        <w:gridCol w:w="2333"/>
        <w:gridCol w:w="3307"/>
      </w:tblGrid>
      <w:tr>
        <w:trPr/>
        <w:tc>
          <w:tcPr>
            <w:tcW w:w="265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8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CONDENSED CONSOLIDATED STATEMENTS OF OPERATIONS - UNAUDITED</w:t>
              <w:br/>
              <w:t xml:space="preserve">(Dollar amounts in millions, except per share data)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55"/>
        <w:gridCol w:w="710"/>
        <w:gridCol w:w="712"/>
        <w:gridCol w:w="122"/>
        <w:gridCol w:w="122"/>
        <w:gridCol w:w="122"/>
        <w:gridCol w:w="360"/>
        <w:gridCol w:w="361"/>
        <w:gridCol w:w="122"/>
        <w:gridCol w:w="122"/>
        <w:gridCol w:w="122"/>
        <w:gridCol w:w="123"/>
        <w:gridCol w:w="109"/>
        <w:gridCol w:w="109"/>
        <w:gridCol w:w="109"/>
        <w:gridCol w:w="122"/>
        <w:gridCol w:w="122"/>
        <w:gridCol w:w="122"/>
        <w:gridCol w:w="360"/>
        <w:gridCol w:w="361"/>
        <w:gridCol w:w="122"/>
        <w:gridCol w:w="122"/>
        <w:gridCol w:w="122"/>
        <w:gridCol w:w="123"/>
        <w:gridCol w:w="109"/>
        <w:gridCol w:w="109"/>
        <w:gridCol w:w="109"/>
        <w:gridCol w:w="122"/>
        <w:gridCol w:w="122"/>
        <w:gridCol w:w="122"/>
        <w:gridCol w:w="458"/>
        <w:gridCol w:w="458"/>
        <w:gridCol w:w="122"/>
        <w:gridCol w:w="122"/>
        <w:gridCol w:w="122"/>
        <w:gridCol w:w="123"/>
        <w:gridCol w:w="109"/>
        <w:gridCol w:w="109"/>
        <w:gridCol w:w="109"/>
        <w:gridCol w:w="120"/>
        <w:gridCol w:w="120"/>
        <w:gridCol w:w="120"/>
        <w:gridCol w:w="458"/>
        <w:gridCol w:w="458"/>
        <w:gridCol w:w="120"/>
        <w:gridCol w:w="120"/>
        <w:gridCol w:w="120"/>
        <w:gridCol w:w="188"/>
      </w:tblGrid>
      <w:tr>
        <w:trPr/>
        <w:tc>
          <w:tcPr>
            <w:tcW w:w="10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r>
      <w:tr>
        <w:trPr/>
        <w:tc>
          <w:tcPr>
            <w:tcW w:w="2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2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Revenues</w:t>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329.1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335.4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1,105.8</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1,117.2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costs and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 xml:space="preserve">Cost of goods sold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Selling, general and administrative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Depreciation and amortization</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Asset impairments and write downs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Total operating costs and expenses</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1,142.0 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1,154.9 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(26.9)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(23.9)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(37.7)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income (expense), net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Other components of net periodic benefit (cost)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Gain on sale and leaseback transactions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91.8</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(28.4)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70.7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(50.2)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 for income taxes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62.5</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47.3</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(17.3)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Basic and diluted earnings (loss) per share of Class A and Common Stock</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Basic </w:t>
            </w:r>
          </w:p>
        </w:tc>
        <w:tc>
          <w:tcPr>
            <w:tcW w:w="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Diluted </w:t>
            </w:r>
          </w:p>
        </w:tc>
        <w:tc>
          <w:tcPr>
            <w:tcW w:w="3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2.55 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(0.13)</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1.87 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(0.61)</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See accompanying notes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CONDENSED CONSOLIDATED STATEMENTS OF COMPREHENSIVE INCOME (LOSS) - UNAUDITED</w:t>
              <w:br/>
              <w:t>(Dollar amounts in millions)</w:t>
            </w:r>
          </w:p>
        </w:tc>
      </w:tr>
    </w:tbl>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56"/>
        <w:gridCol w:w="960"/>
        <w:gridCol w:w="797"/>
        <w:gridCol w:w="130"/>
        <w:gridCol w:w="130"/>
        <w:gridCol w:w="130"/>
        <w:gridCol w:w="300"/>
        <w:gridCol w:w="301"/>
        <w:gridCol w:w="130"/>
        <w:gridCol w:w="130"/>
        <w:gridCol w:w="130"/>
        <w:gridCol w:w="131"/>
        <w:gridCol w:w="109"/>
        <w:gridCol w:w="109"/>
        <w:gridCol w:w="109"/>
        <w:gridCol w:w="130"/>
        <w:gridCol w:w="130"/>
        <w:gridCol w:w="130"/>
        <w:gridCol w:w="322"/>
        <w:gridCol w:w="322"/>
        <w:gridCol w:w="130"/>
        <w:gridCol w:w="130"/>
        <w:gridCol w:w="130"/>
        <w:gridCol w:w="131"/>
        <w:gridCol w:w="109"/>
        <w:gridCol w:w="109"/>
        <w:gridCol w:w="109"/>
        <w:gridCol w:w="130"/>
        <w:gridCol w:w="130"/>
        <w:gridCol w:w="130"/>
        <w:gridCol w:w="300"/>
        <w:gridCol w:w="301"/>
        <w:gridCol w:w="130"/>
        <w:gridCol w:w="130"/>
        <w:gridCol w:w="130"/>
        <w:gridCol w:w="131"/>
        <w:gridCol w:w="109"/>
        <w:gridCol w:w="109"/>
        <w:gridCol w:w="109"/>
        <w:gridCol w:w="129"/>
        <w:gridCol w:w="129"/>
        <w:gridCol w:w="129"/>
        <w:gridCol w:w="322"/>
        <w:gridCol w:w="322"/>
        <w:gridCol w:w="129"/>
        <w:gridCol w:w="129"/>
        <w:gridCol w:w="129"/>
        <w:gridCol w:w="214"/>
      </w:tblGrid>
      <w:tr>
        <w:trPr/>
        <w:tc>
          <w:tcPr>
            <w:tcW w:w="12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3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62.5</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47.3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(17.3)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 net: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 xml:space="preserve">Foreign currency translation adjustments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Pension and postretirement adjustments (net of tax)</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other comprehensive income (loss), net</w:t>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7.9</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(7.9)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(11.2)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Comprehensive income (loss)</w:t>
            </w:r>
          </w:p>
        </w:tc>
        <w:tc>
          <w:tcPr>
            <w:tcW w:w="3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70.4</w:t>
            </w:r>
            <w:r>
              <w:rPr>
                <w:color w:val="000000"/>
              </w:rPr>
              <w:t>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(11.5)</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55.4</w:t>
            </w:r>
            <w:r>
              <w:rPr>
                <w:color w:val="000000"/>
              </w:rPr>
              <w:t>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(28.5)</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6899" w:type="dxa"/>
        <w:jc w:val="left"/>
        <w:tblInd w:w="0" w:type="dxa"/>
        <w:tblLayout w:type="fixed"/>
        <w:tblCellMar>
          <w:top w:w="28" w:type="dxa"/>
          <w:left w:w="28" w:type="dxa"/>
          <w:bottom w:w="28" w:type="dxa"/>
          <w:right w:w="28" w:type="dxa"/>
        </w:tblCellMar>
      </w:tblPr>
      <w:tblGrid>
        <w:gridCol w:w="2207"/>
        <w:gridCol w:w="1941"/>
        <w:gridCol w:w="2751"/>
      </w:tblGrid>
      <w:tr>
        <w:trPr/>
        <w:tc>
          <w:tcPr>
            <w:tcW w:w="2207"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CONDENSED CONSOLIDATED BALANCE SHEETS - UNAUDITED</w:t>
              <w:br/>
              <w:t>(Dollar amounts in millions, except per share data)</w:t>
            </w:r>
          </w:p>
        </w:tc>
      </w:tr>
    </w:tbl>
    <w:tbl>
      <w:tblPr>
        <w:tblW w:w="10205" w:type="dxa"/>
        <w:jc w:val="left"/>
        <w:tblInd w:w="0" w:type="dxa"/>
        <w:tblLayout w:type="fixed"/>
        <w:tblCellMar>
          <w:top w:w="28" w:type="dxa"/>
          <w:left w:w="28" w:type="dxa"/>
          <w:bottom w:w="28" w:type="dxa"/>
          <w:right w:w="28" w:type="dxa"/>
        </w:tblCellMar>
      </w:tblPr>
      <w:tblGrid>
        <w:gridCol w:w="1829"/>
        <w:gridCol w:w="1056"/>
        <w:gridCol w:w="1061"/>
        <w:gridCol w:w="203"/>
        <w:gridCol w:w="170"/>
        <w:gridCol w:w="131"/>
        <w:gridCol w:w="443"/>
        <w:gridCol w:w="443"/>
        <w:gridCol w:w="131"/>
        <w:gridCol w:w="131"/>
        <w:gridCol w:w="131"/>
        <w:gridCol w:w="131"/>
        <w:gridCol w:w="109"/>
        <w:gridCol w:w="109"/>
        <w:gridCol w:w="109"/>
        <w:gridCol w:w="119"/>
        <w:gridCol w:w="119"/>
        <w:gridCol w:w="119"/>
        <w:gridCol w:w="443"/>
        <w:gridCol w:w="443"/>
        <w:gridCol w:w="119"/>
        <w:gridCol w:w="119"/>
        <w:gridCol w:w="119"/>
        <w:gridCol w:w="119"/>
        <w:gridCol w:w="109"/>
        <w:gridCol w:w="109"/>
        <w:gridCol w:w="109"/>
        <w:gridCol w:w="199"/>
        <w:gridCol w:w="172"/>
        <w:gridCol w:w="130"/>
        <w:gridCol w:w="440"/>
        <w:gridCol w:w="446"/>
        <w:gridCol w:w="130"/>
        <w:gridCol w:w="130"/>
        <w:gridCol w:w="130"/>
        <w:gridCol w:w="195"/>
      </w:tblGrid>
      <w:tr>
        <w:trPr/>
        <w:tc>
          <w:tcPr>
            <w:tcW w:w="182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February 28, 2025</w:t>
            </w:r>
          </w:p>
        </w:tc>
      </w:tr>
      <w:tr>
        <w:trPr/>
        <w:tc>
          <w:tcPr>
            <w:tcW w:w="39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6"/>
              </w:rPr>
            </w:pPr>
            <w:r>
              <w:rPr>
                <w:rFonts w:ascii="Museo Sans 700;sans-serif" w:hAnsi="Museo Sans 700;sans-serif"/>
                <w:b/>
                <w:color w:val="000000"/>
                <w:sz w:val="16"/>
              </w:rPr>
              <w:t>(unaudited)</w:t>
            </w:r>
          </w:p>
        </w:tc>
      </w:tr>
      <w:tr>
        <w:trPr/>
        <w:tc>
          <w:tcPr>
            <w:tcW w:w="3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ASSETS</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Current Assets: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Cash and cash equivalents</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104.6 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94.7 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Accounts receivable, net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248.3 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273.4 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255.9 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Inventories, net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282.5 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250.2 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270.8 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 xml:space="preserve">Income tax receivable </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Tax credit receivable</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Prepaid expenses and other current assets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Total current assets</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735.3</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725.3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757.0</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Noncurrent Assets:</w:t>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Property, plant and equipment, net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193.7 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516.3 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517.1 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Prepublication costs, net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Investment in film and television programs, net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37.5 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Operating lease right-of-use assets, net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264.1 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103.9 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98.8 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Royalty advances, net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71.4 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78.1 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Goodwill</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200.3 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198.9 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Other intangible assets, net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Noncurrent deferred income taxes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34.7 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Other assets and deferred charges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97.3 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113.2 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111.0 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Total noncurrent assets</w:t>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1,045.5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1,224.8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1,204.3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Total assets</w:t>
            </w:r>
          </w:p>
        </w:tc>
        <w:tc>
          <w:tcPr>
            <w:tcW w:w="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6"/>
              </w:rPr>
            </w:pPr>
            <w:r>
              <w:rPr>
                <w:rFonts w:ascii="Museo Sans 700;sans-serif" w:hAnsi="Museo Sans 700;sans-serif"/>
                <w:b/>
                <w:color w:val="000000"/>
                <w:sz w:val="16"/>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1,780.8</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6"/>
              </w:rPr>
            </w:pPr>
            <w:r>
              <w:rPr>
                <w:rFonts w:ascii="Museo Sans 700;sans-serif" w:hAnsi="Museo Sans 700;sans-serif"/>
                <w:b/>
                <w:color w:val="000000"/>
                <w:sz w:val="16"/>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1,950.1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6"/>
              </w:rPr>
            </w:pPr>
            <w:r>
              <w:rPr>
                <w:rFonts w:ascii="Museo Sans 700;sans-serif" w:hAnsi="Museo Sans 700;sans-serif"/>
                <w:b/>
                <w:color w:val="000000"/>
                <w:sz w:val="16"/>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1,961.3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LIABILITIES AND STOCKHOLDERS’ EQUITY</w:t>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Current Liabilities: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Lines of credit and current portion of long-term debt</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Film related obligations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Accounts payable</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128.5 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157.3 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133.5 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Accrued royalties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Deferred revenue</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213.7 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178.8 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Other accrued expenses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144.0 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166.2 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140.2 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Accrued income taxes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Operating lease liabilities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Total current liabilities</w:t>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621.1</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626.4</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616.7</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Noncurrent Liabilities:</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Long-term debt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275.0 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Operating lease liabilities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251.3 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91.5 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84.4 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Other noncurrent liabilities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36.5 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Total noncurrent liabilities</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287.8</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377.2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403.3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Commitments and Contingencies (see Note 7)</w:t>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Stockholders’ Equity:</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Preferred Stock, $1.00 par value: Authorized, 2.0 shares; Issued and Outstanding, none</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Class A Stock, $0.01 par value: Authorized, 3.2 shares; Issued and Outstanding, 0.8 shares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Common Stock, $0.01 par value: Authorized, 70.0 shares; Issued, 42.9 shares; Outstanding, 20.9, 24.2, and 25.9 shares, respectively</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Additional paid-in capital</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603.0 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607.1 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605.3 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Accumulated other comprehensive income (loss)</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(33.4)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(41.5)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Retained earnings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1,032.1 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999.7 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989.5 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Treasury stock, at cost: 22.0, 18.7 and 17.1 shares, respectively</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(730.2)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(619.2)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(590.2)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Total stockholders’ equity</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871.9</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946.5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941.3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6"/>
              </w:rPr>
            </w:pPr>
            <w:r>
              <w:rPr>
                <w:rFonts w:ascii="Museo Sans 700;sans-serif" w:hAnsi="Museo Sans 700;sans-serif"/>
                <w:b/>
                <w:color w:val="000000"/>
                <w:sz w:val="16"/>
              </w:rPr>
              <w:t>Total liabilities and stockholders’ equity</w:t>
            </w:r>
          </w:p>
        </w:tc>
        <w:tc>
          <w:tcPr>
            <w:tcW w:w="5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6"/>
              </w:rPr>
            </w:pPr>
            <w:r>
              <w:rPr>
                <w:rFonts w:ascii="Museo Sans 700;sans-serif" w:hAnsi="Museo Sans 700;sans-serif"/>
                <w:b/>
                <w:color w:val="000000"/>
                <w:sz w:val="16"/>
              </w:rPr>
              <w:t>$</w:t>
            </w:r>
          </w:p>
        </w:tc>
        <w:tc>
          <w:tcPr>
            <w:tcW w:w="8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1,780.8</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6"/>
              </w:rPr>
            </w:pPr>
            <w:r>
              <w:rPr>
                <w:rFonts w:ascii="Museo Sans 700;sans-serif" w:hAnsi="Museo Sans 700;sans-serif"/>
                <w:b/>
                <w:color w:val="000000"/>
                <w:sz w:val="16"/>
              </w:rPr>
              <w:t>$</w:t>
            </w:r>
          </w:p>
        </w:tc>
        <w:tc>
          <w:tcPr>
            <w:tcW w:w="8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1,950.1</w:t>
            </w:r>
            <w:r>
              <w:rPr>
                <w:color w:val="000000"/>
              </w:rPr>
              <w:t>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6"/>
              </w:rPr>
            </w:pPr>
            <w:r>
              <w:rPr>
                <w:rFonts w:ascii="Museo Sans 700;sans-serif" w:hAnsi="Museo Sans 700;sans-serif"/>
                <w:b/>
                <w:color w:val="000000"/>
                <w:sz w:val="16"/>
              </w:rPr>
              <w:t>$</w:t>
            </w:r>
          </w:p>
        </w:tc>
        <w:tc>
          <w:tcPr>
            <w:tcW w:w="8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6"/>
              </w:rPr>
              <w:t>1,961.3</w:t>
            </w:r>
            <w:r>
              <w:rPr>
                <w:color w:val="000000"/>
              </w:rPr>
              <w:t>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CONDENSED CONSOLIDATED STATEMENTS OF CHANGES IN STOCKHOLDERS' EQUITY - UNAUDITED</w:t>
              <w:br/>
              <w:t xml:space="preserve">(Dollar amounts in millions, except per share data) </w:t>
            </w:r>
          </w:p>
        </w:tc>
      </w:tr>
    </w:tbl>
    <w:p>
      <w:pPr>
        <w:pStyle w:val="TextBody"/>
        <w:bidi w:val="0"/>
        <w:spacing w:before="0" w:after="0"/>
        <w:jc w:val="left"/>
        <w:rPr/>
      </w:pPr>
      <w:r>
        <w:rPr/>
      </w:r>
    </w:p>
    <w:tbl>
      <w:tblPr>
        <w:tblW w:w="12480" w:type="dxa"/>
        <w:jc w:val="left"/>
        <w:tblInd w:w="0" w:type="dxa"/>
        <w:tblLayout w:type="fixed"/>
        <w:tblCellMar>
          <w:top w:w="28" w:type="dxa"/>
          <w:left w:w="28" w:type="dxa"/>
          <w:bottom w:w="28" w:type="dxa"/>
          <w:right w:w="28" w:type="dxa"/>
        </w:tblCellMar>
      </w:tblPr>
      <w:tblGrid>
        <w:gridCol w:w="810"/>
        <w:gridCol w:w="225"/>
        <w:gridCol w:w="226"/>
        <w:gridCol w:w="203"/>
        <w:gridCol w:w="203"/>
        <w:gridCol w:w="191"/>
        <w:gridCol w:w="109"/>
        <w:gridCol w:w="109"/>
        <w:gridCol w:w="109"/>
        <w:gridCol w:w="196"/>
        <w:gridCol w:w="391"/>
        <w:gridCol w:w="109"/>
        <w:gridCol w:w="240"/>
        <w:gridCol w:w="241"/>
        <w:gridCol w:w="191"/>
        <w:gridCol w:w="109"/>
        <w:gridCol w:w="109"/>
        <w:gridCol w:w="109"/>
        <w:gridCol w:w="196"/>
        <w:gridCol w:w="391"/>
        <w:gridCol w:w="109"/>
        <w:gridCol w:w="109"/>
        <w:gridCol w:w="109"/>
        <w:gridCol w:w="109"/>
        <w:gridCol w:w="196"/>
        <w:gridCol w:w="571"/>
        <w:gridCol w:w="109"/>
        <w:gridCol w:w="109"/>
        <w:gridCol w:w="109"/>
        <w:gridCol w:w="109"/>
        <w:gridCol w:w="196"/>
        <w:gridCol w:w="481"/>
        <w:gridCol w:w="109"/>
        <w:gridCol w:w="109"/>
        <w:gridCol w:w="109"/>
        <w:gridCol w:w="109"/>
        <w:gridCol w:w="196"/>
        <w:gridCol w:w="706"/>
        <w:gridCol w:w="109"/>
        <w:gridCol w:w="109"/>
        <w:gridCol w:w="109"/>
        <w:gridCol w:w="109"/>
        <w:gridCol w:w="196"/>
        <w:gridCol w:w="571"/>
        <w:gridCol w:w="109"/>
        <w:gridCol w:w="109"/>
        <w:gridCol w:w="109"/>
        <w:gridCol w:w="109"/>
        <w:gridCol w:w="109"/>
        <w:gridCol w:w="109"/>
        <w:gridCol w:w="109"/>
        <w:gridCol w:w="109"/>
        <w:gridCol w:w="109"/>
        <w:gridCol w:w="109"/>
        <w:gridCol w:w="109"/>
        <w:gridCol w:w="300"/>
        <w:gridCol w:w="300"/>
        <w:gridCol w:w="301"/>
        <w:gridCol w:w="196"/>
        <w:gridCol w:w="70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Class A Stock</w:t>
            </w:r>
          </w:p>
        </w:tc>
        <w:tc>
          <w:tcPr>
            <w:tcW w:w="1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Common Stock</w:t>
            </w:r>
          </w:p>
        </w:tc>
        <w:tc>
          <w:tcPr>
            <w:tcW w:w="120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Additional Paid-in Capital</w:t>
            </w:r>
          </w:p>
        </w:tc>
        <w:tc>
          <w:tcPr>
            <w:tcW w:w="14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Accumulated</w:t>
              <w:br/>
              <w:t>Other Comprehensive</w:t>
              <w:br/>
              <w:t>Income (Loss)</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Retained</w:t>
              <w:br/>
              <w:t>Earnings</w:t>
            </w:r>
          </w:p>
        </w:tc>
        <w:tc>
          <w:tcPr>
            <w:tcW w:w="120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Treasury Stock</w:t>
              <w:br/>
              <w:t>At Cost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1"/>
              </w:rPr>
            </w:pPr>
            <w:r>
              <w:rPr>
                <w:rFonts w:ascii="Museo Sans 700;sans-serif" w:hAnsi="Museo Sans 700;sans-serif"/>
                <w:b/>
                <w:color w:val="000000"/>
                <w:sz w:val="11"/>
              </w:rPr>
              <w:t>Total</w:t>
              <w:br/>
              <w:t>Stockholders'</w:t>
              <w:br/>
              <w:t>Equity</w:t>
            </w:r>
          </w:p>
        </w:tc>
        <w:tc>
          <w:tcPr>
            <w:tcW w:w="1056"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1203" w:type="dxa"/>
            <w:gridSpan w:val="6"/>
            <w:vMerge w:val="continue"/>
            <w:tcBorders/>
            <w:tcMar>
              <w:top w:w="0" w:type="dxa"/>
              <w:left w:w="0" w:type="dxa"/>
              <w:bottom w:w="0" w:type="dxa"/>
              <w:right w:w="0" w:type="dxa"/>
            </w:tcMar>
            <w:vAlign w:val="center"/>
          </w:tcPr>
          <w:p>
            <w:pPr>
              <w:pStyle w:val="Normal"/>
              <w:bidi w:val="0"/>
              <w:jc w:val="left"/>
              <w:rPr/>
            </w:pPr>
            <w:r>
              <w:rPr/>
            </w:r>
          </w:p>
        </w:tc>
        <w:tc>
          <w:tcPr>
            <w:tcW w:w="1440" w:type="dxa"/>
            <w:gridSpan w:val="9"/>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6"/>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June 1, 2024</w:t>
            </w:r>
          </w:p>
        </w:tc>
        <w:tc>
          <w:tcPr>
            <w:tcW w:w="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0.8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27.4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1,023.7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(558.1)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1,018.1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Dividends ($0.20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August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0.8</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27.3</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955.6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(560.9)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957.3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Net Income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$0.0)</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Dividends ($0.20 per share)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November 30,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27.3</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998.7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(560.8)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986.0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Net Income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Dividends ($0.20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February 28, 2025</w:t>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0.8</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25.9</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605.3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(63.7)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989.5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(590.2)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941.3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12345" w:type="dxa"/>
        <w:jc w:val="left"/>
        <w:tblInd w:w="0" w:type="dxa"/>
        <w:tblLayout w:type="fixed"/>
        <w:tblCellMar>
          <w:top w:w="28" w:type="dxa"/>
          <w:left w:w="28" w:type="dxa"/>
          <w:bottom w:w="28" w:type="dxa"/>
          <w:right w:w="28" w:type="dxa"/>
        </w:tblCellMar>
      </w:tblPr>
      <w:tblGrid>
        <w:gridCol w:w="810"/>
        <w:gridCol w:w="225"/>
        <w:gridCol w:w="226"/>
        <w:gridCol w:w="202"/>
        <w:gridCol w:w="204"/>
        <w:gridCol w:w="191"/>
        <w:gridCol w:w="109"/>
        <w:gridCol w:w="109"/>
        <w:gridCol w:w="109"/>
        <w:gridCol w:w="196"/>
        <w:gridCol w:w="391"/>
        <w:gridCol w:w="109"/>
        <w:gridCol w:w="240"/>
        <w:gridCol w:w="241"/>
        <w:gridCol w:w="191"/>
        <w:gridCol w:w="109"/>
        <w:gridCol w:w="109"/>
        <w:gridCol w:w="109"/>
        <w:gridCol w:w="196"/>
        <w:gridCol w:w="391"/>
        <w:gridCol w:w="109"/>
        <w:gridCol w:w="109"/>
        <w:gridCol w:w="109"/>
        <w:gridCol w:w="109"/>
        <w:gridCol w:w="196"/>
        <w:gridCol w:w="571"/>
        <w:gridCol w:w="109"/>
        <w:gridCol w:w="109"/>
        <w:gridCol w:w="109"/>
        <w:gridCol w:w="109"/>
        <w:gridCol w:w="196"/>
        <w:gridCol w:w="481"/>
        <w:gridCol w:w="109"/>
        <w:gridCol w:w="109"/>
        <w:gridCol w:w="109"/>
        <w:gridCol w:w="109"/>
        <w:gridCol w:w="196"/>
        <w:gridCol w:w="706"/>
        <w:gridCol w:w="109"/>
        <w:gridCol w:w="109"/>
        <w:gridCol w:w="109"/>
        <w:gridCol w:w="109"/>
        <w:gridCol w:w="196"/>
        <w:gridCol w:w="571"/>
        <w:gridCol w:w="109"/>
        <w:gridCol w:w="109"/>
        <w:gridCol w:w="109"/>
        <w:gridCol w:w="109"/>
        <w:gridCol w:w="109"/>
        <w:gridCol w:w="109"/>
        <w:gridCol w:w="109"/>
        <w:gridCol w:w="109"/>
        <w:gridCol w:w="109"/>
        <w:gridCol w:w="109"/>
        <w:gridCol w:w="109"/>
        <w:gridCol w:w="300"/>
        <w:gridCol w:w="300"/>
        <w:gridCol w:w="301"/>
        <w:gridCol w:w="196"/>
        <w:gridCol w:w="571"/>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Class A Stock</w:t>
            </w:r>
          </w:p>
        </w:tc>
        <w:tc>
          <w:tcPr>
            <w:tcW w:w="1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Common Stock</w:t>
            </w:r>
          </w:p>
        </w:tc>
        <w:tc>
          <w:tcPr>
            <w:tcW w:w="120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Additional Paid-in Capital</w:t>
            </w:r>
          </w:p>
        </w:tc>
        <w:tc>
          <w:tcPr>
            <w:tcW w:w="14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Accumulated</w:t>
              <w:br/>
              <w:t>Other Comprehensive</w:t>
              <w:br/>
              <w:t>Income (Loss)</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Retained</w:t>
              <w:br/>
              <w:t>Earnings</w:t>
            </w:r>
          </w:p>
        </w:tc>
        <w:tc>
          <w:tcPr>
            <w:tcW w:w="120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Treasury Stock</w:t>
              <w:br/>
              <w:t>At Cost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1"/>
              </w:rPr>
            </w:pPr>
            <w:r>
              <w:rPr>
                <w:rFonts w:ascii="Museo Sans 700;sans-serif" w:hAnsi="Museo Sans 700;sans-serif"/>
                <w:b/>
                <w:color w:val="000000"/>
                <w:sz w:val="11"/>
              </w:rPr>
              <w:t>Total</w:t>
              <w:br/>
              <w:t>Stockholders'</w:t>
              <w:br/>
              <w:t>Equity</w:t>
            </w:r>
          </w:p>
        </w:tc>
        <w:tc>
          <w:tcPr>
            <w:tcW w:w="92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1203" w:type="dxa"/>
            <w:gridSpan w:val="6"/>
            <w:vMerge w:val="continue"/>
            <w:tcBorders/>
            <w:tcMar>
              <w:top w:w="0" w:type="dxa"/>
              <w:left w:w="0" w:type="dxa"/>
              <w:bottom w:w="0" w:type="dxa"/>
              <w:right w:w="0" w:type="dxa"/>
            </w:tcMar>
            <w:vAlign w:val="center"/>
          </w:tcPr>
          <w:p>
            <w:pPr>
              <w:pStyle w:val="Normal"/>
              <w:bidi w:val="0"/>
              <w:jc w:val="left"/>
              <w:rPr/>
            </w:pPr>
            <w:r>
              <w:rPr/>
            </w:r>
          </w:p>
        </w:tc>
        <w:tc>
          <w:tcPr>
            <w:tcW w:w="1440" w:type="dxa"/>
            <w:gridSpan w:val="9"/>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6"/>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June 1,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24.2</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999.7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(619.2)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946.5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Dividends ($0.20 per share)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August 31,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24.3</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923.5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(616.1)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878.0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$0.0)</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Dividends ($0.20 per share)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November 30,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24.6</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974.2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(606.2)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931.2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Dividends ($0.20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Balance at February 28, 2026</w:t>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0.8</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20.9</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603.0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(33.4)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1,032.1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color w:val="000000"/>
                <w:sz w:val="14"/>
              </w:rPr>
            </w:pPr>
            <w:r>
              <w:rPr>
                <w:rFonts w:ascii="Museo Sans 500;sans-serif" w:hAnsi="Museo Sans 500;sans-serif"/>
                <w:b/>
                <w:color w:val="000000"/>
                <w:sz w:val="14"/>
              </w:rPr>
              <w:t>(730.2)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color w:val="000000"/>
                <w:sz w:val="14"/>
              </w:rPr>
            </w:pPr>
            <w:r>
              <w:rPr>
                <w:rFonts w:ascii="Museo Sans 500;sans-serif" w:hAnsi="Museo Sans 500;sans-serif"/>
                <w:b/>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500;sans-serif" w:hAnsi="Museo Sans 500;sans-serif"/>
                <w:b/>
                <w:color w:val="000000"/>
                <w:sz w:val="14"/>
              </w:rPr>
              <w:t>871.9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7</w:t>
                      </w:r>
                    </w:p>
                  </w:txbxContent>
                </v:textbox>
                <w10:wrap type="none"/>
              </v:rect>
            </w:pict>
          </mc:Fallback>
        </mc:AlternateContent>
      </w:r>
    </w:p>
    <w:p>
      <w:pPr>
        <w:pStyle w:val="TextBody"/>
        <w:bidi w:val="0"/>
        <w:spacing w:before="0" w:after="0"/>
        <w:jc w:val="left"/>
        <w:rPr/>
      </w:pPr>
      <w:r>
        <w:rPr/>
      </w:r>
    </w:p>
    <w:tbl>
      <w:tblPr>
        <w:tblW w:w="8339" w:type="dxa"/>
        <w:jc w:val="left"/>
        <w:tblInd w:w="0" w:type="dxa"/>
        <w:tblLayout w:type="fixed"/>
        <w:tblCellMar>
          <w:top w:w="28" w:type="dxa"/>
          <w:left w:w="28" w:type="dxa"/>
          <w:bottom w:w="28" w:type="dxa"/>
          <w:right w:w="28" w:type="dxa"/>
        </w:tblCellMar>
      </w:tblPr>
      <w:tblGrid>
        <w:gridCol w:w="2668"/>
        <w:gridCol w:w="2346"/>
        <w:gridCol w:w="3325"/>
      </w:tblGrid>
      <w:tr>
        <w:trPr/>
        <w:tc>
          <w:tcPr>
            <w:tcW w:w="2668"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8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CONDENSED CONSOLIDATED STATEMENTS OF CASH FLOWS – UNAUDITED</w:t>
              <w:br/>
              <w:t>(Dollar amounts in millions)</w:t>
            </w:r>
          </w:p>
        </w:tc>
      </w:tr>
    </w:tbl>
    <w:tbl>
      <w:tblPr>
        <w:tblW w:w="10205" w:type="dxa"/>
        <w:jc w:val="left"/>
        <w:tblInd w:w="0" w:type="dxa"/>
        <w:tblLayout w:type="fixed"/>
        <w:tblCellMar>
          <w:top w:w="28" w:type="dxa"/>
          <w:left w:w="28" w:type="dxa"/>
          <w:bottom w:w="28" w:type="dxa"/>
          <w:right w:w="28" w:type="dxa"/>
        </w:tblCellMar>
      </w:tblPr>
      <w:tblGrid>
        <w:gridCol w:w="2238"/>
        <w:gridCol w:w="1892"/>
        <w:gridCol w:w="1900"/>
        <w:gridCol w:w="183"/>
        <w:gridCol w:w="183"/>
        <w:gridCol w:w="177"/>
        <w:gridCol w:w="381"/>
        <w:gridCol w:w="384"/>
        <w:gridCol w:w="174"/>
        <w:gridCol w:w="174"/>
        <w:gridCol w:w="174"/>
        <w:gridCol w:w="174"/>
        <w:gridCol w:w="123"/>
        <w:gridCol w:w="189"/>
        <w:gridCol w:w="189"/>
        <w:gridCol w:w="183"/>
        <w:gridCol w:w="382"/>
        <w:gridCol w:w="383"/>
        <w:gridCol w:w="180"/>
        <w:gridCol w:w="156"/>
        <w:gridCol w:w="156"/>
        <w:gridCol w:w="230"/>
      </w:tblGrid>
      <w:tr>
        <w:trPr/>
        <w:tc>
          <w:tcPr>
            <w:tcW w:w="223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3"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c>
          <w:tcPr>
            <w:tcW w:w="542" w:type="dxa"/>
            <w:gridSpan w:val="3"/>
            <w:tcBorders/>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123" w:type="dxa"/>
            <w:tcBorders/>
            <w:vAlign w:val="center"/>
          </w:tcPr>
          <w:p>
            <w:pPr>
              <w:pStyle w:val="TableContents"/>
              <w:bidi w:val="0"/>
              <w:spacing w:before="0" w:after="283"/>
              <w:jc w:val="left"/>
              <w:rPr>
                <w:sz w:val="4"/>
                <w:szCs w:val="4"/>
              </w:rPr>
            </w:pPr>
            <w:r>
              <w:rPr>
                <w:sz w:val="4"/>
                <w:szCs w:val="4"/>
              </w:rPr>
            </w:r>
          </w:p>
        </w:tc>
        <w:tc>
          <w:tcPr>
            <w:tcW w:w="2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6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flows - operating activities:</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47.3</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(17.3)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Adjustments to reconcile Net income (loss) to net cash provided by (used in) operating activities: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Provision for losses on accounts receivable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Provision for losses on inventory</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Provision for losses on royalty advances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Amortization of prepublication costs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Museo Sans 300;sans-serif" w:hAnsi="Museo Sans 300;sans-serif"/>
                <w:b w:val="false"/>
                <w:color w:val="000000"/>
                <w:sz w:val="18"/>
              </w:rPr>
              <w:t>Amortization of film and television programs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Depreciation and amortization</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Amortization of pension and postretirement plans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Deferred income taxes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Stock-based compensation</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Income from equity-method investments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Non cash write off related to asset impairments and write downs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Gain on sale and leaseback transactions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(118.2)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Changes in assets and liabilities, net of amounts acquired:</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Accounts receivable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Inventories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 xml:space="preserve">Income tax receivable </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Prepaid expenses and other current assets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Museo Sans 300;sans-serif" w:hAnsi="Museo Sans 300;sans-serif"/>
                <w:b w:val="false"/>
                <w:color w:val="000000"/>
                <w:sz w:val="18"/>
              </w:rPr>
              <w:t>Investment in film and television programs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Royalty advances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Employee benefit plan contribution</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Accounts payable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Accrued royalties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Deferred revenue</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 xml:space="preserve">Other accrued expenses </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Accrued income taxes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8"/>
              </w:rPr>
              <w:t xml:space="preserve">Other, net </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operating activities</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flows - investing activities:</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Prepublication expenditures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Additions to property, plant and equipment </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proceeds from sale and leaseback transactions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Acquisitions, net of cash acquired</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net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investing activities</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406.0 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(232.0)</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flows - financing activities:</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Borrowings under lines of credit and long-term debt, net of debt issuance costs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Repayments of lines of credit and long-term debt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(359.7)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Borrowings under film related obligations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Repayments of film related obligations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Repayments of capital lease obligations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Reacquisition of common stock</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(127.2)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Proceeds pursuant to stock-based compensation plans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Payment of dividends</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net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Net cash provided by (used in) financing activities </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(386.9)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197.6 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Effect of exchange rate changes on cash and cash equivalents</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increase (decrease) in cash and cash equivalents</w:t>
            </w:r>
          </w:p>
        </w:tc>
        <w:tc>
          <w:tcPr>
            <w:tcW w:w="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 at beginning of period</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and cash equivalents at end of period</w:t>
            </w:r>
          </w:p>
        </w:tc>
        <w:tc>
          <w:tcPr>
            <w:tcW w:w="54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104.6</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6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94.7</w:t>
            </w:r>
            <w:r>
              <w:rPr>
                <w:color w:val="000000"/>
              </w:rPr>
              <w:t>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8</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The accompanying condensed consolidated interim financial statements (referred to as the “Financial Statements” herein) include the accounts of Scholastic Corporation (the “Corporation”) and all wholly-owned and majority-owned subsidiaries (collectively, “Scholastic” or the “Company”). The Company reviews its relationships with other entities to identify whether it is the primary beneficiary of a variable interest entity (“VIE”). If the determination is made that the Company is the primary beneficiary, then the entity is consolidated. Intercompany transactions are eliminated in consolidation.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fiscal year is not a calendar year. Accordingly, references in this document to fiscal 2026 relate to the twelve-month period ending May 31, 2026. Certain prior period amounts have been reclassified to conform with the current year presentation.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accompanying Financial Statements have been prepared in accordance with U.S. generally accepted accounting principles (“U.S. GAAP”) and Article 10 of Regulation S-X of the U.S. Securities and Exchange Commission (“SEC”) for interim financial information, and should be read in conjunction with the Company’s Annual Report on Form 10-K for the fiscal year ended May 31, 2025.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Seasonality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20"/>
        </w:rPr>
        <w:t>The Company’s </w:t>
      </w:r>
      <w:r>
        <w:rPr>
          <w:rFonts w:ascii="Museo Sans 300;sans-serif" w:hAnsi="Museo Sans 300;sans-serif"/>
          <w:b w:val="false"/>
          <w:i/>
          <w:color w:val="000000"/>
          <w:sz w:val="20"/>
        </w:rPr>
        <w:t>Children’s Book Publishing and Distribution </w:t>
      </w:r>
      <w:r>
        <w:rPr>
          <w:rFonts w:ascii="Museo Sans 300;sans-serif" w:hAnsi="Museo Sans 300;sans-serif"/>
          <w:b w:val="false"/>
          <w:color w:val="000000"/>
          <w:sz w:val="20"/>
        </w:rPr>
        <w:t xml:space="preserve">school-based book club and book fair channels and most of its </w:t>
      </w:r>
      <w:r>
        <w:rPr>
          <w:rFonts w:ascii="Museo Sans 300;sans-serif" w:hAnsi="Museo Sans 300;sans-serif"/>
          <w:b w:val="false"/>
          <w:i/>
          <w:color w:val="000000"/>
          <w:sz w:val="20"/>
        </w:rPr>
        <w:t>Education Solutions</w:t>
      </w:r>
      <w:r>
        <w:rPr>
          <w:color w:val="000000"/>
        </w:rPr>
        <w:t xml:space="preserve"> </w:t>
      </w:r>
      <w:r>
        <w:rPr>
          <w:rFonts w:ascii="Museo Sans 300;sans-serif" w:hAnsi="Museo Sans 300;sans-serif"/>
          <w:b w:val="false"/>
          <w:color w:val="000000"/>
          <w:sz w:val="20"/>
        </w:rPr>
        <w:t xml:space="preserve">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Education channel revenues are generally higher in the fourth quarter. Trade channel and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segment revenues can vary throughout the year due to the timing of published titles' release dates and program production deliveries and the start dates of distribution license agreements.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preparation of these Financial Statements involves the use of estimates and assumptions by management, which affects the amounts reported in the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certain assets and liabilities. Actual results may differ from those estimates and assumptions. On an on-going basis, the Company evaluates the adequacy of its reserves and the estimates used in these calculations, including, but not limited to:</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 xml:space="preserve">Accounts receivable allowance for credit losses </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 xml:space="preserve">Pension and postretirement benefit plans </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Uncertain tax positions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The timing and amount of future income taxes and related deductions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Inventory reserves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Cost of goods sold from book fair operations during interim periods based on estimated gross profit rates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Royalty advance reserves and royalty expense accruals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Expected economic useful life and recoverability of film and television program assets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Impairment testing for goodwill, intangibles and other long-lived assets and investments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Assets and liabilities acquired in business combinations</w:t>
      </w:r>
    </w:p>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Variable consideration related to anticipated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9</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ind w:left="0" w:right="0" w:hanging="540"/>
        <w:jc w:val="left"/>
        <w:rPr/>
      </w:pPr>
      <w:r>
        <w:rPr>
          <w:color w:val="000000"/>
        </w:rPr>
        <w:t>•</w:t>
      </w:r>
      <w:r>
        <w:rPr>
          <w:rFonts w:ascii="Museo Sans 300;sans-serif" w:hAnsi="Museo Sans 300;sans-serif"/>
          <w:b w:val="false"/>
          <w:color w:val="000000"/>
          <w:sz w:val="20"/>
        </w:rPr>
        <w:t>Allocation of transaction price to contractual performance obligations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Recently Issued Accounting Pronouncements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In December 2025, the Financial Accounting Standards Board ("FASB") issued ASU 2025-10, "Government Grants (Topic 832): Accounting for Government Grants Received by Business Entities." The amendments in this Update establish the accounting for a government grant received by a business entity, including guidance for (1) a grant related to an asset and (2) a grant related to income. A grant related to an asset is a government grant, or part of a government grant, that is conditioned on the purchase, construction, or acquisition of an asset (for example, a long-lived asset or inventory). A grant related to income is a government grant, or part of a government grant, other than a grant related to an asset (for example, a grant that reimburses a business entity for operating expenses). The update provides guidance for the recognition, measurement, and presentation of government grants. This ASU applies to government tax credits that the Company receives related to film, television and digital media production and distribution. The ASU is effective for the Company's fiscal year 2030 and early adoption is permitted. The Company is currently assessing the impact of this ASU on its consolidated financial statements.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In September 2025, the FASB issued ASU 2025-06, "Intangibles—Goodwill and Other—Internal-Use Software (Subtopic 350-40) Targeted Improvements to the Accounting for Internal-Use Software." The amendments in this Update remove all references to prescriptive and sequential software development stages throughout Subtopic 350-40. Therefore, an entity is required to start capitalizing software costs when both of the following occur: 1. Management has authorized and committed to funding the software project. 2. It is probable that the project will be completed and the software will be used to perform the function intended. The amendments in this Update specify that the disclosures in Subtopic 360-10, "Property, Plant, and Equipment—Overall," are required for all capitalized internal-use software costs, regardless of how those costs are presented in the financial statements. Additionally, the amendments clarify that the intangibles disclosures in paragraphs 350-30-50-1 through 50-3 are not required for capitalized internal-use software costs. Furthermore, the amendments in this Update supersede the website development costs guidance and incorporate the recognition requirements for website-specific development costs from Subtopic 350-50 into Subtopic 350-40. This ASU is effective for the Company's fiscal year 2029. Early adoption is permitted. The Company is currently assessing the impact of this ASU on its consolidated financial statements.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In July 2025, the FASB issued ASU 2025-05, "Financial Instruments—Credit Losses (Topic 326): Measurement of Credit Losses for Accounts Receivable and Contract Assets." The amendments in this Update provide entities with a practical expedient related to developing reasonable and supportable forecasts as part of estimating expected credit losses, in which entities may elect to assume that current conditions as of the balance sheet date do not change for the remaining life of the asset. If the Company elects to use the practical expedient, this ASU is effective for the Company's fiscal year 2027. Early adoption is allowed. The Company is currently assessing the impact of this ASU on its consolidated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In November 2024, the FASB issued ASU 2024-03, "Income Statement—Reporting Comprehensive Income—Expense Disaggregation Disclosures (Subtopic 220-40) - Disaggregation of Income Statement Expenses." This ASU improves financial reporting by requiring that public business entities disclose additional information about specific expense categories in the notes to financial statements at interim and annual reporting periods. In January 2025, the FASB issued ASU 2025-01,""Income Statement—Reporting Comprehensive Income—Expense Disaggregation Disclosures (Subtopic 220-40) - Clarifying the Effective Date" to clarify the effective date of ASU 2024-03 for non-calendar year-end entities. ASU 2024-03 is effective for the Company's fiscal year 2028, and interim periods starting in fiscal year 2029. Early adoption is permitted. The amendments in this ASU are to be applied retrospectively to all prior periods presented in the financial statements. The Company is currently assessing the impact of the disclosure requirements on its consolidated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In December 2023, the FASB issued Accounting Standards Update ("ASU") 2023-09, "Income Taxes (Topic 740)." The amendments in this update enhance the transparency and decision usefulness of income tax disclosures to provide information to better assess how an entity’s operations and related tax risks and tax planning and operational opportunities affect its tax rate and prospects for future cash flows. The amendments in this ASU require more transparency about income tax information through improvements to income tax disclosures primarily related to the rate reconciliation and income taxes paid information. This ASU will be effective for the Company's annual disclosures for fiscal year 2026 and the Company will apply the amendments prospectively.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10</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expects the adoption of this ASU to primarily result in additional disclosures related to tax rates for certain individual states.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Refer to the Company’s Annual Report on Form 10-K for the fiscal year ended May 31, 2025 for more information on current applicable authoritative guidance and its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 REVENUES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Disaggregated Revenue Data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presents the Company’s segment revenues disaggregated by region and domestic channel:</w:t>
      </w:r>
    </w:p>
    <w:tbl>
      <w:tblPr>
        <w:tblW w:w="10205" w:type="dxa"/>
        <w:jc w:val="left"/>
        <w:tblInd w:w="0" w:type="dxa"/>
        <w:tblLayout w:type="fixed"/>
        <w:tblCellMar>
          <w:top w:w="28" w:type="dxa"/>
          <w:left w:w="28" w:type="dxa"/>
          <w:bottom w:w="28" w:type="dxa"/>
          <w:right w:w="28" w:type="dxa"/>
        </w:tblCellMar>
      </w:tblPr>
      <w:tblGrid>
        <w:gridCol w:w="1282"/>
        <w:gridCol w:w="1015"/>
        <w:gridCol w:w="867"/>
        <w:gridCol w:w="137"/>
        <w:gridCol w:w="137"/>
        <w:gridCol w:w="137"/>
        <w:gridCol w:w="374"/>
        <w:gridCol w:w="347"/>
        <w:gridCol w:w="129"/>
        <w:gridCol w:w="129"/>
        <w:gridCol w:w="129"/>
        <w:gridCol w:w="129"/>
        <w:gridCol w:w="137"/>
        <w:gridCol w:w="137"/>
        <w:gridCol w:w="137"/>
        <w:gridCol w:w="374"/>
        <w:gridCol w:w="347"/>
        <w:gridCol w:w="129"/>
        <w:gridCol w:w="129"/>
        <w:gridCol w:w="129"/>
        <w:gridCol w:w="129"/>
        <w:gridCol w:w="133"/>
        <w:gridCol w:w="133"/>
        <w:gridCol w:w="133"/>
        <w:gridCol w:w="457"/>
        <w:gridCol w:w="459"/>
        <w:gridCol w:w="133"/>
        <w:gridCol w:w="133"/>
        <w:gridCol w:w="129"/>
        <w:gridCol w:w="129"/>
        <w:gridCol w:w="133"/>
        <w:gridCol w:w="133"/>
        <w:gridCol w:w="133"/>
        <w:gridCol w:w="457"/>
        <w:gridCol w:w="459"/>
        <w:gridCol w:w="133"/>
        <w:gridCol w:w="132"/>
        <w:gridCol w:w="128"/>
        <w:gridCol w:w="198"/>
      </w:tblGrid>
      <w:tr>
        <w:trPr/>
        <w:tc>
          <w:tcPr>
            <w:tcW w:w="128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374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Book Clubs - U.S.</w:t>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Book Fairs - U.S.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Trade - U.S.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Trade - International </w:t>
            </w:r>
            <w:r>
              <w:rPr>
                <w:rFonts w:ascii="Museo Sans 300;sans-serif" w:hAnsi="Museo Sans 300;sans-serif"/>
                <w:b w:val="false"/>
                <w:color w:val="000000"/>
                <w:sz w:val="12"/>
              </w:rPr>
              <w:t>(1)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Children's Book Publishing and Distribution</w:t>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197.6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203.3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687.9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675.7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Education Solutions - U.S.</w:t>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Education Solutions</w:t>
            </w:r>
          </w:p>
        </w:tc>
        <w:tc>
          <w:tcPr>
            <w:tcW w:w="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56.1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57.2</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158.4</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184.1</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Entertainment - U.S.</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Entertainment - International </w:t>
            </w:r>
            <w:r>
              <w:rPr>
                <w:rFonts w:ascii="Museo Sans 300;sans-serif" w:hAnsi="Museo Sans 300;sans-serif"/>
                <w:b w:val="false"/>
                <w:color w:val="000000"/>
                <w:sz w:val="12"/>
              </w:rPr>
              <w:t>(2)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Entertainment</w:t>
            </w:r>
          </w:p>
        </w:tc>
        <w:tc>
          <w:tcPr>
            <w:tcW w:w="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16.0</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12.8</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44.7</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46.2</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International - Major Markets </w:t>
            </w:r>
            <w:r>
              <w:rPr>
                <w:rFonts w:ascii="Museo Sans 300;sans-serif" w:hAnsi="Museo Sans 300;sans-serif"/>
                <w:b w:val="false"/>
                <w:color w:val="000000"/>
                <w:sz w:val="12"/>
              </w:rPr>
              <w:t>(3)</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International - Other Markets </w:t>
            </w:r>
            <w:r>
              <w:rPr>
                <w:rFonts w:ascii="Museo Sans 300;sans-serif" w:hAnsi="Museo Sans 300;sans-serif"/>
                <w:b w:val="false"/>
                <w:color w:val="000000"/>
                <w:sz w:val="12"/>
              </w:rPr>
              <w:t>(4)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International</w:t>
            </w:r>
          </w:p>
        </w:tc>
        <w:tc>
          <w:tcPr>
            <w:tcW w:w="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58.7</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59.3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207.6</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202.8</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Overhead</w:t>
            </w:r>
            <w:r>
              <w:rPr>
                <w:color w:val="000000"/>
              </w:rPr>
              <w:t xml:space="preserve"> </w:t>
            </w:r>
            <w:r>
              <w:rPr>
                <w:rFonts w:ascii="Museo Sans 300;sans-serif" w:hAnsi="Museo Sans 300;sans-serif"/>
                <w:b w:val="false"/>
                <w:color w:val="000000"/>
                <w:sz w:val="12"/>
              </w:rPr>
              <w:t>(5)</w:t>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Overhead</w:t>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0.7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2.8</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8.4</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Revenues</w:t>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329.1</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335.4</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1,105.8</w:t>
            </w:r>
            <w:r>
              <w:rPr>
                <w:color w:val="000000"/>
              </w:rPr>
              <w:t>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1,117.2</w:t>
            </w:r>
            <w:r>
              <w:rPr>
                <w:color w:val="000000"/>
              </w:rPr>
              <w:t>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Primarily includes foreign rights and certain product sales in the UK.</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Primarily includes production, distribution and licensing revenues in Canada, Ireland and Indonesia.</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Includes Canada, UK, Australia and New Zealand.</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(4) Primarily includes markets in Asia.</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(5) Overhead includes rental income related to leased space in the Company's headquarters. As a result of the sale and leaseback transactions, the Company no longer owns the leasable space. Refer to Note 4, "Sale and Leaseback Transactions", and Note 12, "Leases", for further details.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Returns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A liability for expected returns of $36.9, $34.4, and $33.3 is recorded within Other accrued expenses as of February 28, 2026, May 31, 2025, and February 28, 2025, respectively. In addition, a return asset of $3.5, $3.7, and $3.8 is recorded within Prepaid expenses and other current assets as of February 28, 2026, May 31, 2025, and February 28, 2025, respectively, for the recoverable cost of product estimated to be returned by customers.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11</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Contract Liabilities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presents further detail regarding the Company's contract liabilities as of the dates indicated:</w:t>
      </w:r>
    </w:p>
    <w:p>
      <w:pPr>
        <w:pStyle w:val="TextBody"/>
        <w:bidi w:val="0"/>
        <w:spacing w:before="0" w:after="0"/>
        <w:jc w:val="left"/>
        <w:rPr/>
      </w:pPr>
      <w:r>
        <w:rPr/>
      </w:r>
    </w:p>
    <w:tbl>
      <w:tblPr>
        <w:tblW w:w="8919" w:type="dxa"/>
        <w:jc w:val="left"/>
        <w:tblInd w:w="0" w:type="dxa"/>
        <w:tblLayout w:type="fixed"/>
        <w:tblCellMar>
          <w:top w:w="28" w:type="dxa"/>
          <w:left w:w="28" w:type="dxa"/>
          <w:bottom w:w="28" w:type="dxa"/>
          <w:right w:w="28" w:type="dxa"/>
        </w:tblCellMar>
      </w:tblPr>
      <w:tblGrid>
        <w:gridCol w:w="922"/>
        <w:gridCol w:w="811"/>
        <w:gridCol w:w="817"/>
        <w:gridCol w:w="216"/>
        <w:gridCol w:w="216"/>
        <w:gridCol w:w="216"/>
        <w:gridCol w:w="360"/>
        <w:gridCol w:w="361"/>
        <w:gridCol w:w="216"/>
        <w:gridCol w:w="216"/>
        <w:gridCol w:w="216"/>
        <w:gridCol w:w="218"/>
        <w:gridCol w:w="160"/>
        <w:gridCol w:w="160"/>
        <w:gridCol w:w="160"/>
        <w:gridCol w:w="360"/>
        <w:gridCol w:w="361"/>
        <w:gridCol w:w="160"/>
        <w:gridCol w:w="160"/>
        <w:gridCol w:w="160"/>
        <w:gridCol w:w="160"/>
        <w:gridCol w:w="210"/>
        <w:gridCol w:w="210"/>
        <w:gridCol w:w="210"/>
        <w:gridCol w:w="360"/>
        <w:gridCol w:w="361"/>
        <w:gridCol w:w="210"/>
        <w:gridCol w:w="210"/>
        <w:gridCol w:w="210"/>
        <w:gridCol w:w="312"/>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1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Book fairs incentive credits</w:t>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121.9 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116.8 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Magazines+ subscriptions</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U.S. digital subscriptions</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U.S. education-related </w:t>
            </w:r>
            <w:r>
              <w:rPr>
                <w:rFonts w:ascii="Museo Sans 300;sans-serif" w:hAnsi="Museo Sans 300;sans-serif"/>
                <w:b w:val="false"/>
                <w:color w:val="000000"/>
                <w:sz w:val="12"/>
              </w:rPr>
              <w:t>(1)</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Entertainment-related </w:t>
            </w:r>
            <w:r>
              <w:rPr>
                <w:rFonts w:ascii="Museo Sans 300;sans-serif" w:hAnsi="Museo Sans 300;sans-serif"/>
                <w:b w:val="false"/>
                <w:color w:val="000000"/>
                <w:sz w:val="12"/>
              </w:rPr>
              <w:t>(2)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Stored value programs</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w:t>
            </w:r>
            <w:r>
              <w:rPr>
                <w:rFonts w:ascii="Museo Sans 300;sans-serif" w:hAnsi="Museo Sans 300;sans-serif"/>
                <w:b w:val="false"/>
                <w:color w:val="000000"/>
                <w:sz w:val="12"/>
              </w:rPr>
              <w:t>(3)</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contract liabilities</w:t>
            </w:r>
          </w:p>
        </w:tc>
        <w:tc>
          <w:tcPr>
            <w:tcW w:w="6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216.6</w:t>
            </w:r>
            <w:r>
              <w:rPr>
                <w:color w:val="000000"/>
              </w:rPr>
              <w:t> </w:t>
            </w:r>
          </w:p>
        </w:tc>
        <w:tc>
          <w:tcPr>
            <w:tcW w:w="2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183.0</w:t>
            </w:r>
            <w:r>
              <w:rPr>
                <w:color w:val="000000"/>
              </w:rPr>
              <w:t> </w:t>
            </w:r>
          </w:p>
        </w:tc>
        <w:tc>
          <w:tcPr>
            <w:tcW w:w="1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210.3</w:t>
            </w:r>
            <w:r>
              <w:rPr>
                <w:color w:val="000000"/>
              </w:rPr>
              <w:t> </w:t>
            </w:r>
          </w:p>
        </w:tc>
        <w:tc>
          <w:tcPr>
            <w:tcW w:w="2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(1) Primarily relates to contracts with school districts and professional services.</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(2) Primarily relates to contracts for film and TV productions and production services.</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(3) Primarily relates to contracts for various international products and services.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contract liabilities consist of advance billings and payments received from customers in excess of revenue recognized and revenue allocated to outstanding book fairs incentive credits. Contract liabilities of $213.7, $178.8 and $205.2 as of February 28, 2026, May 31, 2025 and February 28, 2025, respectively, are recorded within Deferred revenue on the Company's Condensed Consolidated Balance Sheets and are classified as short term, as substantially all of the associated performance obligations are expected to be satisfied, and related revenue recognized, within one year. The remaining $2.9, $4.2 and $5.1 of contract liabilities as of February 28, 2026, May 31, 2025 and February 28, 2025, respectively, are recorded within Other noncurrent liabilities on the Company's Condensed Consolidated Balance Sheets as the associated performance obligations are expected to be satisfied, and related revenue recognized, in excess of one year. The Company recognized revenue which was included in the opening Deferred revenue balance in the amount of $35.7 and $116.0 for the three and nine months ended February 28, 2026, respectively, and $35.1 and $106.2 for the three and nine months ended February 28, 2025, respectively.</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20"/>
        </w:rPr>
        <w:t>Allowance for Credit</w:t>
      </w:r>
      <w:r>
        <w:rPr>
          <w:color w:val="000000"/>
        </w:rPr>
        <w:t xml:space="preserve"> </w:t>
      </w:r>
      <w:r>
        <w:rPr>
          <w:rFonts w:ascii="Museo Sans 700;sans-serif" w:hAnsi="Museo Sans 700;sans-serif"/>
          <w:b/>
          <w:color w:val="000000"/>
          <w:sz w:val="20"/>
        </w:rPr>
        <w:t>Losses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The Company recognizes an allowance for credit losses on customer receivables that are expected to be incurred over the lifetime of the receivable. Reserves for estimated credit losses are established at the time of sale and are based on relevant information about past events, current conditions, and supportable forecasts impacting ultimate collectability, including specific reserves on a customer-by-customer basis, creditworthiness of the Company’s customers and prior collection experience. The Company reviews new information as it becomes available and makes adjustments to the reserves accordingly. At the time the Company determines that a receivable balance, or any portion thereof, is deemed to be permanently uncollectible, the balance is then written off.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presents the change in the allowance for credit losses, which is included in Accounts receivable, net on the Condensed Consolidated Balance Sheets:</w:t>
      </w:r>
    </w:p>
    <w:p>
      <w:pPr>
        <w:pStyle w:val="TextBody"/>
        <w:bidi w:val="0"/>
        <w:spacing w:before="0" w:after="0"/>
        <w:jc w:val="left"/>
        <w:rPr/>
      </w:pPr>
      <w:r>
        <w:rPr/>
      </w:r>
    </w:p>
    <w:tbl>
      <w:tblPr>
        <w:tblW w:w="6417" w:type="dxa"/>
        <w:jc w:val="left"/>
        <w:tblInd w:w="0" w:type="dxa"/>
        <w:tblLayout w:type="fixed"/>
        <w:tblCellMar>
          <w:top w:w="28" w:type="dxa"/>
          <w:left w:w="28" w:type="dxa"/>
          <w:bottom w:w="28" w:type="dxa"/>
          <w:right w:w="28" w:type="dxa"/>
        </w:tblCellMar>
      </w:tblPr>
      <w:tblGrid>
        <w:gridCol w:w="1261"/>
        <w:gridCol w:w="1106"/>
        <w:gridCol w:w="1113"/>
        <w:gridCol w:w="311"/>
        <w:gridCol w:w="311"/>
        <w:gridCol w:w="311"/>
        <w:gridCol w:w="311"/>
        <w:gridCol w:w="311"/>
        <w:gridCol w:w="311"/>
        <w:gridCol w:w="311"/>
        <w:gridCol w:w="311"/>
        <w:gridCol w:w="449"/>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Allowance for Credit Losses</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Balance as of June 1, 2025</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11.0</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Write-offs and other</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Balance as of August 31, 2025</w:t>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10.9</w:t>
            </w: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Write-offs and other</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as of November 30, 2025</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11.7</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w:t>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Write-offs and other</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as of February 28, 2026</w:t>
            </w:r>
          </w:p>
        </w:tc>
        <w:tc>
          <w:tcPr>
            <w:tcW w:w="93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10.8</w:t>
            </w:r>
            <w:r>
              <w:rPr>
                <w:color w:val="000000"/>
              </w:rPr>
              <w:t> </w:t>
            </w:r>
          </w:p>
        </w:tc>
        <w:tc>
          <w:tcPr>
            <w:tcW w:w="3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12</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3. SEGMENT INFORMATION </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The Company categorizes its businesses into four reportable segments: </w:t>
      </w:r>
      <w:r>
        <w:rPr>
          <w:rFonts w:ascii="Museo Sans 300;sans-serif" w:hAnsi="Museo Sans 300;sans-serif"/>
          <w:b w:val="false"/>
          <w:i/>
          <w:color w:val="000000"/>
          <w:sz w:val="20"/>
        </w:rPr>
        <w:t xml:space="preserve">Children’s Book Publishing and Distribution, Education Solutions, Entertainment </w:t>
      </w:r>
      <w:r>
        <w:rPr>
          <w:rFonts w:ascii="Museo Sans 300;sans-serif" w:hAnsi="Museo Sans 300;sans-serif"/>
          <w:b w:val="false"/>
          <w:color w:val="000000"/>
          <w:sz w:val="20"/>
        </w:rPr>
        <w:t xml:space="preserve">and </w:t>
      </w:r>
      <w:r>
        <w:rPr>
          <w:rFonts w:ascii="Museo Sans 300;sans-serif" w:hAnsi="Museo Sans 300;sans-serif"/>
          <w:b w:val="false"/>
          <w:i/>
          <w:color w:val="000000"/>
          <w:sz w:val="20"/>
        </w:rPr>
        <w:t>International</w:t>
      </w:r>
      <w:r>
        <w:rPr>
          <w:rFonts w:ascii="Museo Sans 300;sans-serif" w:hAnsi="Museo Sans 300;sans-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Children’s Book Publishing and Distribution</w:t>
      </w:r>
      <w:r>
        <w:rPr>
          <w:color w:val="000000"/>
        </w:rPr>
        <w:t xml:space="preserve"> </w:t>
      </w:r>
      <w:r>
        <w:rPr>
          <w:rFonts w:ascii="Museo Sans 300;sans-serif" w:hAnsi="Museo Sans 300;sans-serif"/>
          <w:b w:val="false"/>
          <w:color w:val="000000"/>
          <w:sz w:val="20"/>
        </w:rPr>
        <w:t>operates as an integrated business which includes the publication and distribution of children’s books, ebooks, media and interactive products in the United States through its school reading events business, which includes the book clubs and book fairs channels, and through the trade channel. This segment is comprised of two operating segments.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Education Solutions</w:t>
      </w:r>
      <w:r>
        <w:rPr>
          <w:color w:val="000000"/>
        </w:rPr>
        <w:t xml:space="preserve"> </w:t>
      </w:r>
      <w:r>
        <w:rPr>
          <w:rFonts w:ascii="Museo Sans 300;sans-serif" w:hAnsi="Museo Sans 300;sans-serif"/>
          <w:b w:val="false"/>
          <w:color w:val="000000"/>
          <w:sz w:val="20"/>
        </w:rPr>
        <w:t>includes the publication and distribution to schools and libraries of children’s books, classroom magazines, print and digital supplemental and core classroom materials and programs, including related support services, and print and online reference and non-fiction products for grades pre-kindergarten to 12 in the United States. This segment is comprised of one operating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 xml:space="preserve">Entertainment </w:t>
      </w:r>
      <w:r>
        <w:rPr>
          <w:rFonts w:ascii="Museo Sans 300;sans-serif" w:hAnsi="Museo Sans 300;sans-serif"/>
          <w:b w:val="false"/>
          <w:color w:val="000000"/>
          <w:sz w:val="20"/>
        </w:rPr>
        <w:t>includes the development, production, distribution and licensing of children and family film and television content. This segment is comprised of one operating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 xml:space="preserve">International </w:t>
      </w:r>
      <w:r>
        <w:rPr>
          <w:rFonts w:ascii="Museo Sans 300;sans-serif" w:hAnsi="Museo Sans 300;sans-serif"/>
          <w:b w:val="false"/>
          <w:color w:val="000000"/>
          <w:sz w:val="20"/>
        </w:rPr>
        <w:t>includes the publication and distribution of products and services outside the United States by the Company’s international operations and its export and foreign rights businesses. This segment is comprised of four operating segments.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chief operating decision maker ("CODM") is the President and Chief Executive Officer. The CODM uses operating income (loss) as the profit measure to evaluate segment performance and allocate resources to the segments. The CODM considers variances of actual performance to forecasts and prior year when making decisions.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tables present the Company’s revenue, significant expenses, and operating income (loss) by segment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13</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tbl>
      <w:tblPr>
        <w:tblW w:w="10205" w:type="dxa"/>
        <w:jc w:val="left"/>
        <w:tblInd w:w="0" w:type="dxa"/>
        <w:tblLayout w:type="fixed"/>
        <w:tblCellMar>
          <w:top w:w="28" w:type="dxa"/>
          <w:left w:w="28" w:type="dxa"/>
          <w:bottom w:w="28" w:type="dxa"/>
          <w:right w:w="28" w:type="dxa"/>
        </w:tblCellMar>
      </w:tblPr>
      <w:tblGrid>
        <w:gridCol w:w="689"/>
        <w:gridCol w:w="381"/>
        <w:gridCol w:w="327"/>
        <w:gridCol w:w="110"/>
        <w:gridCol w:w="110"/>
        <w:gridCol w:w="110"/>
        <w:gridCol w:w="373"/>
        <w:gridCol w:w="373"/>
        <w:gridCol w:w="374"/>
        <w:gridCol w:w="110"/>
        <w:gridCol w:w="110"/>
        <w:gridCol w:w="110"/>
        <w:gridCol w:w="317"/>
        <w:gridCol w:w="317"/>
        <w:gridCol w:w="318"/>
        <w:gridCol w:w="110"/>
        <w:gridCol w:w="110"/>
        <w:gridCol w:w="110"/>
        <w:gridCol w:w="439"/>
        <w:gridCol w:w="439"/>
        <w:gridCol w:w="440"/>
        <w:gridCol w:w="110"/>
        <w:gridCol w:w="110"/>
        <w:gridCol w:w="110"/>
        <w:gridCol w:w="393"/>
        <w:gridCol w:w="393"/>
        <w:gridCol w:w="394"/>
        <w:gridCol w:w="110"/>
        <w:gridCol w:w="110"/>
        <w:gridCol w:w="110"/>
        <w:gridCol w:w="319"/>
        <w:gridCol w:w="319"/>
        <w:gridCol w:w="320"/>
        <w:gridCol w:w="110"/>
        <w:gridCol w:w="110"/>
        <w:gridCol w:w="110"/>
        <w:gridCol w:w="386"/>
        <w:gridCol w:w="386"/>
        <w:gridCol w:w="528"/>
      </w:tblGrid>
      <w:tr>
        <w:trPr/>
        <w:tc>
          <w:tcPr>
            <w:tcW w:w="6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Three months ended February 28, 2026</w:t>
            </w:r>
          </w:p>
        </w:tc>
      </w:tr>
      <w:tr>
        <w:trPr/>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Children's Book Publishing and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Education Solutions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Entertainment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International</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val="false"/>
                <w:color w:val="000000"/>
                <w:sz w:val="17"/>
              </w:rPr>
              <w:t xml:space="preserve">Overhead </w:t>
            </w:r>
            <w:r>
              <w:rPr>
                <w:rFonts w:ascii="Museo Sans 700;sans-serif" w:hAnsi="Museo Sans 700;sans-serif"/>
                <w:b w:val="false"/>
                <w:color w:val="000000"/>
                <w:sz w:val="11"/>
              </w:rPr>
              <w:t>(1)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Consolidated</w:t>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Revenues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197.6 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56.1 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16.0 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58.7 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329.1 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Cost of goods sold </w:t>
            </w:r>
            <w:r>
              <w:rPr>
                <w:rFonts w:ascii="Museo Sans 300;sans-serif" w:hAnsi="Museo Sans 300;sans-serif"/>
                <w:b w:val="false"/>
                <w:color w:val="000000"/>
                <w:sz w:val="11"/>
              </w:rPr>
              <w:t>(2)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83.7 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35.3 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150.3 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Selling, general and administrative expenses </w:t>
            </w:r>
            <w:r>
              <w:rPr>
                <w:rFonts w:ascii="Museo Sans 300;sans-serif" w:hAnsi="Museo Sans 300;sans-serif"/>
                <w:b w:val="false"/>
                <w:color w:val="000000"/>
                <w:sz w:val="11"/>
              </w:rPr>
              <w:t>(2)(3)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99.4 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35.2 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26.8 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192.8 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Depreciation and amortization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12.9 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Operating income (loss)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8.9 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(5.2)</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(3.5)</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(4.7)</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(22.4)</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(26.9)</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 xml:space="preserve">Interest income (expense), net </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(0.8)</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 xml:space="preserve">Other components of net periodic benefit (cost)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(0.3)</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Gain on sale and leaseback transactions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119.8 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Earnings (loss) before income taxes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91.8 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Other segment disclosures: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Segment assets</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630.4 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213.9 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249.7 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259.8 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427.0 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1,780.8 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Long-lived asset additions</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2.8 </w:t>
            </w:r>
          </w:p>
        </w:tc>
        <w:tc>
          <w:tcPr>
            <w:tcW w:w="3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0.5 </w:t>
            </w:r>
          </w:p>
        </w:tc>
        <w:tc>
          <w:tcPr>
            <w:tcW w:w="4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3.9 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2.7 </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9.9 </w:t>
            </w:r>
          </w:p>
        </w:tc>
        <w:tc>
          <w:tcPr>
            <w:tcW w:w="5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Overhead includes all domestic corporate amounts not allocated to segments, including expenses and costs related to the management of corporate assets and rental income related to leased space in the Company's headquarters. As a result of the sale and leaseback transactions, the Company no longer owns the leasable space. Refer to Note 4, "Sale and Leaseback Transactions", and Note 12, "Leases", for further details.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(3) Selling, general and administrative expenses includes equity in the net income (loss) of investees accounted for by the equity method. Income of less than $0.1 and $0.1 was recognized within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and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segments, respectively.</w:t>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Three months ended February 28, 2025</w:t>
            </w:r>
          </w:p>
        </w:tc>
      </w:tr>
      <w:tr>
        <w:trPr/>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Children's Book Publishing and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Education Solutions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Entertainment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International</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val="false"/>
                <w:color w:val="000000"/>
                <w:sz w:val="17"/>
              </w:rPr>
              <w:t xml:space="preserve">Overhead </w:t>
            </w:r>
            <w:r>
              <w:rPr>
                <w:rFonts w:ascii="Museo Sans 700;sans-serif" w:hAnsi="Museo Sans 700;sans-serif"/>
                <w:b w:val="false"/>
                <w:color w:val="000000"/>
                <w:sz w:val="11"/>
              </w:rPr>
              <w:t>(1)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Consolidated</w:t>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Revenues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203.3 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57.2 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12.8 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59.3 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335.4 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Cost of goods sold </w:t>
            </w:r>
            <w:r>
              <w:rPr>
                <w:rFonts w:ascii="Museo Sans 300;sans-serif" w:hAnsi="Museo Sans 300;sans-serif"/>
                <w:b w:val="false"/>
                <w:color w:val="000000"/>
                <w:sz w:val="11"/>
              </w:rPr>
              <w:t>(2)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92.0 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23.0 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33.8 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154.6 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Selling, general and administrative expenses </w:t>
            </w:r>
            <w:r>
              <w:rPr>
                <w:rFonts w:ascii="Museo Sans 300;sans-serif" w:hAnsi="Museo Sans 300;sans-serif"/>
                <w:b w:val="false"/>
                <w:color w:val="000000"/>
                <w:sz w:val="11"/>
              </w:rPr>
              <w:t>(2)(3)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98.0 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38.4 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26.2 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18.9 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187.5 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Depreciation and amortization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16.9 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Other segment items </w:t>
            </w:r>
            <w:r>
              <w:rPr>
                <w:rFonts w:ascii="Museo Sans 300;sans-serif" w:hAnsi="Museo Sans 300;sans-serif"/>
                <w:b w:val="false"/>
                <w:color w:val="000000"/>
                <w:sz w:val="11"/>
              </w:rPr>
              <w:t>(4)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0.3 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Operating income (Loss)</w:t>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7.6 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(6.9)</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(3.9)</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(2.1)</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(18.6)</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(23.9)</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 xml:space="preserve">Interest income (expense), net </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(4.3)</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Other components of net periodic benefit (cost)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(0.2)</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Earnings (loss) before income taxes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(28.4)</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Other segment disclosures: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Segment assets</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635.8 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213.4 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246.3 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244.2 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621.6 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1,961.3 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Long-lived asset additions</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0.4 </w:t>
            </w:r>
          </w:p>
        </w:tc>
        <w:tc>
          <w:tcPr>
            <w:tcW w:w="3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0.4 </w:t>
            </w:r>
          </w:p>
        </w:tc>
        <w:tc>
          <w:tcPr>
            <w:tcW w:w="3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0.0 </w:t>
            </w:r>
          </w:p>
        </w:tc>
        <w:tc>
          <w:tcPr>
            <w:tcW w:w="4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0.5 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3.2 </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4.5 </w:t>
            </w:r>
          </w:p>
        </w:tc>
        <w:tc>
          <w:tcPr>
            <w:tcW w:w="5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Overhead includes all domestic corporate amounts not allocated to segments, including expenses and costs related to the management of corporate assets and rental income related to leased space in the Company's headquarters.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(3) Selling, general and administrative expenses includes equity in the net income (loss) of investees accounted for by the equity method. Income of $0.1 and loss of $0.1 was recognized in the </w:t>
            </w:r>
            <w:r>
              <w:rPr>
                <w:rFonts w:ascii="Museo Sans 300;sans-serif" w:hAnsi="Museo Sans 300;sans-serif"/>
                <w:b w:val="false"/>
                <w:i/>
                <w:color w:val="000000"/>
                <w:sz w:val="16"/>
              </w:rPr>
              <w:t xml:space="preserve">Entertainment </w:t>
            </w:r>
            <w:r>
              <w:rPr>
                <w:rFonts w:ascii="Museo Sans 300;sans-serif" w:hAnsi="Museo Sans 300;sans-serif"/>
                <w:b w:val="false"/>
                <w:color w:val="000000"/>
                <w:sz w:val="16"/>
              </w:rPr>
              <w:t>and</w:t>
            </w:r>
            <w:r>
              <w:rPr>
                <w:color w:val="000000"/>
              </w:rPr>
              <w:t xml:space="preserve">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segments, respectively.</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(4) Other segment items include asset impairments and write downs.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14</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tbl>
      <w:tblPr>
        <w:tblW w:w="10205" w:type="dxa"/>
        <w:jc w:val="left"/>
        <w:tblInd w:w="0" w:type="dxa"/>
        <w:tblLayout w:type="fixed"/>
        <w:tblCellMar>
          <w:top w:w="28" w:type="dxa"/>
          <w:left w:w="28" w:type="dxa"/>
          <w:bottom w:w="28" w:type="dxa"/>
          <w:right w:w="28" w:type="dxa"/>
        </w:tblCellMar>
      </w:tblPr>
      <w:tblGrid>
        <w:gridCol w:w="689"/>
        <w:gridCol w:w="381"/>
        <w:gridCol w:w="327"/>
        <w:gridCol w:w="110"/>
        <w:gridCol w:w="110"/>
        <w:gridCol w:w="110"/>
        <w:gridCol w:w="373"/>
        <w:gridCol w:w="373"/>
        <w:gridCol w:w="374"/>
        <w:gridCol w:w="110"/>
        <w:gridCol w:w="110"/>
        <w:gridCol w:w="110"/>
        <w:gridCol w:w="317"/>
        <w:gridCol w:w="317"/>
        <w:gridCol w:w="318"/>
        <w:gridCol w:w="110"/>
        <w:gridCol w:w="110"/>
        <w:gridCol w:w="110"/>
        <w:gridCol w:w="439"/>
        <w:gridCol w:w="439"/>
        <w:gridCol w:w="440"/>
        <w:gridCol w:w="110"/>
        <w:gridCol w:w="110"/>
        <w:gridCol w:w="110"/>
        <w:gridCol w:w="393"/>
        <w:gridCol w:w="393"/>
        <w:gridCol w:w="394"/>
        <w:gridCol w:w="110"/>
        <w:gridCol w:w="110"/>
        <w:gridCol w:w="110"/>
        <w:gridCol w:w="319"/>
        <w:gridCol w:w="319"/>
        <w:gridCol w:w="320"/>
        <w:gridCol w:w="110"/>
        <w:gridCol w:w="110"/>
        <w:gridCol w:w="110"/>
        <w:gridCol w:w="386"/>
        <w:gridCol w:w="386"/>
        <w:gridCol w:w="528"/>
      </w:tblGrid>
      <w:tr>
        <w:trPr/>
        <w:tc>
          <w:tcPr>
            <w:tcW w:w="6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Nine months ended February 28, 2026</w:t>
            </w:r>
          </w:p>
        </w:tc>
      </w:tr>
      <w:tr>
        <w:trPr/>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Children's Book Publishing and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Education Solutions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Entertainment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International</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val="false"/>
                <w:color w:val="000000"/>
                <w:sz w:val="17"/>
              </w:rPr>
              <w:t xml:space="preserve">Overhead </w:t>
            </w:r>
            <w:r>
              <w:rPr>
                <w:rFonts w:ascii="Museo Sans 700;sans-serif" w:hAnsi="Museo Sans 700;sans-serif"/>
                <w:b w:val="false"/>
                <w:color w:val="000000"/>
                <w:sz w:val="11"/>
              </w:rPr>
              <w:t>(1)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Consolidated</w:t>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Revenues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687.9 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158.4 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44.7 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207.6 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1,105.8 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Cost of goods sold </w:t>
            </w:r>
            <w:r>
              <w:rPr>
                <w:rFonts w:ascii="Museo Sans 300;sans-serif" w:hAnsi="Museo Sans 300;sans-serif"/>
                <w:b w:val="false"/>
                <w:color w:val="000000"/>
                <w:sz w:val="11"/>
              </w:rPr>
              <w:t>(2)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292.4 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66.3 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26.2 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118.6 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499.4 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Selling, general and administrative expenses </w:t>
            </w:r>
            <w:r>
              <w:rPr>
                <w:rFonts w:ascii="Museo Sans 300;sans-serif" w:hAnsi="Museo Sans 300;sans-serif"/>
                <w:b w:val="false"/>
                <w:color w:val="000000"/>
                <w:sz w:val="11"/>
              </w:rPr>
              <w:t>(2)(3)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295.7 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111.2 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20.4 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81.4 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587.5 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Depreciation and amortization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16.4 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45.7 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Other segment items </w:t>
            </w:r>
            <w:r>
              <w:rPr>
                <w:rFonts w:ascii="Museo Sans 300;sans-serif" w:hAnsi="Museo Sans 300;sans-serif"/>
                <w:b w:val="false"/>
                <w:color w:val="000000"/>
                <w:sz w:val="11"/>
              </w:rPr>
              <w:t>(4)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9.4 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Operating income (loss)</w:t>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82.6 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(31.1)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(16.5)</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3.5 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(74.7)</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(36.2)</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 xml:space="preserve">Interest income (expense), net </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(10.3)</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 xml:space="preserve">Other components of net periodic benefit (cost)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(1.0)</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Gain on sale and leaseback transactions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118.2 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Earnings (loss) before income taxes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70.7 </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Other segment disclosures: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Segment assets</w:t>
            </w:r>
            <w:r>
              <w:rPr>
                <w:color w:val="000000"/>
              </w:rPr>
              <w:t xml:space="preserve">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630.4 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213.9 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249.7 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259.8 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427.0 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1,780.8 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Long-lived asset additions</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5.0 </w:t>
            </w:r>
          </w:p>
        </w:tc>
        <w:tc>
          <w:tcPr>
            <w:tcW w:w="3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0.1 </w:t>
            </w:r>
          </w:p>
        </w:tc>
        <w:tc>
          <w:tcPr>
            <w:tcW w:w="3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0.6 </w:t>
            </w:r>
          </w:p>
        </w:tc>
        <w:tc>
          <w:tcPr>
            <w:tcW w:w="4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8.7 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9.8 </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24.2 </w:t>
            </w:r>
          </w:p>
        </w:tc>
        <w:tc>
          <w:tcPr>
            <w:tcW w:w="5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Overhead includes all domestic corporate amounts not allocated to segments, including expenses and costs related to the management of corporate assets and rental income related to leased space in the Company's headquarters. As a result of the sale and leaseback transactions, the Company no longer owns the leasable space. Refer to Note 4, "Sale and Leaseback Transactions", and Note 12, "Leases", for further details.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(3) Selling, general and administrative expenses includes equity in the net income (loss) of investees accounted for by the equity method. Income of less than $0.1 and income of $0.4, was recognized within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and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segments, respectively.</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(4) Other segment items include asset impairments and write downs.</w:t>
            </w:r>
          </w:p>
        </w:tc>
      </w:tr>
      <w:tr>
        <w:trPr/>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Nine months ended February 28, 2025</w:t>
            </w:r>
          </w:p>
        </w:tc>
      </w:tr>
      <w:tr>
        <w:trPr/>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Children's Book Publishing and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Education Solutions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Entertainment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International</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val="false"/>
                <w:color w:val="000000"/>
                <w:sz w:val="17"/>
              </w:rPr>
              <w:t xml:space="preserve">Overhead </w:t>
            </w:r>
            <w:r>
              <w:rPr>
                <w:rFonts w:ascii="Museo Sans 700;sans-serif" w:hAnsi="Museo Sans 700;sans-serif"/>
                <w:b w:val="false"/>
                <w:color w:val="000000"/>
                <w:sz w:val="11"/>
              </w:rPr>
              <w:t>(1)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7"/>
              </w:rPr>
            </w:pPr>
            <w:r>
              <w:rPr>
                <w:rFonts w:ascii="Museo Sans 700;sans-serif" w:hAnsi="Museo Sans 700;sans-serif"/>
                <w:b w:val="false"/>
                <w:color w:val="000000"/>
                <w:sz w:val="17"/>
              </w:rPr>
              <w:t>Consolidated</w:t>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Revenues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675.7 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184.1 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46.2 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202.8 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1,117.2 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Cost of goods sold </w:t>
            </w:r>
            <w:r>
              <w:rPr>
                <w:rFonts w:ascii="Museo Sans 300;sans-serif" w:hAnsi="Museo Sans 300;sans-serif"/>
                <w:b w:val="false"/>
                <w:color w:val="000000"/>
                <w:sz w:val="11"/>
              </w:rPr>
              <w:t>(2)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294.2 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26.1 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118.0 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511.5 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Selling, general and administrative expenses </w:t>
            </w:r>
            <w:r>
              <w:rPr>
                <w:rFonts w:ascii="Museo Sans 300;sans-serif" w:hAnsi="Museo Sans 300;sans-serif"/>
                <w:b w:val="false"/>
                <w:color w:val="000000"/>
                <w:sz w:val="11"/>
              </w:rPr>
              <w:t>(2)(3)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291.4 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122.8 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20.6 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85.1 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74.6 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594.5 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Depreciation and amortization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17.0 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10.8 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48.5 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7"/>
              </w:rPr>
              <w:t xml:space="preserve">Other segment items </w:t>
            </w:r>
            <w:r>
              <w:rPr>
                <w:rFonts w:ascii="Museo Sans 300;sans-serif" w:hAnsi="Museo Sans 300;sans-serif"/>
                <w:b w:val="false"/>
                <w:color w:val="000000"/>
                <w:sz w:val="11"/>
              </w:rPr>
              <w:t>(4)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0.4 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Operating income (Loss)</w:t>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73.1 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(24.4)</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(9.1)</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(4.7)</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(72.6)</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(37.7)</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 xml:space="preserve">Interest income (expense), net </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(11.7)</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Other components of net periodic benefit (cost)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(0.8)</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Earnings (loss) before income taxes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val="false"/>
                <w:color w:val="000000"/>
                <w:sz w:val="17"/>
              </w:rPr>
            </w:pPr>
            <w:r>
              <w:rPr>
                <w:rFonts w:ascii="Museo Sans 700;sans-serif" w:hAnsi="Museo Sans 700;sans-serif"/>
                <w:b w:val="false"/>
                <w:color w:val="000000"/>
                <w:sz w:val="17"/>
              </w:rPr>
              <w:t>(50.2)</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7"/>
              </w:rPr>
            </w:pPr>
            <w:r>
              <w:rPr>
                <w:rFonts w:ascii="Museo Sans 700;sans-serif" w:hAnsi="Museo Sans 700;sans-serif"/>
                <w:b w:val="false"/>
                <w:color w:val="000000"/>
                <w:sz w:val="17"/>
              </w:rPr>
              <w:t>Other segment disclosures: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Segment assets</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635.8 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213.4 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246.3 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244.2 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621.6 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1,961.3 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Long-lived asset additions</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11.6 </w:t>
            </w:r>
          </w:p>
        </w:tc>
        <w:tc>
          <w:tcPr>
            <w:tcW w:w="3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0.4 </w:t>
            </w:r>
          </w:p>
        </w:tc>
        <w:tc>
          <w:tcPr>
            <w:tcW w:w="3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0.1 </w:t>
            </w:r>
          </w:p>
        </w:tc>
        <w:tc>
          <w:tcPr>
            <w:tcW w:w="4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3.5 </w:t>
            </w:r>
          </w:p>
        </w:tc>
        <w:tc>
          <w:tcPr>
            <w:tcW w:w="3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8.9 </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7"/>
              </w:rPr>
            </w:pPr>
            <w:r>
              <w:rPr>
                <w:rFonts w:ascii="Museo Sans 300;sans-serif" w:hAnsi="Museo Sans 300;sans-serif"/>
                <w:b w:val="false"/>
                <w:color w:val="000000"/>
                <w:sz w:val="17"/>
              </w:rPr>
              <w:t>24.5 </w:t>
            </w:r>
          </w:p>
        </w:tc>
        <w:tc>
          <w:tcPr>
            <w:tcW w:w="5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Overhead includes all domestic corporate amounts not allocated to segments, including expenses and costs related to the management of corporate assets and rental income related to leased space in the Company's headquarters.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(3) Selling, general and administrative expenses includes equity in the net income (loss) of investees accounted for by the equity method. Income of $0.3 and $0.5 was recognized in the </w:t>
            </w:r>
            <w:r>
              <w:rPr>
                <w:rFonts w:ascii="Museo Sans 300;sans-serif" w:hAnsi="Museo Sans 300;sans-serif"/>
                <w:b w:val="false"/>
                <w:i/>
                <w:color w:val="000000"/>
                <w:sz w:val="16"/>
              </w:rPr>
              <w:t xml:space="preserve">Entertainment </w:t>
            </w:r>
            <w:r>
              <w:rPr>
                <w:rFonts w:ascii="Museo Sans 300;sans-serif" w:hAnsi="Museo Sans 300;sans-serif"/>
                <w:b w:val="false"/>
                <w:color w:val="000000"/>
                <w:sz w:val="16"/>
              </w:rPr>
              <w:t xml:space="preserve">and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segments, respectively.</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(4) Other segment items include asset impairments and write downs.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15</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presents geographic information for revenues for the periods indicated. Revenues are attributed to locations based on the origin of sale.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5"/>
        <w:gridCol w:w="524"/>
        <w:gridCol w:w="514"/>
        <w:gridCol w:w="221"/>
        <w:gridCol w:w="221"/>
        <w:gridCol w:w="221"/>
        <w:gridCol w:w="392"/>
        <w:gridCol w:w="389"/>
        <w:gridCol w:w="221"/>
        <w:gridCol w:w="221"/>
        <w:gridCol w:w="221"/>
        <w:gridCol w:w="221"/>
        <w:gridCol w:w="221"/>
        <w:gridCol w:w="221"/>
        <w:gridCol w:w="221"/>
        <w:gridCol w:w="392"/>
        <w:gridCol w:w="389"/>
        <w:gridCol w:w="221"/>
        <w:gridCol w:w="109"/>
        <w:gridCol w:w="109"/>
        <w:gridCol w:w="109"/>
        <w:gridCol w:w="211"/>
        <w:gridCol w:w="211"/>
        <w:gridCol w:w="211"/>
        <w:gridCol w:w="457"/>
        <w:gridCol w:w="459"/>
        <w:gridCol w:w="214"/>
        <w:gridCol w:w="211"/>
        <w:gridCol w:w="211"/>
        <w:gridCol w:w="211"/>
        <w:gridCol w:w="211"/>
        <w:gridCol w:w="211"/>
        <w:gridCol w:w="211"/>
        <w:gridCol w:w="457"/>
        <w:gridCol w:w="459"/>
        <w:gridCol w:w="307"/>
      </w:tblGrid>
      <w:tr>
        <w:trPr/>
        <w:tc>
          <w:tcPr>
            <w:tcW w:w="59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 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 February 28,</w:t>
            </w:r>
          </w:p>
        </w:tc>
      </w:tr>
      <w:tr>
        <w:trPr/>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United States</w:t>
            </w:r>
          </w:p>
        </w:tc>
        <w:tc>
          <w:tcPr>
            <w:tcW w:w="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9"/>
              </w:rPr>
              <w:t>249.2</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9"/>
              </w:rPr>
              <w:t>255.8</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9"/>
              </w:rPr>
              <w:t>831.5</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9"/>
              </w:rPr>
              <w:t>836.1</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274.3 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281.1 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Revenues</w:t>
            </w:r>
          </w:p>
        </w:tc>
        <w:tc>
          <w:tcPr>
            <w:tcW w:w="66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329.1</w:t>
            </w:r>
            <w:r>
              <w:rPr>
                <w:color w:val="000000"/>
              </w:rPr>
              <w:t> </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335.4</w:t>
            </w:r>
            <w:r>
              <w:rPr>
                <w:color w:val="000000"/>
              </w:rPr>
              <w:t> </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1,105.8</w:t>
            </w:r>
            <w:r>
              <w:rPr>
                <w:color w:val="000000"/>
              </w:rPr>
              <w:t> </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1,117.2</w:t>
            </w:r>
            <w:r>
              <w:rPr>
                <w:color w:val="000000"/>
              </w:rPr>
              <w:t> </w:t>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presents geographic information for long-lived assets as of the dates indicated. Long-lived assets consist of property, plant and equipment, net, excluding capitalized software.</w:t>
      </w:r>
    </w:p>
    <w:p>
      <w:pPr>
        <w:pStyle w:val="TextBody"/>
        <w:bidi w:val="0"/>
        <w:spacing w:before="0" w:after="0"/>
        <w:jc w:val="left"/>
        <w:rPr/>
      </w:pPr>
      <w:r>
        <w:rPr/>
      </w:r>
    </w:p>
    <w:tbl>
      <w:tblPr>
        <w:tblW w:w="6917" w:type="dxa"/>
        <w:jc w:val="left"/>
        <w:tblInd w:w="0" w:type="dxa"/>
        <w:tblLayout w:type="fixed"/>
        <w:tblCellMar>
          <w:top w:w="28" w:type="dxa"/>
          <w:left w:w="28" w:type="dxa"/>
          <w:bottom w:w="28" w:type="dxa"/>
          <w:right w:w="28" w:type="dxa"/>
        </w:tblCellMar>
      </w:tblPr>
      <w:tblGrid>
        <w:gridCol w:w="895"/>
        <w:gridCol w:w="789"/>
        <w:gridCol w:w="790"/>
        <w:gridCol w:w="323"/>
        <w:gridCol w:w="323"/>
        <w:gridCol w:w="323"/>
        <w:gridCol w:w="397"/>
        <w:gridCol w:w="324"/>
        <w:gridCol w:w="331"/>
        <w:gridCol w:w="109"/>
        <w:gridCol w:w="109"/>
        <w:gridCol w:w="109"/>
        <w:gridCol w:w="310"/>
        <w:gridCol w:w="310"/>
        <w:gridCol w:w="310"/>
        <w:gridCol w:w="360"/>
        <w:gridCol w:w="361"/>
        <w:gridCol w:w="44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United States</w:t>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99.2 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428.9 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31.7 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Long-lived assets</w:t>
            </w:r>
          </w:p>
        </w:tc>
        <w:tc>
          <w:tcPr>
            <w:tcW w:w="9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137.7</w:t>
            </w:r>
            <w:r>
              <w:rPr>
                <w:color w:val="000000"/>
              </w:rPr>
              <w:t> </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460.6</w:t>
            </w:r>
            <w:r>
              <w:rPr>
                <w:color w:val="000000"/>
              </w:rPr>
              <w:t> </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4. SALE AND LEASEBACK TRANSACTIONS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On December 17, 2025, the Company completed the sale of its headquarters location at 555-557 Broadway in New York, NY (SoHo) for a sales price of $386.0 and its primary distribution facility in Jefferson City, MO for a sales price of $95.0. Concurrent with these sales, the Company entered into a 15-year lease for a portion of its headquarters building ("SoHo lease") and a 20-year lease for the distribution facility ("Jefferson City lease"), both with two 10-year renewal options.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The Company determined that these transactions met the requirements for sale accounting in accordance with </w:t>
      </w:r>
      <w:r>
        <w:rPr>
          <w:rFonts w:ascii="Museo Sans 300;sans-serif" w:hAnsi="Museo Sans 300;sans-serif"/>
          <w:b w:val="false"/>
          <w:i/>
          <w:color w:val="000000"/>
          <w:sz w:val="20"/>
        </w:rPr>
        <w:t>ASC 842</w:t>
      </w:r>
      <w:r>
        <w:rPr>
          <w:rFonts w:ascii="Museo Sans 300;sans-serif" w:hAnsi="Museo Sans 300;sans-serif"/>
          <w:b w:val="false"/>
          <w:color w:val="000000"/>
          <w:sz w:val="20"/>
        </w:rPr>
        <w:t xml:space="preserve">, </w:t>
      </w:r>
      <w:r>
        <w:rPr>
          <w:rFonts w:ascii="Museo Sans 300;sans-serif" w:hAnsi="Museo Sans 300;sans-serif"/>
          <w:b w:val="false"/>
          <w:i/>
          <w:color w:val="000000"/>
          <w:sz w:val="20"/>
        </w:rPr>
        <w:t>Leases</w:t>
      </w:r>
      <w:r>
        <w:rPr>
          <w:rFonts w:ascii="Museo Sans 300;sans-serif" w:hAnsi="Museo Sans 300;sans-serif"/>
          <w:b w:val="false"/>
          <w:color w:val="000000"/>
          <w:sz w:val="20"/>
        </w:rPr>
        <w:t xml:space="preserve">, and qualified as a sale in accordance with </w:t>
      </w:r>
      <w:r>
        <w:rPr>
          <w:rFonts w:ascii="Museo Sans 300;sans-serif" w:hAnsi="Museo Sans 300;sans-serif"/>
          <w:b w:val="false"/>
          <w:i/>
          <w:color w:val="000000"/>
          <w:sz w:val="20"/>
        </w:rPr>
        <w:t>ASC 606</w:t>
      </w:r>
      <w:r>
        <w:rPr>
          <w:rFonts w:ascii="Museo Sans 300;sans-serif" w:hAnsi="Museo Sans 300;sans-serif"/>
          <w:b w:val="false"/>
          <w:color w:val="000000"/>
          <w:sz w:val="20"/>
        </w:rPr>
        <w:t xml:space="preserve">, </w:t>
      </w:r>
      <w:r>
        <w:rPr>
          <w:rFonts w:ascii="Museo Sans 300;sans-serif" w:hAnsi="Museo Sans 300;sans-serif"/>
          <w:b w:val="false"/>
          <w:i/>
          <w:color w:val="000000"/>
          <w:sz w:val="20"/>
        </w:rPr>
        <w:t>Revenue from Contracts with Customers</w:t>
      </w:r>
      <w:r>
        <w:rPr>
          <w:rFonts w:ascii="Museo Sans 300;sans-serif" w:hAnsi="Museo Sans 300;sans-serif"/>
          <w:b w:val="false"/>
          <w:color w:val="000000"/>
          <w:sz w:val="20"/>
        </w:rPr>
        <w:t xml:space="preserve">, as control of the assets transferred to the buyer-lessors. The Company concluded that both the sales price and leaseback payments for these transactions were at fair value. The assets related to these properties were included in </w:t>
      </w:r>
      <w:r>
        <w:rPr>
          <w:rFonts w:ascii="Museo Sans 300;sans-serif" w:hAnsi="Museo Sans 300;sans-serif"/>
          <w:b w:val="false"/>
          <w:i/>
          <w:color w:val="000000"/>
          <w:sz w:val="20"/>
        </w:rPr>
        <w:t>Overhead</w:t>
      </w:r>
      <w:r>
        <w:rPr>
          <w:color w:val="000000"/>
        </w:rPr>
        <w:t xml:space="preserve"> </w:t>
      </w:r>
      <w:r>
        <w:rPr>
          <w:rFonts w:ascii="Museo Sans 300;sans-serif" w:hAnsi="Museo Sans 300;sans-serif"/>
          <w:b w:val="false"/>
          <w:color w:val="000000"/>
          <w:sz w:val="20"/>
        </w:rPr>
        <w:t>and had a net carrying value on the date of sale of $334.2. These assets were classified as held for sale as of November 30, 2025, with minor adjustments recorded during the quarter ended February 28, 2026. The Company recognized a total pre-tax gain of $118.2, inclusive of transaction costs incurred during the three months ended November 30, 2025, which is included in Gain on sale and leaseback transactions within the Company's Condensed Consolidated Statement of Operations for the three and nine months ended February 28, 2026, and pre-tax net proceeds of $452.4.</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presents the carrying value of the assets and liabilities by major asset class for each disposal group as of the date of the sale:</w:t>
      </w:r>
    </w:p>
    <w:tbl>
      <w:tblPr>
        <w:tblW w:w="10205" w:type="dxa"/>
        <w:jc w:val="left"/>
        <w:tblInd w:w="0" w:type="dxa"/>
        <w:tblLayout w:type="fixed"/>
        <w:tblCellMar>
          <w:top w:w="28" w:type="dxa"/>
          <w:left w:w="28" w:type="dxa"/>
          <w:bottom w:w="28" w:type="dxa"/>
          <w:right w:w="28" w:type="dxa"/>
        </w:tblCellMar>
      </w:tblPr>
      <w:tblGrid>
        <w:gridCol w:w="1263"/>
        <w:gridCol w:w="1106"/>
        <w:gridCol w:w="1121"/>
        <w:gridCol w:w="315"/>
        <w:gridCol w:w="315"/>
        <w:gridCol w:w="315"/>
        <w:gridCol w:w="402"/>
        <w:gridCol w:w="338"/>
        <w:gridCol w:w="320"/>
        <w:gridCol w:w="109"/>
        <w:gridCol w:w="109"/>
        <w:gridCol w:w="109"/>
        <w:gridCol w:w="464"/>
        <w:gridCol w:w="464"/>
        <w:gridCol w:w="464"/>
        <w:gridCol w:w="517"/>
        <w:gridCol w:w="464"/>
        <w:gridCol w:w="473"/>
        <w:gridCol w:w="109"/>
        <w:gridCol w:w="109"/>
        <w:gridCol w:w="109"/>
        <w:gridCol w:w="109"/>
        <w:gridCol w:w="109"/>
        <w:gridCol w:w="109"/>
        <w:gridCol w:w="360"/>
        <w:gridCol w:w="361"/>
        <w:gridCol w:w="162"/>
      </w:tblGrid>
      <w:tr>
        <w:trPr/>
        <w:tc>
          <w:tcPr>
            <w:tcW w:w="126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SoHo Headquarters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Jefferson City Distribution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Land</w:t>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67.9 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Building and improvements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240.7 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Furniture, fixtures and equipment</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Prepaid expenses and other current assets </w:t>
            </w:r>
            <w:r>
              <w:rPr>
                <w:rFonts w:ascii="Museo Sans 300;sans-serif" w:hAnsi="Museo Sans 300;sans-serif"/>
                <w:b w:val="false"/>
                <w:color w:val="000000"/>
                <w:sz w:val="12"/>
              </w:rPr>
              <w:t>(1)</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assets and deferred charges </w:t>
            </w:r>
            <w:r>
              <w:rPr>
                <w:rFonts w:ascii="Museo Sans 300;sans-serif" w:hAnsi="Museo Sans 300;sans-serif"/>
                <w:b w:val="false"/>
                <w:color w:val="000000"/>
                <w:sz w:val="12"/>
              </w:rPr>
              <w:t>(1)</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Assets</w:t>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337.1</w:t>
            </w: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15.5</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352.6</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Deferred tax liabilities</w:t>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Liabilities</w:t>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17.5</w:t>
            </w: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0.9</w:t>
            </w:r>
            <w:r>
              <w:rPr>
                <w:color w:val="000000"/>
              </w:rPr>
              <w:t>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18.4</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Net Carrying Value</w:t>
            </w:r>
          </w:p>
        </w:tc>
        <w:tc>
          <w:tcPr>
            <w:tcW w:w="9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319.6</w:t>
            </w:r>
            <w:r>
              <w:rPr>
                <w:color w:val="000000"/>
              </w:rPr>
              <w:t> </w:t>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14.6</w:t>
            </w:r>
            <w:r>
              <w:rPr>
                <w:color w:val="000000"/>
              </w:rPr>
              <w:t> </w:t>
            </w:r>
          </w:p>
        </w:tc>
        <w:tc>
          <w:tcPr>
            <w:tcW w:w="4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334.2</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0"/>
              </w:rPr>
              <w:t>(1)</w:t>
            </w:r>
            <w:r>
              <w:rPr>
                <w:color w:val="000000"/>
              </w:rPr>
              <w:t xml:space="preserve"> </w:t>
            </w:r>
            <w:r>
              <w:rPr>
                <w:rFonts w:ascii="Museo Sans 300;sans-serif" w:hAnsi="Museo Sans 300;sans-serif"/>
                <w:b w:val="false"/>
                <w:color w:val="000000"/>
                <w:sz w:val="16"/>
              </w:rPr>
              <w:t xml:space="preserve">Includes current and noncurrent deferred lease income and deferred lease costs.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16</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76" w:before="0" w:after="0"/>
        <w:jc w:val="left"/>
        <w:rPr/>
      </w:pPr>
      <w:r>
        <w:rPr>
          <w:rFonts w:ascii="Museo Sans 300;sans-serif" w:hAnsi="Museo Sans 300;sans-serif"/>
          <w:b w:val="false"/>
          <w:i/>
          <w:color w:val="000000"/>
          <w:sz w:val="20"/>
        </w:rPr>
        <w:t>ASC 842</w:t>
      </w:r>
      <w:r>
        <w:rPr>
          <w:color w:val="000000"/>
        </w:rPr>
        <w:t xml:space="preserve"> </w:t>
      </w:r>
      <w:r>
        <w:rPr>
          <w:rFonts w:ascii="Museo Sans 300;sans-serif" w:hAnsi="Museo Sans 300;sans-serif"/>
          <w:b w:val="false"/>
          <w:color w:val="000000"/>
          <w:sz w:val="20"/>
        </w:rPr>
        <w:t>provides a practical expedient that permits the combination of lease and non-lease components in the measurement of right-of-use ("ROU") assets and lease liabilities. The practical expedient is applied as an accounting policy election by class of underlying assets. As a result of entering into the SoHo lease, the Company established a new class of underlying assets, corporate headquarters, and elected not to apply the practical expedient for this class. As a result, only the portion of consideration attributed to the lease component is included in the measurement of the related ROU asset and lease liability. The non-lease components included in the SoHo lease, primarily consisting of common</w:t>
        <w:noBreakHyphen/>
        <w:t>area maintenance, utilities, insurance, real estate taxes and other operating costs, were estimated using historical cost information from the period in which the Company owned and operated the building prior to entering into the lease. The Company believes that these historical operating costs reasonably approximate the expected stand</w:t>
        <w:noBreakHyphen/>
        <w:t>alone prices of the non</w:t>
        <w:noBreakHyphen/>
        <w:t>lease components under the new lease arrangement.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The SoHo and Jefferson City leases are classified as operating leases in accordance with </w:t>
      </w:r>
      <w:r>
        <w:rPr>
          <w:rFonts w:ascii="Museo Sans 300;sans-serif" w:hAnsi="Museo Sans 300;sans-serif"/>
          <w:b w:val="false"/>
          <w:i/>
          <w:color w:val="000000"/>
          <w:sz w:val="20"/>
        </w:rPr>
        <w:t>ASC 842</w:t>
      </w:r>
      <w:r>
        <w:rPr>
          <w:rFonts w:ascii="Museo Sans 300;sans-serif" w:hAnsi="Museo Sans 300;sans-serif"/>
          <w:b w:val="false"/>
          <w:color w:val="000000"/>
          <w:sz w:val="20"/>
        </w:rPr>
        <w:t>. The initial annual base rent for the SoHo lease is $11.7, excluding estimated non-lease components, and escalates approximately 4% annually. The initial annual base rent for the Jefferson City lease is $6.9 and escalates 1% to 4% annually based on the Consumer Price Index. The Company recorded an initial ROU asset and lease liability related to the SoHo and Jefferson City leases of $113.8 and $62.2, respectively. The operating lease cost associated with these leases is approximately $23.7 annually. The lease measurement is based on the initial lease term as the Company is not reasonably certain to exercise the renewal options. The Company used an incremental borrowing rate of 10.4% to measure the lease liabilities. In developing this rate, the Company considered its credit profile, including its higher leverage position at the time of the sale and leaseback transactions, observable market yields on secured and unsecured borrowings, interest</w:t>
        <w:noBreakHyphen/>
        <w:t>rate spreads for comparable companies and transactions, and the longer lease terms. Refer to Note 12, Leases, for further details regarding the impact of these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5. ASSET WRITE DOWN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During the first quarter of fiscal 2026, the Company identified certain assets that were not recoverable. The estimated future cash flows related to these assets were impacted by the Company's decision to no longer sell the related product. The assets consisted of capitalized costs related to cloud computing arrangements and were included within the </w:t>
      </w:r>
      <w:r>
        <w:rPr>
          <w:rFonts w:ascii="Museo Sans 300;sans-serif" w:hAnsi="Museo Sans 300;sans-serif"/>
          <w:b w:val="false"/>
          <w:i/>
          <w:color w:val="000000"/>
          <w:sz w:val="20"/>
        </w:rPr>
        <w:t>Children's Book Publishing and Distribution</w:t>
      </w:r>
      <w:r>
        <w:rPr>
          <w:color w:val="000000"/>
        </w:rPr>
        <w:t xml:space="preserve"> </w:t>
      </w:r>
      <w:r>
        <w:rPr>
          <w:rFonts w:ascii="Museo Sans 300;sans-serif" w:hAnsi="Museo Sans 300;sans-serif"/>
          <w:b w:val="false"/>
          <w:color w:val="000000"/>
          <w:sz w:val="20"/>
        </w:rPr>
        <w:t>segment. Accordingly, the Company recognized an impairment charge of $0.8 during the three months ended August 31, 2025.</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During the second quarter of fiscal 2026, the Company identified assets that were not recoverable as the Company ceased development activities for certain education products and film and television programs. The related assets consisted of prepublication costs of $3.4 included in the </w:t>
      </w:r>
      <w:r>
        <w:rPr>
          <w:rFonts w:ascii="Museo Sans 300;sans-serif" w:hAnsi="Museo Sans 300;sans-serif"/>
          <w:b w:val="false"/>
          <w:i/>
          <w:color w:val="000000"/>
          <w:sz w:val="20"/>
        </w:rPr>
        <w:t>Education Solutions</w:t>
      </w:r>
      <w:r>
        <w:rPr>
          <w:color w:val="000000"/>
        </w:rPr>
        <w:t xml:space="preserve"> </w:t>
      </w:r>
      <w:r>
        <w:rPr>
          <w:rFonts w:ascii="Museo Sans 300;sans-serif" w:hAnsi="Museo Sans 300;sans-serif"/>
          <w:b w:val="false"/>
          <w:color w:val="000000"/>
          <w:sz w:val="20"/>
        </w:rPr>
        <w:t xml:space="preserve">segment and investment in film and television programs and other production costs of $4.9 included 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segment. In addition, the Company identified indicators of impairment related to its 12% ownership interest in a children's book publishing business located in the UK as the business has been wound down. This investment had a carrying value of $0.3 and was included 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segment. The Company performed an assessment and concluded the investment was not recoverable. Accordingly, the Company recognized total impairment charges of $8.6 during the three months ended November 30,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There were no impairment charges recorded during the three months ended February 28, 2026. Total impairment charges of $9.4 were included in Asset impairments and write downs within the Company's Condensed Consolidated Statement of Operations for the nine months ended February 28,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6. DEBT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the carrying value of the Company's debt, excluding film related obligations, as of the dates indicated:</w:t>
      </w:r>
    </w:p>
    <w:tbl>
      <w:tblPr>
        <w:tblW w:w="10205" w:type="dxa"/>
        <w:jc w:val="left"/>
        <w:tblInd w:w="0" w:type="dxa"/>
        <w:tblLayout w:type="fixed"/>
        <w:tblCellMar>
          <w:top w:w="28" w:type="dxa"/>
          <w:left w:w="28" w:type="dxa"/>
          <w:bottom w:w="28" w:type="dxa"/>
          <w:right w:w="28" w:type="dxa"/>
        </w:tblCellMar>
      </w:tblPr>
      <w:tblGrid>
        <w:gridCol w:w="1706"/>
        <w:gridCol w:w="1493"/>
        <w:gridCol w:w="1499"/>
        <w:gridCol w:w="178"/>
        <w:gridCol w:w="178"/>
        <w:gridCol w:w="178"/>
        <w:gridCol w:w="278"/>
        <w:gridCol w:w="248"/>
        <w:gridCol w:w="178"/>
        <w:gridCol w:w="178"/>
        <w:gridCol w:w="178"/>
        <w:gridCol w:w="179"/>
        <w:gridCol w:w="140"/>
        <w:gridCol w:w="140"/>
        <w:gridCol w:w="140"/>
        <w:gridCol w:w="360"/>
        <w:gridCol w:w="361"/>
        <w:gridCol w:w="140"/>
        <w:gridCol w:w="140"/>
        <w:gridCol w:w="140"/>
        <w:gridCol w:w="140"/>
        <w:gridCol w:w="173"/>
        <w:gridCol w:w="173"/>
        <w:gridCol w:w="173"/>
        <w:gridCol w:w="360"/>
        <w:gridCol w:w="361"/>
        <w:gridCol w:w="173"/>
        <w:gridCol w:w="173"/>
        <w:gridCol w:w="173"/>
        <w:gridCol w:w="274"/>
      </w:tblGrid>
      <w:tr>
        <w:trPr/>
        <w:tc>
          <w:tcPr>
            <w:tcW w:w="170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2033" w:type="dxa"/>
            <w:gridSpan w:val="9"/>
            <w:tcBorders/>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17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20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4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U.S. Credit Agreement</w:t>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Unsecured lines of credit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debt</w:t>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5.6</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256.2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280.8</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lines of credit, short-term debt and current portion of long-term debt</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long-term debt</w:t>
            </w:r>
          </w:p>
        </w:tc>
        <w:tc>
          <w:tcPr>
            <w:tcW w:w="5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250.0</w:t>
            </w:r>
            <w:r>
              <w:rPr>
                <w:color w:val="000000"/>
              </w:rPr>
              <w:t>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275.0</w:t>
            </w:r>
            <w:r>
              <w:rPr>
                <w:color w:val="000000"/>
              </w:rPr>
              <w:t>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debt obligations as of February 28, 2026 have maturities of one year or less.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20"/>
        </w:rPr>
      </w:pPr>
      <w:r>
        <w:rPr>
          <w:rFonts w:ascii="Museo Sans 700;sans-serif" w:hAnsi="Museo Sans 700;sans-serif"/>
          <w:b/>
          <w:i/>
          <w:color w:val="000000"/>
          <w:sz w:val="20"/>
        </w:rPr>
        <w:t>U.S. Credit Agreement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On November 26, 2024, Scholastic Corporation and its principal operating subsidiary, Scholastic Inc., entered into a Third Amendment to Amended and Restated Credit Agreement (the “Amendment”) with a syndicate of banks and Bank of America, N.A., as administrative agent, and Truist Bank and Wells Fargo Bank, National Association, as co-syndication agents (as amended by the Third Amendment, the “Credit Agreement”).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Credit Agreement provides for a $400.0 unsecured revolving credit facility and allows the Company to borrow, repay or prepay and reborrow at any time prior to the November 26, 2029 maturity date. The Credit Agreement also provides an unlimited basket for permitted payments of dividends and other distributions in respect of capital stock so long as the Corporation’s pro forma Consolidated Net Leverage Ratio, as defined in the Credit Agreement, is not in excess of 2.75:1.</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Under the Credit Agreement, interest on (i) Base Rate Advances (as defined in the Credit Agreement) is due and payable in arrears quarterly on the last day of each February, May, August and November, and (ii) Term SOFR Advances (as defined in the Credit Agreement) is due and payable in arrears on the last day of the interest period (defined as the period commencing on the date of the advance and ending on the last day of the period selected by the Borrowers at the time each advance is made). The interest pricing under the Credit Agreement is dependent upon the Company’s election of a rate that is either: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a Base Rate Advance equal to the higher of (i) the prime rate, (ii) the prevailing Federal Funds rate plus 0.50% or (iii) the Term SOFR Rate plus 1.00% plus, in each case, an applicable margin ranging from 0.625% to 0.875%, as determined by the Company’s prevailing Consolidated Net Leverage Ratio (as defined in the Credit Agreement);</w:t>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 or -</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a Term SOFR Advance equal to the Term SOFR rate plus an applicable margin ranging from 1.625% to 1.875%, as determined by the Company’s prevailing Consolidated Net Leverage Ratio (as defined in the Credit Agreement).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As of February 28, 2026, the applicable margin on Base Rate Advances was 0.75% and the applicable margin on SOFR Advances was 1.75%.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The Credit Agreement provides for payment of a commitment fee in respect of the aggregate unused amount of revolving credit commitments ranging from 0.20% to 0.30% per annum based upon the Corporation’s then prevailing Consolidated Net Leverage Ratio. As of February 28, 2026, the commitment fee rate was 0.25%.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 portion of the revolving credit facility, up to a maximum of $50.0, is available for the issuance of letters of credit. In addition, a portion of the revolving credit facility, up to a maximum of $15.0, is available for swingline loans. The Credit Agreement has an accordion feature which permits the Company, provided certain conditions are satisfied (as defined in the Credit Agreement), to increase the facility by up to an additional $150.0.</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As of February 28, 2026, the Company had no outstanding borrowings under the Credit Agreement. During the third quarter of fiscal 2026, the Company repaid $350.0 of borrowings. As of February 28, 2025, outstanding borrowings under the Credit Agreement were $275.0 at a weighted average interest rate of 6.1%.</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Credit Agreement contains certain financial covenants related to leverage and interest coverage ratios (as defined in the Credit Agreement), limitations on the amount of dividends and other distributions, and other limitations on fundamental changes to the Company or its business. The Company was in compliance with required covenants for all periods presented.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At February 28, 2026, the Company had open standby letters of credit totaling $4.0 issued under certain credit lines, including $0.4 under the Credit Agreement and $3.6 under the domestic credit lines discussed below.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20"/>
        </w:rPr>
      </w:pPr>
      <w:r>
        <w:rPr>
          <w:rFonts w:ascii="Museo Sans 700;sans-serif" w:hAnsi="Museo Sans 700;sans-serif"/>
          <w:b/>
          <w:i/>
          <w:color w:val="000000"/>
          <w:sz w:val="20"/>
        </w:rPr>
        <w:t>Unsecured Lines of Credit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As of February 28, 2026, the Company’s domestic credit lines available under unsecured money market bid rate credit lines totaled $10.0. There were no outstanding borrowings under these credit lines as of February 28, 2026, May 31, 2025 and February 28, 2025. As of February 28, 2026, availability under these unsecured money market bid rate credit lines totaled $6.4, excluding commitments of $3.6.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As of February 28, 2026, the Company had various local currency international credit lines totaling $28.1 underwritten by banks primarily in the United States, Australia, Canada and the United Kingdom. Outstanding borrowings under these facilities were $5.6 at February 28, 2026 at a weighted average interest rate of 4.2%, compared to outstanding borrowings of $6.2 at May 31, 2025 at a weighted average interest rate of 4.5%, and $5.8 at February 28, 2025 at a weighted average interest rate of 4.9%. As of February 28, 2026, the amounts available under these facilities totaled $22.5. These credit lines are typically available for overdraft borrowings or loans up to 364 days and may be renewed, if requested by the Company, at the sole option of the lender.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20"/>
        </w:rPr>
      </w:pPr>
      <w:r>
        <w:rPr>
          <w:rFonts w:ascii="Museo Sans 700;sans-serif" w:hAnsi="Museo Sans 700;sans-serif"/>
          <w:b/>
          <w:i/>
          <w:color w:val="000000"/>
          <w:sz w:val="20"/>
        </w:rPr>
        <w:t>Film Related Obligations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entertainment business enters into credit facilities with third-party banks to obtain interim financing for certain productions. The interim production credit facilities are secured by an assignment and direction of specific production financing including tax credits and license contract receivables and are due on demand. As of February 28, 2026, interest is charged at the following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the bank prime rate plus a margin ranging from 0.50% to 0.75% for Canadian dollar loans;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SOFR plus a margin of 3.00% for U.S. dollar loans; and</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Euribor plus a margin of 2.00% for Euro loans.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Outstanding borrowings under these facilities were $17.4 at a weighted average interest rate of 5.3% at February 28, 2026, $18.3 at a weighted average interest rate of 6.2% at May 31, 2025 and $18.8 at a weighted average interest rate of 6.3% at February 28,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7. COMMITMENTS AND CONTINGENCIES</w:t>
      </w:r>
    </w:p>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700;sans-serif" w:hAnsi="Museo Sans 700;sans-serif"/>
          <w:b/>
          <w:i/>
          <w:color w:val="000000"/>
          <w:sz w:val="20"/>
        </w:rPr>
      </w:pPr>
      <w:r>
        <w:rPr>
          <w:rFonts w:ascii="Museo Sans 700;sans-serif" w:hAnsi="Museo Sans 700;sans-serif"/>
          <w:b/>
          <w:i/>
          <w:color w:val="000000"/>
          <w:sz w:val="20"/>
        </w:rPr>
        <w:t>Legal Matters</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17</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expects to receive additional recoveries from its insurance programs related to an intellectual property legal settlement accrued during fiscal 2021, however, it is premature to determine with any level of probability or accuracy the amount of those recoveries at this time.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val="false"/>
          <w:i/>
          <w:color w:val="000000"/>
          <w:sz w:val="20"/>
        </w:rPr>
      </w:pPr>
      <w:r>
        <w:rPr>
          <w:rFonts w:ascii="Museo Sans 700;sans-serif" w:hAnsi="Museo Sans 700;sans-serif"/>
          <w:b w:val="false"/>
          <w:i/>
          <w:color w:val="000000"/>
          <w:sz w:val="20"/>
        </w:rPr>
        <w:t>Other Matters</w:t>
      </w:r>
    </w:p>
    <w:p>
      <w:pPr>
        <w:pStyle w:val="TextBody"/>
        <w:bidi w:val="0"/>
        <w:spacing w:lineRule="auto" w:line="288" w:before="0" w:after="0"/>
        <w:jc w:val="left"/>
        <w:rPr/>
      </w:pPr>
      <w:r>
        <w:rPr>
          <w:rFonts w:ascii="Museo Sans 300;sans-serif" w:hAnsi="Museo Sans 300;sans-serif"/>
          <w:b w:val="false"/>
          <w:color w:val="000000"/>
          <w:sz w:val="20"/>
        </w:rPr>
        <w:t xml:space="preserve">As a result of a Supreme Court ruling issued in February 2026, the Company may be entitled to a refund of tariffs previously paid on imported products under the International Emergency Economic Powers Act (IEEPA). The Company estimates that approximately $9.0 of its tariff payments are subject to this ruling. As of February 28, 2026, the Company has not recognized an asset related to the potential refund. The Company will continue to evaluate new information and will recognize the refund when the right to receive the amount becomes realized or realizable in accordance with </w:t>
      </w:r>
      <w:r>
        <w:rPr>
          <w:rFonts w:ascii="Museo Sans 300;sans-serif" w:hAnsi="Museo Sans 300;sans-serif"/>
          <w:b w:val="false"/>
          <w:i/>
          <w:color w:val="000000"/>
          <w:sz w:val="20"/>
        </w:rPr>
        <w:t>ASC 450, Contingencies</w:t>
      </w:r>
      <w:r>
        <w:rPr>
          <w:rFonts w:ascii="Museo Sans 300;sans-serif" w:hAnsi="Museo Sans 300;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8. EARNINGS (LOSS)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the reconciliation of the numerators and denominators for the basic and diluted earnings (loss) per share computation for the periods indicated:</w:t>
      </w:r>
    </w:p>
    <w:tbl>
      <w:tblPr>
        <w:tblW w:w="10205" w:type="dxa"/>
        <w:jc w:val="left"/>
        <w:tblInd w:w="0" w:type="dxa"/>
        <w:tblLayout w:type="fixed"/>
        <w:tblCellMar>
          <w:top w:w="28" w:type="dxa"/>
          <w:left w:w="28" w:type="dxa"/>
          <w:bottom w:w="28" w:type="dxa"/>
          <w:right w:w="28" w:type="dxa"/>
        </w:tblCellMar>
      </w:tblPr>
      <w:tblGrid>
        <w:gridCol w:w="1666"/>
        <w:gridCol w:w="1467"/>
        <w:gridCol w:w="1470"/>
        <w:gridCol w:w="113"/>
        <w:gridCol w:w="113"/>
        <w:gridCol w:w="113"/>
        <w:gridCol w:w="300"/>
        <w:gridCol w:w="301"/>
        <w:gridCol w:w="113"/>
        <w:gridCol w:w="113"/>
        <w:gridCol w:w="113"/>
        <w:gridCol w:w="113"/>
        <w:gridCol w:w="113"/>
        <w:gridCol w:w="113"/>
        <w:gridCol w:w="113"/>
        <w:gridCol w:w="318"/>
        <w:gridCol w:w="318"/>
        <w:gridCol w:w="113"/>
        <w:gridCol w:w="113"/>
        <w:gridCol w:w="113"/>
        <w:gridCol w:w="113"/>
        <w:gridCol w:w="111"/>
        <w:gridCol w:w="111"/>
        <w:gridCol w:w="111"/>
        <w:gridCol w:w="300"/>
        <w:gridCol w:w="301"/>
        <w:gridCol w:w="111"/>
        <w:gridCol w:w="111"/>
        <w:gridCol w:w="111"/>
        <w:gridCol w:w="111"/>
        <w:gridCol w:w="111"/>
        <w:gridCol w:w="111"/>
        <w:gridCol w:w="111"/>
        <w:gridCol w:w="233"/>
        <w:gridCol w:w="233"/>
        <w:gridCol w:w="213"/>
        <w:gridCol w:w="111"/>
        <w:gridCol w:w="111"/>
        <w:gridCol w:w="171"/>
      </w:tblGrid>
      <w:tr>
        <w:trPr/>
        <w:tc>
          <w:tcPr>
            <w:tcW w:w="166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6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27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46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27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r>
      <w:tr>
        <w:trPr/>
        <w:tc>
          <w:tcPr>
            <w:tcW w:w="4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income (loss) attributable to Class A and Common Stockholders</w:t>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47.3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(17.3)</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Weighted average Shares of Class A Stock and Common Stock outstanding for basic earnings (loss) per share (in millions)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Dilutive effect of Common Stock potentially issuable pursuant to stock-based compensation plans (in millions)*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Adjusted weighted average Shares of Class A Stock and Common Stock outstanding for diluted earnings (loss) per share (in millions)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Earnings (loss) per share of Class A Stock and Common Stock:</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Basic</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2.61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Diluted </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Anti-dilutive shares pursuant to stock-based compensation plans (in millions)*</w:t>
            </w:r>
          </w:p>
        </w:tc>
        <w:tc>
          <w:tcPr>
            <w:tcW w:w="3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46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46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useo Sans 300;sans-serif" w:hAnsi="Museo Sans 300;sans-serif"/>
          <w:b w:val="false"/>
          <w:color w:val="000000"/>
          <w:sz w:val="18"/>
        </w:rPr>
        <w:t xml:space="preserve">* </w:t>
      </w:r>
      <w:r>
        <w:rPr>
          <w:rFonts w:ascii="Museo Sans 300;sans-serif" w:hAnsi="Museo Sans 300;sans-serif"/>
          <w:b w:val="false"/>
          <w:color w:val="000000"/>
          <w:sz w:val="16"/>
        </w:rPr>
        <w:t>The Company experienced a net loss for the three and nine months ended February 28, 2025 and therefore did not report any dilutive share impact.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sets forth options outstanding pursuant to stock-based compensation plans as of the dates indicated: </w:t>
      </w:r>
    </w:p>
    <w:tbl>
      <w:tblPr>
        <w:tblW w:w="10205" w:type="dxa"/>
        <w:jc w:val="left"/>
        <w:tblInd w:w="0" w:type="dxa"/>
        <w:tblLayout w:type="fixed"/>
        <w:tblCellMar>
          <w:top w:w="28" w:type="dxa"/>
          <w:left w:w="28" w:type="dxa"/>
          <w:bottom w:w="28" w:type="dxa"/>
          <w:right w:w="28" w:type="dxa"/>
        </w:tblCellMar>
      </w:tblPr>
      <w:tblGrid>
        <w:gridCol w:w="2261"/>
        <w:gridCol w:w="1984"/>
        <w:gridCol w:w="1993"/>
        <w:gridCol w:w="598"/>
        <w:gridCol w:w="598"/>
        <w:gridCol w:w="599"/>
        <w:gridCol w:w="109"/>
        <w:gridCol w:w="109"/>
        <w:gridCol w:w="109"/>
        <w:gridCol w:w="538"/>
        <w:gridCol w:w="538"/>
        <w:gridCol w:w="769"/>
      </w:tblGrid>
      <w:tr>
        <w:trPr/>
        <w:tc>
          <w:tcPr>
            <w:tcW w:w="226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62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623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Options outstanding pursuant to stock-based compensation plans (in millions)</w:t>
            </w:r>
          </w:p>
        </w:tc>
        <w:tc>
          <w:tcPr>
            <w:tcW w:w="17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2.7</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As of February 28, 2026, $19.5 remained available for future purchases of common shares under the repurchase authorization of the Board of Directors (the "Board") in effect on that date. See Note 14, "Treasury Stock", for a more complete description of the Company’s share buy-back program and Note 20, "Subsequent Events" for additional Board authorization for Common share repurchases.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9. ACQUISITIONS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20"/>
        </w:rPr>
      </w:pPr>
      <w:r>
        <w:rPr>
          <w:rFonts w:ascii="Museo Sans 700;sans-serif" w:hAnsi="Museo Sans 700;sans-serif"/>
          <w:b/>
          <w:i/>
          <w:color w:val="000000"/>
          <w:sz w:val="20"/>
        </w:rPr>
        <w:t>9 Story Acquisition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On June 20, 2024, the Company completed the acquisition of 100% of the economic interests in the form of non-voting shares and 25% of the voting shares of 9 Story, a leading independent creator, producer and distributor of premium children’s content based in Toronto, Canada, with studios or offices in New York, United States, Dublin, Ireland and Bali, Indonesia. The aggregate purchase price of $193.7 was funded through borrowings under the U.S. Credit Agreement incurred during the first quarter of fiscal 2025. The acquisition of 9 Story further enhances the Company's development, production and licensing interests, expanding opportunities to leverage its brand and best-selling publishing and global children's franchises across print, screen and merchandising.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18</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Pursuant to ASC Topic 810, </w:t>
      </w:r>
      <w:r>
        <w:rPr>
          <w:rFonts w:ascii="Museo Sans 300;sans-serif" w:hAnsi="Museo Sans 300;sans-serif"/>
          <w:b w:val="false"/>
          <w:i/>
          <w:color w:val="000000"/>
          <w:sz w:val="20"/>
        </w:rPr>
        <w:t>Consolidation</w:t>
      </w:r>
      <w:r>
        <w:rPr>
          <w:rFonts w:ascii="Museo Sans 300;sans-serif" w:hAnsi="Museo Sans 300;sans-serif"/>
          <w:b w:val="false"/>
          <w:color w:val="000000"/>
          <w:sz w:val="20"/>
        </w:rPr>
        <w:t xml:space="preserve">, 9 Story was determined to be a variable interest entity (VIE) and the Company was determined to be its primary beneficiary and therefore obtained a controlling financial interest over 9 Story. Accordingly, 9 Story has been consolidated into the Company's financial results. The operations of 9 Story are reported 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segment.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9 Story met the definition of a business pursuant to ASC 805, </w:t>
      </w:r>
      <w:r>
        <w:rPr>
          <w:rFonts w:ascii="Museo Sans 300;sans-serif" w:hAnsi="Museo Sans 300;sans-serif"/>
          <w:b w:val="false"/>
          <w:i/>
          <w:color w:val="000000"/>
          <w:sz w:val="20"/>
        </w:rPr>
        <w:t>Business Combinations</w:t>
      </w:r>
      <w:r>
        <w:rPr>
          <w:rFonts w:ascii="Museo Sans 300;sans-serif" w:hAnsi="Museo Sans 300;sans-serif"/>
          <w:b w:val="false"/>
          <w:color w:val="000000"/>
          <w:sz w:val="20"/>
        </w:rPr>
        <w:t xml:space="preserve">, and the acquisition was accounted for as a business combination under the acquisition method of accounting. The Company estimated the fair value of acquired assets and liabilities as of the date of acquisition based on currently available information. The following table summarizes the purchase price allocation of fair values of the assets acquired and liabilities assumed at the date of acquisition: </w:t>
      </w:r>
    </w:p>
    <w:p>
      <w:pPr>
        <w:pStyle w:val="TextBody"/>
        <w:bidi w:val="0"/>
        <w:spacing w:before="0" w:after="0"/>
        <w:jc w:val="left"/>
        <w:rPr/>
      </w:pPr>
      <w:r>
        <w:rPr/>
      </w:r>
    </w:p>
    <w:tbl>
      <w:tblPr>
        <w:tblW w:w="6203" w:type="dxa"/>
        <w:jc w:val="left"/>
        <w:tblInd w:w="0" w:type="dxa"/>
        <w:tblLayout w:type="fixed"/>
        <w:tblCellMar>
          <w:top w:w="28" w:type="dxa"/>
          <w:left w:w="28" w:type="dxa"/>
          <w:bottom w:w="28" w:type="dxa"/>
          <w:right w:w="28" w:type="dxa"/>
        </w:tblCellMar>
      </w:tblPr>
      <w:tblGrid>
        <w:gridCol w:w="1457"/>
        <w:gridCol w:w="1280"/>
        <w:gridCol w:w="1283"/>
        <w:gridCol w:w="109"/>
        <w:gridCol w:w="109"/>
        <w:gridCol w:w="109"/>
        <w:gridCol w:w="360"/>
        <w:gridCol w:w="361"/>
        <w:gridCol w:w="109"/>
        <w:gridCol w:w="109"/>
        <w:gridCol w:w="109"/>
        <w:gridCol w:w="109"/>
        <w:gridCol w:w="109"/>
        <w:gridCol w:w="109"/>
        <w:gridCol w:w="109"/>
        <w:gridCol w:w="109"/>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Investment in film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Property, plant and equipment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Existing content/IP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Customer contracts/relationships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assets acquired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Film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liabilities assumed</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Fair value of net assets acquired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Goodwill</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Purchase price consideration</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useo Sans 300;sans-serif" w:hAnsi="Museo Sans 300;sans-serif"/>
          <w:b w:val="false"/>
          <w:color w:val="000000"/>
          <w:sz w:val="12"/>
        </w:rPr>
        <w:t>(1)</w:t>
      </w:r>
      <w:r>
        <w:rPr>
          <w:color w:val="000000"/>
        </w:rPr>
        <w:t xml:space="preserve"> </w:t>
      </w:r>
      <w:r>
        <w:rPr>
          <w:rFonts w:ascii="Museo Sans 300;sans-serif" w:hAnsi="Museo Sans 300;sans-serif"/>
          <w:b w:val="false"/>
          <w:color w:val="000000"/>
          <w:sz w:val="18"/>
        </w:rPr>
        <w:t>I</w:t>
      </w:r>
      <w:r>
        <w:rPr>
          <w:rFonts w:ascii="Museo Sans 300;sans-serif" w:hAnsi="Museo Sans 300;sans-serif"/>
          <w:b w:val="false"/>
          <w:color w:val="000000"/>
          <w:sz w:val="16"/>
        </w:rPr>
        <w:t>ncludes $36.7 related to distribution contracts and relationships.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The intangible assets acquired include intellectual property ("IP") related to 9 Story's existing and recognized program titles, customer contracts/relationships related to licensing, distribution and service arrangements, the trade names associated with 9 Story and Brown Bag Films, its animation studio, and internally developed software. The intellectual property and customer contracts/relationships were valued using the multi-period excess earnings valuation method and are being amortized over 10 years, with the exception of contracts/relationships for service arrangements which are being amortized over 5 years. The trade names were valued using the relief-from-royalty valuation method and are being amortized over 10 years. The internally developed software was valued using the replacement cost method and is being amortized over 3 years. The Company classified these fair value measurements as Level 3 due to the significant unobservable inputs used in the analyses, such as internally-developed discounted cash flow forecasts. The difference between the purchase price over the net identifiable tangible and intangible assets acquired was allocated to goodwill, which is not deductible for tax purposes. The goodwill balance is primarily attributable to the expected synergies from the business combination and acquired workforce. The goodwill and intangible assets acquired were allocated to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19</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10. GOODWILL AND OTHER INTANGIBLES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The Company assesses goodwill and other intangible assets with indefinite lives for impairment annually or more frequently if indicators arise. The Company monitors impairment indicators in light of changes in market conditions, near and long-term demand for the Company’s products and other relevant factors.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the activity in Goodwill for the periods indicated: </w:t>
      </w:r>
    </w:p>
    <w:tbl>
      <w:tblPr>
        <w:tblW w:w="9054" w:type="dxa"/>
        <w:jc w:val="left"/>
        <w:tblInd w:w="0" w:type="dxa"/>
        <w:tblLayout w:type="fixed"/>
        <w:tblCellMar>
          <w:top w:w="28" w:type="dxa"/>
          <w:left w:w="28" w:type="dxa"/>
          <w:bottom w:w="28" w:type="dxa"/>
          <w:right w:w="28" w:type="dxa"/>
        </w:tblCellMar>
      </w:tblPr>
      <w:tblGrid>
        <w:gridCol w:w="972"/>
        <w:gridCol w:w="855"/>
        <w:gridCol w:w="858"/>
        <w:gridCol w:w="216"/>
        <w:gridCol w:w="216"/>
        <w:gridCol w:w="216"/>
        <w:gridCol w:w="360"/>
        <w:gridCol w:w="361"/>
        <w:gridCol w:w="216"/>
        <w:gridCol w:w="216"/>
        <w:gridCol w:w="216"/>
        <w:gridCol w:w="218"/>
        <w:gridCol w:w="160"/>
        <w:gridCol w:w="160"/>
        <w:gridCol w:w="160"/>
        <w:gridCol w:w="360"/>
        <w:gridCol w:w="361"/>
        <w:gridCol w:w="160"/>
        <w:gridCol w:w="160"/>
        <w:gridCol w:w="160"/>
        <w:gridCol w:w="160"/>
        <w:gridCol w:w="210"/>
        <w:gridCol w:w="210"/>
        <w:gridCol w:w="210"/>
        <w:gridCol w:w="360"/>
        <w:gridCol w:w="361"/>
        <w:gridCol w:w="210"/>
        <w:gridCol w:w="210"/>
        <w:gridCol w:w="210"/>
        <w:gridCol w:w="31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18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22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Gross beginning balance</w:t>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238.5 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Accumulated impairment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Beginning balance</w:t>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color w:val="000000"/>
                <w:sz w:val="18"/>
              </w:rPr>
            </w:pPr>
            <w:r>
              <w:rPr>
                <w:rFonts w:ascii="Museo Sans 300;sans-serif" w:hAnsi="Museo Sans 3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8"/>
              </w:rPr>
              <w:t>198.9</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color w:val="000000"/>
                <w:sz w:val="18"/>
              </w:rPr>
            </w:pPr>
            <w:r>
              <w:rPr>
                <w:rFonts w:ascii="Museo Sans 300;sans-serif" w:hAnsi="Museo Sans 3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8"/>
              </w:rPr>
              <w:t>132.8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color w:val="000000"/>
                <w:sz w:val="18"/>
              </w:rPr>
            </w:pPr>
            <w:r>
              <w:rPr>
                <w:rFonts w:ascii="Museo Sans 300;sans-serif" w:hAnsi="Museo Sans 3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8"/>
              </w:rPr>
              <w:t>132.8</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Additions </w:t>
            </w:r>
            <w:r>
              <w:rPr>
                <w:rFonts w:ascii="Museo Sans 300;sans-serif" w:hAnsi="Museo Sans 300;sans-serif"/>
                <w:b w:val="false"/>
                <w:color w:val="000000"/>
                <w:sz w:val="12"/>
              </w:rPr>
              <w:t>(1)</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Foreign currency translation</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Ending balance </w:t>
            </w:r>
          </w:p>
        </w:tc>
        <w:tc>
          <w:tcPr>
            <w:tcW w:w="6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200.3</w:t>
            </w:r>
            <w:r>
              <w:rPr>
                <w:color w:val="000000"/>
              </w:rPr>
              <w:t> </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198.9</w:t>
            </w:r>
            <w:r>
              <w:rPr>
                <w:color w:val="000000"/>
              </w:rPr>
              <w:t>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200.0</w:t>
            </w:r>
            <w:r>
              <w:rPr>
                <w:color w:val="000000"/>
              </w:rPr>
              <w:t> </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Museo Sans 300;sans-serif" w:hAnsi="Museo Sans 300;sans-serif"/>
          <w:b w:val="false"/>
          <w:color w:val="000000"/>
          <w:sz w:val="10"/>
        </w:rPr>
        <w:t>(1)</w:t>
      </w:r>
      <w:r>
        <w:rPr>
          <w:color w:val="000000"/>
        </w:rPr>
        <w:t xml:space="preserve"> </w:t>
      </w:r>
      <w:r>
        <w:rPr>
          <w:rFonts w:ascii="Museo Sans 300;sans-serif" w:hAnsi="Museo Sans 300;sans-serif"/>
          <w:b w:val="false"/>
          <w:color w:val="000000"/>
          <w:sz w:val="16"/>
        </w:rPr>
        <w:t>The additions during the twelve months ended May 31, 2025 included measurement period adjustments for the 9 Story acquisition which reflected a decrease to goodwill of $5.9 resulting from a net increase in the estimated fair value of the net assets acquired. The increase in the estimated fair value of the net assets acquired consisted of a decrease to deferred tax liabilities of $5.3, an increase to operating lease right-of-use assets of $0.3, a decrease to lease liabilities of $0.1, an increase to the property, plant and equipment of $0.1 and a decrease to the purchase price as a result of a working capital adjustment of $0.1. The additions during the nine months ended February 28, 2025 included measurement period adjustments for the 9 Story acquisition which reflected an increase to goodwill of $0.9 resulting from a net decrease in the estimated fair value of the net assets acquired. The decrease in the estimated fair value of the net assets acquired consisted of an increase to deferred tax liabilities of $1.4, an increase to operating lease right-of-use assets of $0.3, a decrease to lease liabilities of $0.1, and a decrease to the purchase price as a result of a working capital adjustment of $0.1.</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In fiscal 2025, the Company completed the 9 Story acquisition which resulted in the recognition of $64.2 of Goodwill, net of measurement period adjustments, included in the </w:t>
      </w:r>
      <w:r>
        <w:rPr>
          <w:rFonts w:ascii="Museo Sans 300;sans-serif" w:hAnsi="Museo Sans 300;sans-serif"/>
          <w:b w:val="false"/>
          <w:i/>
          <w:color w:val="000000"/>
          <w:sz w:val="20"/>
        </w:rPr>
        <w:t xml:space="preserve">Entertainment </w:t>
      </w:r>
      <w:r>
        <w:rPr>
          <w:rFonts w:ascii="Museo Sans 300;sans-serif" w:hAnsi="Museo Sans 300;sans-serif"/>
          <w:b w:val="false"/>
          <w:color w:val="000000"/>
          <w:sz w:val="20"/>
        </w:rPr>
        <w:t xml:space="preserve">segment. Refer to Note 9, "Acquisitions", for further details regarding the acquisition.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There were no impairment charges related to Goodwill in any of the periods presented.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the activity on a year-to-date basis in Other intangible assets for the periods indicated:</w:t>
      </w:r>
    </w:p>
    <w:tbl>
      <w:tblPr>
        <w:tblW w:w="10205" w:type="dxa"/>
        <w:jc w:val="left"/>
        <w:tblInd w:w="0" w:type="dxa"/>
        <w:tblLayout w:type="fixed"/>
        <w:tblCellMar>
          <w:top w:w="28" w:type="dxa"/>
          <w:left w:w="28" w:type="dxa"/>
          <w:bottom w:w="28" w:type="dxa"/>
          <w:right w:w="28" w:type="dxa"/>
        </w:tblCellMar>
      </w:tblPr>
      <w:tblGrid>
        <w:gridCol w:w="1916"/>
        <w:gridCol w:w="1655"/>
        <w:gridCol w:w="1659"/>
        <w:gridCol w:w="155"/>
        <w:gridCol w:w="155"/>
        <w:gridCol w:w="155"/>
        <w:gridCol w:w="300"/>
        <w:gridCol w:w="301"/>
        <w:gridCol w:w="155"/>
        <w:gridCol w:w="155"/>
        <w:gridCol w:w="155"/>
        <w:gridCol w:w="157"/>
        <w:gridCol w:w="129"/>
        <w:gridCol w:w="129"/>
        <w:gridCol w:w="129"/>
        <w:gridCol w:w="314"/>
        <w:gridCol w:w="315"/>
        <w:gridCol w:w="129"/>
        <w:gridCol w:w="129"/>
        <w:gridCol w:w="129"/>
        <w:gridCol w:w="129"/>
        <w:gridCol w:w="152"/>
        <w:gridCol w:w="152"/>
        <w:gridCol w:w="152"/>
        <w:gridCol w:w="300"/>
        <w:gridCol w:w="301"/>
        <w:gridCol w:w="152"/>
        <w:gridCol w:w="152"/>
        <w:gridCol w:w="152"/>
        <w:gridCol w:w="242"/>
      </w:tblGrid>
      <w:tr>
        <w:trPr/>
        <w:tc>
          <w:tcPr>
            <w:tcW w:w="191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1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Beginning balance - Other intangibles subject to amortization</w:t>
            </w:r>
          </w:p>
        </w:tc>
        <w:tc>
          <w:tcPr>
            <w:tcW w:w="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Additions </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expense</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Foreign currency translation</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Total other intangibles subject to amortization, net of accumulated amortization of $58.7, $50.3 and $47.2, respectively</w:t>
            </w:r>
          </w:p>
        </w:tc>
        <w:tc>
          <w:tcPr>
            <w:tcW w:w="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Total other intangibles not subject to amortization</w:t>
            </w:r>
          </w:p>
        </w:tc>
        <w:tc>
          <w:tcPr>
            <w:tcW w:w="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8"/>
              </w:rPr>
              <w:t>2.1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8"/>
              </w:rPr>
              <w:t>2.1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8"/>
              </w:rPr>
              <w:t>2.1</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Museo Sans 700;sans-serif" w:hAnsi="Museo Sans 700;sans-serif"/>
                <w:b/>
                <w:color w:val="000000"/>
                <w:sz w:val="18"/>
              </w:rPr>
            </w:pPr>
            <w:r>
              <w:rPr>
                <w:rFonts w:ascii="Museo Sans 700;sans-serif" w:hAnsi="Museo Sans 700;sans-serif"/>
                <w:b/>
                <w:color w:val="000000"/>
                <w:sz w:val="18"/>
              </w:rPr>
              <w:t>Total other intangible assets, net</w:t>
            </w:r>
          </w:p>
        </w:tc>
        <w:tc>
          <w:tcPr>
            <w:tcW w:w="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81.7</w:t>
            </w:r>
            <w:r>
              <w:rPr>
                <w:color w:val="000000"/>
              </w:rPr>
              <w:t>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2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87.9</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83.4</w:t>
            </w:r>
            <w:r>
              <w:rPr>
                <w:color w:val="000000"/>
              </w:rPr>
              <w:t> </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In fiscal 2025, the Company completed the 9 Story acquisition which resulted in the recognition of $85.3 of amortizable intangible assets. Refer to Note 9, "Acquisitions", for further details regarding the acquisition.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There were no impairment charges related to Other intangible assets in any of the periods presented.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Other intangible assets with indefinite lives consist principally of trademark and trade name rights. Other intangible assets with definite lives consist principally of customer lists, customer contracts/relationships, intellectual property, trade names and internally developed software. Intangible assets with definite lives are amortized over their estimated useful lives. The weighted-average remaining useful lives of all amortizable intangible assets is approximately 7.8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20</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11. INVESTMENTS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Investments are included in Other assets and deferred charges on the Condensed Consolidated Balance Sheets. The following table summarizes the Company’s investments as of the dates indicated:</w:t>
      </w:r>
    </w:p>
    <w:tbl>
      <w:tblPr>
        <w:tblW w:w="10205" w:type="dxa"/>
        <w:jc w:val="center"/>
        <w:tblInd w:w="0" w:type="dxa"/>
        <w:tblLayout w:type="fixed"/>
        <w:tblCellMar>
          <w:top w:w="28" w:type="dxa"/>
          <w:left w:w="28" w:type="dxa"/>
          <w:bottom w:w="28" w:type="dxa"/>
          <w:right w:w="28" w:type="dxa"/>
        </w:tblCellMar>
      </w:tblPr>
      <w:tblGrid>
        <w:gridCol w:w="1179"/>
        <w:gridCol w:w="1012"/>
        <w:gridCol w:w="1015"/>
        <w:gridCol w:w="198"/>
        <w:gridCol w:w="198"/>
        <w:gridCol w:w="198"/>
        <w:gridCol w:w="300"/>
        <w:gridCol w:w="301"/>
        <w:gridCol w:w="198"/>
        <w:gridCol w:w="198"/>
        <w:gridCol w:w="198"/>
        <w:gridCol w:w="200"/>
        <w:gridCol w:w="151"/>
        <w:gridCol w:w="151"/>
        <w:gridCol w:w="151"/>
        <w:gridCol w:w="300"/>
        <w:gridCol w:w="301"/>
        <w:gridCol w:w="151"/>
        <w:gridCol w:w="151"/>
        <w:gridCol w:w="151"/>
        <w:gridCol w:w="151"/>
        <w:gridCol w:w="198"/>
        <w:gridCol w:w="198"/>
        <w:gridCol w:w="198"/>
        <w:gridCol w:w="300"/>
        <w:gridCol w:w="301"/>
        <w:gridCol w:w="198"/>
        <w:gridCol w:w="198"/>
        <w:gridCol w:w="198"/>
        <w:gridCol w:w="200"/>
        <w:gridCol w:w="394"/>
        <w:gridCol w:w="394"/>
        <w:gridCol w:w="575"/>
      </w:tblGrid>
      <w:tr>
        <w:trPr/>
        <w:tc>
          <w:tcPr>
            <w:tcW w:w="117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Segment </w:t>
            </w:r>
          </w:p>
        </w:tc>
      </w:tr>
      <w:tr>
        <w:trPr/>
        <w:tc>
          <w:tcPr>
            <w:tcW w:w="3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Equity method investments</w:t>
            </w:r>
          </w:p>
        </w:tc>
        <w:tc>
          <w:tcPr>
            <w:tcW w:w="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7"/>
              </w:rPr>
            </w:pPr>
            <w:r>
              <w:rPr>
                <w:rFonts w:ascii="Museo Sans 300;sans-serif" w:hAnsi="Museo Sans 300;sans-serif"/>
                <w:b w:val="false"/>
                <w:color w:val="000000"/>
                <w:sz w:val="17"/>
              </w:rPr>
              <w:t>International</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Equity method and other investments</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7"/>
              </w:rPr>
            </w:pPr>
            <w:r>
              <w:rPr>
                <w:rFonts w:ascii="Museo Sans 300;sans-serif" w:hAnsi="Museo Sans 300;sans-serif"/>
                <w:b w:val="false"/>
                <w:color w:val="000000"/>
                <w:sz w:val="17"/>
              </w:rPr>
              <w:t>Entertainment</w:t>
            </w:r>
          </w:p>
        </w:tc>
      </w:tr>
      <w:tr>
        <w:trPr/>
        <w:tc>
          <w:tcPr>
            <w:tcW w:w="320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Total Investments </w:t>
            </w:r>
          </w:p>
        </w:tc>
        <w:tc>
          <w:tcPr>
            <w:tcW w:w="5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40.2</w:t>
            </w:r>
            <w:r>
              <w:rPr>
                <w:color w:val="000000"/>
              </w:rPr>
              <w:t>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40.0</w:t>
            </w: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38.2</w:t>
            </w:r>
            <w:r>
              <w:rPr>
                <w:color w:val="000000"/>
              </w:rPr>
              <w:t>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The Company’s 26.2% equity interest in a children’s book publishing business located in the UK is accounted for using the equity method of accounting. Equity method income from this investment is reported in the </w:t>
      </w:r>
      <w:r>
        <w:rPr>
          <w:rFonts w:ascii="Museo Sans 300;sans-serif" w:hAnsi="Museo Sans 300;sans-serif"/>
          <w:b w:val="false"/>
          <w:i/>
          <w:color w:val="000000"/>
          <w:sz w:val="20"/>
        </w:rPr>
        <w:t xml:space="preserve">International </w:t>
      </w:r>
      <w:r>
        <w:rPr>
          <w:rFonts w:ascii="Museo Sans 300;sans-serif" w:hAnsi="Museo Sans 300;sans-serif"/>
          <w:b w:val="false"/>
          <w:color w:val="000000"/>
          <w:sz w:val="20"/>
        </w:rPr>
        <w:t>segment.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The Company has a 4.6% ownership interest in a financing and production company that makes film, television, and digital programming designed for the youth market. This equity investment does not have a readily determinable fair value and the Company has elected to apply the measurement alternative and report the investment at cost, less impairment on the Company's Condensed Consolidated Balance Sheets. There have been no impairments or adjustments to the carrying value of the investment. This investment is included 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segment. </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During fiscal 2025, the Company acquired investments of $0.9 as part of the 9 Story acquisition which are included 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segment. These acquired investments include a 50% ownership interest in certain animated television production companies. These joint venture investments are accounted for using the equity method of accounting. The acquired investments also include a 12% ownership interest in a children's book publishing business located in the UK. This investment is accounted for at cost, less impairment on the Company's Condensed Consolidated Balance Sheets. During the second quarter of fiscal 2026, the Company determined the investment was not recoverable and recognized an impairment charge for the carrying value of $0.3. Refer to Note 5, "Asset Write Down," for further details.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Income (loss) from equity investments is reported in Selling, general and administrative expenses in the Condensed Consolidated Statements of Operations. For the three and nine months ended February 28, 2026, the Company recognized income of $0.1 and $0.4, respectively. For the three and nine months ended February 28, 2025, the Company recognized a loss of less than $0.1 and income of $0.8, respectively. The Company did not receive any dividends in the nine months ended February 28, 2026 and February 28,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21</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12. LEASES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right-of-use assets and lease liabilities recorded on the Company's Consolidated Balance Sheet for the dates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3"/>
        <w:gridCol w:w="586"/>
        <w:gridCol w:w="588"/>
        <w:gridCol w:w="227"/>
        <w:gridCol w:w="227"/>
        <w:gridCol w:w="227"/>
        <w:gridCol w:w="360"/>
        <w:gridCol w:w="361"/>
        <w:gridCol w:w="232"/>
        <w:gridCol w:w="109"/>
        <w:gridCol w:w="109"/>
        <w:gridCol w:w="109"/>
        <w:gridCol w:w="156"/>
        <w:gridCol w:w="156"/>
        <w:gridCol w:w="156"/>
        <w:gridCol w:w="360"/>
        <w:gridCol w:w="361"/>
        <w:gridCol w:w="156"/>
        <w:gridCol w:w="109"/>
        <w:gridCol w:w="109"/>
        <w:gridCol w:w="109"/>
        <w:gridCol w:w="227"/>
        <w:gridCol w:w="227"/>
        <w:gridCol w:w="227"/>
        <w:gridCol w:w="397"/>
        <w:gridCol w:w="324"/>
        <w:gridCol w:w="232"/>
        <w:gridCol w:w="109"/>
        <w:gridCol w:w="109"/>
        <w:gridCol w:w="109"/>
        <w:gridCol w:w="783"/>
        <w:gridCol w:w="783"/>
        <w:gridCol w:w="1118"/>
      </w:tblGrid>
      <w:tr>
        <w:trPr/>
        <w:tc>
          <w:tcPr>
            <w:tcW w:w="75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Location within Consolidated Balance Sheets</w:t>
            </w:r>
          </w:p>
        </w:tc>
      </w:tr>
      <w:tr>
        <w:trPr/>
        <w:tc>
          <w:tcPr>
            <w:tcW w:w="1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leases</w:t>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264.1 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98.8 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right-of-use assets, net</w:t>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Finance leases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Property, plant and equipment, net</w:t>
            </w:r>
          </w:p>
        </w:tc>
      </w:tr>
      <w:tr>
        <w:trPr/>
        <w:tc>
          <w:tcPr>
            <w:tcW w:w="1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assets</w:t>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277.6</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109.9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105.1</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Current portion</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 current</w:t>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Noncurrent portion</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251.3 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84.4 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 noncurrent</w:t>
            </w:r>
          </w:p>
        </w:tc>
      </w:tr>
      <w:tr>
        <w:trPr/>
        <w:tc>
          <w:tcPr>
            <w:tcW w:w="1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operating lease liabilities</w:t>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279.0</w:t>
            </w: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118.3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109.9</w:t>
            </w: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Finance leases: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Current portion</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accrued expenses</w:t>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Noncurrent portion</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noncurrent liabilities</w:t>
            </w:r>
          </w:p>
        </w:tc>
      </w:tr>
      <w:tr>
        <w:trPr/>
        <w:tc>
          <w:tcPr>
            <w:tcW w:w="1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finance lease liabilities</w:t>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14.4</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6.8</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liabilities</w:t>
            </w:r>
          </w:p>
        </w:tc>
        <w:tc>
          <w:tcPr>
            <w:tcW w:w="6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293.4</w:t>
            </w:r>
            <w:r>
              <w:rPr>
                <w:color w:val="000000"/>
              </w:rPr>
              <w:t> </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124.9</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116.7</w:t>
            </w:r>
            <w:r>
              <w:rPr>
                <w:color w:val="000000"/>
              </w:rPr>
              <w:t> </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the lease expense activity for the periods indicated:</w:t>
      </w:r>
    </w:p>
    <w:tbl>
      <w:tblPr>
        <w:tblW w:w="10205" w:type="dxa"/>
        <w:jc w:val="left"/>
        <w:tblInd w:w="0" w:type="dxa"/>
        <w:tblLayout w:type="fixed"/>
        <w:tblCellMar>
          <w:top w:w="28" w:type="dxa"/>
          <w:left w:w="28" w:type="dxa"/>
          <w:bottom w:w="28" w:type="dxa"/>
          <w:right w:w="28" w:type="dxa"/>
        </w:tblCellMar>
      </w:tblPr>
      <w:tblGrid>
        <w:gridCol w:w="779"/>
        <w:gridCol w:w="567"/>
        <w:gridCol w:w="569"/>
        <w:gridCol w:w="143"/>
        <w:gridCol w:w="143"/>
        <w:gridCol w:w="143"/>
        <w:gridCol w:w="300"/>
        <w:gridCol w:w="301"/>
        <w:gridCol w:w="143"/>
        <w:gridCol w:w="143"/>
        <w:gridCol w:w="143"/>
        <w:gridCol w:w="143"/>
        <w:gridCol w:w="240"/>
        <w:gridCol w:w="241"/>
        <w:gridCol w:w="143"/>
        <w:gridCol w:w="109"/>
        <w:gridCol w:w="109"/>
        <w:gridCol w:w="109"/>
        <w:gridCol w:w="138"/>
        <w:gridCol w:w="138"/>
        <w:gridCol w:w="138"/>
        <w:gridCol w:w="300"/>
        <w:gridCol w:w="301"/>
        <w:gridCol w:w="138"/>
        <w:gridCol w:w="138"/>
        <w:gridCol w:w="138"/>
        <w:gridCol w:w="138"/>
        <w:gridCol w:w="300"/>
        <w:gridCol w:w="301"/>
        <w:gridCol w:w="138"/>
        <w:gridCol w:w="1000"/>
        <w:gridCol w:w="1000"/>
        <w:gridCol w:w="1431"/>
      </w:tblGrid>
      <w:tr>
        <w:trPr/>
        <w:tc>
          <w:tcPr>
            <w:tcW w:w="77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c>
          <w:tcPr>
            <w:tcW w:w="34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Location within Consolidated Statements of Operations</w:t>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4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4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expense</w:t>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Selling, general and administrative expenses</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Finance lease costs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of leased assets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Accretion of lease liabilities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expense</w:t>
            </w:r>
          </w:p>
        </w:tc>
      </w:tr>
      <w:tr>
        <w:trPr/>
        <w:tc>
          <w:tcPr>
            <w:tcW w:w="19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expense</w:t>
            </w:r>
          </w:p>
        </w:tc>
        <w:tc>
          <w:tcPr>
            <w:tcW w:w="4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13.6</w:t>
            </w:r>
            <w:r>
              <w:rPr>
                <w:color w:val="000000"/>
              </w:rPr>
              <w:t>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8.5</w:t>
            </w:r>
            <w:r>
              <w:rPr>
                <w:color w:val="000000"/>
              </w:rPr>
              <w:t>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31.6</w:t>
            </w:r>
            <w:r>
              <w:rPr>
                <w:color w:val="000000"/>
              </w:rPr>
              <w:t>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24.9</w:t>
            </w:r>
            <w:r>
              <w:rPr>
                <w:color w:val="000000"/>
              </w:rPr>
              <w:t>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certain cash flows information related to the Company's leases for the periods indicated:</w:t>
      </w:r>
    </w:p>
    <w:tbl>
      <w:tblPr>
        <w:tblW w:w="10205" w:type="dxa"/>
        <w:jc w:val="left"/>
        <w:tblInd w:w="0" w:type="dxa"/>
        <w:tblLayout w:type="fixed"/>
        <w:tblCellMar>
          <w:top w:w="28" w:type="dxa"/>
          <w:left w:w="28" w:type="dxa"/>
          <w:bottom w:w="28" w:type="dxa"/>
          <w:right w:w="28" w:type="dxa"/>
        </w:tblCellMar>
      </w:tblPr>
      <w:tblGrid>
        <w:gridCol w:w="2205"/>
        <w:gridCol w:w="1938"/>
        <w:gridCol w:w="1945"/>
        <w:gridCol w:w="288"/>
        <w:gridCol w:w="288"/>
        <w:gridCol w:w="288"/>
        <w:gridCol w:w="389"/>
        <w:gridCol w:w="321"/>
        <w:gridCol w:w="295"/>
        <w:gridCol w:w="132"/>
        <w:gridCol w:w="132"/>
        <w:gridCol w:w="132"/>
        <w:gridCol w:w="277"/>
        <w:gridCol w:w="277"/>
        <w:gridCol w:w="277"/>
        <w:gridCol w:w="310"/>
        <w:gridCol w:w="302"/>
        <w:gridCol w:w="409"/>
      </w:tblGrid>
      <w:tr>
        <w:trPr/>
        <w:tc>
          <w:tcPr>
            <w:tcW w:w="2205"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6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6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paid for amounts included in the measurement of lease liabilities:</w:t>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cash flows from operating leases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23.9 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cash flows from finance leases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Financing cash flows from finance leases</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Noncash transactions: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Lease assets obtained in exchange for new lease liabilities</w:t>
            </w:r>
          </w:p>
        </w:tc>
        <w:tc>
          <w:tcPr>
            <w:tcW w:w="8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180.6 </w:t>
            </w:r>
          </w:p>
        </w:tc>
        <w:tc>
          <w:tcPr>
            <w:tcW w:w="2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15.6 </w:t>
            </w:r>
          </w:p>
        </w:tc>
        <w:tc>
          <w:tcPr>
            <w:tcW w:w="4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22</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provides the maturities of the Company's lease liabilities recorded on the Company's Consolidated Balance Sheet for the period ended February 28, 2026:</w:t>
      </w:r>
    </w:p>
    <w:p>
      <w:pPr>
        <w:pStyle w:val="TextBody"/>
        <w:bidi w:val="0"/>
        <w:spacing w:before="0" w:after="0"/>
        <w:jc w:val="left"/>
        <w:rPr/>
      </w:pPr>
      <w:r>
        <w:rPr/>
      </w:r>
    </w:p>
    <w:tbl>
      <w:tblPr>
        <w:tblW w:w="6788" w:type="dxa"/>
        <w:jc w:val="left"/>
        <w:tblInd w:w="0" w:type="dxa"/>
        <w:tblLayout w:type="fixed"/>
        <w:tblCellMar>
          <w:top w:w="28" w:type="dxa"/>
          <w:left w:w="28" w:type="dxa"/>
          <w:bottom w:w="28" w:type="dxa"/>
          <w:right w:w="28" w:type="dxa"/>
        </w:tblCellMar>
      </w:tblPr>
      <w:tblGrid>
        <w:gridCol w:w="956"/>
        <w:gridCol w:w="840"/>
        <w:gridCol w:w="843"/>
        <w:gridCol w:w="314"/>
        <w:gridCol w:w="314"/>
        <w:gridCol w:w="314"/>
        <w:gridCol w:w="426"/>
        <w:gridCol w:w="369"/>
        <w:gridCol w:w="316"/>
        <w:gridCol w:w="109"/>
        <w:gridCol w:w="109"/>
        <w:gridCol w:w="109"/>
        <w:gridCol w:w="263"/>
        <w:gridCol w:w="263"/>
        <w:gridCol w:w="263"/>
        <w:gridCol w:w="339"/>
        <w:gridCol w:w="263"/>
        <w:gridCol w:w="378"/>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Finance Leases</w:t>
            </w:r>
          </w:p>
        </w:tc>
      </w:tr>
      <w:tr>
        <w:trPr/>
        <w:tc>
          <w:tcPr>
            <w:tcW w:w="2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Remainder of Fiscal 2026 </w:t>
            </w:r>
            <w:r>
              <w:rPr>
                <w:rFonts w:ascii="Museo Sans 300;sans-serif" w:hAnsi="Museo Sans 300;sans-serif"/>
                <w:b w:val="false"/>
                <w:color w:val="000000"/>
                <w:sz w:val="12"/>
              </w:rPr>
              <w:t>(1)</w:t>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Fiscal 2027</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Fiscal 2028</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Fiscal 2029</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Fiscal 2030</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Thereafter</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payments</w:t>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508.8</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16.6</w:t>
            </w:r>
            <w:r>
              <w:rPr>
                <w:color w:val="000000"/>
              </w:rPr>
              <w:t>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interest</w:t>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(229.8)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liabilities</w:t>
            </w:r>
          </w:p>
        </w:tc>
        <w:tc>
          <w:tcPr>
            <w:tcW w:w="94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279.0</w:t>
            </w:r>
            <w:r>
              <w:rPr>
                <w:color w:val="000000"/>
              </w:rPr>
              <w:t>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14.4</w:t>
            </w:r>
            <w:r>
              <w:rPr>
                <w:color w:val="000000"/>
              </w:rPr>
              <w:t> </w:t>
            </w:r>
          </w:p>
        </w:tc>
        <w:tc>
          <w:tcPr>
            <w:tcW w:w="3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i/>
          <w:color w:val="000000"/>
          <w:sz w:val="16"/>
        </w:rPr>
      </w:pPr>
      <w:r>
        <w:rPr>
          <w:rFonts w:ascii="Museo Sans 300;sans-serif" w:hAnsi="Museo Sans 300;sans-serif"/>
          <w:b w:val="false"/>
          <w:i/>
          <w:color w:val="000000"/>
          <w:sz w:val="16"/>
        </w:rPr>
        <w:t>(1) Includes the remaining three months of the current fiscal year ending May 31,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the weighted-average remaining lease terms and weighted-average discount rates related to the Company's leases recorded on the Company's Consolidated Balance Sheets for the periods indicated:</w:t>
      </w:r>
    </w:p>
    <w:tbl>
      <w:tblPr>
        <w:tblW w:w="8771" w:type="dxa"/>
        <w:jc w:val="left"/>
        <w:tblInd w:w="0" w:type="dxa"/>
        <w:tblLayout w:type="fixed"/>
        <w:tblCellMar>
          <w:top w:w="28" w:type="dxa"/>
          <w:left w:w="28" w:type="dxa"/>
          <w:bottom w:w="28" w:type="dxa"/>
          <w:right w:w="28" w:type="dxa"/>
        </w:tblCellMar>
      </w:tblPr>
      <w:tblGrid>
        <w:gridCol w:w="1631"/>
        <w:gridCol w:w="1433"/>
        <w:gridCol w:w="1435"/>
        <w:gridCol w:w="433"/>
        <w:gridCol w:w="433"/>
        <w:gridCol w:w="1084"/>
        <w:gridCol w:w="109"/>
        <w:gridCol w:w="109"/>
        <w:gridCol w:w="109"/>
        <w:gridCol w:w="406"/>
        <w:gridCol w:w="406"/>
        <w:gridCol w:w="1183"/>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4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Weighted-average remaining lease term (years):</w:t>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Leases</w:t>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5.3</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Finance Leases</w:t>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Weighted-average discount rate: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8.6 </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5.6 </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44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Finance Leases</w:t>
            </w:r>
          </w:p>
        </w:tc>
        <w:tc>
          <w:tcPr>
            <w:tcW w:w="8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5.1 </w:t>
            </w:r>
          </w:p>
        </w:tc>
        <w:tc>
          <w:tcPr>
            <w:tcW w:w="10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4.9 </w:t>
            </w:r>
          </w:p>
        </w:tc>
        <w:tc>
          <w:tcPr>
            <w:tcW w:w="11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bl>
    <w:p>
      <w:pPr>
        <w:pStyle w:val="TextBody"/>
        <w:bidi w:val="0"/>
        <w:spacing w:lineRule="auto" w:line="288" w:before="100" w:after="283"/>
        <w:jc w:val="left"/>
        <w:rPr>
          <w:rFonts w:ascii="Museo Sans 300;sans-serif" w:hAnsi="Museo Sans 300;sans-serif"/>
          <w:b w:val="false"/>
          <w:color w:val="000000"/>
          <w:sz w:val="20"/>
        </w:rPr>
      </w:pPr>
      <w:r>
        <w:rPr>
          <w:rFonts w:ascii="Museo Sans 300;sans-serif" w:hAnsi="Museo Sans 300;sans-serif"/>
          <w:b w:val="false"/>
          <w:color w:val="000000"/>
          <w:sz w:val="20"/>
        </w:rPr>
        <w:br/>
        <w:br/>
        <w:t>Prior to the sale and leaseback transactions that occurred in December 2025, the Company owned leasable space in its headquarters in SoHo, New York City. The Company recognized rental income of $0.7 and $7.2 in the three and nine months ended February 28, 2026, respectively, and $2.8 and $8.4 in the three and nine months ended February 28,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13. STOCK-BASED COMPENSATION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summarizes stock-based compensation expense included in Selling, general and administrative expenses for the periods indicated: </w:t>
      </w:r>
    </w:p>
    <w:tbl>
      <w:tblPr>
        <w:tblW w:w="10205" w:type="dxa"/>
        <w:jc w:val="left"/>
        <w:tblInd w:w="0" w:type="dxa"/>
        <w:tblLayout w:type="fixed"/>
        <w:tblCellMar>
          <w:top w:w="28" w:type="dxa"/>
          <w:left w:w="28" w:type="dxa"/>
          <w:bottom w:w="28" w:type="dxa"/>
          <w:right w:w="28" w:type="dxa"/>
        </w:tblCellMar>
      </w:tblPr>
      <w:tblGrid>
        <w:gridCol w:w="1499"/>
        <w:gridCol w:w="1245"/>
        <w:gridCol w:w="1255"/>
        <w:gridCol w:w="152"/>
        <w:gridCol w:w="152"/>
        <w:gridCol w:w="152"/>
        <w:gridCol w:w="250"/>
        <w:gridCol w:w="231"/>
        <w:gridCol w:w="150"/>
        <w:gridCol w:w="150"/>
        <w:gridCol w:w="150"/>
        <w:gridCol w:w="150"/>
        <w:gridCol w:w="152"/>
        <w:gridCol w:w="152"/>
        <w:gridCol w:w="152"/>
        <w:gridCol w:w="250"/>
        <w:gridCol w:w="231"/>
        <w:gridCol w:w="150"/>
        <w:gridCol w:w="150"/>
        <w:gridCol w:w="150"/>
        <w:gridCol w:w="150"/>
        <w:gridCol w:w="151"/>
        <w:gridCol w:w="151"/>
        <w:gridCol w:w="151"/>
        <w:gridCol w:w="240"/>
        <w:gridCol w:w="241"/>
        <w:gridCol w:w="151"/>
        <w:gridCol w:w="151"/>
        <w:gridCol w:w="150"/>
        <w:gridCol w:w="150"/>
        <w:gridCol w:w="149"/>
        <w:gridCol w:w="149"/>
        <w:gridCol w:w="149"/>
        <w:gridCol w:w="240"/>
        <w:gridCol w:w="241"/>
        <w:gridCol w:w="149"/>
        <w:gridCol w:w="149"/>
        <w:gridCol w:w="148"/>
        <w:gridCol w:w="222"/>
      </w:tblGrid>
      <w:tr>
        <w:trPr/>
        <w:tc>
          <w:tcPr>
            <w:tcW w:w="149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313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3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Stock option expense</w:t>
            </w:r>
          </w:p>
        </w:tc>
        <w:tc>
          <w:tcPr>
            <w:tcW w:w="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Restricted stock unit expense</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Management stock purchase plan</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Employee stock purchase plan</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stock-based compensation expense</w:t>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2.2</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2.4</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6.6</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6.7</w:t>
            </w:r>
            <w:r>
              <w:rPr>
                <w:color w:val="000000"/>
              </w:rPr>
              <w:t>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23</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sets forth Common Stock issued pursuant to stock-based compensation plans for the periods indicated:</w:t>
      </w:r>
    </w:p>
    <w:tbl>
      <w:tblPr>
        <w:tblW w:w="10205" w:type="dxa"/>
        <w:jc w:val="left"/>
        <w:tblInd w:w="0" w:type="dxa"/>
        <w:tblLayout w:type="fixed"/>
        <w:tblCellMar>
          <w:top w:w="28" w:type="dxa"/>
          <w:left w:w="28" w:type="dxa"/>
          <w:bottom w:w="28" w:type="dxa"/>
          <w:right w:w="28" w:type="dxa"/>
        </w:tblCellMar>
      </w:tblPr>
      <w:tblGrid>
        <w:gridCol w:w="1462"/>
        <w:gridCol w:w="1283"/>
        <w:gridCol w:w="1289"/>
        <w:gridCol w:w="399"/>
        <w:gridCol w:w="399"/>
        <w:gridCol w:w="401"/>
        <w:gridCol w:w="170"/>
        <w:gridCol w:w="170"/>
        <w:gridCol w:w="170"/>
        <w:gridCol w:w="399"/>
        <w:gridCol w:w="399"/>
        <w:gridCol w:w="401"/>
        <w:gridCol w:w="109"/>
        <w:gridCol w:w="109"/>
        <w:gridCol w:w="109"/>
        <w:gridCol w:w="399"/>
        <w:gridCol w:w="399"/>
        <w:gridCol w:w="401"/>
        <w:gridCol w:w="161"/>
        <w:gridCol w:w="161"/>
        <w:gridCol w:w="161"/>
        <w:gridCol w:w="364"/>
        <w:gridCol w:w="364"/>
        <w:gridCol w:w="526"/>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0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Common Stock issued pursuant to stock-based compensation plans (in millions)</w:t>
            </w:r>
          </w:p>
        </w:tc>
        <w:tc>
          <w:tcPr>
            <w:tcW w:w="11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0.2</w:t>
            </w:r>
          </w:p>
        </w:tc>
        <w:tc>
          <w:tcPr>
            <w:tcW w:w="51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0.6</w:t>
            </w:r>
          </w:p>
        </w:tc>
        <w:tc>
          <w:tcPr>
            <w:tcW w:w="48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0.3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14. TREASURY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The Board has authorized the Company to repurchase Common Stock, from time to time as conditions allow, on the open market or through privately negotiated transactions.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table below represents the Board authorization at the dates indicated:</w:t>
      </w:r>
    </w:p>
    <w:tbl>
      <w:tblPr>
        <w:tblW w:w="7201" w:type="dxa"/>
        <w:jc w:val="left"/>
        <w:tblInd w:w="0" w:type="dxa"/>
        <w:tblLayout w:type="fixed"/>
        <w:tblCellMar>
          <w:top w:w="28" w:type="dxa"/>
          <w:left w:w="28" w:type="dxa"/>
          <w:bottom w:w="28" w:type="dxa"/>
          <w:right w:w="28" w:type="dxa"/>
        </w:tblCellMar>
      </w:tblPr>
      <w:tblGrid>
        <w:gridCol w:w="1986"/>
        <w:gridCol w:w="1746"/>
        <w:gridCol w:w="1757"/>
        <w:gridCol w:w="109"/>
        <w:gridCol w:w="109"/>
        <w:gridCol w:w="109"/>
        <w:gridCol w:w="397"/>
        <w:gridCol w:w="398"/>
        <w:gridCol w:w="109"/>
        <w:gridCol w:w="109"/>
        <w:gridCol w:w="109"/>
        <w:gridCol w:w="109"/>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Authorization </w:t>
            </w:r>
          </w:p>
        </w:tc>
        <w:tc>
          <w:tcPr>
            <w:tcW w:w="1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March 2024</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current Board authorizations</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repurchases made under these authorizations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Remaining Board authorization at February 28, 2026</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Remaining Board authorization at February 28, 2026 represents the amount remaining under the Board authorization for Common share repurchases announced on December 17, 2025, which is available for further repurchases, from time to time as conditions allow, on the open market or through privately negotiated transactions. See Note 20, "Subsequent Events", for additional Board authorization for Common share repurchases.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Repurchases of the Company's Common Stock aggregated $131.8, including excise tax on share repurchases,</w:t>
      </w:r>
      <w:r>
        <w:rPr>
          <w:color w:val="000000"/>
        </w:rPr>
        <w:t xml:space="preserve"> </w:t>
      </w:r>
      <w:r>
        <w:rPr>
          <w:rFonts w:ascii="Museo Sans 300;sans-serif" w:hAnsi="Museo Sans 300;sans-serif"/>
          <w:b w:val="false"/>
          <w:color w:val="000000"/>
          <w:sz w:val="20"/>
        </w:rPr>
        <w:t>during the three and nine month periods ende</w:t>
      </w:r>
      <w:r>
        <w:rPr>
          <w:rFonts w:ascii="Museo Sans 300;sans-serif" w:hAnsi="Museo Sans 300;sans-serif"/>
          <w:b w:val="false"/>
          <w:color w:val="000000"/>
          <w:sz w:val="19"/>
        </w:rPr>
        <w:t xml:space="preserve">d </w:t>
      </w:r>
      <w:r>
        <w:rPr>
          <w:rFonts w:ascii="Museo Sans 300;sans-serif" w:hAnsi="Museo Sans 300;sans-serif"/>
          <w:b w:val="false"/>
          <w:color w:val="000000"/>
          <w:sz w:val="20"/>
        </w:rPr>
        <w:t>February 28, 2026. The Company's repurchase program may be suspended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24</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15. ACCUMULATED OTHER COMPREHENSIVE INCOME (LOSS)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tables summarize the activity in Accumulated other comprehensive income (loss), net of tax, by component, for the periods indicated:</w:t>
      </w:r>
    </w:p>
    <w:tbl>
      <w:tblPr>
        <w:tblW w:w="10205" w:type="dxa"/>
        <w:jc w:val="left"/>
        <w:tblInd w:w="0" w:type="dxa"/>
        <w:tblLayout w:type="fixed"/>
        <w:tblCellMar>
          <w:top w:w="28" w:type="dxa"/>
          <w:left w:w="28" w:type="dxa"/>
          <w:bottom w:w="28" w:type="dxa"/>
          <w:right w:w="28" w:type="dxa"/>
        </w:tblCellMar>
      </w:tblPr>
      <w:tblGrid>
        <w:gridCol w:w="1554"/>
        <w:gridCol w:w="1171"/>
        <w:gridCol w:w="1174"/>
        <w:gridCol w:w="288"/>
        <w:gridCol w:w="288"/>
        <w:gridCol w:w="288"/>
        <w:gridCol w:w="471"/>
        <w:gridCol w:w="288"/>
        <w:gridCol w:w="288"/>
        <w:gridCol w:w="288"/>
        <w:gridCol w:w="288"/>
        <w:gridCol w:w="290"/>
        <w:gridCol w:w="210"/>
        <w:gridCol w:w="210"/>
        <w:gridCol w:w="210"/>
        <w:gridCol w:w="296"/>
        <w:gridCol w:w="238"/>
        <w:gridCol w:w="210"/>
        <w:gridCol w:w="197"/>
        <w:gridCol w:w="184"/>
        <w:gridCol w:w="184"/>
        <w:gridCol w:w="126"/>
        <w:gridCol w:w="126"/>
        <w:gridCol w:w="126"/>
        <w:gridCol w:w="322"/>
        <w:gridCol w:w="322"/>
        <w:gridCol w:w="126"/>
        <w:gridCol w:w="126"/>
        <w:gridCol w:w="126"/>
        <w:gridCol w:w="190"/>
      </w:tblGrid>
      <w:tr>
        <w:trPr/>
        <w:tc>
          <w:tcPr>
            <w:tcW w:w="155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 February 28, 2026</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Foreign currency translation adjustments</w:t>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Retirement benefit plans</w:t>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Beginning balance at December 1, 2025</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(36.3)</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(41.3)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Other comprehensive income (loss) before reclassifications </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amount reclassified from Accumulated other comprehensive income (loss):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net actuarial (gain) loss (net of tax of $0.0)</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prior service (credit) cost (net of tax of $0.1)</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w:t>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 at February 28, 2026</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(28.6)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(4.8)</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(33.4)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 February 28, 2025</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Foreign currency translation adjustments</w:t>
            </w:r>
          </w:p>
        </w:tc>
        <w:tc>
          <w:tcPr>
            <w:tcW w:w="19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Retirement benefit plans</w:t>
            </w:r>
          </w:p>
        </w:tc>
        <w:tc>
          <w:tcPr>
            <w:tcW w:w="15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Beginning balance at December 1, 2024</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(50.6)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(55.8)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 before reclassifications</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amount reclassified from Accumulated other comprehensive income (loss):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net actuarial (gain) loss (net of tax of $0.0)</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prior service (credit) cost (net of tax of $0.1)</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w:t>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 at February 28, 2025</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(58.6)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(63.7)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 February 28, 2026</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Foreign currency translation adjustments</w:t>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Retirement benefit plans</w:t>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Beginning balance at June 1, 2025</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(36.0)</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(5.5)</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(41.5)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 before reclassifications</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amount reclassified from Accumulated other comprehensive income (loss)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net actuarial (gain) loss (net of tax of $0.0)</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prior service (credit) cost (net of tax of $0.2)</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w:t>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7.4 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 at February 28, 2026</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(28.6)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(4.8)</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(33.4)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 February 28, 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Foreign currency translation adjustments</w:t>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Retirement benefit plans</w:t>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Beginning balance at June 1, 2024</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(46.9)</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(5.6)</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(52.5)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 before reclassifications</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amount reclassified from Accumulated other comprehensive income (loss)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net actuarial (gain) loss (net of tax of $0.0)</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prior service (credit) cost (net of tax of $0.2)</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comprehensive income (loss)</w:t>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(11.7)</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 at February 28, 2025</w:t>
            </w:r>
          </w:p>
        </w:tc>
        <w:tc>
          <w:tcPr>
            <w:tcW w:w="8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5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(58.6)</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(5.1)</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4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(63.7)</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25</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presents the impact on earnings of reclassifications out of Accumulated other comprehensive income (loss) for the periods indicated:</w:t>
      </w:r>
    </w:p>
    <w:tbl>
      <w:tblPr>
        <w:tblW w:w="10205" w:type="dxa"/>
        <w:jc w:val="left"/>
        <w:tblInd w:w="0" w:type="dxa"/>
        <w:tblLayout w:type="fixed"/>
        <w:tblCellMar>
          <w:top w:w="28" w:type="dxa"/>
          <w:left w:w="28" w:type="dxa"/>
          <w:bottom w:w="28" w:type="dxa"/>
          <w:right w:w="28" w:type="dxa"/>
        </w:tblCellMar>
      </w:tblPr>
      <w:tblGrid>
        <w:gridCol w:w="766"/>
        <w:gridCol w:w="577"/>
        <w:gridCol w:w="578"/>
        <w:gridCol w:w="132"/>
        <w:gridCol w:w="132"/>
        <w:gridCol w:w="132"/>
        <w:gridCol w:w="259"/>
        <w:gridCol w:w="240"/>
        <w:gridCol w:w="121"/>
        <w:gridCol w:w="121"/>
        <w:gridCol w:w="121"/>
        <w:gridCol w:w="121"/>
        <w:gridCol w:w="132"/>
        <w:gridCol w:w="132"/>
        <w:gridCol w:w="132"/>
        <w:gridCol w:w="259"/>
        <w:gridCol w:w="240"/>
        <w:gridCol w:w="121"/>
        <w:gridCol w:w="121"/>
        <w:gridCol w:w="121"/>
        <w:gridCol w:w="121"/>
        <w:gridCol w:w="127"/>
        <w:gridCol w:w="127"/>
        <w:gridCol w:w="127"/>
        <w:gridCol w:w="249"/>
        <w:gridCol w:w="250"/>
        <w:gridCol w:w="127"/>
        <w:gridCol w:w="126"/>
        <w:gridCol w:w="121"/>
        <w:gridCol w:w="121"/>
        <w:gridCol w:w="127"/>
        <w:gridCol w:w="127"/>
        <w:gridCol w:w="127"/>
        <w:gridCol w:w="249"/>
        <w:gridCol w:w="250"/>
        <w:gridCol w:w="127"/>
        <w:gridCol w:w="126"/>
        <w:gridCol w:w="121"/>
        <w:gridCol w:w="121"/>
        <w:gridCol w:w="808"/>
        <w:gridCol w:w="808"/>
        <w:gridCol w:w="1160"/>
      </w:tblGrid>
      <w:tr>
        <w:trPr/>
        <w:tc>
          <w:tcPr>
            <w:tcW w:w="76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27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c>
          <w:tcPr>
            <w:tcW w:w="27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Condensed Consolidated Statements of Operations line item</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w:t>
            </w:r>
          </w:p>
        </w:tc>
        <w:tc>
          <w:tcPr>
            <w:tcW w:w="27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27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Employee benefit plans:</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net actuarial loss</w:t>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prior service (credit) loss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Less: Tax effect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w:t>
            </w:r>
          </w:p>
        </w:tc>
        <w:tc>
          <w:tcPr>
            <w:tcW w:w="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 for income taxes</w:t>
            </w:r>
          </w:p>
        </w:tc>
      </w:tr>
      <w:tr>
        <w:trPr/>
        <w:tc>
          <w:tcPr>
            <w:tcW w:w="19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cost, net of tax</w:t>
            </w:r>
          </w:p>
        </w:tc>
        <w:tc>
          <w:tcPr>
            <w:tcW w:w="39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9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0.2</w:t>
            </w:r>
            <w:r>
              <w:rPr>
                <w:color w:val="000000"/>
              </w:rPr>
              <w:t>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9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0.1</w:t>
            </w:r>
            <w:r>
              <w:rPr>
                <w:color w:val="000000"/>
              </w:rPr>
              <w:t>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9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0.7</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0.5</w:t>
            </w:r>
          </w:p>
        </w:tc>
        <w:tc>
          <w:tcPr>
            <w:tcW w:w="36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8"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16.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pStyle w:val="TextBody"/>
        <w:bidi w:val="0"/>
        <w:spacing w:lineRule="auto" w:line="288" w:before="0" w:after="0"/>
        <w:ind w:left="0" w:right="0" w:firstLine="9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Level 1</w:t>
      </w:r>
      <w:r>
        <w:rPr>
          <w:color w:val="000000"/>
        </w:rPr>
        <w:t xml:space="preserve"> </w:t>
      </w:r>
      <w:r>
        <w:rPr>
          <w:rFonts w:ascii="Museo Sans 300;sans-serif" w:hAnsi="Museo Sans 300;sans-serif"/>
          <w:b w:val="false"/>
          <w:color w:val="000000"/>
          <w:sz w:val="20"/>
        </w:rPr>
        <w:t>Unadjusted quoted prices in active markets for identical assets or liabilities at the measurement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 xml:space="preserve">Level 2 </w:t>
      </w:r>
      <w:r>
        <w:rPr>
          <w:rFonts w:ascii="Museo Sans 300;sans-serif" w:hAnsi="Museo Sans 300;sans-serif"/>
          <w:b w:val="false"/>
          <w:color w:val="000000"/>
          <w:sz w:val="20"/>
        </w:rPr>
        <w:t>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Level 3</w:t>
      </w:r>
      <w:r>
        <w:rPr>
          <w:color w:val="000000"/>
        </w:rPr>
        <w:t xml:space="preserve"> </w:t>
      </w:r>
      <w:r>
        <w:rPr>
          <w:rFonts w:ascii="Museo Sans 300;sans-serif" w:hAnsi="Museo Sans 300;sans-serif"/>
          <w:b w:val="false"/>
          <w:color w:val="000000"/>
          <w:sz w:val="20"/>
        </w:rPr>
        <w:t>Unobservable inputs in which there is little or no market data available, which are significant to the fair value measurement and require the Company to develop its own assumptions.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and long term debt. The fair value of the Company's debt, including film related obligations, approximates the carrying value for all periods presented. The fair values of foreign currency forward contracts, used by the Company to manage the impact of foreign exchange rate changes, are based on quotations from financial institutions, a Level 2 fair value measure.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Non-financial assets for which the Company employs fair value measures on a non-recurring basis include:</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Long-lived assets, including held for sale</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Operating lease right-of-use (ROU)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Investments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Assets and liabilities acquired in a business combination</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20"/>
        </w:rPr>
        <w:t>Impairment assessment of goodwill and other intangible assets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Level 2 and Level 3 inputs are employed by the Company in the fair value measurement of these assets. For the fair value measurements employed by the Company for certain capitalized costs related to cloud computing arrangements, prepublication costs, investment in film and television assets and other production costs, the Company assessed future expected cash flows attributable to these assets, a Level 3 fair value measure. See Note 5, "Asset Write Down", for a more detailed description of the assets impaired during fiscal 2026. See Note 11, "Investments", for a more detailed description of the fair value measurements employed. See Note 9, "Acquisitions", for a more detailed description of the assets acquired and fair value measurements employed related to the 9 Story acquisition in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26</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17. INCOME TAXES AND OTHER TAXES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Income Taxes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interim effective tax rate, inclusive of discrete items, for the three and nine month periods ended February 28, 2026 was 31.9% and 33.1%, respectively, compared to 87.3% and 65.5%, respectively, for the prior fiscal year period. The interim effective tax rate for the nine months ended February 28, 2026 varies from the statutory rate primarily due to non-deductible compensation for covered executive employees and expected state and local income tax.</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including its domestic subsidiaries, files a consolidated U.S. income tax return, and also files tax returns in various states and other local jurisdictions. Also, certain subsidiaries of the Company file income tax returns in foreign jurisdictions. The Company is routinely audited by various tax authorities. The fiscal 2021 through 2025 tax years remain subject to audit.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Organization for Economic Co-operation and Development (OECD) has issued Pillar Two model rules introducing a new global minimum tax of 15% on foreign profits of large multinational corporations intended to be effective in 2024. The United States has not yet adopted Pillar Two rules, however, many countries and jurisdictions have agreed to the proposal by the OECD. As part of the Company's ongoing assessment of the OECD's Pillar Two global minimum tax framework, a comprehensive review was conducted of the Company's global tax position to evaluate the potential impact on its effective tax rate. Based on this analysis, the Company determined the impact of Pillar Two to be immaterial to its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On July 4, 2025, the One Big Beautiful Bill Act (“OBBBA”) was enacted in the U.S. Key corporate tax provisions of OBBBA include elective tax measures for the restoration of 100% bonus depreciation and immediate expensing of domestic research and experimental (R&amp;E) expenditures. Other tax measures include modifications to Section 163(j) interest expense limitations, updates to the rules governing global intangible low-taxed income (GILTI) and foreign-derived intangible income (FDII), and the expansion of Section 162(m) aggregation requirements. The Company is evaluating the full year impact of OBBBA and, based on its preliminary analysis, does not anticipate a material effect on its consolidated financial statements for the year ending May 31, 2026.</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Non-income Taxes</w:t>
      </w:r>
    </w:p>
    <w:p>
      <w:pPr>
        <w:pStyle w:val="TextBody"/>
        <w:bidi w:val="0"/>
        <w:spacing w:lineRule="auto" w:line="288" w:before="0" w:after="0"/>
        <w:jc w:val="both"/>
        <w:rPr>
          <w:color w:val="2D2D2D"/>
        </w:rPr>
      </w:pPr>
      <w:r>
        <w:rPr>
          <w:color w:val="2D2D2D"/>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is subject to tax examinations for sales-based taxes. A number of these examinations are ongoing and, in certain cases, have resulted in assessments from taxing authorities. The Company assesses sales tax contingencies for each jurisdiction in which it operates, considering all relevant facts including statutes, regulations, case law and experience. Where a sales tax liability with respect to a jurisdiction is probable and can be reliably estimated for such jurisdiction, the Company has made accruals for these matters which are reflected in the Company’s Condensed Consolidated Financial Statements. These amounts are included in Selling, general and administrative expenses. Future developments relating to the foregoing could result in adjustments being made to these accruals.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27</w:t>
                      </w:r>
                    </w:p>
                  </w:txbxContent>
                </v:textbox>
                <w10:wrap type="none"/>
              </v:rect>
            </w:pict>
          </mc:Fallback>
        </mc:AlternateContent>
      </w:r>
    </w:p>
    <w:tbl>
      <w:tblPr>
        <w:tblW w:w="8895" w:type="dxa"/>
        <w:jc w:val="left"/>
        <w:tblInd w:w="0" w:type="dxa"/>
        <w:tblLayout w:type="fixed"/>
        <w:tblCellMar>
          <w:top w:w="28" w:type="dxa"/>
          <w:left w:w="28" w:type="dxa"/>
          <w:bottom w:w="28" w:type="dxa"/>
          <w:right w:w="28" w:type="dxa"/>
        </w:tblCellMar>
      </w:tblPr>
      <w:tblGrid>
        <w:gridCol w:w="2846"/>
        <w:gridCol w:w="2502"/>
        <w:gridCol w:w="3547"/>
      </w:tblGrid>
      <w:tr>
        <w:trPr/>
        <w:tc>
          <w:tcPr>
            <w:tcW w:w="28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NOTES TO CONDENSED CONSOLIDATED FINANCIAL STATEMENTS – UNAUDITED</w:t>
              <w:br/>
              <w:t>(Dollar amounts in millions, except per share data)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18. DERIVATIVES AND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marks-to-market these instruments and records the changes in the fair value of these items in Selling, general and administrative expenses and recognizes the unrealized gain or loss in Other current assets or Other current liabilities. The notional values of the contracts were $21.3 and $22.8 as of February 28, 2026 and February 28, 2025, respectively. A net unrealized loss of $0.6 and a net unrealized gain of $0.9 was recognized for the nine months ended February 28, 2026 and February 28,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19. OTHER ACCRUED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Other accrued expenses consisted of the following as of the dates indicated: </w:t>
      </w:r>
    </w:p>
    <w:tbl>
      <w:tblPr>
        <w:tblW w:w="10205" w:type="dxa"/>
        <w:jc w:val="left"/>
        <w:tblInd w:w="0" w:type="dxa"/>
        <w:tblLayout w:type="fixed"/>
        <w:tblCellMar>
          <w:top w:w="28" w:type="dxa"/>
          <w:left w:w="28" w:type="dxa"/>
          <w:bottom w:w="28" w:type="dxa"/>
          <w:right w:w="28" w:type="dxa"/>
        </w:tblCellMar>
      </w:tblPr>
      <w:tblGrid>
        <w:gridCol w:w="1418"/>
        <w:gridCol w:w="1235"/>
        <w:gridCol w:w="1243"/>
        <w:gridCol w:w="212"/>
        <w:gridCol w:w="212"/>
        <w:gridCol w:w="212"/>
        <w:gridCol w:w="360"/>
        <w:gridCol w:w="361"/>
        <w:gridCol w:w="212"/>
        <w:gridCol w:w="212"/>
        <w:gridCol w:w="212"/>
        <w:gridCol w:w="214"/>
        <w:gridCol w:w="158"/>
        <w:gridCol w:w="158"/>
        <w:gridCol w:w="158"/>
        <w:gridCol w:w="360"/>
        <w:gridCol w:w="361"/>
        <w:gridCol w:w="158"/>
        <w:gridCol w:w="158"/>
        <w:gridCol w:w="158"/>
        <w:gridCol w:w="158"/>
        <w:gridCol w:w="206"/>
        <w:gridCol w:w="206"/>
        <w:gridCol w:w="206"/>
        <w:gridCol w:w="360"/>
        <w:gridCol w:w="361"/>
        <w:gridCol w:w="206"/>
        <w:gridCol w:w="206"/>
        <w:gridCol w:w="206"/>
        <w:gridCol w:w="318"/>
      </w:tblGrid>
      <w:tr>
        <w:trPr/>
        <w:tc>
          <w:tcPr>
            <w:tcW w:w="141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1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3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Accrued payroll, payroll taxes and benefits</w:t>
            </w:r>
          </w:p>
        </w:tc>
        <w:tc>
          <w:tcPr>
            <w:tcW w:w="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Accrued bonus and commissions</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Returns liability</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Accrued other taxes</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Accrued advertising and promotions</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accrued expenses</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accrued expenses</w:t>
            </w:r>
          </w:p>
        </w:tc>
        <w:tc>
          <w:tcPr>
            <w:tcW w:w="6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144.0</w:t>
            </w:r>
            <w:r>
              <w:rPr>
                <w:color w:val="000000"/>
              </w:rPr>
              <w:t> </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166.2</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140.2</w:t>
            </w:r>
            <w:r>
              <w:rPr>
                <w:color w:val="000000"/>
              </w:rPr>
              <w:t>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20. SUBSEQUENT EVENTS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On March 18, 2026, the Board declared a quarterly cash dividend of $0.20 per share on the Company’s Class A and Common Stock for the fourth quarter of fiscal 2026. The dividend is payable on June 15, 2026 to shareholders of record as of the close of business on April 30,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On March 18, 2026, the Board also authorized an increase of $297.0 for Common share repurchases under the Company's share buy-back program, resulting in a current Board authorization of $300.0, which includes $19.5 remaining from the previous Board authorization, less repurchases of $16.5 made subsequent to February 28, 2026. The increased authorization includes a planned modified Dutch auction tender offer of $200.0 with the remaining $100.0 plus any unutilized portion of the tender offer amount available for open-market and other authorized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Overview and Outlook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Revenues for the third quarter ended February 28, 2026 were $329.1 million, compared to $335.4 million in the prior fiscal year quarter, a decrease of $6.3 million or 2%. The Company reported net income per diluted share of Class A and Common Stock of $2.55 in the third quarter of fiscal 2026, compared to net loss per diluted share of $0.13 in the prior fiscal year quarter.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During the third fiscal quarter, the Company closed on the sale and leaseback transactions related to its headquarters in New York City and distribution center in Jefferson City, which resulted in pre-tax net proceeds of $452.4 million and a pre-tax gain on sale of $118.2 million. The Company used this capital to repay borrowings under its U.S. Credit Agreement and return value to shareholders through open-market share repurchases while continuing to invest in initiatives that support long-term growth.</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Within </w:t>
      </w:r>
      <w:r>
        <w:rPr>
          <w:rFonts w:ascii="Museo Sans 300;sans-serif" w:hAnsi="Museo Sans 300;sans-serif"/>
          <w:b w:val="false"/>
          <w:i/>
          <w:color w:val="000000"/>
          <w:sz w:val="20"/>
        </w:rPr>
        <w:t>Children's Book Publishing and Distribution</w:t>
      </w:r>
      <w:r>
        <w:rPr>
          <w:rFonts w:ascii="Museo Sans 300;sans-serif" w:hAnsi="Museo Sans 300;sans-serif"/>
          <w:b w:val="false"/>
          <w:color w:val="000000"/>
          <w:sz w:val="20"/>
        </w:rPr>
        <w:t xml:space="preserve">, School Reading Events continued to outpace the prior period, driven by higher revenue per fair. Trade channel revenues reflected the shift in timing of the </w:t>
      </w:r>
      <w:r>
        <w:rPr>
          <w:rFonts w:ascii="Museo Sans 300;sans-serif" w:hAnsi="Museo Sans 300;sans-serif"/>
          <w:b w:val="false"/>
          <w:i/>
          <w:color w:val="000000"/>
          <w:sz w:val="20"/>
        </w:rPr>
        <w:t>Dog Man</w:t>
      </w:r>
      <w:r>
        <w:rPr>
          <w:rFonts w:ascii="Museo Sans 300;sans-serif" w:hAnsi="Museo Sans 300;sans-serif"/>
          <w:b w:val="false"/>
          <w:i/>
          <w:color w:val="000000"/>
          <w:sz w:val="13"/>
        </w:rPr>
        <w:t>®</w:t>
      </w:r>
      <w:r>
        <w:rPr>
          <w:color w:val="000000"/>
        </w:rPr>
        <w:t xml:space="preserve"> </w:t>
      </w:r>
      <w:r>
        <w:rPr>
          <w:rFonts w:ascii="Museo Sans 300;sans-serif" w:hAnsi="Museo Sans 300;sans-serif"/>
          <w:b w:val="false"/>
          <w:color w:val="000000"/>
          <w:sz w:val="20"/>
        </w:rPr>
        <w:t xml:space="preserve">publication, with year-to-date results remaining in line with the prior fiscal year period. The trade channel is expected to benefit from new releases in the fourth fiscal quarter including </w:t>
      </w:r>
      <w:r>
        <w:rPr>
          <w:rFonts w:ascii="Museo Sans 300;sans-serif" w:hAnsi="Museo Sans 300;sans-serif"/>
          <w:b w:val="false"/>
          <w:i/>
          <w:color w:val="000000"/>
          <w:sz w:val="20"/>
        </w:rPr>
        <w:t>Wings of Fire #16: The Hybrid Prince</w:t>
      </w:r>
      <w:r>
        <w:rPr>
          <w:rFonts w:ascii="Museo Sans 300;sans-serif" w:hAnsi="Museo Sans 300;sans-serif"/>
          <w:b w:val="false"/>
          <w:color w:val="000000"/>
          <w:sz w:val="20"/>
        </w:rPr>
        <w:t xml:space="preserve">, published in early March, and </w:t>
      </w:r>
      <w:r>
        <w:rPr>
          <w:rFonts w:ascii="Museo Sans 300;sans-serif" w:hAnsi="Museo Sans 300;sans-serif"/>
          <w:b w:val="false"/>
          <w:i/>
          <w:color w:val="000000"/>
          <w:sz w:val="20"/>
        </w:rPr>
        <w:t>Captain Underpants: The First Epic Manga</w:t>
      </w:r>
      <w:r>
        <w:rPr>
          <w:color w:val="000000"/>
        </w:rPr>
        <w:t xml:space="preserve"> </w:t>
      </w:r>
      <w:r>
        <w:rPr>
          <w:rFonts w:ascii="Museo Sans 300;sans-serif" w:hAnsi="Museo Sans 300;sans-serif"/>
          <w:b w:val="false"/>
          <w:color w:val="000000"/>
          <w:sz w:val="20"/>
        </w:rPr>
        <w:t xml:space="preserve">to be published in April. </w:t>
      </w:r>
      <w:r>
        <w:rPr>
          <w:rFonts w:ascii="Museo Sans 300;sans-serif" w:hAnsi="Museo Sans 300;sans-serif"/>
          <w:b w:val="false"/>
          <w:i/>
          <w:color w:val="000000"/>
          <w:sz w:val="20"/>
        </w:rPr>
        <w:t>Education Solutions</w:t>
      </w:r>
      <w:r>
        <w:rPr>
          <w:color w:val="000000"/>
        </w:rPr>
        <w:t xml:space="preserve"> </w:t>
      </w:r>
      <w:r>
        <w:rPr>
          <w:rFonts w:ascii="Museo Sans 300;sans-serif" w:hAnsi="Museo Sans 300;sans-serif"/>
          <w:b w:val="false"/>
          <w:color w:val="000000"/>
          <w:sz w:val="20"/>
        </w:rPr>
        <w:t xml:space="preserve">continued to be impacted by the challenging funding market for schools and districts, however, the segment benefited from its lower cost structure which resulted in improved profitability in the third fiscal quarter.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segment continued to expand its pipeline of media development and production and remains well-positioned for growth as industry greenlight activity improves. </w:t>
      </w: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 xml:space="preserve">results reflected the expected impact of the </w:t>
      </w:r>
      <w:r>
        <w:rPr>
          <w:rFonts w:ascii="Museo Sans 300;sans-serif" w:hAnsi="Museo Sans 300;sans-serif"/>
          <w:b w:val="false"/>
          <w:i/>
          <w:color w:val="000000"/>
          <w:sz w:val="20"/>
        </w:rPr>
        <w:t>Dog Man</w:t>
      </w:r>
      <w:r>
        <w:rPr>
          <w:color w:val="000000"/>
        </w:rPr>
        <w:t xml:space="preserve"> </w:t>
      </w:r>
      <w:r>
        <w:rPr>
          <w:rFonts w:ascii="Museo Sans 300;sans-serif" w:hAnsi="Museo Sans 300;sans-serif"/>
          <w:b w:val="false"/>
          <w:color w:val="000000"/>
          <w:sz w:val="20"/>
        </w:rPr>
        <w:t>publication timing in the Major Markets and the continued benefit of operational efficiencies. The Company remains focused on growth and margin improvement in its international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Revenues for the quarter ended February 28, 2026 decreased by $6.3 million to $329.1 million, compared to $335.4 million in the prior fiscal year quarter. Within the </w:t>
      </w:r>
      <w:r>
        <w:rPr>
          <w:rFonts w:ascii="Museo Sans 300;sans-serif" w:hAnsi="Museo Sans 300;sans-serif"/>
          <w:b w:val="false"/>
          <w:i/>
          <w:color w:val="000000"/>
          <w:sz w:val="20"/>
        </w:rPr>
        <w:t xml:space="preserve">Children's Book Publishing and Distribution </w:t>
      </w:r>
      <w:r>
        <w:rPr>
          <w:rFonts w:ascii="Museo Sans 300;sans-serif" w:hAnsi="Museo Sans 300;sans-serif"/>
          <w:b w:val="false"/>
          <w:color w:val="000000"/>
          <w:sz w:val="20"/>
        </w:rPr>
        <w:t xml:space="preserve">segment, revenues decreased by $5.7 million, driven by lower trade channel revenues reflecting the shift in timing of the </w:t>
      </w:r>
      <w:r>
        <w:rPr>
          <w:rFonts w:ascii="Museo Sans 300;sans-serif" w:hAnsi="Museo Sans 300;sans-serif"/>
          <w:b w:val="false"/>
          <w:i/>
          <w:color w:val="000000"/>
          <w:sz w:val="20"/>
        </w:rPr>
        <w:t xml:space="preserve">Dog Man </w:t>
      </w:r>
      <w:r>
        <w:rPr>
          <w:rFonts w:ascii="Museo Sans 300;sans-serif" w:hAnsi="Museo Sans 300;sans-serif"/>
          <w:b w:val="false"/>
          <w:color w:val="000000"/>
          <w:sz w:val="20"/>
        </w:rPr>
        <w:t xml:space="preserve">publication which occurred in the second fiscal quarter compared to the third fiscal quarter in the prior year, partially offset by increased revenues from School Reading Events as a result of higher revenue per fair. In the </w:t>
      </w:r>
      <w:r>
        <w:rPr>
          <w:rFonts w:ascii="Museo Sans 300;sans-serif" w:hAnsi="Museo Sans 300;sans-serif"/>
          <w:b w:val="false"/>
          <w:i/>
          <w:color w:val="000000"/>
          <w:sz w:val="20"/>
        </w:rPr>
        <w:t>Education Solutions</w:t>
      </w:r>
      <w:r>
        <w:rPr>
          <w:color w:val="000000"/>
        </w:rPr>
        <w:t xml:space="preserve"> </w:t>
      </w:r>
      <w:r>
        <w:rPr>
          <w:rFonts w:ascii="Museo Sans 300;sans-serif" w:hAnsi="Museo Sans 300;sans-serif"/>
          <w:b w:val="false"/>
          <w:color w:val="000000"/>
          <w:sz w:val="20"/>
        </w:rPr>
        <w:t xml:space="preserve">segment, revenues decreased by $1.1 million, primarily driven by lower sales of supplemental curriculum products and lower subscription revenues from Magazines+, partially offset by increased revenues from sponsored programs. 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segment, revenues increased by $3.2 million, reflecting higher production revenues from episodic deliveries and services. In local currency, </w:t>
      </w: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 xml:space="preserve">segment revenues decreased by $4.1 million, primarily driven by lower trade channel sales in the U.K.and Canada due, in part, to the timing shift of the </w:t>
      </w:r>
      <w:r>
        <w:rPr>
          <w:rFonts w:ascii="Museo Sans 300;sans-serif" w:hAnsi="Museo Sans 300;sans-serif"/>
          <w:b w:val="false"/>
          <w:i/>
          <w:color w:val="000000"/>
          <w:sz w:val="20"/>
        </w:rPr>
        <w:t>Dog Man</w:t>
      </w:r>
      <w:r>
        <w:rPr>
          <w:color w:val="000000"/>
        </w:rPr>
        <w:t xml:space="preserve"> </w:t>
      </w:r>
      <w:r>
        <w:rPr>
          <w:rFonts w:ascii="Museo Sans 300;sans-serif" w:hAnsi="Museo Sans 300;sans-serif"/>
          <w:b w:val="false"/>
          <w:color w:val="000000"/>
          <w:sz w:val="20"/>
        </w:rPr>
        <w:t xml:space="preserve">publication, coupled with lower education sales in New Zealand. </w:t>
      </w: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segment revenues were impacted by favorable foreign exchange of $3.5 million in the quarter ended February 28, 2026. In addition, rental income decreased $2.1 million from the prior fiscal year quarter as a result of the sale and leaseback of the Company's headquarters in New York City as the Company no longer owns the leasable space.</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Revenues for the nine months ended February 28, 2026 decreased by $11.4 million to $1,105.8 million, compared to $1,117.2 million in the prior fiscal year period. Revenues in the </w:t>
      </w:r>
      <w:r>
        <w:rPr>
          <w:rFonts w:ascii="Museo Sans 300;sans-serif" w:hAnsi="Museo Sans 300;sans-serif"/>
          <w:b w:val="false"/>
          <w:i/>
          <w:color w:val="000000"/>
          <w:sz w:val="20"/>
        </w:rPr>
        <w:t xml:space="preserve">Children's Book Publishing and Distribution </w:t>
      </w:r>
      <w:r>
        <w:rPr>
          <w:rFonts w:ascii="Museo Sans 300;sans-serif" w:hAnsi="Museo Sans 300;sans-serif"/>
          <w:b w:val="false"/>
          <w:color w:val="000000"/>
          <w:sz w:val="20"/>
        </w:rPr>
        <w:t xml:space="preserve">segment increased by $12.2 million, driven by increased revenues from School Reading Events as a result of higher fair count and increased revenue per fair as well as increased redemptions of book fair incentive program credits. In the </w:t>
      </w:r>
      <w:r>
        <w:rPr>
          <w:rFonts w:ascii="Museo Sans 300;sans-serif" w:hAnsi="Museo Sans 300;sans-serif"/>
          <w:b w:val="false"/>
          <w:i/>
          <w:color w:val="000000"/>
          <w:sz w:val="20"/>
        </w:rPr>
        <w:t xml:space="preserve">Education Solutions </w:t>
      </w:r>
      <w:r>
        <w:rPr>
          <w:rFonts w:ascii="Museo Sans 300;sans-serif" w:hAnsi="Museo Sans 300;sans-serif"/>
          <w:b w:val="false"/>
          <w:color w:val="000000"/>
          <w:sz w:val="20"/>
        </w:rPr>
        <w:t xml:space="preserve">segment, revenues decreased by $25.7 million, primarily due to the continued challenging funding market for schools and school districts which resulted in lower sales of supplemental curriculum products and lower subscription revenues from Magazines+. 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segment, revenues decreased by $1.5 million, primarily reflecting lower production and distribution revenues. In local currency, </w:t>
      </w: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 xml:space="preserve">segment revenues increased by $1.6 million, primarily driven by higher sales in Australia, Asia and the U.K. </w:t>
      </w:r>
      <w:r>
        <w:rPr>
          <w:rFonts w:ascii="Museo Sans 300;sans-serif" w:hAnsi="Museo Sans 300;sans-serif"/>
          <w:b w:val="false"/>
          <w:i/>
          <w:color w:val="000000"/>
          <w:sz w:val="20"/>
        </w:rPr>
        <w:t>International</w:t>
      </w:r>
      <w:r>
        <w:rPr>
          <w:color w:val="000000"/>
        </w:rPr>
        <w:t xml:space="preserve"> </w:t>
      </w:r>
      <w:r>
        <w:rPr>
          <w:rFonts w:ascii="Museo Sans 300;sans-serif" w:hAnsi="Museo Sans 300;sans-serif"/>
          <w:b w:val="false"/>
          <w:color w:val="000000"/>
          <w:sz w:val="20"/>
        </w:rPr>
        <w:t xml:space="preserve">segment revenues were also impacted by favorable foreign exchange of $3.2 million in the period ended February 28, 2026. In addition, rental income decreased $1.2 million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29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prior fiscal year period as a result of the sale and leaseback of the Company's headquarters in New York City as the Company no longer owns the leasable space.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Components of Cost of goods sold for the three and nine months ended February 28, 2026 and February 28, 2025 are as follows:</w:t>
      </w:r>
    </w:p>
    <w:tbl>
      <w:tblPr>
        <w:tblW w:w="11739" w:type="dxa"/>
        <w:jc w:val="left"/>
        <w:tblInd w:w="0" w:type="dxa"/>
        <w:tblLayout w:type="fixed"/>
        <w:tblCellMar>
          <w:top w:w="28" w:type="dxa"/>
          <w:left w:w="28" w:type="dxa"/>
          <w:bottom w:w="28" w:type="dxa"/>
          <w:right w:w="28" w:type="dxa"/>
        </w:tblCellMar>
      </w:tblPr>
      <w:tblGrid>
        <w:gridCol w:w="664"/>
        <w:gridCol w:w="373"/>
        <w:gridCol w:w="374"/>
        <w:gridCol w:w="109"/>
        <w:gridCol w:w="109"/>
        <w:gridCol w:w="109"/>
        <w:gridCol w:w="360"/>
        <w:gridCol w:w="361"/>
        <w:gridCol w:w="109"/>
        <w:gridCol w:w="320"/>
        <w:gridCol w:w="281"/>
        <w:gridCol w:w="563"/>
        <w:gridCol w:w="109"/>
        <w:gridCol w:w="109"/>
        <w:gridCol w:w="109"/>
        <w:gridCol w:w="109"/>
        <w:gridCol w:w="109"/>
        <w:gridCol w:w="109"/>
        <w:gridCol w:w="360"/>
        <w:gridCol w:w="361"/>
        <w:gridCol w:w="109"/>
        <w:gridCol w:w="320"/>
        <w:gridCol w:w="281"/>
        <w:gridCol w:w="563"/>
        <w:gridCol w:w="109"/>
        <w:gridCol w:w="109"/>
        <w:gridCol w:w="109"/>
        <w:gridCol w:w="109"/>
        <w:gridCol w:w="109"/>
        <w:gridCol w:w="109"/>
        <w:gridCol w:w="360"/>
        <w:gridCol w:w="361"/>
        <w:gridCol w:w="109"/>
        <w:gridCol w:w="320"/>
        <w:gridCol w:w="281"/>
        <w:gridCol w:w="563"/>
        <w:gridCol w:w="109"/>
        <w:gridCol w:w="109"/>
        <w:gridCol w:w="109"/>
        <w:gridCol w:w="109"/>
        <w:gridCol w:w="109"/>
        <w:gridCol w:w="109"/>
        <w:gridCol w:w="360"/>
        <w:gridCol w:w="361"/>
        <w:gridCol w:w="109"/>
        <w:gridCol w:w="302"/>
        <w:gridCol w:w="299"/>
        <w:gridCol w:w="626"/>
      </w:tblGrid>
      <w:tr>
        <w:trPr/>
        <w:tc>
          <w:tcPr>
            <w:tcW w:w="6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February 28, 2025</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5359" w:type="dxa"/>
            <w:gridSpan w:val="24"/>
            <w:tcBorders/>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8"/>
              </w:rPr>
            </w:pPr>
            <w:r>
              <w:rPr>
                <w:rFonts w:ascii="Museo Sans 300;sans-serif" w:hAnsi="Museo Sans 300;sans-serif"/>
                <w:b w:val="false"/>
                <w:i/>
                <w:color w:val="000000"/>
                <w:sz w:val="18"/>
              </w:rPr>
              <w:t>($ amounts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 of Revenue</w:t>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Product, service and production costs and inventory reserves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24.8 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25.7 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26.3 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Royalty and participation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Prepublication and production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Postage, freight, shipping, fulfillment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10.1 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9.4 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150.3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45.7</w:t>
            </w:r>
            <w:r>
              <w:rPr>
                <w:color w:val="000000"/>
              </w:rPr>
              <w:t> </w:t>
            </w:r>
          </w:p>
        </w:tc>
        <w:tc>
          <w:tcPr>
            <w:tcW w:w="5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154.6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46.1</w:t>
            </w:r>
            <w:r>
              <w:rPr>
                <w:color w:val="000000"/>
              </w:rPr>
              <w:t> </w:t>
            </w:r>
          </w:p>
        </w:tc>
        <w:tc>
          <w:tcPr>
            <w:tcW w:w="5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499.4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45.2</w:t>
            </w:r>
            <w:r>
              <w:rPr>
                <w:color w:val="000000"/>
              </w:rPr>
              <w:t> </w:t>
            </w:r>
          </w:p>
        </w:tc>
        <w:tc>
          <w:tcPr>
            <w:tcW w:w="5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511.5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45.8</w:t>
            </w:r>
            <w:r>
              <w:rPr>
                <w:color w:val="000000"/>
              </w:rPr>
              <w:t> </w:t>
            </w:r>
          </w:p>
        </w:tc>
        <w:tc>
          <w:tcPr>
            <w:tcW w:w="6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bl>
    <w:p>
      <w:pPr>
        <w:pStyle w:val="TextBody"/>
        <w:bidi w:val="0"/>
        <w:spacing w:before="0" w:after="0"/>
        <w:jc w:val="left"/>
        <w:rPr/>
      </w:pPr>
      <w:r>
        <w:rPr/>
      </w:r>
    </w:p>
    <w:p>
      <w:pPr>
        <w:pStyle w:val="TextBody"/>
        <w:bidi w:val="0"/>
        <w:spacing w:lineRule="auto" w:line="288" w:before="34" w:after="283"/>
        <w:jc w:val="left"/>
        <w:rPr/>
      </w:pPr>
      <w:r>
        <w:rPr>
          <w:rFonts w:ascii="Museo Sans 300;sans-serif" w:hAnsi="Museo Sans 300;sans-serif"/>
          <w:b w:val="false"/>
          <w:color w:val="000000"/>
          <w:sz w:val="20"/>
        </w:rPr>
        <w:t xml:space="preserve">Cost of goods sold for the quarter ended February 28, 2026 was $150.3 million, or 45.7% of revenues, compared to $154.6 million, or 46.1% of revenues, in the prior fiscal year quarter. The decrease in Cost of Goods sold as a percentage of revenues was primarily driven by improved utilization of inventory in the U.S. book fairs channel which resulted in less excess and obsolete inventory, in addition to lower freight costs in the Company's international Major Markets. Royalty costs were also lower as a result of a decrease in the mix of higher-royalty bearing titles sold in the U.S. trade channel in the quarter ended February 28, 2026, partially offset by higher sales of royalty-bearing titles in Australia. This was partially offset by increased tariff charges, primarily in the U.S. book fairs channel, coupled with increased production costs from higher production services revenue in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and higher shipping and postage costs related to sponsored programs in </w:t>
      </w:r>
      <w:r>
        <w:rPr>
          <w:rFonts w:ascii="Museo Sans 300;sans-serif" w:hAnsi="Museo Sans 300;sans-serif"/>
          <w:b w:val="false"/>
          <w:i/>
          <w:color w:val="000000"/>
          <w:sz w:val="20"/>
        </w:rPr>
        <w:t>Education Solutions</w:t>
      </w:r>
      <w:r>
        <w:rPr>
          <w:rFonts w:ascii="Museo Sans 300;sans-serif" w:hAnsi="Museo Sans 300;sans-serif"/>
          <w:b w:val="false"/>
          <w:color w:val="000000"/>
          <w:sz w:val="20"/>
        </w:rPr>
        <w:t>.</w:t>
      </w:r>
    </w:p>
    <w:p>
      <w:pPr>
        <w:pStyle w:val="TextBody"/>
        <w:bidi w:val="0"/>
        <w:spacing w:before="34" w:after="283"/>
        <w:jc w:val="left"/>
        <w:rPr/>
      </w:pPr>
      <w:r>
        <w:rPr/>
      </w:r>
    </w:p>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nine months ended February 28, 2026 was $499.4 million, or 45.2% of revenues, compared to $511.5 million, or 45.8% of revenues, in the prior fiscal year period. The decrease in Cost of goods sold as a percentage of revenues was primarily driven by improved utilization of inventory in the U.S. book fairs and book clubs channels which resulted in less excess and obsolete inventory, in addition to lower freight costs in the Company's international Major Markets. This was partially offset by increased tariff charges, primarily in the U.S. book fairs channel. The Company is evaluating the potential impact of a recent U.S. Supreme Court ruling pertaining to tariffs previously paid on imported products under the International Emergency Economic Powers Act (IEEPA). The Company estimates that approximately $9 million of its tariff payments are subject to this ruling, however, no amounts have been recognized to date. The ultimate timing and amount of any refund remain uncertain.</w:t>
      </w:r>
    </w:p>
    <w:p>
      <w:pPr>
        <w:pStyle w:val="TextBody"/>
        <w:bidi w:val="0"/>
        <w:spacing w:before="0" w:after="0"/>
        <w:jc w:val="left"/>
        <w:rPr/>
      </w:pPr>
      <w:r>
        <w:rPr/>
      </w:r>
    </w:p>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Selling, general and administrative expenses for the quarter ended February 28, 2026 increased to $192.8 million, compared to $187.5 million in the prior fiscal year quarter. The $5.3 million increase was primarily attributable to higher rent expense as a result of the sale and leaseback of the Company's headquarters in New York City, partially offset by lower severance expense of $0.6 million in the quarter ended February 28, 2026 related to cost-saving initiatives.</w:t>
      </w:r>
    </w:p>
    <w:p>
      <w:pPr>
        <w:pStyle w:val="TextBody"/>
        <w:bidi w:val="0"/>
        <w:spacing w:before="34" w:after="283"/>
        <w:jc w:val="left"/>
        <w:rPr/>
      </w:pPr>
      <w:r>
        <w:rPr/>
      </w:r>
    </w:p>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Selling, general and administrative expenses for the nine months ended February 28, 2026 decreased to $587.5 million, compared to $594.5 million in the prior fiscal year period. The $7.0 million decrease was primarily attributable to lower employee-related and external labor costs resulting from the Company's previous reorganization efforts and cost-saving initiatives and lower spending on general overhead expenses. This was partially offset by increased severance expense related to cost-saving initiatives of $5.7 million in the period ended February 28, 2026 and higher rent expense as a result of the sale and leaseback of the Company's headquarters in New York City.</w:t>
      </w:r>
    </w:p>
    <w:p>
      <w:pPr>
        <w:pStyle w:val="TextBody"/>
        <w:bidi w:val="0"/>
        <w:spacing w:before="34" w:after="283"/>
        <w:jc w:val="left"/>
        <w:rPr/>
      </w:pPr>
      <w:r>
        <w:rPr/>
      </w:r>
    </w:p>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Depreciation and amortization expense for the quarter ended February 28, 2026 decreased by $4.0 million to $12.9 million, compared to $16.9 million in the prior fiscal year quarter. Depreciation and amortization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 Item 2. Management’s Discussion and Analysis of Financial Condition and Results of Operations (“MD&amp;A”)</w:t>
            </w:r>
          </w:p>
        </w:tc>
      </w:tr>
    </w:tbl>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for the nine months ended February 28, 2026 decreased by $2.8 million to $45.7 million, compared to $48.5 million in the prior fiscal year period. The decrease in Depreciation and amortization expense was primarily attributable to the sale of the Company's headquarters in New York City and distribution center in Jefferson City.</w:t>
      </w:r>
    </w:p>
    <w:p>
      <w:pPr>
        <w:pStyle w:val="TextBody"/>
        <w:bidi w:val="0"/>
        <w:spacing w:before="34" w:after="283"/>
        <w:jc w:val="left"/>
        <w:rPr/>
      </w:pPr>
      <w:r>
        <w:rPr/>
      </w:r>
    </w:p>
    <w:p>
      <w:pPr>
        <w:pStyle w:val="TextBody"/>
        <w:bidi w:val="0"/>
        <w:spacing w:lineRule="auto" w:line="288" w:before="34" w:after="283"/>
        <w:jc w:val="left"/>
        <w:rPr/>
      </w:pPr>
      <w:r>
        <w:rPr>
          <w:rFonts w:ascii="Museo Sans 300;sans-serif" w:hAnsi="Museo Sans 300;sans-serif"/>
          <w:b w:val="false"/>
          <w:color w:val="000000"/>
          <w:sz w:val="20"/>
        </w:rPr>
        <w:t xml:space="preserve">Asset impairments for the nine months ended February 28, 2026 were $9.4 million. The Company recognized asset impairments of $3.4 million related to certain products within the </w:t>
      </w:r>
      <w:r>
        <w:rPr>
          <w:rFonts w:ascii="Museo Sans 300;sans-serif" w:hAnsi="Museo Sans 300;sans-serif"/>
          <w:b w:val="false"/>
          <w:i/>
          <w:color w:val="000000"/>
          <w:sz w:val="20"/>
        </w:rPr>
        <w:t xml:space="preserve">Education Solutions </w:t>
      </w:r>
      <w:r>
        <w:rPr>
          <w:rFonts w:ascii="Museo Sans 300;sans-serif" w:hAnsi="Museo Sans 300;sans-serif"/>
          <w:b w:val="false"/>
          <w:color w:val="000000"/>
          <w:sz w:val="20"/>
        </w:rPr>
        <w:t xml:space="preserve">segment, $5.2 million primarily related to certain film and television programs in development within the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 xml:space="preserve">segment and $0.8 million related to a product that is no longer being sold within the </w:t>
      </w:r>
      <w:r>
        <w:rPr>
          <w:rFonts w:ascii="Museo Sans 300;sans-serif" w:hAnsi="Museo Sans 300;sans-serif"/>
          <w:b w:val="false"/>
          <w:i/>
          <w:color w:val="000000"/>
          <w:sz w:val="20"/>
        </w:rPr>
        <w:t xml:space="preserve">Children's Book Publishing and Distribution </w:t>
      </w:r>
      <w:r>
        <w:rPr>
          <w:rFonts w:ascii="Museo Sans 300;sans-serif" w:hAnsi="Museo Sans 300;sans-serif"/>
          <w:b w:val="false"/>
          <w:color w:val="000000"/>
          <w:sz w:val="20"/>
        </w:rPr>
        <w:t xml:space="preserve">segment. Asset impairments for the three and nine months ended February 28, 2025 were $0.3 million and $0.4 million, respectively, primarily related to the early exit of leased office space within the </w:t>
      </w:r>
      <w:r>
        <w:rPr>
          <w:rFonts w:ascii="Museo Sans 300;sans-serif" w:hAnsi="Museo Sans 300;sans-serif"/>
          <w:b w:val="false"/>
          <w:i/>
          <w:color w:val="000000"/>
          <w:sz w:val="20"/>
        </w:rPr>
        <w:t xml:space="preserve">Entertainment </w:t>
      </w:r>
      <w:r>
        <w:rPr>
          <w:rFonts w:ascii="Museo Sans 300;sans-serif" w:hAnsi="Museo Sans 300;sans-serif"/>
          <w:b w:val="false"/>
          <w:color w:val="000000"/>
          <w:sz w:val="20"/>
        </w:rPr>
        <w:t>segment.</w:t>
      </w:r>
    </w:p>
    <w:p>
      <w:pPr>
        <w:pStyle w:val="TextBody"/>
        <w:bidi w:val="0"/>
        <w:spacing w:before="0" w:after="0"/>
        <w:jc w:val="left"/>
        <w:rPr/>
      </w:pPr>
      <w:r>
        <w:rPr/>
      </w:r>
    </w:p>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Interest expense for the three and nine months ended February 28, 2026 was $1.9 million and $12.5 million, respectively, compared to $4.7 million and $13.4 million, respectively, in the prior fiscal year periods. The decrease in interest expense was due to repayments of borrowings under the U.S. Credit Agreement during the period ended February 28, 2026.</w:t>
      </w:r>
    </w:p>
    <w:p>
      <w:pPr>
        <w:pStyle w:val="TextBody"/>
        <w:bidi w:val="0"/>
        <w:spacing w:before="34" w:after="283"/>
        <w:jc w:val="left"/>
        <w:rPr/>
      </w:pPr>
      <w:r>
        <w:rPr/>
      </w:r>
    </w:p>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Interest income for the three and nine months ended February 28, 2026 was $1.1 million and $2.2 million, compared to $0.4 million and $1.7 million, respectively, in the prior fiscal year periods. The increase in interest income was attributable to higher average short term investment balances in the period ended February 28, 2026 resulting from the net proceeds received from the sale and leaseback transactions. The Company invests excess cash in short term investments which earn competitive interest rates that change directionally in relation to the Federal Funds rate.</w:t>
      </w:r>
    </w:p>
    <w:p>
      <w:pPr>
        <w:pStyle w:val="TextBody"/>
        <w:bidi w:val="0"/>
        <w:spacing w:before="34" w:after="283"/>
        <w:jc w:val="left"/>
        <w:rPr/>
      </w:pPr>
      <w:r>
        <w:rPr/>
      </w:r>
    </w:p>
    <w:p>
      <w:pPr>
        <w:pStyle w:val="TextBody"/>
        <w:bidi w:val="0"/>
        <w:spacing w:lineRule="auto" w:line="288" w:before="34" w:after="283"/>
        <w:jc w:val="left"/>
        <w:rPr>
          <w:rFonts w:ascii="Museo Sans 300;sans-serif" w:hAnsi="Museo Sans 300;sans-serif"/>
          <w:b w:val="false"/>
          <w:color w:val="000000"/>
          <w:sz w:val="20"/>
        </w:rPr>
      </w:pPr>
      <w:r>
        <w:rPr>
          <w:rFonts w:ascii="Museo Sans 300;sans-serif" w:hAnsi="Museo Sans 300;sans-serif"/>
          <w:b w:val="false"/>
          <w:color w:val="000000"/>
          <w:sz w:val="20"/>
        </w:rPr>
        <w:t>Gain on sale and leaseback transactions for the three and nine months ended February 28, 2026 was $119.8 million and $118.2 million, respectively. During the third quarter of fiscal 2026, the Company completed the sale and leaseback transactions related to its headquarters in New York City and primary distribution center in Jefferson City, Missouri. The Company recognized a pre-tax gain of $118.2 million, which included certain transaction costs of $1.6 million incurred during the second quarter of fiscal 2026.</w:t>
      </w:r>
    </w:p>
    <w:p>
      <w:pPr>
        <w:pStyle w:val="TextBody"/>
        <w:bidi w:val="0"/>
        <w:spacing w:before="34" w:after="283"/>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interim effective tax rate, inclusive of discrete items, for the three and nine months ended February 28, 2026 was 31.9% and 33.1%, respectively, compared to 87.3% and 65.5%, respectively, for the prior fiscal year periods. The interim effective tax rate for the nine months ended February 28, 2026 varies from the statutory rate primarily due to non-deductible compensation for covered executive employees and expected state and local income tax.</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Net income for the quarter ended February 28, 2026 increased by $66.1 million to $62.5 million, compared to a net loss of $3.6 million in the prior fiscal year quarter. Earnings per basic and diluted share of Class A and Common Stock were $2.61 and $2.55, respectively, for the fiscal quarter ended February 28, 2026, compared to a loss per basic and diluted share of $0.13 in the prior fiscal year quarter.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Net income for the nine months ended February 28, 2026 increased by $64.6 million to $47.3 million, compared to a net loss of $17.3 million in the prior fiscal year period. Earnings per basic and diluted share of Class A and Common Stock was $1.91 and $1.87, respectively, for the period ended February 28, 2026, compared to a loss per basic and diluted share of $0.61 in the prior fiscal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Children’s Book Publishing and Distribution </w:t>
      </w:r>
    </w:p>
    <w:tbl>
      <w:tblPr>
        <w:tblW w:w="12428" w:type="dxa"/>
        <w:jc w:val="left"/>
        <w:tblInd w:w="0" w:type="dxa"/>
        <w:tblLayout w:type="fixed"/>
        <w:tblCellMar>
          <w:top w:w="28" w:type="dxa"/>
          <w:left w:w="28" w:type="dxa"/>
          <w:bottom w:w="28" w:type="dxa"/>
          <w:right w:w="28" w:type="dxa"/>
        </w:tblCellMar>
      </w:tblPr>
      <w:tblGrid>
        <w:gridCol w:w="514"/>
        <w:gridCol w:w="373"/>
        <w:gridCol w:w="374"/>
        <w:gridCol w:w="109"/>
        <w:gridCol w:w="109"/>
        <w:gridCol w:w="109"/>
        <w:gridCol w:w="353"/>
        <w:gridCol w:w="353"/>
        <w:gridCol w:w="109"/>
        <w:gridCol w:w="109"/>
        <w:gridCol w:w="109"/>
        <w:gridCol w:w="109"/>
        <w:gridCol w:w="109"/>
        <w:gridCol w:w="109"/>
        <w:gridCol w:w="109"/>
        <w:gridCol w:w="353"/>
        <w:gridCol w:w="353"/>
        <w:gridCol w:w="109"/>
        <w:gridCol w:w="109"/>
        <w:gridCol w:w="109"/>
        <w:gridCol w:w="109"/>
        <w:gridCol w:w="147"/>
        <w:gridCol w:w="147"/>
        <w:gridCol w:w="147"/>
        <w:gridCol w:w="240"/>
        <w:gridCol w:w="241"/>
        <w:gridCol w:w="151"/>
        <w:gridCol w:w="109"/>
        <w:gridCol w:w="109"/>
        <w:gridCol w:w="109"/>
        <w:gridCol w:w="292"/>
        <w:gridCol w:w="294"/>
        <w:gridCol w:w="492"/>
        <w:gridCol w:w="109"/>
        <w:gridCol w:w="109"/>
        <w:gridCol w:w="109"/>
        <w:gridCol w:w="109"/>
        <w:gridCol w:w="109"/>
        <w:gridCol w:w="109"/>
        <w:gridCol w:w="353"/>
        <w:gridCol w:w="353"/>
        <w:gridCol w:w="109"/>
        <w:gridCol w:w="109"/>
        <w:gridCol w:w="109"/>
        <w:gridCol w:w="109"/>
        <w:gridCol w:w="109"/>
        <w:gridCol w:w="109"/>
        <w:gridCol w:w="109"/>
        <w:gridCol w:w="353"/>
        <w:gridCol w:w="353"/>
        <w:gridCol w:w="109"/>
        <w:gridCol w:w="109"/>
        <w:gridCol w:w="109"/>
        <w:gridCol w:w="109"/>
        <w:gridCol w:w="109"/>
        <w:gridCol w:w="109"/>
        <w:gridCol w:w="109"/>
        <w:gridCol w:w="293"/>
        <w:gridCol w:w="293"/>
        <w:gridCol w:w="109"/>
        <w:gridCol w:w="109"/>
        <w:gridCol w:w="109"/>
        <w:gridCol w:w="109"/>
        <w:gridCol w:w="586"/>
        <w:gridCol w:w="551"/>
      </w:tblGrid>
      <w:tr>
        <w:trPr/>
        <w:tc>
          <w:tcPr>
            <w:tcW w:w="51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 February 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 February 28,</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i/>
                <w:color w:val="000000"/>
                <w:sz w:val="18"/>
              </w:rPr>
            </w:pPr>
            <w:r>
              <w:rPr>
                <w:rFonts w:ascii="Museo Sans 300;sans-serif" w:hAnsi="Museo Sans 300;sans-serif"/>
                <w:b w:val="false"/>
                <w:i/>
                <w:color w:val="000000"/>
                <w:sz w:val="18"/>
              </w:rPr>
              <w:t>($ amounts in millions)</w:t>
            </w:r>
          </w:p>
        </w:tc>
        <w:tc>
          <w:tcPr>
            <w:tcW w:w="1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(9.0)</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operating expenses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12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17.1 </w:t>
            </w:r>
          </w:p>
        </w:tc>
        <w:tc>
          <w:tcPr>
            <w:tcW w:w="4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13.0 </w:t>
            </w:r>
          </w:p>
        </w:tc>
        <w:tc>
          <w:tcPr>
            <w:tcW w:w="5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(1) Other operating expenses include selling, general and administrative expenses and depreciation and amortization.</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NM Not meaningful</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Revenues for the quarter ended February 28, 2026 decreased by $5.7 million to $197.6 million, compared to $203.3 million in the prior fiscal year quarter. Trade channel revenues decreased $7.7 million, primarily due to the shift in timing of the </w:t>
      </w:r>
      <w:r>
        <w:rPr>
          <w:rFonts w:ascii="Museo Sans 300;sans-serif" w:hAnsi="Museo Sans 300;sans-serif"/>
          <w:b w:val="false"/>
          <w:i/>
          <w:color w:val="000000"/>
          <w:sz w:val="20"/>
        </w:rPr>
        <w:t xml:space="preserve">Dog Man </w:t>
      </w:r>
      <w:r>
        <w:rPr>
          <w:rFonts w:ascii="Museo Sans 300;sans-serif" w:hAnsi="Museo Sans 300;sans-serif"/>
          <w:b w:val="false"/>
          <w:color w:val="000000"/>
          <w:sz w:val="20"/>
        </w:rPr>
        <w:t>publication which occurred in the second fiscal quarter compared to the third fiscal quarter in the prior year. Revenues from</w:t>
      </w:r>
      <w:r>
        <w:rPr>
          <w:color w:val="000000"/>
        </w:rPr>
        <w:t xml:space="preserve"> </w:t>
      </w:r>
      <w:r>
        <w:rPr>
          <w:rFonts w:ascii="Museo Sans 300;sans-serif" w:hAnsi="Museo Sans 300;sans-serif"/>
          <w:b w:val="false"/>
          <w:color w:val="000000"/>
          <w:sz w:val="20"/>
        </w:rPr>
        <w:t>School Reading Events increased $2.0 million, driven by higher revenue per fair in the book fairs channel. Revenues from the book clubs channel were relatively consistent with the prior fiscal year quarter.</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Revenues for the nine months ended February 28, 2026 increased by $12.2 million to $687.9 million, compared to $675.7 million in the prior fiscal year period. Revenues from School Reading Events increased $12.7 million, driven by higher fair count and increased revenue per fair in the book fairs channel, coupled with increased redemptions of book fair incentive program credits. This was partially offset by lower book clubs channel revenues primarily due to lower sponsor participation. Trade channel revenues were relatively consistent with the prior fiscal year period, decreasing $0.5 million, with continued success in the </w:t>
      </w:r>
      <w:r>
        <w:rPr>
          <w:rFonts w:ascii="Museo Sans 300;sans-serif" w:hAnsi="Museo Sans 300;sans-serif"/>
          <w:b w:val="false"/>
          <w:i/>
          <w:color w:val="000000"/>
          <w:sz w:val="20"/>
        </w:rPr>
        <w:t>Hunger Games</w:t>
      </w:r>
      <w:r>
        <w:rPr>
          <w:rFonts w:ascii="Museo Sans 300;sans-serif" w:hAnsi="Museo Sans 300;sans-serif"/>
          <w:b w:val="false"/>
          <w:i/>
          <w:color w:val="000000"/>
          <w:sz w:val="13"/>
        </w:rPr>
        <w:t>®</w:t>
      </w:r>
      <w:r>
        <w:rPr>
          <w:rFonts w:ascii="Museo Sans 300;sans-serif" w:hAnsi="Museo Sans 300;sans-serif"/>
          <w:b w:val="false"/>
          <w:color w:val="000000"/>
          <w:sz w:val="20"/>
        </w:rPr>
        <w:t xml:space="preserve">, </w:t>
      </w:r>
      <w:r>
        <w:rPr>
          <w:rFonts w:ascii="Museo Sans 300;sans-serif" w:hAnsi="Museo Sans 300;sans-serif"/>
          <w:b w:val="false"/>
          <w:i/>
          <w:color w:val="000000"/>
          <w:sz w:val="20"/>
        </w:rPr>
        <w:t>Harry Potter</w:t>
      </w:r>
      <w:r>
        <w:rPr>
          <w:rFonts w:ascii="Museo Sans 300;sans-serif" w:hAnsi="Museo Sans 300;sans-serif"/>
          <w:b w:val="false"/>
          <w:i/>
          <w:color w:val="000000"/>
          <w:sz w:val="13"/>
        </w:rPr>
        <w:t>®</w:t>
      </w:r>
      <w:r>
        <w:rPr>
          <w:color w:val="000000"/>
        </w:rPr>
        <w:t xml:space="preserve"> </w:t>
      </w:r>
      <w:r>
        <w:rPr>
          <w:rFonts w:ascii="Museo Sans 300;sans-serif" w:hAnsi="Museo Sans 300;sans-serif"/>
          <w:b w:val="false"/>
          <w:color w:val="000000"/>
          <w:sz w:val="20"/>
        </w:rPr>
        <w:t xml:space="preserve">and </w:t>
      </w:r>
      <w:r>
        <w:rPr>
          <w:rFonts w:ascii="Museo Sans 300;sans-serif" w:hAnsi="Museo Sans 300;sans-serif"/>
          <w:b w:val="false"/>
          <w:i/>
          <w:color w:val="000000"/>
          <w:sz w:val="20"/>
        </w:rPr>
        <w:t xml:space="preserve">Dog Man </w:t>
      </w:r>
      <w:r>
        <w:rPr>
          <w:rFonts w:ascii="Museo Sans 300;sans-serif" w:hAnsi="Museo Sans 300;sans-serif"/>
          <w:b w:val="false"/>
          <w:color w:val="000000"/>
          <w:sz w:val="20"/>
        </w:rPr>
        <w:t>franchises.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quarter ended February 28, 2026 was $83.7 million, or 42.4% of revenues, compared to $92.0 million, or 45.3% of revenues, in the prior fiscal year quarter. The decrease in Cost of goods sold as a percentage of revenues was primarily driven by lower royalty costs as a result of a decrease in the mix of higher-royalty bearing titles sold in the trade channel in the quarter ended February 28, 2026, coupled with improved utilization of inventory in the book fairs channel which resulted in less excess and obsolete inventory. This was partially offset by increased tariff charges, primarily in the book fairs channel.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nine months ended February 28, 2026 was $292.4 million, or 42.5% of revenues, compared to $294.2 million, or 43.5% of revenues, in the prior fiscal year period. Cost of goods sold benefited from improved utilization of inventory in the book fairs and book clubs channels resulting in less excess and obsolete inventory, partially offset by increased tariff charges, primarily in the book fairs channel.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Other operating expenses for the quarter ended February 28, 2026 were $105.0 million which were comparable to $103.7 million in the prior fiscal year quarter.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Other operating expenses for the nine months ended February 28, 2026 increased by $3.7 million to $312.1 million, compared to $308.4 million in the prior fiscal year period. The increase in Other operating expenses was primarily attributable to inflationary pressures and higher expected credit losses on customer receivables.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Asset impairments for the nine months ended February 28, 2026 were $0.8 million. During the first quarter of fiscal 2026, the Company recognized an asset impairment of $0.8 million related to a certain product that is no longer being sold. Refer to Note 5, "Asset Write Down," of Notes to the Consolidated Financial Statements in Item 8, "Consolidated Financial Statements and Supplementary Data" for further details.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income for the quarter ended February 28, 2026 increased by $1.3 million to $8.9 million, compared to $7.6 million in the prior fiscal year quarter. The improvement was primarily attributable to favorable cost of goods sold as a result of lower royalty costs in the trade channel, coupled with improved utilization of inventory in the book fairs channel which resulted in less excess and obsolete inventory.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income for the nine months ended February 28, 2026 increased by $9.5 million to $82.6 million, compared to $73.1 million in the prior fiscal year period. The improvement was primarily attributable to increased revenues from the book fairs channel, coupled with favorable cost of goods sold as a result of improved utilization of inventory in the book fairs and book clubs channels resulting in less excess and obsolete inventory.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Education Solutions</w:t>
      </w:r>
    </w:p>
    <w:tbl>
      <w:tblPr>
        <w:tblW w:w="12205" w:type="dxa"/>
        <w:jc w:val="left"/>
        <w:tblInd w:w="0" w:type="dxa"/>
        <w:tblLayout w:type="fixed"/>
        <w:tblCellMar>
          <w:top w:w="28" w:type="dxa"/>
          <w:left w:w="28" w:type="dxa"/>
          <w:bottom w:w="28" w:type="dxa"/>
          <w:right w:w="28" w:type="dxa"/>
        </w:tblCellMar>
      </w:tblPr>
      <w:tblGrid>
        <w:gridCol w:w="514"/>
        <w:gridCol w:w="373"/>
        <w:gridCol w:w="374"/>
        <w:gridCol w:w="109"/>
        <w:gridCol w:w="109"/>
        <w:gridCol w:w="109"/>
        <w:gridCol w:w="293"/>
        <w:gridCol w:w="293"/>
        <w:gridCol w:w="109"/>
        <w:gridCol w:w="109"/>
        <w:gridCol w:w="109"/>
        <w:gridCol w:w="109"/>
        <w:gridCol w:w="109"/>
        <w:gridCol w:w="109"/>
        <w:gridCol w:w="109"/>
        <w:gridCol w:w="293"/>
        <w:gridCol w:w="293"/>
        <w:gridCol w:w="109"/>
        <w:gridCol w:w="109"/>
        <w:gridCol w:w="109"/>
        <w:gridCol w:w="109"/>
        <w:gridCol w:w="147"/>
        <w:gridCol w:w="147"/>
        <w:gridCol w:w="147"/>
        <w:gridCol w:w="240"/>
        <w:gridCol w:w="241"/>
        <w:gridCol w:w="151"/>
        <w:gridCol w:w="109"/>
        <w:gridCol w:w="109"/>
        <w:gridCol w:w="109"/>
        <w:gridCol w:w="292"/>
        <w:gridCol w:w="294"/>
        <w:gridCol w:w="294"/>
        <w:gridCol w:w="118"/>
        <w:gridCol w:w="118"/>
        <w:gridCol w:w="120"/>
        <w:gridCol w:w="109"/>
        <w:gridCol w:w="109"/>
        <w:gridCol w:w="109"/>
        <w:gridCol w:w="353"/>
        <w:gridCol w:w="353"/>
        <w:gridCol w:w="109"/>
        <w:gridCol w:w="109"/>
        <w:gridCol w:w="109"/>
        <w:gridCol w:w="109"/>
        <w:gridCol w:w="109"/>
        <w:gridCol w:w="109"/>
        <w:gridCol w:w="109"/>
        <w:gridCol w:w="353"/>
        <w:gridCol w:w="353"/>
        <w:gridCol w:w="109"/>
        <w:gridCol w:w="109"/>
        <w:gridCol w:w="109"/>
        <w:gridCol w:w="109"/>
        <w:gridCol w:w="147"/>
        <w:gridCol w:w="147"/>
        <w:gridCol w:w="147"/>
        <w:gridCol w:w="300"/>
        <w:gridCol w:w="301"/>
        <w:gridCol w:w="151"/>
        <w:gridCol w:w="109"/>
        <w:gridCol w:w="109"/>
        <w:gridCol w:w="109"/>
        <w:gridCol w:w="601"/>
        <w:gridCol w:w="551"/>
      </w:tblGrid>
      <w:tr>
        <w:trPr/>
        <w:tc>
          <w:tcPr>
            <w:tcW w:w="51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 February 28,</w:t>
            </w:r>
          </w:p>
        </w:tc>
        <w:tc>
          <w:tcPr>
            <w:tcW w:w="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 February 28,</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Museo Sans 700;sans-serif" w:hAnsi="Museo Sans 700;sans-serif"/>
                <w:b/>
                <w:color w:val="000000"/>
                <w:sz w:val="18"/>
              </w:rPr>
              <w:t>%</w:t>
            </w:r>
          </w:p>
        </w:tc>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Museo Sans 700;sans-serif" w:hAnsi="Museo Sans 700;sans-serif"/>
                <w:b/>
                <w:color w:val="000000"/>
                <w:sz w:val="18"/>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8"/>
              </w:rPr>
            </w:pPr>
            <w:r>
              <w:rPr>
                <w:rFonts w:ascii="Museo Sans 300;sans-serif" w:hAnsi="Museo Sans 300;sans-serif"/>
                <w:b w:val="false"/>
                <w:i/>
                <w:color w:val="000000"/>
                <w:sz w:val="18"/>
              </w:rPr>
              <w:t>($ amounts in millions)</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1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1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(14.0)</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operating expenses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(7.3)</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12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24.6 </w:t>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(6.7)</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(27.5)</w:t>
            </w:r>
          </w:p>
        </w:tc>
        <w:tc>
          <w:tcPr>
            <w:tcW w:w="5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(1) Other operating expenses include selling, general and administrative expenses and depreciation and amortization.</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NM Not meaningful</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Revenues for the quarter ended February 28, 2026 decreased by $1.1 million to $56.1 million, compared to $57.2 million in the prior fiscal year quarter. The decrease in segment revenues was primarily driven by lower sales of supplemental curriculum products resulting from the continued challenging funding market for schools and school districts, coupled with lower subscription revenues from Magazines+. This decline was partially offset by increased revenues from sponsored programs in the quarter ended February 28, 2026.</w:t>
      </w:r>
    </w:p>
    <w:p>
      <w:pPr>
        <w:pStyle w:val="TextBody"/>
        <w:bidi w:val="0"/>
        <w:spacing w:lineRule="auto" w:line="26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br/>
        <w:t>Revenues for the nine months ended February 28, 2026 decreased by $25.7 million to $158.4 million, compared to $184.1 million in the prior fiscal year period. The decrease in segment revenues was primarily driven by lower sales of supplemental curriculum products due to the continued challenging funding market for schools and school districts, coupled with lower subscription revenues from Magazines+. Revenues from sponsored programs were relatively consistent with the prior fiscal year period.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quarter ended February 28, 2026 was $23.2 million, or 41.4% of revenues, which was comparable to $23.0 million, or 40.2% of revenues, in the prior fiscal year quarter. Cost of goods sold as a percentage of revenues increased due to higher shipping and postage costs related to sponsored programs.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nine months ended February 28, 2026 was $66.3 million, or 41.9% of revenues, compared to $77.7 million, or 42.2% of revenues, in the prior fiscal year period. Cost of goods sold as a percentage of revenues decreased due to lower product costs associated with the mix of products sold during the period ended February 28, 2026, partially offset by higher shipping and postage costs related to sponsored programs.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Other operating expenses for the quarter ended February 28, 2026 decreased by $3.0 million to $38.1 million, compared to $41.1 million in the prior fiscal year quarter. Other operating expenses for the nine months ended February 28, 2026 decreased by $11.0 million to $119.8 million, compared to $130.8 million in the prior fiscal year period. The decrease in Other operating expenses was primarily attributable to lower employee-related and external labor costs and reduced spending on general overhead expenses.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Asset impairments for the nine months ended February 28, 2026 were $3.4 million. During the second quarter of fiscal 2026, the Company recognized asset impairments of $3.4 million related to certain education products. Refer to Note 5, "Asset Write Down," of Notes to the Consolidated Financial Statements in Item 8, "Consolidated Financial Statements and Supplementary Data" for further details.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loss for the quarter ended February 28, 2026 decreased by $1.7 million to $5.2 million, compared to an operating loss of $6.9 million in the prior fiscal year quarter. The improvement was primarily attributable to lower employee-related and external labor costs as well as reduced spending on general overhead expenses.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loss for the nine months ended February 28, 2026 increased by $6.7 million to $31.1 million, compared to an operating loss of $24.4 million in the prior fiscal year period. The overall decline was driven by lower revenues and the asset impairments recognized during the period ended February 28, 2026, partially offset by lower employee-related and external labor costs as well as reduced spending on general overhead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Entertainment </w:t>
      </w:r>
    </w:p>
    <w:tbl>
      <w:tblPr>
        <w:tblW w:w="12029" w:type="dxa"/>
        <w:jc w:val="left"/>
        <w:tblInd w:w="0" w:type="dxa"/>
        <w:tblLayout w:type="fixed"/>
        <w:tblCellMar>
          <w:top w:w="28" w:type="dxa"/>
          <w:left w:w="28" w:type="dxa"/>
          <w:bottom w:w="28" w:type="dxa"/>
          <w:right w:w="28" w:type="dxa"/>
        </w:tblCellMar>
      </w:tblPr>
      <w:tblGrid>
        <w:gridCol w:w="514"/>
        <w:gridCol w:w="373"/>
        <w:gridCol w:w="374"/>
        <w:gridCol w:w="109"/>
        <w:gridCol w:w="109"/>
        <w:gridCol w:w="109"/>
        <w:gridCol w:w="293"/>
        <w:gridCol w:w="293"/>
        <w:gridCol w:w="109"/>
        <w:gridCol w:w="109"/>
        <w:gridCol w:w="109"/>
        <w:gridCol w:w="109"/>
        <w:gridCol w:w="109"/>
        <w:gridCol w:w="109"/>
        <w:gridCol w:w="109"/>
        <w:gridCol w:w="293"/>
        <w:gridCol w:w="293"/>
        <w:gridCol w:w="109"/>
        <w:gridCol w:w="109"/>
        <w:gridCol w:w="109"/>
        <w:gridCol w:w="109"/>
        <w:gridCol w:w="147"/>
        <w:gridCol w:w="147"/>
        <w:gridCol w:w="147"/>
        <w:gridCol w:w="240"/>
        <w:gridCol w:w="241"/>
        <w:gridCol w:w="151"/>
        <w:gridCol w:w="109"/>
        <w:gridCol w:w="109"/>
        <w:gridCol w:w="109"/>
        <w:gridCol w:w="293"/>
        <w:gridCol w:w="293"/>
        <w:gridCol w:w="492"/>
        <w:gridCol w:w="109"/>
        <w:gridCol w:w="109"/>
        <w:gridCol w:w="109"/>
        <w:gridCol w:w="109"/>
        <w:gridCol w:w="109"/>
        <w:gridCol w:w="109"/>
        <w:gridCol w:w="300"/>
        <w:gridCol w:w="301"/>
        <w:gridCol w:w="109"/>
        <w:gridCol w:w="109"/>
        <w:gridCol w:w="109"/>
        <w:gridCol w:w="109"/>
        <w:gridCol w:w="109"/>
        <w:gridCol w:w="109"/>
        <w:gridCol w:w="109"/>
        <w:gridCol w:w="293"/>
        <w:gridCol w:w="293"/>
        <w:gridCol w:w="109"/>
        <w:gridCol w:w="109"/>
        <w:gridCol w:w="109"/>
        <w:gridCol w:w="109"/>
        <w:gridCol w:w="147"/>
        <w:gridCol w:w="147"/>
        <w:gridCol w:w="147"/>
        <w:gridCol w:w="240"/>
        <w:gridCol w:w="241"/>
        <w:gridCol w:w="151"/>
        <w:gridCol w:w="109"/>
        <w:gridCol w:w="109"/>
        <w:gridCol w:w="109"/>
        <w:gridCol w:w="601"/>
        <w:gridCol w:w="551"/>
      </w:tblGrid>
      <w:tr>
        <w:trPr/>
        <w:tc>
          <w:tcPr>
            <w:tcW w:w="51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6"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 February 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 February 28,</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8"/>
              </w:rPr>
            </w:pPr>
            <w:r>
              <w:rPr>
                <w:rFonts w:ascii="Museo Sans 300;sans-serif" w:hAnsi="Museo Sans 300;sans-serif"/>
                <w:b w:val="false"/>
                <w:i/>
                <w:color w:val="000000"/>
                <w:sz w:val="18"/>
              </w:rPr>
              <w:t>($ amounts in millions)</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29.2 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operating expenses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NM</w:t>
            </w:r>
          </w:p>
        </w:tc>
      </w:tr>
      <w:tr>
        <w:trPr/>
        <w:tc>
          <w:tcPr>
            <w:tcW w:w="12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10.3 </w:t>
            </w:r>
          </w:p>
        </w:tc>
        <w:tc>
          <w:tcPr>
            <w:tcW w:w="4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(7.4)</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(81.3)</w:t>
            </w:r>
          </w:p>
        </w:tc>
        <w:tc>
          <w:tcPr>
            <w:tcW w:w="5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(1) Other operating expenses include selling, general and administrative expenses and depreciation and amortization.</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NM Not meaningful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Entertainment segment includes the operations of 9 Story, as acquired on June 20, 2024, and Scholastic Entertainment Inc. ("SEI"). Refer to Note 9 "Acquisitions," of Notes to the Consolidated Financial Statements in Item 8, "Consolidated Financial Statements and Supplementary Data" for further details regarding the acquisition of 9 Story.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Revenues for the quarter ended February 28, 2026 increased by $3.2 million to $16.0 million, compared to $12.8 million in the prior fiscal year quarter. The increase in segment revenues was primarily driven by higher production revenues from services and an increase in episodic deliveries as compared to the prior fiscal year quarter.</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Revenues for the nine months ended February 28, 2026 decreased by $1.5 million to $44.7 million, compared to $46.2 million in the prior fiscal year period. The decrease in segment revenues was primarily driven by lower production revenues as a result of fewer episodic deliveries as compared to the prior fiscal year period and lower distribution revenues. This was partially offset by increased revenues from production services. </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quarter ended February 28, 2026 was $9.3 million, or 58.1% of revenues, compared to $7.2 million, or 56.3% of revenues, in the prior fiscal year quarter. The increase in Cost of goods sold as a percentage of revenues was primarily driven by the revenue mix between production services and episodic deliveries as there is a higher cost associated with production services.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nine months ended February 28, 2026 was $26.2 million, or 58.6% of revenues, compared to $26.1 million, or 56.5% of revenues, in the prior fiscal year period. The increase in Cost of goods sold as a percentage of revenues was primarily driven by the increase in production services revenues which have a higher cost compared to production revenues related to episodic deliveries.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Other operating expenses for the three and nine months ended February 28, 2026 were $10.2 million and $29.8 million, respectively, which were comparable to $9.2 million and $28.9 million, respectively, in the prior fiscal year periods.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Asset impairments for the nine months ended February 28, 2026 were $5.2 million. During the second quarter of fiscal 2026, the Company recognized asset impairments of $4.9 million related to certain film and television programs in development and $0.3 million related to its ownership interest in a children's book publishing business located in the UK. Refer to Note 5, "Asset Write Down," of Notes to the Consolidated Financial Statements in Item 8, "Consolidated Financial Statements and Supplementary Data" for further details.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Asset impairments for the three and nine months ended February 28, 2025 were $0.3 million. The Company early exited certain leased office space as a result of which the Company recognized an impairment expense of $0.3 million in the third quarter of fiscal 2025, primarily related to the right-of-use asset associated with the operating leases.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loss for the quarter ended February 28, 2026 was $3.5 million compared to $3.9 million in the prior fiscal year quarter. The $0.4 million improvement was primarily driven by the increased revenues during the quarter ended February 28,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loss for the nine months ended February 28, 2026 was $16.5 million compared to $9.1 million in the prior fiscal year period. The $7.4 million increase in operating loss was primarily driven by lower production and distribution revenues, coupled with the asset impairments recognized during the period ended February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International </w:t>
      </w:r>
    </w:p>
    <w:tbl>
      <w:tblPr>
        <w:tblW w:w="12404"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293"/>
        <w:gridCol w:w="293"/>
        <w:gridCol w:w="109"/>
        <w:gridCol w:w="109"/>
        <w:gridCol w:w="109"/>
        <w:gridCol w:w="109"/>
        <w:gridCol w:w="109"/>
        <w:gridCol w:w="109"/>
        <w:gridCol w:w="109"/>
        <w:gridCol w:w="293"/>
        <w:gridCol w:w="293"/>
        <w:gridCol w:w="109"/>
        <w:gridCol w:w="109"/>
        <w:gridCol w:w="109"/>
        <w:gridCol w:w="109"/>
        <w:gridCol w:w="147"/>
        <w:gridCol w:w="147"/>
        <w:gridCol w:w="147"/>
        <w:gridCol w:w="240"/>
        <w:gridCol w:w="241"/>
        <w:gridCol w:w="151"/>
        <w:gridCol w:w="109"/>
        <w:gridCol w:w="109"/>
        <w:gridCol w:w="109"/>
        <w:gridCol w:w="359"/>
        <w:gridCol w:w="362"/>
        <w:gridCol w:w="492"/>
        <w:gridCol w:w="109"/>
        <w:gridCol w:w="109"/>
        <w:gridCol w:w="109"/>
        <w:gridCol w:w="109"/>
        <w:gridCol w:w="109"/>
        <w:gridCol w:w="109"/>
        <w:gridCol w:w="353"/>
        <w:gridCol w:w="353"/>
        <w:gridCol w:w="109"/>
        <w:gridCol w:w="109"/>
        <w:gridCol w:w="109"/>
        <w:gridCol w:w="109"/>
        <w:gridCol w:w="109"/>
        <w:gridCol w:w="109"/>
        <w:gridCol w:w="109"/>
        <w:gridCol w:w="353"/>
        <w:gridCol w:w="353"/>
        <w:gridCol w:w="109"/>
        <w:gridCol w:w="109"/>
        <w:gridCol w:w="109"/>
        <w:gridCol w:w="109"/>
        <w:gridCol w:w="147"/>
        <w:gridCol w:w="147"/>
        <w:gridCol w:w="147"/>
        <w:gridCol w:w="240"/>
        <w:gridCol w:w="241"/>
        <w:gridCol w:w="151"/>
        <w:gridCol w:w="109"/>
        <w:gridCol w:w="109"/>
        <w:gridCol w:w="109"/>
        <w:gridCol w:w="706"/>
        <w:gridCol w:w="551"/>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Three months ended February 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Nine months ended February 28,</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8"/>
              </w:rPr>
            </w:pPr>
            <w:r>
              <w:rPr>
                <w:rFonts w:ascii="Museo Sans 300;sans-serif" w:hAnsi="Museo Sans 300;sans-serif"/>
                <w:b w:val="false"/>
                <w:i/>
                <w:color w:val="000000"/>
                <w:sz w:val="18"/>
              </w:rPr>
              <w:t>($ amounts in millions)</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Change</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operating expenses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(123.8)</w:t>
            </w:r>
          </w:p>
        </w:tc>
        <w:tc>
          <w:tcPr>
            <w:tcW w:w="4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174.5 </w:t>
            </w:r>
          </w:p>
        </w:tc>
        <w:tc>
          <w:tcPr>
            <w:tcW w:w="5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(1) Other operating expenses include selling, general and administrative expenses and depreciation and amortization.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 xml:space="preserve">Revenues for the quarter ended February 28, 2026 decreased by $0.6 million to $58.7 million, compared to $59.3 million in the prior fiscal year quarter. Local currency revenues across the Company's foreign operations decreased by $4.1 million, excluding favorable foreign exchange impact of $3.5 million. In the U.K., local currency revenues decreased $1.7 million, primarily within the trade channel reflecting the shift in timing of the </w:t>
      </w:r>
      <w:r>
        <w:rPr>
          <w:rFonts w:ascii="Museo Sans 300;sans-serif" w:hAnsi="Museo Sans 300;sans-serif"/>
          <w:b w:val="false"/>
          <w:i/>
          <w:color w:val="000000"/>
          <w:sz w:val="20"/>
        </w:rPr>
        <w:t xml:space="preserve">Dog Man </w:t>
      </w:r>
      <w:r>
        <w:rPr>
          <w:rFonts w:ascii="Museo Sans 300;sans-serif" w:hAnsi="Museo Sans 300;sans-serif"/>
          <w:b w:val="false"/>
          <w:color w:val="000000"/>
          <w:sz w:val="20"/>
        </w:rPr>
        <w:t xml:space="preserve">publication which occurred in the second fiscal quarter compared to the third quarter in the prior fiscal year. In Canada, local currency revenues decreased $1.7 million, primarily driven by lower trade channel sales due, in part, to the timing of the </w:t>
      </w:r>
      <w:r>
        <w:rPr>
          <w:rFonts w:ascii="Museo Sans 300;sans-serif" w:hAnsi="Museo Sans 300;sans-serif"/>
          <w:b w:val="false"/>
          <w:i/>
          <w:color w:val="000000"/>
          <w:sz w:val="20"/>
        </w:rPr>
        <w:t>Dog Man</w:t>
      </w:r>
      <w:r>
        <w:rPr>
          <w:color w:val="000000"/>
        </w:rPr>
        <w:t xml:space="preserve"> </w:t>
      </w:r>
      <w:r>
        <w:rPr>
          <w:rFonts w:ascii="Museo Sans 300;sans-serif" w:hAnsi="Museo Sans 300;sans-serif"/>
          <w:b w:val="false"/>
          <w:color w:val="000000"/>
          <w:sz w:val="20"/>
        </w:rPr>
        <w:t>publication, partially offset by increased book fairs channel sales. In Australia and New Zealand, local currency revenues decreased $0.9 million, primarily driven by lower education sales in New Zealand, partially offset by increased trade channel sales in Australia. In Asia, local currency revenues were consistent with the prior year quarter, increasing $0.2 million. In addition, export channel sales were consistent with the prior fiscal year quarter.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Revenues for the nine months ended February 28, 2026 increased by $4.8 million to $207.6 million, compared to $202.8 million in the prior fiscal year period. Local currency revenues across the Company's foreign operations increased by $1.6 million, excluding favorable foreign exchange impact of $3.2 million. In Asia, local currency revenues increased $1.8 million, primarily driven by increased trade and education sales, which included growth in India. In Australia and New Zealand, local currency revenues increased $1.6 million, primarily driven by increased trade channel sales in Australia, partially offset by lower education sales in New Zealand. In the U.K., local currency revenues increased $0.7 million, primarily attributable to increased trade channel sales, coupled with increased book fairs channel sales on higher fair count. In addition, export channel sales increased $0.3 million compared to the prior fiscal year period. The overall increase in segment revenues was partially offset by a $2.8 million decrease in local currency revenues in Canada, primarily driven by lower book clubs and trade channel sales.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quarter ended February 28, 2026 was $35.3 million, or 60.1% of revenues, compared to $33.8 million, or 57.0% of revenues, in the prior fiscal year quarter. The increase in Cost of goods sold as a percentage of revenues was driven by higher royalty costs in Australia due to an increase in the mix of higher-royalty bearing titles sold in the trade channel, partially offset by lower freight costs in the Company's Major Markets.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Cost of goods sold for the nine months ended February 28, 2026 was $118.6 million, or 57.1% of revenues, compared to $118.0 million, or 58.2% of revenues. Cost of goods sold as a percentage of revenues decreased as a result of lower freight costs in the Company's Major Markets.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Other operating expenses for the quarter ended February 28, 2026 were $28.1 million, compared to $27.6 million in the prior fiscal year quarter. Excluding unfavorable foreign exchange of $1.5 million, Operating expenses decreased $1.0 million primarily due to lower employee-related costs in Canada, the U.K. and Asia.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Other operating expenses for the nine months ended February 28, 2026 were $85.5 million, compared to $89.5 million in the prior fiscal year period. Excluding unfavorable foreign exchange of $1.5 million, Other operating expenses decreased $5.5 million primarily driven by lower employee-related costs, primarily in Canada, the U.K.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and Asia, which included lower severance expense of $1.0 million, in addition to lower bad debt expenses in Asia.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loss for the quarter ended February 28, 2026 was $4.7 million, compared to an operating loss of $2.1 million in the prior fiscal year quarter. The $2.6 million increase in operating loss was primarily attributable to lower revenues in Canada and New Zealand.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Segment operating income for the nine months ended February 28, 2026 was $3.5 million, compared to an operating loss of $4.7 million in the prior fiscal year period. The $8.2 million improvement was primarily attributable to increased revenues in the U.K, Australia, and Asia, coupled with improved margins driven by lower freight costs and operational efficiencies.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Overhead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Unallocated overhead expense for the quarter ended February 28, 2026 increased by $3.8 million to $22.4 million, from $18.6 million in the prior fiscal year quarter. The increase was primarily attributable to the impact of the sale and leaseback transactions which resulted in lower rental income and higher rent expense, partially offset by lower depreciation expense.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Unallocated overhead expense for the nine months ended February 28, 2026 increased by $2.1 million to $74.7 million, from $72.6 million in the prior fiscal year period. The increase was primarily attributable to the impact of the sale and leaseback transactions which resulted in lower rental income and higher rent expense, partially offset by lower depreciation expense. In addition, the Company incurred increased severance expense related to cost-savings initiatives of $7.6 million, which was partially offset by lower employee-related costs resulting from the Company's previous reorganization efforts and cost-savings programs.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Seasonality</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20"/>
        </w:rPr>
        <w:t>The Company’s </w:t>
      </w:r>
      <w:r>
        <w:rPr>
          <w:rFonts w:ascii="Museo Sans 300;sans-serif" w:hAnsi="Museo Sans 300;sans-serif"/>
          <w:b w:val="false"/>
          <w:i/>
          <w:color w:val="000000"/>
          <w:sz w:val="20"/>
        </w:rPr>
        <w:t>Children’s Book Publishing and Distribution </w:t>
      </w:r>
      <w:r>
        <w:rPr>
          <w:rFonts w:ascii="Museo Sans 300;sans-serif" w:hAnsi="Museo Sans 300;sans-serif"/>
          <w:b w:val="false"/>
          <w:color w:val="000000"/>
          <w:sz w:val="20"/>
        </w:rPr>
        <w:t xml:space="preserve">school-based book club and book fair channels and most of its </w:t>
      </w:r>
      <w:r>
        <w:rPr>
          <w:rFonts w:ascii="Museo Sans 300;sans-serif" w:hAnsi="Museo Sans 300;sans-serif"/>
          <w:b w:val="false"/>
          <w:i/>
          <w:color w:val="000000"/>
          <w:sz w:val="20"/>
        </w:rPr>
        <w:t>Education Solutions</w:t>
      </w:r>
      <w:r>
        <w:rPr>
          <w:color w:val="000000"/>
        </w:rPr>
        <w:t xml:space="preserve"> </w:t>
      </w:r>
      <w:r>
        <w:rPr>
          <w:rFonts w:ascii="Museo Sans 300;sans-serif" w:hAnsi="Museo Sans 300;sans-serif"/>
          <w:b w:val="false"/>
          <w:color w:val="000000"/>
          <w:sz w:val="20"/>
        </w:rPr>
        <w:t xml:space="preserve">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Education channel revenues are generally higher in the fourth quarter. Trade channel and </w:t>
      </w:r>
      <w:r>
        <w:rPr>
          <w:rFonts w:ascii="Museo Sans 300;sans-serif" w:hAnsi="Museo Sans 300;sans-serif"/>
          <w:b w:val="false"/>
          <w:i/>
          <w:color w:val="000000"/>
          <w:sz w:val="20"/>
        </w:rPr>
        <w:t>Entertainment</w:t>
      </w:r>
      <w:r>
        <w:rPr>
          <w:color w:val="000000"/>
        </w:rPr>
        <w:t xml:space="preserve"> </w:t>
      </w:r>
      <w:r>
        <w:rPr>
          <w:rFonts w:ascii="Museo Sans 300;sans-serif" w:hAnsi="Museo Sans 300;sans-serif"/>
          <w:b w:val="false"/>
          <w:color w:val="000000"/>
          <w:sz w:val="20"/>
        </w:rPr>
        <w:t>segment revenues can vary throughout the year due to the timing of published titles' release dates and program production deliveries and the start dates of distribution license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Cash used in operating activities was $39.1 million for the nine months ended February 28, 2026, compared to cash provided by operating activities of $17.3 million for the prior fiscal year period, representing an increase in cash used in operating activities of $56.4 million. The increase in cash used was primarily attributable to higher tax payments of approximately $38 million, largely due to the gain recognized on the sale and leaseback transactions, coupled with an additional contribution to the UK Pension Plan and higher severance payments.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Cash provided by investing activities was $406.0 million for the nine months ended February 28, 2026, compared to cash used in investing activities of $232.0 million in the prior fiscal year period, representing an increase in cash provided by investing activities of $638.0 million. The increase in cash provided by investing activities was primarily driven by the pre-tax net proceeds of $452.4 million from the sale and leaseback transactions related to the Company's headquarters in New York City and primary distribution center in Jefferson City, Missouri during the nine months ended February 28, 2026, coupled with the cash paid for the 9 Story acquisition of $176.2 million, net of cash acquired, during the nine months ended February 28, 2025. In addition, capital expenditures were lower by $6.5 million during the nine months ended February 28,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Cash used in financing activities was $386.9 million for the nine months ended February 28, 2026, compared to cash provided by financing activities of $197.6 million for the prior fiscal year period, representing an increase in cash used in financing activities of $584.5 million. The increase in cash used was primarily attributable to net repayments on borrowings under the U.S. Credit Agreement of $250.0 million in the nine months ended February 28, 2026 funded by the proceeds from the sale and leaseback transactions, compared to net borrowings of $275.0 million in the prior fiscal year period in which the Company incurred increased borrowings to fund the 9 Story acquisition. In addition, the Company repurchased $127.2 million of common stock in the nine months ended February 28, 2026, compared to $40.0 million of common stock repurchases in the prior fiscal year period. This was partially offset by an increase in net repayments of film related obligations of $17.7 million.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Cash Position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cash and cash equivalents totaled $104.6 million at February 28, 2026, $124.0 million at May 31, 2025 and $94.7 million at February 28, 2025. Cash and cash equivalents held by the Company’s U.S. operations totaled $41.6 million at February 28, 2026, $48.7 million at May 31, 2025 and $41.0 million at February 28, 2025. Due to the seasonal nature of its business as discussed under “Seasonality”, the Company usually experiences negative cash flows in the June through September time period.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and dividend declarations. Under the Company's open-market buy-back program, $19.5 million remained available for future purchases of common shares as of February 28, 2026. Subsequent to February 28, 2026, the Board authorized an increase of $297.0 million for common stock repurchases, resulting in a current Board authorization of $300.0 million, which includes the remaining amount from the previous Board authorization, less repurchases of $16.5 million made subsequent to February 28, 2026. See Note 20, "Subsequent Events," of Notes to the Financial Statements - Unaudited in Item 1, "Financial Statements," for more information regarding the increased authorization.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has maintained, and expects to maintain for the foreseeable future, sufficient liquidity to fund ongoing operations, including working capital requirements, pension contributions, postretirement benefits, debt service, planned capital expenditures and other investments, as well as dividends and share repurchases. As of February 28, 2026, the Company’s primary sources of liquidity consisted of cash and cash equivalents of $104.6 million, cash from operations and the Company's U.S. Credit Agreement. See Note 6, "Debt," of Notes to the Financial Statements - Unaudited in Item 1, "Financial Statements," for more information regarding the U.S. Credit Agreement. The Company expects the U.S. Credit Agreement to provide it with an appropriate level of flexibility to strategically manage its business operations. The Company's U.S. Credit Agreement, less commitments of $0.4 million, has $399.6 million of availability at February 28, 2026. Additionally, the Company has short-term credit facilities of $38.1 million, less current borrowings of $5.6 million and commitments of $3.6 million, resulting in $28.9 million of current availability under these facilities at February 28, 2026. Accordingly, the Company believes these sources of liquidity are sufficient to finance its currently anticipated ongoing operating needs, as well as its financing and investing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Financing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Company is party to the U.S. Credit Agreement and certain credit lines with various banks, including those related to film related obligations, as described in Note 6, "Debt," of Notes to Condensed Consolidated Financial Statements - unaudited in Item 1, “Financial Statements."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Reference is made to Note 1 of Notes to Financial Statements - unaudited in Item 1, “Financial Statements,” for information concerning recent accounting pronouncements since the filing of the Company’s Annual Report on Form 10-K for the fiscal year ended May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2. Management’s Discussion and Analysis of Financial Condition and Results of Operations (“MD&amp;A”)</w:t>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and strategic plans, ecommerce and digital initiatives, new product introductions, strategies, new education standards, goals, revenues, improved efficiencies, general operating costs, including transportation and labor costs and the extent such costs are impacted by inflationary pressures, manufacturing costs and tariffs, medical costs, potential cost savings, tax incentives, merit pay, operating margins, working capital, liquidity, capital needs, the cost and timing of capital projects, interest costs, cash flows and income, are subject to risks and uncertainties, which may have an impact on the Company's operations and could cause actual results to differ materially from those indicated in the forward-looking statements, due to factors including those noted in the Annual Report and this Quarterly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40</w:t>
                      </w:r>
                    </w:p>
                  </w:txbxContent>
                </v:textbox>
                <w10:wrap type="none"/>
              </v:rect>
            </w:pict>
          </mc:Fallback>
        </mc:AlternateContent>
      </w:r>
    </w:p>
    <w:tbl>
      <w:tblPr>
        <w:tblW w:w="7560" w:type="dxa"/>
        <w:jc w:val="left"/>
        <w:tblInd w:w="0" w:type="dxa"/>
        <w:tblLayout w:type="fixed"/>
        <w:tblCellMar>
          <w:top w:w="28" w:type="dxa"/>
          <w:left w:w="28" w:type="dxa"/>
          <w:bottom w:w="28" w:type="dxa"/>
          <w:right w:w="28" w:type="dxa"/>
        </w:tblCellMar>
      </w:tblPr>
      <w:tblGrid>
        <w:gridCol w:w="2421"/>
        <w:gridCol w:w="2129"/>
        <w:gridCol w:w="3010"/>
      </w:tblGrid>
      <w:tr>
        <w:trPr/>
        <w:tc>
          <w:tcPr>
            <w:tcW w:w="2421"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r>
      <w:tr>
        <w:trPr/>
        <w:tc>
          <w:tcPr>
            <w:tcW w:w="7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3. Quantitative and Qualitative Disclosures about Market Risk</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 xml:space="preserve">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February 28, 2026. The Company does not enter into derivative transactions or use other financial instruments for trading or speculative purposes.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Market risks relating to the Company’s operations result primarily from changes in interest rates in its variable-rate borrowings. The Company is subject to the risk that market interest rates and its cost of borrowing will increase and thereby increase the interest charged under its variable-rate debt.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Additional information relating to the Company’s outstanding financial instruments is included in Note 6 of Notes to Condensed Consolidated Financial Statements - unaudited in Item 1,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sets forth information about the Company’s debt instruments as of February 28, 2026:</w:t>
      </w:r>
    </w:p>
    <w:p>
      <w:pPr>
        <w:pStyle w:val="TextBody"/>
        <w:bidi w:val="0"/>
        <w:spacing w:before="0" w:after="0"/>
        <w:jc w:val="left"/>
        <w:rPr/>
      </w:pPr>
      <w:r>
        <w:rPr/>
      </w:r>
    </w:p>
    <w:tbl>
      <w:tblPr>
        <w:tblW w:w="11246" w:type="dxa"/>
        <w:jc w:val="left"/>
        <w:tblInd w:w="0" w:type="dxa"/>
        <w:tblLayout w:type="fixed"/>
        <w:tblCellMar>
          <w:top w:w="28" w:type="dxa"/>
          <w:left w:w="28" w:type="dxa"/>
          <w:bottom w:w="28" w:type="dxa"/>
          <w:right w:w="28" w:type="dxa"/>
        </w:tblCellMar>
      </w:tblPr>
      <w:tblGrid>
        <w:gridCol w:w="477"/>
        <w:gridCol w:w="406"/>
        <w:gridCol w:w="408"/>
        <w:gridCol w:w="226"/>
        <w:gridCol w:w="466"/>
        <w:gridCol w:w="271"/>
        <w:gridCol w:w="109"/>
        <w:gridCol w:w="109"/>
        <w:gridCol w:w="109"/>
        <w:gridCol w:w="226"/>
        <w:gridCol w:w="466"/>
        <w:gridCol w:w="271"/>
        <w:gridCol w:w="109"/>
        <w:gridCol w:w="109"/>
        <w:gridCol w:w="109"/>
        <w:gridCol w:w="226"/>
        <w:gridCol w:w="466"/>
        <w:gridCol w:w="271"/>
        <w:gridCol w:w="109"/>
        <w:gridCol w:w="109"/>
        <w:gridCol w:w="109"/>
        <w:gridCol w:w="226"/>
        <w:gridCol w:w="466"/>
        <w:gridCol w:w="271"/>
        <w:gridCol w:w="109"/>
        <w:gridCol w:w="109"/>
        <w:gridCol w:w="109"/>
        <w:gridCol w:w="226"/>
        <w:gridCol w:w="406"/>
        <w:gridCol w:w="109"/>
        <w:gridCol w:w="109"/>
        <w:gridCol w:w="109"/>
        <w:gridCol w:w="109"/>
        <w:gridCol w:w="361"/>
        <w:gridCol w:w="649"/>
        <w:gridCol w:w="176"/>
        <w:gridCol w:w="109"/>
        <w:gridCol w:w="109"/>
        <w:gridCol w:w="109"/>
        <w:gridCol w:w="226"/>
        <w:gridCol w:w="586"/>
        <w:gridCol w:w="109"/>
        <w:gridCol w:w="109"/>
        <w:gridCol w:w="109"/>
        <w:gridCol w:w="109"/>
        <w:gridCol w:w="226"/>
        <w:gridCol w:w="58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amounts in millions)</w:t>
            </w:r>
          </w:p>
        </w:tc>
        <w:tc>
          <w:tcPr>
            <w:tcW w:w="995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Maturity</w:t>
            </w:r>
          </w:p>
        </w:tc>
      </w:tr>
      <w:tr>
        <w:trPr/>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color w:val="000000"/>
                <w:sz w:val="18"/>
              </w:rPr>
              <w:t xml:space="preserve">2026 </w:t>
            </w:r>
            <w:r>
              <w:rPr>
                <w:rFonts w:ascii="Museo Sans 700;sans-serif" w:hAnsi="Museo Sans 700;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w:t>
              <w:br/>
              <w:t>Value at</w:t>
              <w:br/>
              <w:t>02/28/2026</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Debt Obligations</w:t>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Lines of credit and current</w:t>
              <w:br/>
              <w:t>  portion of long-term debt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Average interest rate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Film related obligations </w:t>
            </w:r>
            <w:r>
              <w:rPr>
                <w:rFonts w:ascii="Museo Sans 300;sans-serif" w:hAnsi="Museo Sans 300;sans-serif"/>
                <w:b w:val="false"/>
                <w:color w:val="000000"/>
                <w:sz w:val="12"/>
              </w:rPr>
              <w:t>(2)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Average interest rate</w:t>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i/>
          <w:color w:val="000000"/>
          <w:sz w:val="16"/>
        </w:rPr>
      </w:pPr>
      <w:r>
        <w:rPr>
          <w:rFonts w:ascii="Museo Sans 300;sans-serif" w:hAnsi="Museo Sans 300;sans-serif"/>
          <w:b w:val="false"/>
          <w:i/>
          <w:color w:val="000000"/>
          <w:sz w:val="16"/>
        </w:rPr>
        <w:t>(1) Fiscal 2026 includes the remaining three months of the current fiscal year ending May 31, 2026.</w:t>
      </w:r>
    </w:p>
    <w:p>
      <w:pPr>
        <w:pStyle w:val="TextBody"/>
        <w:bidi w:val="0"/>
        <w:spacing w:lineRule="auto" w:line="288" w:before="0" w:after="0"/>
        <w:jc w:val="left"/>
        <w:rPr>
          <w:rFonts w:ascii="Museo Sans 300;sans-serif" w:hAnsi="Museo Sans 300;sans-serif"/>
          <w:b w:val="false"/>
          <w:i/>
          <w:color w:val="000000"/>
          <w:sz w:val="16"/>
        </w:rPr>
      </w:pPr>
      <w:r>
        <w:rPr>
          <w:rFonts w:ascii="Museo Sans 300;sans-serif" w:hAnsi="Museo Sans 300;sans-serif"/>
          <w:b w:val="false"/>
          <w:i/>
          <w:color w:val="000000"/>
          <w:sz w:val="16"/>
        </w:rPr>
        <w:t>(2) Film related obligations are due on demand. Outstanding borrowings are presented by fiscal year maturity based on expected repayment dates per loan agreements.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41</w:t>
                      </w:r>
                    </w:p>
                  </w:txbxContent>
                </v:textbox>
                <w10:wrap type="none"/>
              </v:rect>
            </w:pict>
          </mc:Fallback>
        </mc:AlternateContent>
      </w:r>
    </w:p>
    <w:tbl>
      <w:tblPr>
        <w:tblW w:w="3750" w:type="dxa"/>
        <w:jc w:val="left"/>
        <w:tblInd w:w="0" w:type="dxa"/>
        <w:tblLayout w:type="fixed"/>
        <w:tblCellMar>
          <w:top w:w="28" w:type="dxa"/>
          <w:left w:w="28" w:type="dxa"/>
          <w:bottom w:w="28" w:type="dxa"/>
          <w:right w:w="28" w:type="dxa"/>
        </w:tblCellMar>
      </w:tblPr>
      <w:tblGrid>
        <w:gridCol w:w="1201"/>
        <w:gridCol w:w="1056"/>
        <w:gridCol w:w="1493"/>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20"/>
              </w:rPr>
            </w:pPr>
            <w:r>
              <w:rPr>
                <w:rFonts w:ascii="Museo Sans 700;sans-serif" w:hAnsi="Museo Sans 700;sans-serif"/>
                <w:b/>
                <w:color w:val="000000"/>
                <w:sz w:val="20"/>
              </w:rPr>
              <w:t>SCHOLASTIC CORPORATION</w:t>
              <w:br/>
              <w:t>Item 4. Controls and Procedures</w:t>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28, 2026,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February 28, 2026 that has materially affected, or is reasonably likely to materially affect, the Corporation’s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42</w:t>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PART II –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SCHOLASTIC CORPORATION</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2. Unregistered Sales of Equity Securities and Use of Proceeds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The following table provides information with respect to repurchases of shares of Common Stock by the Corporation during the three months ended February 28,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Issuer Purchases of Equity Securities</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620"/>
        <w:gridCol w:w="545"/>
        <w:gridCol w:w="550"/>
        <w:gridCol w:w="109"/>
        <w:gridCol w:w="109"/>
        <w:gridCol w:w="109"/>
        <w:gridCol w:w="466"/>
        <w:gridCol w:w="466"/>
        <w:gridCol w:w="467"/>
        <w:gridCol w:w="109"/>
        <w:gridCol w:w="109"/>
        <w:gridCol w:w="109"/>
        <w:gridCol w:w="346"/>
        <w:gridCol w:w="346"/>
        <w:gridCol w:w="347"/>
        <w:gridCol w:w="109"/>
        <w:gridCol w:w="109"/>
        <w:gridCol w:w="109"/>
        <w:gridCol w:w="562"/>
        <w:gridCol w:w="562"/>
        <w:gridCol w:w="563"/>
        <w:gridCol w:w="109"/>
        <w:gridCol w:w="109"/>
        <w:gridCol w:w="109"/>
        <w:gridCol w:w="893"/>
        <w:gridCol w:w="893"/>
        <w:gridCol w:w="1271"/>
      </w:tblGrid>
      <w:tr>
        <w:trP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Total number of shares</w:t>
              <w:br/>
              <w:t>purchased as 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700;sans-serif" w:hAnsi="Museo Sans 700;sans-serif"/>
                <w:b/>
                <w:color w:val="000000"/>
                <w:sz w:val="20"/>
              </w:rPr>
            </w:pPr>
            <w:r>
              <w:rPr>
                <w:rFonts w:ascii="Museo Sans 700;sans-serif" w:hAnsi="Museo Sans 700;sans-serif"/>
                <w:b/>
                <w:color w:val="000000"/>
                <w:sz w:val="20"/>
              </w:rPr>
              <w:t>Maximum number of shares (or</w:t>
            </w:r>
          </w:p>
          <w:p>
            <w:pPr>
              <w:pStyle w:val="TableContents"/>
              <w:bidi w:val="0"/>
              <w:spacing w:lineRule="auto" w:line="240" w:before="0" w:after="0"/>
              <w:jc w:val="left"/>
              <w:rPr/>
            </w:pPr>
            <w:r>
              <w:rPr>
                <w:rFonts w:ascii="Museo Sans 700;sans-serif" w:hAnsi="Museo Sans 700;sans-serif"/>
                <w:b/>
                <w:color w:val="000000"/>
                <w:sz w:val="20"/>
              </w:rPr>
              <w:t>approximate dollar value) that may yet be purchased under the plans or programs</w:t>
            </w:r>
            <w:r>
              <w:rPr>
                <w:color w:val="000000"/>
              </w:rPr>
              <w:t xml:space="preserve"> </w:t>
            </w:r>
            <w:r>
              <w:rPr>
                <w:rFonts w:ascii="Museo Sans 700;sans-serif" w:hAnsi="Museo Sans 700;sans-serif"/>
                <w:b/>
                <w:color w:val="000000"/>
                <w:sz w:val="13"/>
              </w:rPr>
              <w:t>(i)</w:t>
            </w:r>
          </w:p>
        </w:tc>
      </w:tr>
      <w:tr>
        <w:trPr/>
        <w:tc>
          <w:tcPr>
            <w:tcW w:w="1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December 1, 2025 through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593,121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$29.61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593,121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$132.4</w:t>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January 1, 2026 through January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2,259,906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2,259,906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$56.3</w:t>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February 1, 2026 through February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1,086,550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1,086,550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$19.5</w:t>
            </w:r>
          </w:p>
        </w:tc>
      </w:tr>
      <w:tr>
        <w:trPr/>
        <w:tc>
          <w:tcPr>
            <w:tcW w:w="17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3,939,577</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3,939,577</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$19.5</w:t>
            </w:r>
          </w:p>
        </w:tc>
      </w:tr>
    </w:tbl>
    <w:p>
      <w:pPr>
        <w:pStyle w:val="TextBody"/>
        <w:bidi w:val="0"/>
        <w:spacing w:lineRule="auto" w:line="288" w:before="0" w:after="0"/>
        <w:jc w:val="left"/>
        <w:rPr>
          <w:rFonts w:ascii="Museo Sans 300;sans-serif" w:hAnsi="Museo Sans 300;sans-serif"/>
          <w:b w:val="false"/>
          <w:i/>
          <w:color w:val="000000"/>
          <w:sz w:val="16"/>
        </w:rPr>
      </w:pPr>
      <w:r>
        <w:rPr>
          <w:rFonts w:ascii="Museo Sans 300;sans-serif" w:hAnsi="Museo Sans 300;sans-serif"/>
          <w:b w:val="false"/>
          <w:i/>
          <w:color w:val="000000"/>
          <w:sz w:val="16"/>
        </w:rPr>
        <w:t>(i) Represents the amount remaining at February 28, 2026 under the Board authorization for Common share repurchases announced on December 17, 2025, which is available for further repurchases, from time to time as conditions allow, on the open market or through privately negotiated transactions. See Note 14 of Notes to Condensed Consolidated Financial Statements - unaudited in Item 1, “Financial Statements,” for a description of the Company’s share buy-back program and share repurchase authorizations. Subsequent to February 28, 2026, the Board authorized an increase of $297.0 million for common stock repurchases, resulting in a current Board authorization of $300.0 million, which includes the remaining amount from the previous Board authorization, less repurchases of $16.5 million made subsequent to February 28, 2026. See Note 20, "Subsequent Events," of Notes to the Financial Statements - Unaudited in Item 1, "Financial Statements," for more information regarding the increased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43</w:t>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SCHOLASTIC CORPORATION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5.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During the three months ended February 28, 2026, none of our directors or officers informed us of the adoption or termination of a "Rule 10b5-1 trading arrangement" or "non-Rule 10b5-1 trading arrangement" (as each term is defined in Item 408(a)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SCHOLASTIC CORPORATION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Item 6. Exhibits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06"/>
        <w:gridCol w:w="181"/>
        <w:gridCol w:w="182"/>
        <w:gridCol w:w="2915"/>
        <w:gridCol w:w="2778"/>
        <w:gridCol w:w="3943"/>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4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10.1*</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Museo Sans 300;sans-serif" w:hAnsi="Museo Sans 300;sans-serif"/>
                  <w:b w:val="false"/>
                  <w:color w:val="0000FF"/>
                  <w:sz w:val="18"/>
                  <w:u w:val="single"/>
                </w:rPr>
                <w:t>Contract of Purchase and Sale dated as of December 1, 2025, by and between Scholastic 557 Broadway, L.L.C. and ESRT 555-557 Broadway, L.L.C. (incorporated by reference to Exhibit 10.1 to Form 8-K filed December 5, 2025).</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10.2*</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Museo Sans 300;sans-serif" w:hAnsi="Museo Sans 300;sans-serif"/>
                  <w:b w:val="false"/>
                  <w:color w:val="0000FF"/>
                  <w:sz w:val="18"/>
                  <w:u w:val="single"/>
                </w:rPr>
                <w:t>Form of Lease Agreement to be entered into by and between Scholastic 557 Broadway, L.L.C. and ESRT 555-557 Broadway, L.L.C. (incorporated by reference to Exhibit 10.2 to Form 8-K filed December 5, 2025).</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10.3*</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Museo Sans 300;sans-serif" w:hAnsi="Museo Sans 300;sans-serif"/>
                  <w:b w:val="false"/>
                  <w:color w:val="0000FF"/>
                  <w:sz w:val="18"/>
                  <w:u w:val="single"/>
                </w:rPr>
                <w:t>Contract of Purchase and Sale Agreement dated as of December 1, 2025, by and between Scholastic Inc. and FNLR Fortuna Major LLC. (incorporated by reference to Exhibit 10.3 to Form 8-K filed December 5, 2025).</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10.4*</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Museo Sans 300;sans-serif" w:hAnsi="Museo Sans 300;sans-serif"/>
                  <w:b w:val="false"/>
                  <w:color w:val="000080"/>
                  <w:sz w:val="18"/>
                  <w:u w:val="single"/>
                </w:rPr>
                <w:t>Form of Lease Agreement to be entered into by and between Scholastic Inc. and FNLR Fortuna Major LLC. (incorporated by reference to Exhibit 10.4</w:t>
              </w:r>
            </w:hyperlink>
            <w:hyperlink r:id="rId7">
              <w:r>
                <w:rPr>
                  <w:rStyle w:val="InternetLink"/>
                  <w:rFonts w:ascii="Museo Sans 300;sans-serif" w:hAnsi="Museo Sans 300;sans-serif"/>
                  <w:b w:val="false"/>
                  <w:color w:val="000080"/>
                  <w:sz w:val="18"/>
                  <w:u w:val="single"/>
                </w:rPr>
                <w:t xml:space="preserve"> to</w:t>
              </w:r>
            </w:hyperlink>
            <w:hyperlink r:id="rId8">
              <w:r>
                <w:rPr>
                  <w:rStyle w:val="InternetLink"/>
                  <w:rFonts w:ascii="Museo Sans 300;sans-serif" w:hAnsi="Museo Sans 300;sans-serif"/>
                  <w:b w:val="false"/>
                  <w:color w:val="000080"/>
                  <w:sz w:val="18"/>
                  <w:u w:val="single"/>
                </w:rPr>
                <w:t xml:space="preserve"> Form 8-K filed December 5, 2025).</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10.5**</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chl-ex105xq3.htm">
              <w:r>
                <w:rPr>
                  <w:rStyle w:val="InternetLink"/>
                  <w:rFonts w:ascii="Museo Sans 300;sans-serif" w:hAnsi="Museo Sans 300;sans-serif"/>
                  <w:b w:val="false"/>
                  <w:color w:val="0000FF"/>
                  <w:sz w:val="18"/>
                  <w:u w:val="single"/>
                </w:rPr>
                <w:t>Letter Agreement dated January 29, 2026 between Peter Warwick and the Company.</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10.6**</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chl-ex106xq3.htm">
              <w:r>
                <w:rPr>
                  <w:rStyle w:val="InternetLink"/>
                  <w:rFonts w:ascii="Museo Sans 300;sans-serif" w:hAnsi="Museo Sans 300;sans-serif"/>
                  <w:b w:val="false"/>
                  <w:color w:val="0000FF"/>
                  <w:sz w:val="18"/>
                  <w:u w:val="single"/>
                </w:rPr>
                <w:t>Amendment dated January 9, 2026, to offer of employment letter, effective November 18, 2019, between Scholastic Inc. and Sasha Quinton (which is incorporated by reference to Corporation’s Quarterly Report on Form 10-Q as filed with the SEC on December 20, 2019, SEC file No. 000-19860).</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31.1</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chl-ex311_20260228xq3.htm">
              <w:r>
                <w:rPr>
                  <w:rStyle w:val="InternetLink"/>
                  <w:rFonts w:ascii="Museo Sans 300;sans-serif" w:hAnsi="Museo Sans 300;sans-serif"/>
                  <w:b w:val="false"/>
                  <w:color w:val="0000FF"/>
                  <w:sz w:val="18"/>
                  <w:u w:val="single"/>
                </w:rPr>
                <w:t>Certification of the Chief Executive Officer of Scholastic Corporation filed pursuant to Section 302 of the Sarbanes-Oxley Act of 2002.</w:t>
              </w:r>
            </w:hyperlink>
            <w:r>
              <w:rPr>
                <w:color w:val="000000"/>
              </w:rPr>
              <w:t xml:space="preserve"> </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31.2</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chl-ex312_20260228xq3.htm">
              <w:r>
                <w:rPr>
                  <w:rStyle w:val="InternetLink"/>
                  <w:rFonts w:ascii="Museo Sans 300;sans-serif" w:hAnsi="Museo Sans 300;sans-serif"/>
                  <w:b w:val="false"/>
                  <w:color w:val="0000FF"/>
                  <w:sz w:val="18"/>
                  <w:u w:val="single"/>
                </w:rPr>
                <w:t>Certification of the Chief Financial Officer of Scholastic Corporation filed pursuant to Section 302 of the Sarbanes-Oxley Act of 2002.</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32</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chl-ex32_20260228xq3.htm">
              <w:r>
                <w:rPr>
                  <w:rStyle w:val="InternetLink"/>
                  <w:rFonts w:ascii="Museo Sans 300;sans-serif" w:hAnsi="Museo Sans 300;sans-serif"/>
                  <w:b w:val="false"/>
                  <w:color w:val="0000FF"/>
                  <w:sz w:val="18"/>
                  <w:u w:val="single"/>
                </w:rPr>
                <w:t>Certifications of the Chief Executive Officer and Chief Financial Officer of Scholastic Corporation furnished pursuant to Section 906 of the Sarbanes-Oxley Act of 2002.</w:t>
              </w:r>
            </w:hyperlink>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101</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Financial Statements from the Quarterly Report on Form 10-Q of the Company for the quarter ended February 28, 2026 formatted in Inline Extensible Business Reporting Language: (i) Condensed Consolidated Statements of Operations; (ii) Condensed Consolidated Statements of Comprehensive Income (Loss), (iii) Condensed Consolidated Balance Sheets; (iv) Condensed Consolidated Statements of Changes in Stockholders' Equity; (v) Condensed Consolidated Statements of Cash Flows; and (vi) Notes to Condensed Consolidated Financial Statements.</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104</w:t>
            </w:r>
          </w:p>
        </w:tc>
        <w:tc>
          <w:tcPr>
            <w:tcW w:w="9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Cover Page, formatted in Inline Extensible Business Reporting Language and contained in Exhibit 101.</w:t>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Exhibits and/or schedules have been omitted pursuant to Item 601(b)(10) of Regulation S-K.</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The referenced exhibit is a management contract or compensation plan or arrangement described in Item 601(b) (10) (iii) of Regulation S-K.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45</w:t>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SCHOLASTIC CORPORATION</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QUARTERLY REPORT ON FORM 10-Q, DATED February 28, 2026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Exhibits Index </w:t>
      </w:r>
    </w:p>
    <w:tbl>
      <w:tblPr>
        <w:tblW w:w="10205" w:type="dxa"/>
        <w:jc w:val="left"/>
        <w:tblInd w:w="0" w:type="dxa"/>
        <w:tblLayout w:type="fixed"/>
        <w:tblCellMar>
          <w:top w:w="28" w:type="dxa"/>
          <w:left w:w="28" w:type="dxa"/>
          <w:bottom w:w="28" w:type="dxa"/>
          <w:right w:w="28" w:type="dxa"/>
        </w:tblCellMar>
      </w:tblPr>
      <w:tblGrid>
        <w:gridCol w:w="385"/>
        <w:gridCol w:w="339"/>
        <w:gridCol w:w="341"/>
        <w:gridCol w:w="2810"/>
        <w:gridCol w:w="2620"/>
        <w:gridCol w:w="3710"/>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Exhibit Number</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Description of Document</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10.1*</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Contract of Purchase and Sale dated as of December 1, 2025, by and between Scholastic 557 Broadway, L.L.C. and ESRT 555-557 Broadway, L.L.C. (incorporated by reference to Exhibit 10.1 to Form 8-K filed December 5, 2025).</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10.2*</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Form of Lease Agreement to be entered into by and between Scholastic 557 Broadway, L.L.C. and ESRT 555-557 Broadway, L.L.C. (incorporated by reference to Exhibit 10.2 to Form 8-K filed December 5, 2025).</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10.3*</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Contract of Purchase and Sale Agreement dated as of December 1, 2025, by and between Scholastic Inc. and FNLR Fortuna Major LLC. (incorporated by reference to Exhibit 10.3 to Form 8-K filed December 5, 2025).</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10.4*</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Form of Lease Agreement to be entered into by and between Scholastic Inc. and FNLR Fortuna Major LLC. (incorporated by reference to Exhibit 10.4 to Form 8-K filed December 5, 2025).</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10.5**</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Letter Agreement dated January 29, 2026 between Peter Warwick and the Company.</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10.6**</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Amendment dated January 9, 2026, to offer of employment letter, effective November 18, 2019, between Scholastic Inc. and Sasha Quinton (which is incorporated by reference to Corporation’s Quarterly Report on Form 10-Q as filed with the SEC on December 20, 2019, SEC file No. 000-19860).</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31.1</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Certification of the Chief Executive Officer of Scholastic Corporation filed pursuant to Section 302 of the Sarbanes-Oxley Act of 2002.</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31.2</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Certification of the Chief Financial Officer of Scholastic Corporation filed pursuant to Section 302 of the Sarbanes-Oxley Act of 2002.</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32</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Certifications of the Chief Executive Officer and Chief Financial Officer of Scholastic Corporation furnished pursuant to Section 906 of the Sarbanes-Oxley Act of 2002.</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101</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Financial Statements from the Quarterly Report on Form 10-Q of the Company for the quarter ended February 28, 2026 formatted in Inline Extensible Business Reporting Language: (i) Condensed Consolidated Statements of Operations; (ii) Condensed Consolidated Statements of Comprehensive Income (Loss), (iii) Condensed Consolidated Balance Sheets; (iv) Condensed Consolidated Statements of Changes in Stockholders' Equity; (v) Condensed Consolidated Statements of Cash Flows; and (vi) Notes to Condensed Consolidated Financial Statements.</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104</w:t>
            </w:r>
          </w:p>
        </w:tc>
        <w:tc>
          <w:tcPr>
            <w:tcW w:w="9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Cover Page, formatted in Inline Extensible Business Reporting Language and contained in Exhibit 101.</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Exhibits and/or schedules have been omitted pursuant to Item 601(b)(10) of Regulation S-K.</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The referenced exhibit is a management contract or compensation plan or arrangement described in Item 601(b) (10) (iii) of Regulation S-K.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46</w:t>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SCHOLASTIC CORPORATION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SIGNATURES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20"/>
        </w:rPr>
      </w:pPr>
      <w:r>
        <w:rPr>
          <w:rFonts w:ascii="Museo Sans 300;sans-serif" w:hAnsi="Museo Sans 300;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300" w:type="dxa"/>
        <w:jc w:val="left"/>
        <w:tblInd w:w="0" w:type="dxa"/>
        <w:tblLayout w:type="fixed"/>
        <w:tblCellMar>
          <w:top w:w="28" w:type="dxa"/>
          <w:left w:w="28" w:type="dxa"/>
          <w:bottom w:w="28" w:type="dxa"/>
          <w:right w:w="28" w:type="dxa"/>
        </w:tblCellMar>
      </w:tblPr>
      <w:tblGrid>
        <w:gridCol w:w="392"/>
        <w:gridCol w:w="344"/>
        <w:gridCol w:w="344"/>
        <w:gridCol w:w="344"/>
        <w:gridCol w:w="344"/>
        <w:gridCol w:w="344"/>
        <w:gridCol w:w="129"/>
        <w:gridCol w:w="129"/>
        <w:gridCol w:w="131"/>
        <w:gridCol w:w="1404"/>
        <w:gridCol w:w="1404"/>
        <w:gridCol w:w="1991"/>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SCHOLASTIC CORPORATION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(Registrant)</w:t>
            </w:r>
          </w:p>
        </w:tc>
      </w:tr>
      <w:tr>
        <w:trPr/>
        <w:tc>
          <w:tcPr>
            <w:tcW w:w="730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Date: March 20, 2026</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By:</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 Peter Warwick</w:t>
            </w:r>
          </w:p>
        </w:tc>
      </w:tr>
      <w:tr>
        <w:trPr/>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bottom w:val="single" w:sz="8" w:space="0" w:color="7E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Peter Warwick</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8"/>
              </w:rPr>
            </w:pPr>
            <w:r>
              <w:rPr>
                <w:rFonts w:ascii="Museo Sans 300;sans-serif" w:hAnsi="Museo Sans 300;sans-serif"/>
                <w:b w:val="false"/>
                <w:i/>
                <w:color w:val="000000"/>
                <w:sz w:val="18"/>
              </w:rPr>
              <w:t>President and Chief Executive Officer</w:t>
              <w:br/>
              <w:t>(Principal Executive Officer)</w:t>
            </w:r>
          </w:p>
        </w:tc>
      </w:tr>
      <w:tr>
        <w:trPr/>
        <w:tc>
          <w:tcPr>
            <w:tcW w:w="730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Date: March 20, 2026</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By:</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 Haji L. Glover</w:t>
            </w:r>
          </w:p>
        </w:tc>
      </w:tr>
      <w:tr>
        <w:trPr/>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bottom w:val="single" w:sz="8" w:space="0" w:color="7E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Haji L. Glover</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i/>
                <w:color w:val="000000"/>
                <w:sz w:val="18"/>
              </w:rPr>
            </w:pPr>
            <w:r>
              <w:rPr>
                <w:rFonts w:ascii="Museo Sans 300;sans-serif" w:hAnsi="Museo Sans 300;sans-serif"/>
                <w:b w:val="false"/>
                <w:i/>
                <w:color w:val="000000"/>
                <w:sz w:val="18"/>
              </w:rPr>
              <w:t>Executive Vice President and Chief Financial Officer</w:t>
            </w:r>
          </w:p>
          <w:p>
            <w:pPr>
              <w:pStyle w:val="TableContents"/>
              <w:bidi w:val="0"/>
              <w:spacing w:lineRule="auto" w:line="240" w:before="0" w:after="0"/>
              <w:jc w:val="left"/>
              <w:rPr>
                <w:rFonts w:ascii="Museo Sans 300;sans-serif" w:hAnsi="Museo Sans 300;sans-serif"/>
                <w:b w:val="false"/>
                <w:i/>
                <w:color w:val="000000"/>
                <w:sz w:val="18"/>
              </w:rPr>
            </w:pPr>
            <w:r>
              <w:rPr>
                <w:rFonts w:ascii="Museo Sans 300;sans-serif" w:hAnsi="Museo Sans 300;sans-serif"/>
                <w:b w:val="false"/>
                <w:i/>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Exhibit 10.5</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47</w:t>
                      </w:r>
                    </w:p>
                  </w:txbxContent>
                </v:textbox>
                <w10:wrap type="none"/>
              </v:rect>
            </w:pict>
          </mc:Fallback>
        </mc:AlternateContent>
      </w:r>
    </w:p>
    <w:p>
      <w:pPr>
        <w:pStyle w:val="TextBody"/>
        <w:bidi w:val="0"/>
        <w:spacing w:before="0" w:after="0"/>
        <w:jc w:val="center"/>
        <w:rPr/>
      </w:pPr>
      <w:r>
        <w:rPr/>
        <w:drawing>
          <wp:inline distT="0" distB="0" distL="0" distR="0">
            <wp:extent cx="2190750" cy="2762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9"/>
                    <a:stretch>
                      <a:fillRect/>
                    </a:stretch>
                  </pic:blipFill>
                  <pic:spPr bwMode="auto">
                    <a:xfrm>
                      <a:off x="0" y="0"/>
                      <a:ext cx="2190750" cy="276225"/>
                    </a:xfrm>
                    <a:prstGeom prst="rect">
                      <a:avLst/>
                    </a:prstGeom>
                  </pic:spPr>
                </pic:pic>
              </a:graphicData>
            </a:graphic>
          </wp:inline>
        </w:drawing>
      </w:r>
    </w:p>
    <w:p>
      <w:pPr>
        <w:pStyle w:val="TextBody"/>
        <w:bidi w:val="0"/>
        <w:spacing w:before="79" w:after="283"/>
        <w:jc w:val="left"/>
        <w:rPr/>
      </w:pPr>
      <w:r>
        <w:rPr/>
      </w:r>
    </w:p>
    <w:p>
      <w:pPr>
        <w:pStyle w:val="TextBody"/>
        <w:bidi w:val="0"/>
        <w:spacing w:before="0" w:after="0"/>
        <w:jc w:val="left"/>
        <w:rPr/>
      </w:pPr>
      <w:r>
        <w:rPr/>
      </w:r>
    </w:p>
    <w:p>
      <w:pPr>
        <w:pStyle w:val="TextBody"/>
        <w:bidi w:val="0"/>
        <w:spacing w:before="215" w:after="283"/>
        <w:jc w:val="left"/>
        <w:rPr/>
      </w:pPr>
      <w:r>
        <w:rPr/>
      </w:r>
    </w:p>
    <w:p>
      <w:pPr>
        <w:pStyle w:val="TextBody"/>
        <w:bidi w:val="0"/>
        <w:spacing w:lineRule="auto" w:line="288" w:before="0" w:after="0"/>
        <w:jc w:val="left"/>
        <w:rPr/>
      </w:pPr>
      <w:r>
        <w:rPr>
          <w:rFonts w:ascii="Arial;sans-serif" w:hAnsi="Arial;sans-serif"/>
          <w:b w:val="false"/>
          <w:color w:val="1A1A1A"/>
          <w:sz w:val="22"/>
        </w:rPr>
        <w:t xml:space="preserve">January </w:t>
      </w:r>
      <w:r>
        <w:rPr>
          <w:rFonts w:ascii="Arial;sans-serif" w:hAnsi="Arial;sans-serif"/>
          <w:b w:val="false"/>
          <w:color w:val="2A2A2A"/>
          <w:sz w:val="22"/>
        </w:rPr>
        <w:t>29, 2026</w:t>
      </w:r>
    </w:p>
    <w:p>
      <w:pPr>
        <w:pStyle w:val="TextBody"/>
        <w:bidi w:val="0"/>
        <w:spacing w:before="0" w:after="0"/>
        <w:jc w:val="left"/>
        <w:rPr/>
      </w:pPr>
      <w:r>
        <w:rPr/>
      </w:r>
    </w:p>
    <w:p>
      <w:pPr>
        <w:pStyle w:val="TextBody"/>
        <w:bidi w:val="0"/>
        <w:spacing w:before="178" w:after="283"/>
        <w:jc w:val="left"/>
        <w:rPr/>
      </w:pPr>
      <w:r>
        <w:rPr/>
      </w:r>
    </w:p>
    <w:p>
      <w:pPr>
        <w:pStyle w:val="TextBody"/>
        <w:bidi w:val="0"/>
        <w:spacing w:lineRule="auto" w:line="333" w:before="0" w:after="0"/>
        <w:jc w:val="left"/>
        <w:rPr/>
      </w:pPr>
      <w:r>
        <w:rPr>
          <w:rFonts w:ascii="Arial;sans-serif" w:hAnsi="Arial;sans-serif"/>
          <w:b w:val="false"/>
          <w:color w:val="1A1A1A"/>
          <w:sz w:val="22"/>
        </w:rPr>
        <w:t xml:space="preserve">Mr. Peter </w:t>
      </w:r>
      <w:r>
        <w:rPr>
          <w:rFonts w:ascii="Arial;sans-serif" w:hAnsi="Arial;sans-serif"/>
          <w:b w:val="false"/>
          <w:color w:val="2A2A2A"/>
          <w:sz w:val="22"/>
        </w:rPr>
        <w:t xml:space="preserve">Warwick </w:t>
        <w:br/>
        <w:t>CEO, Scholastic</w:t>
      </w:r>
    </w:p>
    <w:p>
      <w:pPr>
        <w:pStyle w:val="TextBody"/>
        <w:bidi w:val="0"/>
        <w:spacing w:before="211" w:after="283"/>
        <w:jc w:val="left"/>
        <w:rPr/>
      </w:pPr>
      <w:r>
        <w:rPr/>
      </w:r>
    </w:p>
    <w:p>
      <w:pPr>
        <w:pStyle w:val="TextBody"/>
        <w:bidi w:val="0"/>
        <w:spacing w:lineRule="auto" w:line="240" w:before="0" w:after="0"/>
        <w:jc w:val="left"/>
        <w:rPr>
          <w:rFonts w:ascii="Arial;sans-serif" w:hAnsi="Arial;sans-serif"/>
          <w:b w:val="false"/>
          <w:color w:val="1A1A1A"/>
          <w:sz w:val="22"/>
        </w:rPr>
      </w:pPr>
      <w:r>
        <w:rPr>
          <w:rFonts w:ascii="Arial;sans-serif" w:hAnsi="Arial;sans-serif"/>
          <w:b w:val="false"/>
          <w:color w:val="1A1A1A"/>
          <w:sz w:val="22"/>
        </w:rPr>
        <w:t>Dear Peter,</w:t>
      </w:r>
    </w:p>
    <w:p>
      <w:pPr>
        <w:pStyle w:val="TextBody"/>
        <w:bidi w:val="0"/>
        <w:spacing w:lineRule="auto" w:line="336" w:before="199" w:after="283"/>
        <w:jc w:val="left"/>
        <w:rPr/>
      </w:pPr>
      <w:r>
        <w:rPr>
          <w:rFonts w:ascii="Arial;sans-serif" w:hAnsi="Arial;sans-serif"/>
          <w:b w:val="false"/>
          <w:color w:val="2A2A2A"/>
          <w:sz w:val="22"/>
        </w:rPr>
        <w:t xml:space="preserve">This </w:t>
      </w:r>
      <w:r>
        <w:rPr>
          <w:rFonts w:ascii="Arial;sans-serif" w:hAnsi="Arial;sans-serif"/>
          <w:b w:val="false"/>
          <w:color w:val="1A1A1A"/>
          <w:sz w:val="22"/>
        </w:rPr>
        <w:t xml:space="preserve">letter </w:t>
      </w:r>
      <w:r>
        <w:rPr>
          <w:rFonts w:ascii="Arial;sans-serif" w:hAnsi="Arial;sans-serif"/>
          <w:b w:val="false"/>
          <w:color w:val="2A2A2A"/>
          <w:sz w:val="22"/>
        </w:rPr>
        <w:t xml:space="preserve">will confirm </w:t>
      </w:r>
      <w:r>
        <w:rPr>
          <w:rFonts w:ascii="Arial;sans-serif" w:hAnsi="Arial;sans-serif"/>
          <w:b w:val="false"/>
          <w:color w:val="1A1A1A"/>
          <w:sz w:val="22"/>
        </w:rPr>
        <w:t xml:space="preserve">our mutual </w:t>
      </w:r>
      <w:r>
        <w:rPr>
          <w:rFonts w:ascii="Arial;sans-serif" w:hAnsi="Arial;sans-serif"/>
          <w:b w:val="false"/>
          <w:color w:val="2A2A2A"/>
          <w:sz w:val="22"/>
        </w:rPr>
        <w:t xml:space="preserve">agreement, </w:t>
      </w:r>
      <w:r>
        <w:rPr>
          <w:rFonts w:ascii="Arial;sans-serif" w:hAnsi="Arial;sans-serif"/>
          <w:b w:val="false"/>
          <w:color w:val="1A1A1A"/>
          <w:sz w:val="22"/>
        </w:rPr>
        <w:t xml:space="preserve">in </w:t>
      </w:r>
      <w:r>
        <w:rPr>
          <w:rFonts w:ascii="Arial;sans-serif" w:hAnsi="Arial;sans-serif"/>
          <w:b w:val="false"/>
          <w:color w:val="2A2A2A"/>
          <w:sz w:val="22"/>
        </w:rPr>
        <w:t xml:space="preserve">accordance with the terms </w:t>
      </w:r>
      <w:r>
        <w:rPr>
          <w:rFonts w:ascii="Arial;sans-serif" w:hAnsi="Arial;sans-serif"/>
          <w:b w:val="false"/>
          <w:color w:val="1A1A1A"/>
          <w:sz w:val="22"/>
        </w:rPr>
        <w:t xml:space="preserve">of </w:t>
      </w:r>
      <w:r>
        <w:rPr>
          <w:rFonts w:ascii="Arial;sans-serif" w:hAnsi="Arial;sans-serif"/>
          <w:b w:val="false"/>
          <w:color w:val="2A2A2A"/>
          <w:sz w:val="22"/>
        </w:rPr>
        <w:t xml:space="preserve">the First Amendment </w:t>
      </w:r>
      <w:r>
        <w:rPr>
          <w:rFonts w:ascii="Arial;sans-serif" w:hAnsi="Arial;sans-serif"/>
          <w:b w:val="false"/>
          <w:color w:val="1A1A1A"/>
          <w:sz w:val="22"/>
        </w:rPr>
        <w:t xml:space="preserve">to </w:t>
      </w:r>
      <w:r>
        <w:rPr>
          <w:rFonts w:ascii="Arial;sans-serif" w:hAnsi="Arial;sans-serif"/>
          <w:b w:val="false"/>
          <w:color w:val="2A2A2A"/>
          <w:sz w:val="22"/>
        </w:rPr>
        <w:t xml:space="preserve">Amended and </w:t>
      </w:r>
      <w:r>
        <w:rPr>
          <w:rFonts w:ascii="Arial;sans-serif" w:hAnsi="Arial;sans-serif"/>
          <w:b w:val="false"/>
          <w:color w:val="1A1A1A"/>
          <w:sz w:val="22"/>
        </w:rPr>
        <w:t xml:space="preserve">Restated </w:t>
      </w:r>
      <w:r>
        <w:rPr>
          <w:rFonts w:ascii="Arial;sans-serif" w:hAnsi="Arial;sans-serif"/>
          <w:b w:val="false"/>
          <w:color w:val="2A2A2A"/>
          <w:sz w:val="22"/>
        </w:rPr>
        <w:t xml:space="preserve">Employment Agreement, and as approved by Scholastic's </w:t>
      </w:r>
      <w:r>
        <w:rPr>
          <w:rFonts w:ascii="Arial;sans-serif" w:hAnsi="Arial;sans-serif"/>
          <w:b w:val="false"/>
          <w:color w:val="1A1A1A"/>
          <w:sz w:val="22"/>
        </w:rPr>
        <w:t xml:space="preserve">Board </w:t>
      </w:r>
      <w:r>
        <w:rPr>
          <w:rFonts w:ascii="Arial;sans-serif" w:hAnsi="Arial;sans-serif"/>
          <w:b w:val="false"/>
          <w:color w:val="0A0A0A"/>
          <w:sz w:val="22"/>
        </w:rPr>
        <w:t xml:space="preserve">in </w:t>
      </w:r>
      <w:r>
        <w:rPr>
          <w:rFonts w:ascii="Arial;sans-serif" w:hAnsi="Arial;sans-serif"/>
          <w:b w:val="false"/>
          <w:color w:val="2A2A2A"/>
          <w:sz w:val="22"/>
        </w:rPr>
        <w:t xml:space="preserve">January 2026, </w:t>
      </w:r>
      <w:r>
        <w:rPr>
          <w:rFonts w:ascii="Arial;sans-serif" w:hAnsi="Arial;sans-serif"/>
          <w:b w:val="false"/>
          <w:color w:val="1A1A1A"/>
          <w:sz w:val="22"/>
        </w:rPr>
        <w:t xml:space="preserve">to </w:t>
      </w:r>
      <w:r>
        <w:rPr>
          <w:rFonts w:ascii="Arial;sans-serif" w:hAnsi="Arial;sans-serif"/>
          <w:b w:val="false"/>
          <w:color w:val="2A2A2A"/>
          <w:sz w:val="22"/>
        </w:rPr>
        <w:t xml:space="preserve">extend </w:t>
      </w:r>
      <w:r>
        <w:rPr>
          <w:rFonts w:ascii="Arial;sans-serif" w:hAnsi="Arial;sans-serif"/>
          <w:b w:val="false"/>
          <w:color w:val="1A1A1A"/>
          <w:sz w:val="22"/>
        </w:rPr>
        <w:t xml:space="preserve">the term </w:t>
      </w:r>
      <w:r>
        <w:rPr>
          <w:rFonts w:ascii="Arial;sans-serif" w:hAnsi="Arial;sans-serif"/>
          <w:b w:val="false"/>
          <w:color w:val="2A2A2A"/>
          <w:sz w:val="22"/>
        </w:rPr>
        <w:t xml:space="preserve">of that Agreement </w:t>
      </w:r>
      <w:r>
        <w:rPr>
          <w:rFonts w:ascii="Arial;sans-serif" w:hAnsi="Arial;sans-serif"/>
          <w:b w:val="false"/>
          <w:color w:val="1A1A1A"/>
          <w:sz w:val="22"/>
        </w:rPr>
        <w:t xml:space="preserve">from </w:t>
      </w:r>
      <w:r>
        <w:rPr>
          <w:rFonts w:ascii="Arial;sans-serif" w:hAnsi="Arial;sans-serif"/>
          <w:b w:val="false"/>
          <w:color w:val="2A2A2A"/>
          <w:sz w:val="22"/>
        </w:rPr>
        <w:t xml:space="preserve">August </w:t>
      </w:r>
      <w:r>
        <w:rPr>
          <w:rFonts w:ascii="Arial;sans-serif" w:hAnsi="Arial;sans-serif"/>
          <w:b w:val="false"/>
          <w:color w:val="1A1A1A"/>
          <w:sz w:val="22"/>
        </w:rPr>
        <w:t xml:space="preserve">1, </w:t>
      </w:r>
      <w:r>
        <w:rPr>
          <w:rFonts w:ascii="Arial;sans-serif" w:hAnsi="Arial;sans-serif"/>
          <w:b w:val="false"/>
          <w:color w:val="2A2A2A"/>
          <w:sz w:val="22"/>
        </w:rPr>
        <w:t xml:space="preserve">2026 </w:t>
      </w:r>
      <w:r>
        <w:rPr>
          <w:rFonts w:ascii="Arial;sans-serif" w:hAnsi="Arial;sans-serif"/>
          <w:b w:val="false"/>
          <w:color w:val="1A1A1A"/>
          <w:sz w:val="22"/>
        </w:rPr>
        <w:t xml:space="preserve">through July </w:t>
      </w:r>
      <w:r>
        <w:rPr>
          <w:rFonts w:ascii="Arial;sans-serif" w:hAnsi="Arial;sans-serif"/>
          <w:b w:val="false"/>
          <w:color w:val="2A2A2A"/>
          <w:sz w:val="22"/>
        </w:rPr>
        <w:t xml:space="preserve">31, 2027, </w:t>
      </w:r>
      <w:r>
        <w:rPr>
          <w:rFonts w:ascii="Arial;sans-serif" w:hAnsi="Arial;sans-serif"/>
          <w:b w:val="false"/>
          <w:color w:val="1A1A1A"/>
          <w:sz w:val="22"/>
        </w:rPr>
        <w:t xml:space="preserve">on the </w:t>
      </w:r>
      <w:r>
        <w:rPr>
          <w:rFonts w:ascii="Arial;sans-serif" w:hAnsi="Arial;sans-serif"/>
          <w:b w:val="false"/>
          <w:color w:val="2A2A2A"/>
          <w:sz w:val="22"/>
        </w:rPr>
        <w:t xml:space="preserve">current </w:t>
      </w:r>
      <w:r>
        <w:rPr>
          <w:rFonts w:ascii="Arial;sans-serif" w:hAnsi="Arial;sans-serif"/>
          <w:b w:val="false"/>
          <w:color w:val="1A1A1A"/>
          <w:sz w:val="22"/>
        </w:rPr>
        <w:t xml:space="preserve">terms </w:t>
      </w:r>
      <w:r>
        <w:rPr>
          <w:rFonts w:ascii="Arial;sans-serif" w:hAnsi="Arial;sans-serif"/>
          <w:b w:val="false"/>
          <w:color w:val="2A2A2A"/>
          <w:sz w:val="22"/>
        </w:rPr>
        <w:t>and conditions of your Employment Agreement.</w:t>
      </w:r>
    </w:p>
    <w:p>
      <w:pPr>
        <w:pStyle w:val="TextBody"/>
        <w:bidi w:val="0"/>
        <w:spacing w:lineRule="auto" w:line="523" w:before="159" w:after="283"/>
        <w:jc w:val="left"/>
        <w:rPr/>
      </w:pPr>
      <w:r>
        <w:rPr>
          <w:rFonts w:ascii="Arial;sans-serif" w:hAnsi="Arial;sans-serif"/>
          <w:b w:val="false"/>
          <w:color w:val="1A1A1A"/>
          <w:sz w:val="22"/>
        </w:rPr>
        <w:t xml:space="preserve">We </w:t>
      </w:r>
      <w:r>
        <w:rPr>
          <w:rFonts w:ascii="Arial;sans-serif" w:hAnsi="Arial;sans-serif"/>
          <w:b w:val="false"/>
          <w:color w:val="2A2A2A"/>
          <w:sz w:val="22"/>
        </w:rPr>
        <w:t xml:space="preserve">are grateful for your continued </w:t>
      </w:r>
      <w:r>
        <w:rPr>
          <w:rFonts w:ascii="Arial;sans-serif" w:hAnsi="Arial;sans-serif"/>
          <w:b w:val="false"/>
          <w:color w:val="1A1A1A"/>
          <w:sz w:val="22"/>
        </w:rPr>
        <w:t xml:space="preserve">leadership </w:t>
      </w:r>
      <w:r>
        <w:rPr>
          <w:rFonts w:ascii="Arial;sans-serif" w:hAnsi="Arial;sans-serif"/>
          <w:b w:val="false"/>
          <w:color w:val="2A2A2A"/>
          <w:sz w:val="22"/>
        </w:rPr>
        <w:t xml:space="preserve">and contributions </w:t>
      </w:r>
      <w:r>
        <w:rPr>
          <w:rFonts w:ascii="Arial;sans-serif" w:hAnsi="Arial;sans-serif"/>
          <w:b w:val="false"/>
          <w:color w:val="1A1A1A"/>
          <w:sz w:val="22"/>
        </w:rPr>
        <w:t xml:space="preserve">to </w:t>
      </w:r>
      <w:r>
        <w:rPr>
          <w:rFonts w:ascii="Arial;sans-serif" w:hAnsi="Arial;sans-serif"/>
          <w:b w:val="false"/>
          <w:color w:val="2A2A2A"/>
          <w:sz w:val="22"/>
        </w:rPr>
        <w:t>Scholastic.</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2A2A2A"/>
          <w:sz w:val="22"/>
        </w:rPr>
      </w:pPr>
      <w:r>
        <w:rPr>
          <w:rFonts w:ascii="Arial;sans-serif" w:hAnsi="Arial;sans-serif"/>
          <w:b w:val="false"/>
          <w:color w:val="2A2A2A"/>
          <w:sz w:val="22"/>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2A2A2A"/>
          <w:sz w:val="22"/>
        </w:rPr>
        <w:t xml:space="preserve">/s/ Cristina </w:t>
      </w:r>
      <w:r>
        <w:rPr>
          <w:rFonts w:ascii="Arial;sans-serif" w:hAnsi="Arial;sans-serif"/>
          <w:b w:val="false"/>
          <w:color w:val="1A1A1A"/>
          <w:sz w:val="22"/>
        </w:rPr>
        <w:t>Juvier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1A1A1A"/>
          <w:sz w:val="22"/>
        </w:rPr>
      </w:pPr>
      <w:r>
        <w:rPr>
          <w:rFonts w:ascii="Arial;sans-serif" w:hAnsi="Arial;sans-serif"/>
          <w:b w:val="false"/>
          <w:color w:val="1A1A1A"/>
          <w:sz w:val="22"/>
        </w:rPr>
        <w:t>Cristina Juvier</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2A2A2A"/>
          <w:sz w:val="22"/>
        </w:rPr>
        <w:t xml:space="preserve">Chief </w:t>
      </w:r>
      <w:r>
        <w:rPr>
          <w:rFonts w:ascii="Arial;sans-serif" w:hAnsi="Arial;sans-serif"/>
          <w:b w:val="false"/>
          <w:color w:val="1A1A1A"/>
          <w:sz w:val="22"/>
        </w:rPr>
        <w:t>People Officer</w:t>
      </w:r>
    </w:p>
    <w:p>
      <w:pPr>
        <w:pStyle w:val="TextBody"/>
        <w:bidi w:val="0"/>
        <w:spacing w:before="0" w:after="0"/>
        <w:jc w:val="left"/>
        <w:rPr/>
      </w:pPr>
      <w:r>
        <w:rPr/>
      </w:r>
    </w:p>
    <w:p>
      <w:pPr>
        <w:pStyle w:val="TextBody"/>
        <w:bidi w:val="0"/>
        <w:spacing w:before="149" w:after="283"/>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2A2A2A"/>
          <w:sz w:val="22"/>
        </w:rPr>
      </w:pPr>
      <w:r>
        <w:rPr>
          <w:rFonts w:ascii="Arial;sans-serif" w:hAnsi="Arial;sans-serif"/>
          <w:b w:val="false"/>
          <w:color w:val="2A2A2A"/>
          <w:sz w:val="22"/>
        </w:rPr>
        <w:t>Accepted and agreed:</w:t>
      </w:r>
    </w:p>
    <w:p>
      <w:pPr>
        <w:pStyle w:val="TextBody"/>
        <w:bidi w:val="0"/>
        <w:spacing w:before="1" w:after="283"/>
        <w:jc w:val="left"/>
        <w:rPr/>
      </w:pPr>
      <w:r>
        <w:rPr/>
      </w:r>
    </w:p>
    <w:tbl>
      <w:tblPr>
        <w:tblW w:w="2997" w:type="dxa"/>
        <w:jc w:val="left"/>
        <w:tblInd w:w="0" w:type="dxa"/>
        <w:tblLayout w:type="fixed"/>
        <w:tblCellMar>
          <w:top w:w="28" w:type="dxa"/>
          <w:left w:w="28" w:type="dxa"/>
          <w:bottom w:w="28" w:type="dxa"/>
          <w:right w:w="28" w:type="dxa"/>
        </w:tblCellMar>
      </w:tblPr>
      <w:tblGrid>
        <w:gridCol w:w="603"/>
        <w:gridCol w:w="529"/>
        <w:gridCol w:w="533"/>
        <w:gridCol w:w="109"/>
        <w:gridCol w:w="109"/>
        <w:gridCol w:w="109"/>
        <w:gridCol w:w="294"/>
        <w:gridCol w:w="294"/>
        <w:gridCol w:w="417"/>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Warwick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1/29/2026</w:t>
            </w:r>
          </w:p>
        </w:tc>
      </w:tr>
      <w:tr>
        <w:trPr/>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Your 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Exhibit 10.6</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2190750" cy="276225"/>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10"/>
                    <a:stretch>
                      <a:fillRect/>
                    </a:stretch>
                  </pic:blipFill>
                  <pic:spPr bwMode="auto">
                    <a:xfrm>
                      <a:off x="0" y="0"/>
                      <a:ext cx="2190750" cy="276225"/>
                    </a:xfrm>
                    <a:prstGeom prst="rect">
                      <a:avLst/>
                    </a:prstGeom>
                  </pic:spPr>
                </pic:pic>
              </a:graphicData>
            </a:graphic>
          </wp:inline>
        </w:drawing>
      </w:r>
    </w:p>
    <w:p>
      <w:pPr>
        <w:pStyle w:val="TextBody"/>
        <w:bidi w:val="0"/>
        <w:spacing w:before="4" w:after="283"/>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71" w:after="283"/>
        <w:jc w:val="center"/>
        <w:rPr>
          <w:rFonts w:ascii="Times New Roman;serif" w:hAnsi="Times New Roman;serif"/>
          <w:b/>
          <w:color w:val="1D1D1D"/>
          <w:sz w:val="22"/>
        </w:rPr>
      </w:pPr>
      <w:r>
        <w:rPr>
          <w:rFonts w:ascii="Times New Roman;serif" w:hAnsi="Times New Roman;serif"/>
          <w:b/>
          <w:color w:val="1D1D1D"/>
          <w:sz w:val="22"/>
        </w:rPr>
        <w:t>M E M O R A N D U M</w:t>
      </w:r>
    </w:p>
    <w:tbl>
      <w:tblPr>
        <w:tblW w:w="6206" w:type="dxa"/>
        <w:jc w:val="left"/>
        <w:tblInd w:w="0" w:type="dxa"/>
        <w:tblLayout w:type="fixed"/>
        <w:tblCellMar>
          <w:top w:w="28" w:type="dxa"/>
          <w:left w:w="28" w:type="dxa"/>
          <w:bottom w:w="28" w:type="dxa"/>
          <w:right w:w="28" w:type="dxa"/>
        </w:tblCellMar>
      </w:tblPr>
      <w:tblGrid>
        <w:gridCol w:w="439"/>
        <w:gridCol w:w="384"/>
        <w:gridCol w:w="392"/>
        <w:gridCol w:w="109"/>
        <w:gridCol w:w="109"/>
        <w:gridCol w:w="109"/>
        <w:gridCol w:w="1365"/>
        <w:gridCol w:w="1365"/>
        <w:gridCol w:w="1934"/>
      </w:tblGrid>
      <w:tr>
        <w:trPr/>
        <w:tc>
          <w:tcPr>
            <w:tcW w:w="4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Sasha Quinton</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ind w:left="0" w:right="0" w:hanging="1080"/>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Peter Warwick</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9, 2026</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SUBJECT: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Offer Letter Addendum - Severance Provision</w:t>
            </w:r>
          </w:p>
        </w:tc>
      </w:tr>
    </w:tbl>
    <w:p>
      <w:pPr>
        <w:pStyle w:val="TextBody"/>
        <w:bidi w:val="0"/>
        <w:spacing w:before="71"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340" w:before="74" w:after="283"/>
        <w:ind w:left="0" w:right="0" w:firstLine="7"/>
        <w:jc w:val="left"/>
        <w:rPr/>
      </w:pPr>
      <w:r>
        <w:rPr>
          <w:rFonts w:ascii="Arial;sans-serif" w:hAnsi="Arial;sans-serif"/>
          <w:b w:val="false"/>
          <w:color w:val="1D1D1D"/>
          <w:sz w:val="20"/>
        </w:rPr>
        <w:t>I am pleased to confirm that the terms of your original Offer Letter dated November 15, 2019 are hereby amended to include the following provision regarding severance eligibility</w:t>
      </w:r>
      <w:r>
        <w:rPr>
          <w:rFonts w:ascii="Arial;sans-serif" w:hAnsi="Arial;sans-serif"/>
          <w:b w:val="false"/>
          <w:color w:val="3A3A3A"/>
          <w:sz w:val="20"/>
        </w:rPr>
        <w:t>:</w:t>
      </w:r>
    </w:p>
    <w:p>
      <w:pPr>
        <w:pStyle w:val="TextBody"/>
        <w:bidi w:val="0"/>
        <w:spacing w:lineRule="auto" w:line="309" w:before="178" w:after="283"/>
        <w:ind w:left="0" w:right="0" w:firstLine="14"/>
        <w:jc w:val="left"/>
        <w:rPr/>
      </w:pPr>
      <w:r>
        <w:rPr>
          <w:rFonts w:ascii="Times New Roman;serif" w:hAnsi="Times New Roman;serif"/>
          <w:b w:val="false"/>
          <w:i/>
          <w:color w:val="3A3A3A"/>
          <w:sz w:val="22"/>
        </w:rPr>
        <w:t>"</w:t>
      </w:r>
      <w:r>
        <w:rPr>
          <w:rFonts w:ascii="Times New Roman;serif" w:hAnsi="Times New Roman;serif"/>
          <w:b w:val="false"/>
          <w:i/>
          <w:color w:val="1D1D1D"/>
          <w:sz w:val="22"/>
        </w:rPr>
        <w:t>In the event that your employment is terminated without cause</w:t>
      </w:r>
      <w:r>
        <w:rPr>
          <w:rFonts w:ascii="Times New Roman;serif" w:hAnsi="Times New Roman;serif"/>
          <w:b w:val="false"/>
          <w:i/>
          <w:color w:val="3A3A3A"/>
          <w:sz w:val="22"/>
        </w:rPr>
        <w:t xml:space="preserve">, </w:t>
      </w:r>
      <w:r>
        <w:rPr>
          <w:rFonts w:ascii="Times New Roman;serif" w:hAnsi="Times New Roman;serif"/>
          <w:b w:val="false"/>
          <w:i/>
          <w:color w:val="1D1D1D"/>
          <w:sz w:val="22"/>
        </w:rPr>
        <w:t>you will be eligible to receive a separation payment equivalent to twenty-four {24) months' salary. "</w:t>
      </w:r>
    </w:p>
    <w:p>
      <w:pPr>
        <w:pStyle w:val="TextBody"/>
        <w:bidi w:val="0"/>
        <w:spacing w:before="6" w:after="283"/>
        <w:jc w:val="left"/>
        <w:rPr/>
      </w:pPr>
      <w:r>
        <w:rPr/>
      </w:r>
    </w:p>
    <w:p>
      <w:pPr>
        <w:pStyle w:val="TextBody"/>
        <w:bidi w:val="0"/>
        <w:spacing w:lineRule="auto" w:line="340" w:before="0" w:after="0"/>
        <w:jc w:val="left"/>
        <w:rPr/>
      </w:pPr>
      <w:r>
        <w:rPr>
          <w:rFonts w:ascii="Arial;sans-serif" w:hAnsi="Arial;sans-serif"/>
          <w:b w:val="false"/>
          <w:color w:val="1D1D1D"/>
          <w:sz w:val="20"/>
        </w:rPr>
        <w:t xml:space="preserve">All other terms and conditions of </w:t>
      </w:r>
      <w:r>
        <w:rPr>
          <w:rFonts w:ascii="Arial;sans-serif" w:hAnsi="Arial;sans-serif"/>
          <w:b w:val="false"/>
          <w:color w:val="0A0A0A"/>
          <w:sz w:val="20"/>
        </w:rPr>
        <w:t xml:space="preserve">your </w:t>
      </w:r>
      <w:r>
        <w:rPr>
          <w:rFonts w:ascii="Arial;sans-serif" w:hAnsi="Arial;sans-serif"/>
          <w:b w:val="false"/>
          <w:color w:val="1D1D1D"/>
          <w:sz w:val="20"/>
        </w:rPr>
        <w:t>original Offer Letter remain unchanged and in full effect</w:t>
      </w:r>
      <w:r>
        <w:rPr>
          <w:rFonts w:ascii="Arial;sans-serif" w:hAnsi="Arial;sans-serif"/>
          <w:b w:val="false"/>
          <w:color w:val="3A3A3A"/>
          <w:sz w:val="20"/>
        </w:rPr>
        <w:t xml:space="preserve">, </w:t>
      </w:r>
      <w:r>
        <w:rPr>
          <w:rFonts w:ascii="Arial;sans-serif" w:hAnsi="Arial;sans-serif"/>
          <w:b w:val="false"/>
          <w:color w:val="1D1D1D"/>
          <w:sz w:val="20"/>
        </w:rPr>
        <w:t>a</w:t>
      </w:r>
      <w:r>
        <w:rPr>
          <w:rFonts w:ascii="Arial;sans-serif" w:hAnsi="Arial;sans-serif"/>
          <w:b w:val="false"/>
          <w:color w:val="3A3A3A"/>
          <w:sz w:val="20"/>
        </w:rPr>
        <w:t xml:space="preserve">s </w:t>
      </w:r>
      <w:r>
        <w:rPr>
          <w:rFonts w:ascii="Arial;sans-serif" w:hAnsi="Arial;sans-serif"/>
          <w:b w:val="false"/>
          <w:color w:val="1D1D1D"/>
          <w:sz w:val="20"/>
        </w:rPr>
        <w:t>well as any promotions or compensation adjustments you have received since your original Offer Letter</w:t>
      </w:r>
      <w:r>
        <w:rPr>
          <w:rFonts w:ascii="Arial;sans-serif" w:hAnsi="Arial;sans-serif"/>
          <w:b w:val="false"/>
          <w:color w:val="545454"/>
          <w:sz w:val="20"/>
        </w:rPr>
        <w:t>.</w:t>
      </w:r>
    </w:p>
    <w:p>
      <w:pPr>
        <w:pStyle w:val="TextBody"/>
        <w:bidi w:val="0"/>
        <w:spacing w:before="0" w:after="0"/>
        <w:jc w:val="left"/>
        <w:rPr/>
      </w:pPr>
      <w:r>
        <w:rPr/>
      </w:r>
    </w:p>
    <w:p>
      <w:pPr>
        <w:pStyle w:val="TextBody"/>
        <w:bidi w:val="0"/>
        <w:spacing w:lineRule="auto" w:line="573" w:before="0" w:after="0"/>
        <w:ind w:left="0" w:right="0" w:hanging="15"/>
        <w:jc w:val="left"/>
        <w:rPr/>
      </w:pPr>
      <w:r>
        <w:rPr>
          <w:rFonts w:ascii="Arial;sans-serif" w:hAnsi="Arial;sans-serif"/>
          <w:b w:val="false"/>
          <w:color w:val="1D1D1D"/>
          <w:sz w:val="20"/>
        </w:rPr>
        <w:t xml:space="preserve">Thank you for your continued </w:t>
      </w:r>
      <w:r>
        <w:rPr>
          <w:rFonts w:ascii="Arial;sans-serif" w:hAnsi="Arial;sans-serif"/>
          <w:b w:val="false"/>
          <w:color w:val="0A0A0A"/>
          <w:sz w:val="20"/>
        </w:rPr>
        <w:t xml:space="preserve">leadership </w:t>
      </w:r>
      <w:r>
        <w:rPr>
          <w:rFonts w:ascii="Arial;sans-serif" w:hAnsi="Arial;sans-serif"/>
          <w:b w:val="false"/>
          <w:color w:val="1D1D1D"/>
          <w:sz w:val="20"/>
        </w:rPr>
        <w:t>and commitment to Scholastic</w:t>
      </w:r>
      <w:r>
        <w:rPr>
          <w:rFonts w:ascii="Arial;sans-serif" w:hAnsi="Arial;sans-serif"/>
          <w:b w:val="false"/>
          <w:color w:val="3A3A3A"/>
          <w:sz w:val="20"/>
        </w:rPr>
        <w:t xml:space="preserve">. </w:t>
      </w:r>
    </w:p>
    <w:p>
      <w:pPr>
        <w:pStyle w:val="TextBody"/>
        <w:bidi w:val="0"/>
        <w:spacing w:lineRule="auto" w:line="240" w:before="0" w:after="0"/>
        <w:jc w:val="left"/>
        <w:rPr/>
      </w:pPr>
      <w:r>
        <w:rPr>
          <w:rFonts w:ascii="Arial;sans-serif" w:hAnsi="Arial;sans-serif"/>
          <w:b w:val="false"/>
          <w:color w:val="1D1D1D"/>
          <w:sz w:val="20"/>
        </w:rPr>
        <w:t>Warm Regards</w:t>
      </w:r>
      <w:r>
        <w:rPr>
          <w:rFonts w:ascii="Arial;sans-serif" w:hAnsi="Arial;sans-serif"/>
          <w:b w:val="false"/>
          <w:color w:val="545454"/>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Peter Warwick</w:t>
      </w:r>
    </w:p>
    <w:p>
      <w:pPr>
        <w:pStyle w:val="TextBody"/>
        <w:bidi w:val="0"/>
        <w:spacing w:before="10" w:after="283"/>
        <w:jc w:val="left"/>
        <w:rPr/>
      </w:pPr>
      <w:r>
        <w:rPr/>
      </w:r>
    </w:p>
    <w:p>
      <w:pPr>
        <w:pStyle w:val="TextBody"/>
        <w:bidi w:val="0"/>
        <w:spacing w:lineRule="auto" w:line="288" w:before="0" w:after="0"/>
        <w:jc w:val="left"/>
        <w:rPr>
          <w:rFonts w:ascii="Arial;sans-serif" w:hAnsi="Arial;sans-serif"/>
          <w:b w:val="false"/>
          <w:color w:val="1D1D1D"/>
          <w:sz w:val="20"/>
        </w:rPr>
      </w:pPr>
      <w:r>
        <w:rPr>
          <w:rFonts w:ascii="Arial;sans-serif" w:hAnsi="Arial;sans-serif"/>
          <w:b w:val="false"/>
          <w:color w:val="1D1D1D"/>
          <w:sz w:val="20"/>
        </w:rPr>
        <w:t>Peter Warwick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88"/>
        <w:jc w:val="center"/>
        <w:rPr/>
      </w:pPr>
      <w:r>
        <w:rPr>
          <w:rFonts w:ascii="Arial;sans-serif" w:hAnsi="Arial;sans-serif"/>
          <w:b w:val="false"/>
          <w:color w:val="545454"/>
          <w:sz w:val="14"/>
        </w:rPr>
        <w:t>-</w:t>
      </w:r>
      <w:r>
        <w:rPr>
          <w:rFonts w:ascii="Arial;sans-serif" w:hAnsi="Arial;sans-serif"/>
          <w:b w:val="false"/>
          <w:color w:val="1D1D1D"/>
          <w:sz w:val="14"/>
        </w:rPr>
        <w:t>1</w:t>
      </w:r>
      <w:r>
        <w:rPr>
          <w:rFonts w:ascii="Arial;sans-serif" w:hAnsi="Arial;sans-serif"/>
          <w:b w:val="false"/>
          <w:color w:val="545454"/>
          <w:sz w:val="1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19"/>
        </w:rPr>
      </w:pPr>
      <w:r>
        <w:rPr>
          <w:rFonts w:ascii="Times New Roman;serif" w:hAnsi="Times New Roman;serif"/>
          <w:b w:val="false"/>
          <w:color w:val="000000"/>
          <w:sz w:val="19"/>
        </w:rPr>
        <w:t>I, Peter Warwick, the principal executive officer of Scholastic Corporation, certify that:</w:t>
      </w:r>
    </w:p>
    <w:p>
      <w:pPr>
        <w:pStyle w:val="TextBody"/>
        <w:bidi w:val="0"/>
        <w:spacing w:lineRule="auto" w:line="333" w:before="0" w:after="1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8"/>
        <w:gridCol w:w="958"/>
        <w:gridCol w:w="958"/>
        <w:gridCol w:w="2326"/>
        <w:gridCol w:w="1855"/>
        <w:gridCol w:w="26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 have reviewed this Quarterly Report on Form 10-Q of Scholastic Corporation;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 </w:t>
            </w:r>
          </w:p>
        </w:tc>
        <w:tc>
          <w:tcPr>
            <w:tcW w:w="6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5.</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333" w:before="100" w:after="283"/>
        <w:jc w:val="left"/>
        <w:rPr>
          <w:color w:val="000000"/>
        </w:rPr>
      </w:pPr>
      <w:r>
        <w:rPr>
          <w:color w:val="000000"/>
        </w:rPr>
        <w:t> </w:t>
      </w:r>
    </w:p>
    <w:p>
      <w:pPr>
        <w:pStyle w:val="TextBody"/>
        <w:bidi w:val="0"/>
        <w:spacing w:before="100" w:after="283"/>
        <w:jc w:val="left"/>
        <w:rPr/>
      </w:pPr>
      <w:r>
        <w:rPr/>
      </w:r>
    </w:p>
    <w:tbl>
      <w:tblPr>
        <w:tblW w:w="5098" w:type="dxa"/>
        <w:jc w:val="left"/>
        <w:tblInd w:w="0" w:type="dxa"/>
        <w:tblLayout w:type="fixed"/>
        <w:tblCellMar>
          <w:top w:w="28" w:type="dxa"/>
          <w:left w:w="28" w:type="dxa"/>
          <w:bottom w:w="28" w:type="dxa"/>
          <w:right w:w="28" w:type="dxa"/>
        </w:tblCellMar>
      </w:tblPr>
      <w:tblGrid>
        <w:gridCol w:w="683"/>
        <w:gridCol w:w="601"/>
        <w:gridCol w:w="605"/>
        <w:gridCol w:w="858"/>
        <w:gridCol w:w="858"/>
        <w:gridCol w:w="861"/>
        <w:gridCol w:w="185"/>
        <w:gridCol w:w="185"/>
        <w:gridCol w:w="26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Date: March 20, 2026</w:t>
            </w:r>
          </w:p>
        </w:tc>
        <w:tc>
          <w:tcPr>
            <w:tcW w:w="32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Peter Warwick</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Peter Warwick</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19"/>
        </w:rPr>
      </w:pPr>
      <w:r>
        <w:rPr>
          <w:rFonts w:ascii="Times New Roman;serif" w:hAnsi="Times New Roman;serif"/>
          <w:b w:val="false"/>
          <w:color w:val="000000"/>
          <w:sz w:val="19"/>
        </w:rPr>
        <w:t>I, Haji L. Glover, the principal financial officer of Scholastic Corporation, certify that:</w:t>
      </w:r>
    </w:p>
    <w:p>
      <w:pPr>
        <w:pStyle w:val="TextBody"/>
        <w:bidi w:val="0"/>
        <w:spacing w:lineRule="auto" w:line="333" w:before="0" w:after="1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7"/>
        <w:gridCol w:w="1855"/>
        <w:gridCol w:w="26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 have reviewed this Quarterly Report on Form 10-Q of Scholastic Corporation;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9"/>
              </w:rPr>
            </w:pPr>
            <w:r>
              <w:rPr>
                <w:rFonts w:ascii="Times New Roman;serif" w:hAnsi="Times New Roman;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       </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5.</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333" w:before="100" w:after="283"/>
        <w:jc w:val="left"/>
        <w:rPr>
          <w:color w:val="000000"/>
        </w:rPr>
      </w:pPr>
      <w:r>
        <w:rPr>
          <w:color w:val="000000"/>
        </w:rPr>
        <w:t> </w:t>
      </w:r>
    </w:p>
    <w:p>
      <w:pPr>
        <w:pStyle w:val="TextBody"/>
        <w:bidi w:val="0"/>
        <w:spacing w:before="0" w:after="0"/>
        <w:jc w:val="left"/>
        <w:rPr/>
      </w:pPr>
      <w:r>
        <w:rPr/>
      </w:r>
    </w:p>
    <w:p>
      <w:pPr>
        <w:pStyle w:val="TextBody"/>
        <w:bidi w:val="0"/>
        <w:spacing w:lineRule="auto" w:line="333" w:before="0" w:after="100"/>
        <w:jc w:val="left"/>
        <w:rPr>
          <w:color w:val="000000"/>
        </w:rPr>
      </w:pPr>
      <w:r>
        <w:rPr>
          <w:color w:val="000000"/>
        </w:rPr>
        <w:t> </w:t>
      </w:r>
    </w:p>
    <w:tbl>
      <w:tblPr>
        <w:tblW w:w="6327" w:type="dxa"/>
        <w:jc w:val="left"/>
        <w:tblInd w:w="0" w:type="dxa"/>
        <w:tblLayout w:type="fixed"/>
        <w:tblCellMar>
          <w:top w:w="28" w:type="dxa"/>
          <w:left w:w="28" w:type="dxa"/>
          <w:bottom w:w="28" w:type="dxa"/>
          <w:right w:w="28" w:type="dxa"/>
        </w:tblCellMar>
      </w:tblPr>
      <w:tblGrid>
        <w:gridCol w:w="683"/>
        <w:gridCol w:w="601"/>
        <w:gridCol w:w="605"/>
        <w:gridCol w:w="1184"/>
        <w:gridCol w:w="1184"/>
        <w:gridCol w:w="1189"/>
        <w:gridCol w:w="258"/>
        <w:gridCol w:w="258"/>
        <w:gridCol w:w="36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Date: March 20, 2026</w:t>
            </w:r>
          </w:p>
        </w:tc>
        <w:tc>
          <w:tcPr>
            <w:tcW w:w="44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Haji L. Glover</w:t>
            </w:r>
          </w:p>
        </w:tc>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Haji L. Glover</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Executive Vice President and Chief Financial Officer</w:t>
            </w:r>
          </w:p>
        </w:tc>
      </w:tr>
    </w:tbl>
    <w:p>
      <w:pPr>
        <w:pStyle w:val="TextBody"/>
        <w:bidi w:val="0"/>
        <w:spacing w:before="0" w:after="1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with Respect to the Quarterly Report on Form 10-Q</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Quarter ended February 28, 2026</w:t>
      </w:r>
    </w:p>
    <w:p>
      <w:pPr>
        <w:pStyle w:val="TextBody"/>
        <w:bidi w:val="0"/>
        <w:spacing w:lineRule="auto" w:line="333" w:before="0" w:after="100"/>
        <w:jc w:val="center"/>
        <w:rPr/>
      </w:pPr>
      <w:r>
        <w:rPr>
          <w:rFonts w:ascii="Times New Roman;serif" w:hAnsi="Times New Roman;serif"/>
          <w:b/>
          <w:color w:val="000000"/>
          <w:sz w:val="20"/>
        </w:rPr>
        <w:t>of Scholastic Corporation</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63"/>
        <w:gridCol w:w="1263"/>
        <w:gridCol w:w="1263"/>
        <w:gridCol w:w="1997"/>
        <w:gridCol w:w="1681"/>
        <w:gridCol w:w="23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February 28, 2026 (the “Form 10-Q”) fully complies with the requirements of Section 13(a) or 15(d) of the Securities Exchange Act of 1934, as amended;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6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contained in the Form 10-Q fairly presents, in all material respects, the financial condition and results of operations of the Company.</w:t>
            </w:r>
          </w:p>
        </w:tc>
      </w:tr>
    </w:tbl>
    <w:p>
      <w:pPr>
        <w:pStyle w:val="TextBody"/>
        <w:bidi w:val="0"/>
        <w:spacing w:before="0" w:after="100"/>
        <w:jc w:val="center"/>
        <w:rPr/>
      </w:pPr>
      <w:r>
        <w:rPr/>
      </w:r>
    </w:p>
    <w:tbl>
      <w:tblPr>
        <w:tblW w:w="6656" w:type="dxa"/>
        <w:jc w:val="left"/>
        <w:tblInd w:w="0" w:type="dxa"/>
        <w:tblLayout w:type="fixed"/>
        <w:tblCellMar>
          <w:top w:w="28" w:type="dxa"/>
          <w:left w:w="28" w:type="dxa"/>
          <w:bottom w:w="28" w:type="dxa"/>
          <w:right w:w="28" w:type="dxa"/>
        </w:tblCellMar>
      </w:tblPr>
      <w:tblGrid>
        <w:gridCol w:w="683"/>
        <w:gridCol w:w="601"/>
        <w:gridCol w:w="605"/>
        <w:gridCol w:w="1463"/>
        <w:gridCol w:w="1463"/>
        <w:gridCol w:w="1469"/>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00" w:after="283"/>
        <w:jc w:val="left"/>
        <w:rPr>
          <w:color w:val="000000"/>
        </w:rPr>
      </w:pPr>
      <w:r>
        <w:rPr>
          <w:color w:val="000000"/>
        </w:rPr>
        <w:t> </w:t>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above is being furnished solely pursuant to Section 906 of the Sarbanes-Oxley Act of 2002 and is not being filed as part of the Form 10-Q or as a separate disclosure document of the Company or the certifying officers.</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useo Sans 700">
    <w:altName w:val="sans-serif"/>
    <w:charset w:val="01"/>
    <w:family w:val="auto"/>
    <w:pitch w:val="default"/>
  </w:font>
  <w:font w:name="Museo Sans 300">
    <w:altName w:val="sans-serif"/>
    <w:charset w:val="01"/>
    <w:family w:val="auto"/>
    <w:pitch w:val="default"/>
  </w:font>
  <w:font w:name="Museo Sans 500">
    <w:altName w:val="sans-serif"/>
    <w:charset w:val="01"/>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66729/000119312525309611/d32159dex101.htm" TargetMode="External"/><Relationship Id="rId4" Type="http://schemas.openxmlformats.org/officeDocument/2006/relationships/hyperlink" Target="https://www.sec.gov/Archives/edgar/data/866729/000119312525309611/d32159dex102.htm" TargetMode="External"/><Relationship Id="rId5" Type="http://schemas.openxmlformats.org/officeDocument/2006/relationships/hyperlink" Target="https://www.sec.gov/Archives/edgar/data/866729/000119312525309611/d32159dex103.htm" TargetMode="External"/><Relationship Id="rId6" Type="http://schemas.openxmlformats.org/officeDocument/2006/relationships/hyperlink" Target="https://www.sec.gov/Archives/edgar/data/866729/000119312525309611/d32159dex104.htm" TargetMode="External"/><Relationship Id="rId7" Type="http://schemas.openxmlformats.org/officeDocument/2006/relationships/hyperlink" Target="https://www.sec.gov/Archives/edgar/data/866729/000119312525309611/d32159dex104.htm" TargetMode="External"/><Relationship Id="rId8" Type="http://schemas.openxmlformats.org/officeDocument/2006/relationships/hyperlink" Target="https://www.sec.gov/Archives/edgar/data/866729/000119312525309611/d32159dex104.htm" TargetMode="External"/><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22758</Words>
  <Characters>125967</Characters>
  <CharactersWithSpaces>147287</CharactersWithSpaces>
  <Paragraphs>3895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