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242026_120701.xml.htm"/>
      <w:bookmarkStart w:id="1" w:name="ksform407242026_1207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Peter Warwick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CORPORATE SECRETARY, SCHOLASTIC CORP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557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SCHOLASTIC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SCHL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27"/>
        <w:gridCol w:w="494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46,425</w:t>
            </w:r>
          </w:p>
        </w:tc>
        <w:tc>
          <w:tcPr>
            <w:tcW w:w="4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46.44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184,088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25,674</w:t>
            </w:r>
          </w:p>
        </w:tc>
        <w:tc>
          <w:tcPr>
            <w:tcW w:w="4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46.44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158,414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55"/>
        <w:gridCol w:w="336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21,533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09/21/2027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21,533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21,533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acquired upon vesting and payout of performance share units granted on July 15,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grant of performance share units which are scheduled to vest as of July 21, 2027 based on satisfaction of specified fiscal year performance goals.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Peter W. Warwick by Andrew S. Hedden,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0586" TargetMode="External"/><Relationship Id="rId5" Type="http://schemas.openxmlformats.org/officeDocument/2006/relationships/hyperlink" Target="http://www.sec.gov/cgi-bin/browse-edgar?action=getcompany&amp;CIK=00008667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638</Words>
  <Characters>3458</Characters>
  <CharactersWithSpaces>4006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