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Form 10-K</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Annual Report pursuant to section 13 or 15(d) of</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Securities Exchange Act of 1934</w:t>
      </w:r>
    </w:p>
    <w:p>
      <w:pPr>
        <w:spacing w:after="0" w:line="196" w:lineRule="exact"/>
        <w:rPr>
          <w:sz w:val="24"/>
          <w:szCs w:val="24"/>
          <w:color w:val="auto"/>
        </w:rPr>
      </w:pPr>
    </w:p>
    <w:p>
      <w:pPr>
        <w:jc w:val="center"/>
        <w:ind w:right="20"/>
        <w:spacing w:after="0"/>
        <w:tabs>
          <w:tab w:leader="none" w:pos="220" w:val="left"/>
          <w:tab w:leader="none" w:pos="200" w:val="left"/>
        </w:tabs>
        <w:rPr>
          <w:sz w:val="20"/>
          <w:szCs w:val="20"/>
          <w:color w:val="auto"/>
        </w:rPr>
      </w:pPr>
      <w:r>
        <w:rPr>
          <w:rFonts w:ascii="Arial" w:cs="Arial" w:eastAsia="Arial" w:hAnsi="Arial"/>
          <w:sz w:val="15"/>
          <w:szCs w:val="15"/>
          <w:color w:val="auto"/>
        </w:rPr>
        <w:t>For the fiscal year ended May 31, 2006</w:t>
        <w:tab/>
        <w:t>|</w:t>
      </w:r>
      <w:r>
        <w:rPr>
          <w:sz w:val="20"/>
          <w:szCs w:val="20"/>
          <w:color w:val="auto"/>
        </w:rPr>
        <w:tab/>
      </w:r>
      <w:r>
        <w:rPr>
          <w:rFonts w:ascii="Arial" w:cs="Arial" w:eastAsia="Arial" w:hAnsi="Arial"/>
          <w:sz w:val="14"/>
          <w:szCs w:val="14"/>
          <w:color w:val="auto"/>
        </w:rPr>
        <w:t>Commission File No. 000-19860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Scholastic Corporation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13" w:lineRule="exact"/>
        <w:rPr>
          <w:sz w:val="24"/>
          <w:szCs w:val="24"/>
          <w:color w:val="auto"/>
        </w:rPr>
      </w:pPr>
    </w:p>
    <w:tbl>
      <w:tblPr>
        <w:tblLayout w:type="fixed"/>
        <w:tblInd w:w="1560" w:type="dxa"/>
        <w:tblCellMar>
          <w:top w:w="0" w:type="dxa"/>
          <w:left w:w="0" w:type="dxa"/>
          <w:bottom w:w="0" w:type="dxa"/>
          <w:right w:w="0" w:type="dxa"/>
        </w:tblCellMar>
      </w:tblPr>
      <w:tr>
        <w:trPr>
          <w:trHeight w:val="199"/>
        </w:trPr>
        <w:tc>
          <w:tcPr>
            <w:tcW w:w="4240" w:type="dxa"/>
            <w:vAlign w:val="bottom"/>
          </w:tcPr>
          <w:p>
            <w:pPr>
              <w:jc w:val="center"/>
              <w:ind w:right="1624"/>
              <w:spacing w:after="0"/>
              <w:rPr>
                <w:sz w:val="20"/>
                <w:szCs w:val="20"/>
                <w:color w:val="auto"/>
              </w:rPr>
            </w:pPr>
            <w:r>
              <w:rPr>
                <w:rFonts w:ascii="Arial" w:cs="Arial" w:eastAsia="Arial" w:hAnsi="Arial"/>
                <w:sz w:val="15"/>
                <w:szCs w:val="15"/>
                <w:b w:val="1"/>
                <w:bCs w:val="1"/>
                <w:color w:val="auto"/>
              </w:rPr>
              <w:t>Delaware</w:t>
            </w:r>
          </w:p>
        </w:tc>
        <w:tc>
          <w:tcPr>
            <w:tcW w:w="3800" w:type="dxa"/>
            <w:vAlign w:val="bottom"/>
          </w:tcPr>
          <w:p>
            <w:pPr>
              <w:jc w:val="right"/>
              <w:ind w:right="564"/>
              <w:spacing w:after="0"/>
              <w:rPr>
                <w:sz w:val="20"/>
                <w:szCs w:val="20"/>
                <w:color w:val="auto"/>
              </w:rPr>
            </w:pPr>
            <w:r>
              <w:rPr>
                <w:rFonts w:ascii="Arial" w:cs="Arial" w:eastAsia="Arial" w:hAnsi="Arial"/>
                <w:sz w:val="15"/>
                <w:szCs w:val="15"/>
                <w:b w:val="1"/>
                <w:bCs w:val="1"/>
                <w:color w:val="auto"/>
              </w:rPr>
              <w:t>13-3385513</w:t>
            </w:r>
          </w:p>
        </w:tc>
      </w:tr>
      <w:tr>
        <w:trPr>
          <w:trHeight w:val="210"/>
        </w:trPr>
        <w:tc>
          <w:tcPr>
            <w:tcW w:w="4240" w:type="dxa"/>
            <w:vAlign w:val="bottom"/>
          </w:tcPr>
          <w:p>
            <w:pPr>
              <w:jc w:val="center"/>
              <w:ind w:right="1624"/>
              <w:spacing w:after="0"/>
              <w:rPr>
                <w:sz w:val="20"/>
                <w:szCs w:val="20"/>
                <w:color w:val="auto"/>
              </w:rPr>
            </w:pPr>
            <w:r>
              <w:rPr>
                <w:rFonts w:ascii="Arial" w:cs="Arial" w:eastAsia="Arial" w:hAnsi="Arial"/>
                <w:sz w:val="15"/>
                <w:szCs w:val="15"/>
                <w:color w:val="auto"/>
                <w:w w:val="92"/>
              </w:rPr>
              <w:t>(State or other jurisdiction of</w:t>
            </w:r>
          </w:p>
        </w:tc>
        <w:tc>
          <w:tcPr>
            <w:tcW w:w="3800" w:type="dxa"/>
            <w:vAlign w:val="bottom"/>
          </w:tcPr>
          <w:p>
            <w:pPr>
              <w:jc w:val="center"/>
              <w:ind w:left="1624"/>
              <w:spacing w:after="0"/>
              <w:rPr>
                <w:sz w:val="20"/>
                <w:szCs w:val="20"/>
                <w:color w:val="auto"/>
              </w:rPr>
            </w:pPr>
            <w:r>
              <w:rPr>
                <w:rFonts w:ascii="Arial" w:cs="Arial" w:eastAsia="Arial" w:hAnsi="Arial"/>
                <w:sz w:val="15"/>
                <w:szCs w:val="15"/>
                <w:color w:val="auto"/>
                <w:w w:val="96"/>
              </w:rPr>
              <w:t>(IRS Employer Identification No.)</w:t>
            </w:r>
          </w:p>
        </w:tc>
      </w:tr>
      <w:tr>
        <w:trPr>
          <w:trHeight w:val="210"/>
        </w:trPr>
        <w:tc>
          <w:tcPr>
            <w:tcW w:w="4240" w:type="dxa"/>
            <w:vAlign w:val="bottom"/>
          </w:tcPr>
          <w:p>
            <w:pPr>
              <w:jc w:val="center"/>
              <w:ind w:right="1624"/>
              <w:spacing w:after="0"/>
              <w:rPr>
                <w:sz w:val="20"/>
                <w:szCs w:val="20"/>
                <w:color w:val="auto"/>
              </w:rPr>
            </w:pPr>
            <w:r>
              <w:rPr>
                <w:rFonts w:ascii="Arial" w:cs="Arial" w:eastAsia="Arial" w:hAnsi="Arial"/>
                <w:sz w:val="15"/>
                <w:szCs w:val="15"/>
                <w:color w:val="auto"/>
                <w:w w:val="93"/>
              </w:rPr>
              <w:t>incorporation or organization)</w:t>
            </w:r>
          </w:p>
        </w:tc>
        <w:tc>
          <w:tcPr>
            <w:tcW w:w="3800" w:type="dxa"/>
            <w:vAlign w:val="bottom"/>
          </w:tcPr>
          <w:p>
            <w:pPr>
              <w:spacing w:after="0"/>
              <w:rPr>
                <w:sz w:val="18"/>
                <w:szCs w:val="18"/>
                <w:color w:val="auto"/>
              </w:rPr>
            </w:pPr>
          </w:p>
        </w:tc>
      </w:tr>
      <w:tr>
        <w:trPr>
          <w:trHeight w:val="419"/>
        </w:trPr>
        <w:tc>
          <w:tcPr>
            <w:tcW w:w="4240" w:type="dxa"/>
            <w:vAlign w:val="bottom"/>
          </w:tcPr>
          <w:p>
            <w:pPr>
              <w:jc w:val="center"/>
              <w:ind w:right="1624"/>
              <w:spacing w:after="0"/>
              <w:rPr>
                <w:sz w:val="20"/>
                <w:szCs w:val="20"/>
                <w:color w:val="auto"/>
              </w:rPr>
            </w:pPr>
            <w:r>
              <w:rPr>
                <w:rFonts w:ascii="Arial" w:cs="Arial" w:eastAsia="Arial" w:hAnsi="Arial"/>
                <w:sz w:val="15"/>
                <w:szCs w:val="15"/>
                <w:b w:val="1"/>
                <w:bCs w:val="1"/>
                <w:color w:val="auto"/>
                <w:w w:val="99"/>
              </w:rPr>
              <w:t>557 Broadway, New York, New York</w:t>
            </w:r>
          </w:p>
        </w:tc>
        <w:tc>
          <w:tcPr>
            <w:tcW w:w="3800" w:type="dxa"/>
            <w:vAlign w:val="bottom"/>
          </w:tcPr>
          <w:p>
            <w:pPr>
              <w:jc w:val="right"/>
              <w:ind w:right="764"/>
              <w:spacing w:after="0"/>
              <w:rPr>
                <w:sz w:val="20"/>
                <w:szCs w:val="20"/>
                <w:color w:val="auto"/>
              </w:rPr>
            </w:pPr>
            <w:r>
              <w:rPr>
                <w:rFonts w:ascii="Arial" w:cs="Arial" w:eastAsia="Arial" w:hAnsi="Arial"/>
                <w:sz w:val="15"/>
                <w:szCs w:val="15"/>
                <w:b w:val="1"/>
                <w:bCs w:val="1"/>
                <w:color w:val="auto"/>
              </w:rPr>
              <w:t>10012</w:t>
            </w:r>
          </w:p>
        </w:tc>
      </w:tr>
      <w:tr>
        <w:trPr>
          <w:trHeight w:val="210"/>
        </w:trPr>
        <w:tc>
          <w:tcPr>
            <w:tcW w:w="4240" w:type="dxa"/>
            <w:vAlign w:val="bottom"/>
          </w:tcPr>
          <w:p>
            <w:pPr>
              <w:jc w:val="center"/>
              <w:ind w:right="1624"/>
              <w:spacing w:after="0"/>
              <w:rPr>
                <w:sz w:val="20"/>
                <w:szCs w:val="20"/>
                <w:color w:val="auto"/>
              </w:rPr>
            </w:pPr>
            <w:r>
              <w:rPr>
                <w:rFonts w:ascii="Arial" w:cs="Arial" w:eastAsia="Arial" w:hAnsi="Arial"/>
                <w:sz w:val="15"/>
                <w:szCs w:val="15"/>
                <w:color w:val="auto"/>
                <w:w w:val="94"/>
              </w:rPr>
              <w:t>(Address of principal executive offices)</w:t>
            </w:r>
          </w:p>
        </w:tc>
        <w:tc>
          <w:tcPr>
            <w:tcW w:w="3800" w:type="dxa"/>
            <w:vAlign w:val="bottom"/>
          </w:tcPr>
          <w:p>
            <w:pPr>
              <w:jc w:val="center"/>
              <w:ind w:left="1624"/>
              <w:spacing w:after="0"/>
              <w:rPr>
                <w:sz w:val="20"/>
                <w:szCs w:val="20"/>
                <w:color w:val="auto"/>
              </w:rPr>
            </w:pPr>
            <w:r>
              <w:rPr>
                <w:rFonts w:ascii="Arial" w:cs="Arial" w:eastAsia="Arial" w:hAnsi="Arial"/>
                <w:sz w:val="15"/>
                <w:szCs w:val="15"/>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 (212) 343-6100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5360" w:type="dxa"/>
            <w:vAlign w:val="bottom"/>
          </w:tcPr>
          <w:p>
            <w:pPr>
              <w:jc w:val="center"/>
              <w:ind w:left="224"/>
              <w:spacing w:after="0"/>
              <w:rPr>
                <w:sz w:val="20"/>
                <w:szCs w:val="20"/>
                <w:color w:val="auto"/>
              </w:rPr>
            </w:pPr>
            <w:r>
              <w:rPr>
                <w:rFonts w:ascii="Arial" w:cs="Arial" w:eastAsia="Arial" w:hAnsi="Arial"/>
                <w:sz w:val="15"/>
                <w:szCs w:val="15"/>
                <w:b w:val="1"/>
                <w:bCs w:val="1"/>
                <w:color w:val="auto"/>
                <w:w w:val="98"/>
              </w:rPr>
              <w:t>Title of class</w:t>
            </w:r>
          </w:p>
        </w:tc>
        <w:tc>
          <w:tcPr>
            <w:tcW w:w="6080" w:type="dxa"/>
            <w:vAlign w:val="bottom"/>
          </w:tcPr>
          <w:p>
            <w:pPr>
              <w:jc w:val="center"/>
              <w:ind w:left="224"/>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96"/>
        </w:trPr>
        <w:tc>
          <w:tcPr>
            <w:tcW w:w="536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r>
      <w:tr>
        <w:trPr>
          <w:trHeight w:val="292"/>
        </w:trPr>
        <w:tc>
          <w:tcPr>
            <w:tcW w:w="5360" w:type="dxa"/>
            <w:vAlign w:val="bottom"/>
          </w:tcPr>
          <w:p>
            <w:pPr>
              <w:jc w:val="center"/>
              <w:ind w:left="244"/>
              <w:spacing w:after="0"/>
              <w:rPr>
                <w:sz w:val="20"/>
                <w:szCs w:val="20"/>
                <w:color w:val="auto"/>
              </w:rPr>
            </w:pPr>
            <w:r>
              <w:rPr>
                <w:rFonts w:ascii="Arial" w:cs="Arial" w:eastAsia="Arial" w:hAnsi="Arial"/>
                <w:sz w:val="15"/>
                <w:szCs w:val="15"/>
                <w:color w:val="auto"/>
                <w:w w:val="91"/>
              </w:rPr>
              <w:t>Common Stock, $0.01 par value</w:t>
            </w:r>
          </w:p>
        </w:tc>
        <w:tc>
          <w:tcPr>
            <w:tcW w:w="6080" w:type="dxa"/>
            <w:vAlign w:val="bottom"/>
          </w:tcPr>
          <w:p>
            <w:pPr>
              <w:jc w:val="center"/>
              <w:ind w:left="224"/>
              <w:spacing w:after="0"/>
              <w:rPr>
                <w:sz w:val="20"/>
                <w:szCs w:val="20"/>
                <w:color w:val="auto"/>
              </w:rPr>
            </w:pPr>
            <w:r>
              <w:rPr>
                <w:rFonts w:ascii="Arial" w:cs="Arial" w:eastAsia="Arial" w:hAnsi="Arial"/>
                <w:sz w:val="15"/>
                <w:szCs w:val="15"/>
                <w:color w:val="auto"/>
                <w:w w:val="96"/>
              </w:rPr>
              <w:t>The NASDAQ Stock Market LLC</w:t>
            </w:r>
          </w:p>
        </w:tc>
      </w:tr>
      <w:tr>
        <w:trPr>
          <w:trHeight w:val="96"/>
        </w:trPr>
        <w:tc>
          <w:tcPr>
            <w:tcW w:w="536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NONE</w:t>
      </w:r>
    </w:p>
    <w:p>
      <w:pPr>
        <w:spacing w:after="0" w:line="184" w:lineRule="exact"/>
        <w:rPr>
          <w:sz w:val="24"/>
          <w:szCs w:val="24"/>
          <w:color w:val="auto"/>
        </w:rPr>
      </w:pPr>
    </w:p>
    <w:p>
      <w:pPr>
        <w:ind w:right="3540"/>
        <w:spacing w:after="0" w:line="559"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5"/>
          <w:szCs w:val="15"/>
          <w:color w:val="auto"/>
        </w:rPr>
        <w:t>x</w:t>
      </w:r>
      <w:r>
        <w:rPr>
          <w:rFonts w:ascii="Arial" w:cs="Arial" w:eastAsia="Arial" w:hAnsi="Arial"/>
          <w:sz w:val="13"/>
          <w:szCs w:val="13"/>
          <w:color w:val="auto"/>
        </w:rPr>
        <w:t xml:space="preserve"> No </w:t>
      </w:r>
      <w:r>
        <w:rPr>
          <w:rFonts w:ascii="Arial" w:cs="Arial" w:eastAsia="Arial" w:hAnsi="Arial"/>
          <w:sz w:val="15"/>
          <w:szCs w:val="15"/>
          <w:color w:val="auto"/>
        </w:rPr>
        <w:t>o</w:t>
      </w:r>
      <w:r>
        <w:rPr>
          <w:rFonts w:ascii="Arial" w:cs="Arial" w:eastAsia="Arial" w:hAnsi="Arial"/>
          <w:sz w:val="13"/>
          <w:szCs w:val="13"/>
          <w:color w:val="auto"/>
        </w:rPr>
        <w:t xml:space="preserve"> Indicate by check mark if the Registrant is not required to file reports pursuant to Section 13 or Section 15(d) of Act. Yes </w:t>
      </w:r>
      <w:r>
        <w:rPr>
          <w:rFonts w:ascii="Arial" w:cs="Arial" w:eastAsia="Arial" w:hAnsi="Arial"/>
          <w:sz w:val="15"/>
          <w:szCs w:val="15"/>
          <w:color w:val="auto"/>
        </w:rPr>
        <w:t>o</w:t>
      </w:r>
      <w:r>
        <w:rPr>
          <w:rFonts w:ascii="Arial" w:cs="Arial" w:eastAsia="Arial" w:hAnsi="Arial"/>
          <w:sz w:val="13"/>
          <w:szCs w:val="13"/>
          <w:color w:val="auto"/>
        </w:rPr>
        <w:t xml:space="preserve"> No </w:t>
      </w:r>
      <w:r>
        <w:rPr>
          <w:rFonts w:ascii="Arial" w:cs="Arial" w:eastAsia="Arial" w:hAnsi="Arial"/>
          <w:sz w:val="15"/>
          <w:szCs w:val="15"/>
          <w:color w:val="auto"/>
        </w:rPr>
        <w:t>x</w:t>
      </w:r>
    </w:p>
    <w:p>
      <w:pPr>
        <w:spacing w:after="0" w:line="1" w:lineRule="exact"/>
        <w:rPr>
          <w:sz w:val="24"/>
          <w:szCs w:val="24"/>
          <w:color w:val="auto"/>
        </w:rPr>
      </w:pPr>
    </w:p>
    <w:p>
      <w:pPr>
        <w:jc w:val="both"/>
        <w:spacing w:after="0" w:line="30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Arial" w:cs="Arial" w:eastAsia="Arial" w:hAnsi="Arial"/>
          <w:sz w:val="14"/>
          <w:szCs w:val="14"/>
          <w:color w:val="auto"/>
        </w:rPr>
        <w:t xml:space="preserve"> No </w:t>
      </w:r>
      <w:r>
        <w:rPr>
          <w:rFonts w:ascii="Arial" w:cs="Arial" w:eastAsia="Arial" w:hAnsi="Arial"/>
          <w:sz w:val="17"/>
          <w:szCs w:val="17"/>
          <w:color w:val="auto"/>
        </w:rPr>
        <w:t>o</w:t>
      </w:r>
    </w:p>
    <w:p>
      <w:pPr>
        <w:spacing w:after="0" w:line="124" w:lineRule="exact"/>
        <w:rPr>
          <w:sz w:val="24"/>
          <w:szCs w:val="24"/>
          <w:color w:val="auto"/>
        </w:rPr>
      </w:pPr>
    </w:p>
    <w:p>
      <w:pPr>
        <w:ind w:right="80"/>
        <w:spacing w:after="0" w:line="278" w:lineRule="auto"/>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color w:val="auto"/>
        </w:rPr>
        <w:t>o</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Rule 12b-2 of the Exchange Act. (Check one):</w:t>
      </w:r>
    </w:p>
    <w:p>
      <w:pPr>
        <w:spacing w:after="0" w:line="184" w:lineRule="exact"/>
        <w:rPr>
          <w:sz w:val="24"/>
          <w:szCs w:val="24"/>
          <w:color w:val="auto"/>
        </w:rPr>
      </w:pPr>
    </w:p>
    <w:p>
      <w:pPr>
        <w:ind w:right="3460" w:firstLine="3461"/>
        <w:spacing w:after="0" w:line="466" w:lineRule="auto"/>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Large accelerated filer</w:t>
      </w:r>
      <w:r>
        <w:rPr>
          <w:rFonts w:ascii="Arial" w:cs="Arial" w:eastAsia="Arial" w:hAnsi="Arial"/>
          <w:sz w:val="18"/>
          <w:szCs w:val="18"/>
          <w:color w:val="auto"/>
        </w:rPr>
        <w:t xml:space="preserve"> o </w:t>
      </w:r>
      <w:r>
        <w:rPr>
          <w:rFonts w:ascii="Arial" w:cs="Arial" w:eastAsia="Arial" w:hAnsi="Arial"/>
          <w:sz w:val="14"/>
          <w:szCs w:val="14"/>
          <w:color w:val="auto"/>
        </w:rPr>
        <w:t>Accelerated filer</w:t>
      </w:r>
      <w:r>
        <w:rPr>
          <w:rFonts w:ascii="Arial" w:cs="Arial" w:eastAsia="Arial" w:hAnsi="Arial"/>
          <w:sz w:val="18"/>
          <w:szCs w:val="18"/>
          <w:color w:val="auto"/>
        </w:rPr>
        <w:t xml:space="preserve"> o </w:t>
      </w:r>
      <w:r>
        <w:rPr>
          <w:rFonts w:ascii="Arial" w:cs="Arial" w:eastAsia="Arial" w:hAnsi="Arial"/>
          <w:sz w:val="14"/>
          <w:szCs w:val="14"/>
          <w:color w:val="auto"/>
        </w:rPr>
        <w:t>Non-accelerated filer</w:t>
      </w:r>
      <w:r>
        <w:rPr>
          <w:rFonts w:ascii="Arial" w:cs="Arial" w:eastAsia="Arial" w:hAnsi="Arial"/>
          <w:sz w:val="18"/>
          <w:szCs w:val="18"/>
          <w:color w:val="auto"/>
        </w:rPr>
        <w:t xml:space="preserve"> </w:t>
      </w: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7"/>
          <w:szCs w:val="17"/>
          <w:color w:val="auto"/>
        </w:rPr>
        <w:t>o</w:t>
      </w:r>
      <w:r>
        <w:rPr>
          <w:rFonts w:ascii="Arial" w:cs="Arial" w:eastAsia="Arial" w:hAnsi="Arial"/>
          <w:sz w:val="14"/>
          <w:szCs w:val="14"/>
          <w:color w:val="auto"/>
        </w:rPr>
        <w:t xml:space="preserve"> No </w:t>
      </w:r>
      <w:r>
        <w:rPr>
          <w:rFonts w:ascii="Arial" w:cs="Arial" w:eastAsia="Arial" w:hAnsi="Arial"/>
          <w:sz w:val="17"/>
          <w:szCs w:val="17"/>
          <w:color w:val="auto"/>
        </w:rPr>
        <w:t>x</w:t>
      </w:r>
    </w:p>
    <w:p>
      <w:pPr>
        <w:ind w:right="20"/>
        <w:spacing w:after="0" w:line="285" w:lineRule="auto"/>
        <w:rPr>
          <w:sz w:val="20"/>
          <w:szCs w:val="20"/>
          <w:color w:val="auto"/>
        </w:rPr>
      </w:pPr>
      <w:r>
        <w:rPr>
          <w:rFonts w:ascii="Arial" w:cs="Arial" w:eastAsia="Arial" w:hAnsi="Arial"/>
          <w:sz w:val="15"/>
          <w:szCs w:val="15"/>
          <w:color w:val="auto"/>
        </w:rPr>
        <w:t>The aggregate market value of the Common Stock, par value $0.01, held by non-affiliates as November 30, 2005, was approximately $1,115,228,000. As of such date, non-affiliates held no shares of the Class A Stock, $0.01 par value. There is no active market for the Class A Stock.</w:t>
      </w:r>
    </w:p>
    <w:p>
      <w:pPr>
        <w:spacing w:after="0" w:line="150" w:lineRule="exact"/>
        <w:rPr>
          <w:sz w:val="24"/>
          <w:szCs w:val="24"/>
          <w:color w:val="auto"/>
        </w:rPr>
      </w:pPr>
    </w:p>
    <w:p>
      <w:pPr>
        <w:ind w:right="200"/>
        <w:spacing w:after="0" w:line="285" w:lineRule="auto"/>
        <w:rPr>
          <w:sz w:val="20"/>
          <w:szCs w:val="20"/>
          <w:color w:val="auto"/>
        </w:rPr>
      </w:pPr>
      <w:r>
        <w:rPr>
          <w:rFonts w:ascii="Arial" w:cs="Arial" w:eastAsia="Arial" w:hAnsi="Arial"/>
          <w:sz w:val="15"/>
          <w:szCs w:val="15"/>
          <w:color w:val="auto"/>
        </w:rPr>
        <w:t>The number of shares outstanding of each class of the Registrant’s voting stock as of July 26, 2006 was as follows: 40,355,315 shares of Common Stock and 1,656,200 shares of Class A Stock.</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Documents Incorporated By Reference</w:t>
      </w: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color w:val="auto"/>
        </w:rPr>
        <w:t>Part III incorporates certain information by reference from the Registrant’s definitive proxy statement for the Annual Meeting of Stockholders to be held September 20,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8535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424"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486"/>
        </w:trPr>
        <w:tc>
          <w:tcPr>
            <w:tcW w:w="1060" w:type="dxa"/>
            <w:vAlign w:val="bottom"/>
          </w:tcPr>
          <w:p>
            <w:pPr>
              <w:spacing w:after="0"/>
              <w:rPr>
                <w:sz w:val="24"/>
                <w:szCs w:val="24"/>
                <w:color w:val="auto"/>
              </w:rPr>
            </w:pPr>
          </w:p>
        </w:tc>
        <w:tc>
          <w:tcPr>
            <w:tcW w:w="8000" w:type="dxa"/>
            <w:vAlign w:val="bottom"/>
          </w:tcPr>
          <w:p>
            <w:pPr>
              <w:ind w:left="3280"/>
              <w:spacing w:after="0"/>
              <w:rPr>
                <w:sz w:val="20"/>
                <w:szCs w:val="20"/>
                <w:color w:val="auto"/>
              </w:rPr>
            </w:pPr>
            <w:r>
              <w:rPr>
                <w:rFonts w:ascii="Arial" w:cs="Arial" w:eastAsia="Arial" w:hAnsi="Arial"/>
                <w:sz w:val="37"/>
                <w:szCs w:val="37"/>
                <w:b w:val="1"/>
                <w:bCs w:val="1"/>
                <w:color w:val="auto"/>
              </w:rPr>
              <w:t>Table of Contents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060" w:type="dxa"/>
            <w:vAlign w:val="bottom"/>
          </w:tcPr>
          <w:p>
            <w:pPr>
              <w:spacing w:after="0"/>
              <w:rPr>
                <w:sz w:val="24"/>
                <w:szCs w:val="24"/>
                <w:color w:val="auto"/>
              </w:rPr>
            </w:pPr>
          </w:p>
        </w:tc>
        <w:tc>
          <w:tcPr>
            <w:tcW w:w="8000" w:type="dxa"/>
            <w:vAlign w:val="bottom"/>
            <w:vMerge w:val="restart"/>
          </w:tcPr>
          <w:p>
            <w:pPr>
              <w:jc w:val="center"/>
              <w:ind w:left="1119"/>
              <w:spacing w:after="0"/>
              <w:rPr>
                <w:sz w:val="20"/>
                <w:szCs w:val="20"/>
                <w:color w:val="auto"/>
              </w:rPr>
            </w:pPr>
            <w:r>
              <w:rPr>
                <w:rFonts w:ascii="Arial" w:cs="Arial" w:eastAsia="Arial" w:hAnsi="Arial"/>
                <w:sz w:val="21"/>
                <w:szCs w:val="21"/>
                <w:b w:val="1"/>
                <w:bCs w:val="1"/>
                <w:color w:val="auto"/>
                <w:w w:val="98"/>
              </w:rPr>
              <w:t>Part I</w:t>
            </w:r>
          </w:p>
        </w:tc>
        <w:tc>
          <w:tcPr>
            <w:tcW w:w="2420" w:type="dxa"/>
            <w:vAlign w:val="bottom"/>
          </w:tcPr>
          <w:p>
            <w:pPr>
              <w:jc w:val="right"/>
              <w:ind w:right="4"/>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51"/>
        </w:trPr>
        <w:tc>
          <w:tcPr>
            <w:tcW w:w="1060" w:type="dxa"/>
            <w:vAlign w:val="bottom"/>
          </w:tcPr>
          <w:p>
            <w:pPr>
              <w:spacing w:after="0"/>
              <w:rPr>
                <w:sz w:val="21"/>
                <w:szCs w:val="21"/>
                <w:color w:val="auto"/>
              </w:rPr>
            </w:pPr>
          </w:p>
        </w:tc>
        <w:tc>
          <w:tcPr>
            <w:tcW w:w="8000" w:type="dxa"/>
            <w:vAlign w:val="bottom"/>
            <w:vMerge w:val="continue"/>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w:t>
            </w:r>
          </w:p>
        </w:tc>
        <w:tc>
          <w:tcPr>
            <w:tcW w:w="8000" w:type="dxa"/>
            <w:vAlign w:val="bottom"/>
          </w:tcPr>
          <w:p>
            <w:pPr>
              <w:ind w:left="440"/>
              <w:spacing w:after="0"/>
              <w:rPr>
                <w:sz w:val="20"/>
                <w:szCs w:val="20"/>
                <w:color w:val="auto"/>
              </w:rPr>
            </w:pPr>
            <w:r>
              <w:rPr>
                <w:rFonts w:ascii="Arial" w:cs="Arial" w:eastAsia="Arial" w:hAnsi="Arial"/>
                <w:sz w:val="15"/>
                <w:szCs w:val="15"/>
                <w:color w:val="auto"/>
              </w:rPr>
              <w:t>Business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1A.</w:t>
            </w:r>
          </w:p>
        </w:tc>
        <w:tc>
          <w:tcPr>
            <w:tcW w:w="8000" w:type="dxa"/>
            <w:vAlign w:val="bottom"/>
          </w:tcPr>
          <w:p>
            <w:pPr>
              <w:ind w:left="440"/>
              <w:spacing w:after="0"/>
              <w:rPr>
                <w:sz w:val="20"/>
                <w:szCs w:val="20"/>
                <w:color w:val="auto"/>
              </w:rPr>
            </w:pPr>
            <w:r>
              <w:rPr>
                <w:rFonts w:ascii="Arial" w:cs="Arial" w:eastAsia="Arial" w:hAnsi="Arial"/>
                <w:sz w:val="15"/>
                <w:szCs w:val="15"/>
                <w:color w:val="auto"/>
              </w:rPr>
              <w:t>Risk Factors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1B.</w:t>
            </w:r>
          </w:p>
        </w:tc>
        <w:tc>
          <w:tcPr>
            <w:tcW w:w="8000" w:type="dxa"/>
            <w:vAlign w:val="bottom"/>
          </w:tcPr>
          <w:p>
            <w:pPr>
              <w:ind w:left="440"/>
              <w:spacing w:after="0"/>
              <w:rPr>
                <w:sz w:val="20"/>
                <w:szCs w:val="20"/>
                <w:color w:val="auto"/>
              </w:rPr>
            </w:pPr>
            <w:r>
              <w:rPr>
                <w:rFonts w:ascii="Arial" w:cs="Arial" w:eastAsia="Arial" w:hAnsi="Arial"/>
                <w:sz w:val="15"/>
                <w:szCs w:val="15"/>
                <w:color w:val="auto"/>
              </w:rPr>
              <w:t>Unresolved Staff Comments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2.</w:t>
            </w:r>
          </w:p>
        </w:tc>
        <w:tc>
          <w:tcPr>
            <w:tcW w:w="8000" w:type="dxa"/>
            <w:vAlign w:val="bottom"/>
          </w:tcPr>
          <w:p>
            <w:pPr>
              <w:ind w:left="440"/>
              <w:spacing w:after="0"/>
              <w:rPr>
                <w:sz w:val="20"/>
                <w:szCs w:val="20"/>
                <w:color w:val="auto"/>
              </w:rPr>
            </w:pPr>
            <w:r>
              <w:rPr>
                <w:rFonts w:ascii="Arial" w:cs="Arial" w:eastAsia="Arial" w:hAnsi="Arial"/>
                <w:sz w:val="15"/>
                <w:szCs w:val="15"/>
                <w:color w:val="auto"/>
              </w:rPr>
              <w:t>Properties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3.</w:t>
            </w:r>
          </w:p>
        </w:tc>
        <w:tc>
          <w:tcPr>
            <w:tcW w:w="8000" w:type="dxa"/>
            <w:vAlign w:val="bottom"/>
          </w:tcPr>
          <w:p>
            <w:pPr>
              <w:ind w:left="440"/>
              <w:spacing w:after="0"/>
              <w:rPr>
                <w:sz w:val="20"/>
                <w:szCs w:val="20"/>
                <w:color w:val="auto"/>
              </w:rPr>
            </w:pPr>
            <w:r>
              <w:rPr>
                <w:rFonts w:ascii="Arial" w:cs="Arial" w:eastAsia="Arial" w:hAnsi="Arial"/>
                <w:sz w:val="15"/>
                <w:szCs w:val="15"/>
                <w:color w:val="auto"/>
              </w:rPr>
              <w:t>Legal Proceedings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4.</w:t>
            </w:r>
          </w:p>
        </w:tc>
        <w:tc>
          <w:tcPr>
            <w:tcW w:w="8000" w:type="dxa"/>
            <w:vAlign w:val="bottom"/>
          </w:tcPr>
          <w:p>
            <w:pPr>
              <w:ind w:left="440"/>
              <w:spacing w:after="0"/>
              <w:rPr>
                <w:sz w:val="20"/>
                <w:szCs w:val="20"/>
                <w:color w:val="auto"/>
              </w:rPr>
            </w:pPr>
            <w:r>
              <w:rPr>
                <w:rFonts w:ascii="Arial" w:cs="Arial" w:eastAsia="Arial" w:hAnsi="Arial"/>
                <w:sz w:val="15"/>
                <w:szCs w:val="15"/>
                <w:color w:val="auto"/>
              </w:rPr>
              <w:t>Submission of Matters to a Vote of Security Holders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461"/>
        </w:trPr>
        <w:tc>
          <w:tcPr>
            <w:tcW w:w="1060" w:type="dxa"/>
            <w:vAlign w:val="bottom"/>
          </w:tcPr>
          <w:p>
            <w:pPr>
              <w:spacing w:after="0"/>
              <w:rPr>
                <w:sz w:val="24"/>
                <w:szCs w:val="24"/>
                <w:color w:val="auto"/>
              </w:rPr>
            </w:pPr>
          </w:p>
        </w:tc>
        <w:tc>
          <w:tcPr>
            <w:tcW w:w="8000" w:type="dxa"/>
            <w:vAlign w:val="bottom"/>
          </w:tcPr>
          <w:p>
            <w:pPr>
              <w:jc w:val="center"/>
              <w:ind w:left="1119"/>
              <w:spacing w:after="0"/>
              <w:rPr>
                <w:sz w:val="20"/>
                <w:szCs w:val="20"/>
                <w:color w:val="auto"/>
              </w:rPr>
            </w:pPr>
            <w:r>
              <w:rPr>
                <w:rFonts w:ascii="Arial" w:cs="Arial" w:eastAsia="Arial" w:hAnsi="Arial"/>
                <w:sz w:val="21"/>
                <w:szCs w:val="21"/>
                <w:b w:val="1"/>
                <w:bCs w:val="1"/>
                <w:color w:val="auto"/>
              </w:rPr>
              <w:t>Part II</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5.</w:t>
            </w:r>
          </w:p>
        </w:tc>
        <w:tc>
          <w:tcPr>
            <w:tcW w:w="8000" w:type="dxa"/>
            <w:vAlign w:val="bottom"/>
          </w:tcPr>
          <w:p>
            <w:pPr>
              <w:ind w:left="440"/>
              <w:spacing w:after="0"/>
              <w:rPr>
                <w:sz w:val="20"/>
                <w:szCs w:val="20"/>
                <w:color w:val="auto"/>
              </w:rPr>
            </w:pPr>
            <w:r>
              <w:rPr>
                <w:rFonts w:ascii="Arial" w:cs="Arial" w:eastAsia="Arial" w:hAnsi="Arial"/>
                <w:sz w:val="15"/>
                <w:szCs w:val="15"/>
                <w:color w:val="auto"/>
              </w:rPr>
              <w:t>Market for the Registrant’s Common Equity, Related Stockholder</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Matters and Issuer Purchases of Equity Securities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6.</w:t>
            </w:r>
          </w:p>
        </w:tc>
        <w:tc>
          <w:tcPr>
            <w:tcW w:w="8000" w:type="dxa"/>
            <w:vAlign w:val="bottom"/>
          </w:tcPr>
          <w:p>
            <w:pPr>
              <w:ind w:left="440"/>
              <w:spacing w:after="0"/>
              <w:rPr>
                <w:sz w:val="20"/>
                <w:szCs w:val="20"/>
                <w:color w:val="auto"/>
              </w:rPr>
            </w:pPr>
            <w:r>
              <w:rPr>
                <w:rFonts w:ascii="Arial" w:cs="Arial" w:eastAsia="Arial" w:hAnsi="Arial"/>
                <w:sz w:val="15"/>
                <w:szCs w:val="15"/>
                <w:color w:val="auto"/>
              </w:rPr>
              <w:t>Selected Financial Data</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7.</w:t>
            </w:r>
          </w:p>
        </w:tc>
        <w:tc>
          <w:tcPr>
            <w:tcW w:w="8000" w:type="dxa"/>
            <w:vAlign w:val="bottom"/>
          </w:tcPr>
          <w:p>
            <w:pPr>
              <w:ind w:left="440"/>
              <w:spacing w:after="0"/>
              <w:rPr>
                <w:sz w:val="20"/>
                <w:szCs w:val="20"/>
                <w:color w:val="auto"/>
              </w:rPr>
            </w:pPr>
            <w:r>
              <w:rPr>
                <w:rFonts w:ascii="Arial" w:cs="Arial" w:eastAsia="Arial" w:hAnsi="Arial"/>
                <w:sz w:val="15"/>
                <w:szCs w:val="15"/>
                <w:color w:val="auto"/>
              </w:rPr>
              <w:t>Management’s Discussion and Analysis of Financial Condition and</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Results of Operations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7A.</w:t>
            </w:r>
          </w:p>
        </w:tc>
        <w:tc>
          <w:tcPr>
            <w:tcW w:w="8000" w:type="dxa"/>
            <w:vAlign w:val="bottom"/>
          </w:tcPr>
          <w:p>
            <w:pPr>
              <w:ind w:left="440"/>
              <w:spacing w:after="0"/>
              <w:rPr>
                <w:sz w:val="20"/>
                <w:szCs w:val="20"/>
                <w:color w:val="auto"/>
              </w:rPr>
            </w:pPr>
            <w:r>
              <w:rPr>
                <w:rFonts w:ascii="Arial" w:cs="Arial" w:eastAsia="Arial" w:hAnsi="Arial"/>
                <w:sz w:val="15"/>
                <w:szCs w:val="15"/>
                <w:color w:val="auto"/>
              </w:rPr>
              <w:t>Quantitative and Qualitative Disclosures about Market Risk</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8.</w:t>
            </w:r>
          </w:p>
        </w:tc>
        <w:tc>
          <w:tcPr>
            <w:tcW w:w="8000" w:type="dxa"/>
            <w:vAlign w:val="bottom"/>
          </w:tcPr>
          <w:p>
            <w:pPr>
              <w:ind w:left="440"/>
              <w:spacing w:after="0"/>
              <w:rPr>
                <w:sz w:val="20"/>
                <w:szCs w:val="20"/>
                <w:color w:val="auto"/>
              </w:rPr>
            </w:pPr>
            <w:r>
              <w:rPr>
                <w:rFonts w:ascii="Arial" w:cs="Arial" w:eastAsia="Arial" w:hAnsi="Arial"/>
                <w:sz w:val="15"/>
                <w:szCs w:val="15"/>
                <w:color w:val="auto"/>
              </w:rPr>
              <w:t>Consolidated Financial Statements and Supplementary Data</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Consolidated Statements of Income</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Consolidated Balance Sheets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440"/>
              <w:spacing w:after="0"/>
              <w:rPr>
                <w:sz w:val="20"/>
                <w:szCs w:val="20"/>
                <w:color w:val="auto"/>
              </w:rPr>
            </w:pPr>
            <w:r>
              <w:rPr>
                <w:rFonts w:ascii="Arial" w:cs="Arial" w:eastAsia="Arial" w:hAnsi="Arial"/>
                <w:sz w:val="15"/>
                <w:szCs w:val="15"/>
                <w:color w:val="auto"/>
              </w:rPr>
              <w:t>Consolidated Statements of Changes in Stockholders’ Equity</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1060"/>
              <w:spacing w:after="0"/>
              <w:rPr>
                <w:sz w:val="20"/>
                <w:szCs w:val="20"/>
                <w:color w:val="auto"/>
              </w:rPr>
            </w:pPr>
            <w:r>
              <w:rPr>
                <w:rFonts w:ascii="Arial" w:cs="Arial" w:eastAsia="Arial" w:hAnsi="Arial"/>
                <w:sz w:val="15"/>
                <w:szCs w:val="15"/>
                <w:color w:val="auto"/>
              </w:rPr>
              <w:t>and Comprehensive Income</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Consolidated Statements of Cash Flows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Notes to Consolidated Financial Statements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Reports of Independent Registered Public Accounting Firm</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Supplementary Financial Information</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9.</w:t>
            </w:r>
          </w:p>
        </w:tc>
        <w:tc>
          <w:tcPr>
            <w:tcW w:w="8000" w:type="dxa"/>
            <w:vAlign w:val="bottom"/>
          </w:tcPr>
          <w:p>
            <w:pPr>
              <w:ind w:left="440"/>
              <w:spacing w:after="0"/>
              <w:rPr>
                <w:sz w:val="20"/>
                <w:szCs w:val="20"/>
                <w:color w:val="auto"/>
              </w:rPr>
            </w:pPr>
            <w:r>
              <w:rPr>
                <w:rFonts w:ascii="Arial" w:cs="Arial" w:eastAsia="Arial" w:hAnsi="Arial"/>
                <w:sz w:val="15"/>
                <w:szCs w:val="15"/>
                <w:color w:val="auto"/>
              </w:rPr>
              <w:t>Changes in and Disagreements with Accountants on Accounting</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and Financial Disclosure</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9A.</w:t>
            </w:r>
          </w:p>
        </w:tc>
        <w:tc>
          <w:tcPr>
            <w:tcW w:w="8000" w:type="dxa"/>
            <w:vAlign w:val="bottom"/>
          </w:tcPr>
          <w:p>
            <w:pPr>
              <w:ind w:left="440"/>
              <w:spacing w:after="0"/>
              <w:rPr>
                <w:sz w:val="20"/>
                <w:szCs w:val="20"/>
                <w:color w:val="auto"/>
              </w:rPr>
            </w:pPr>
            <w:r>
              <w:rPr>
                <w:rFonts w:ascii="Arial" w:cs="Arial" w:eastAsia="Arial" w:hAnsi="Arial"/>
                <w:sz w:val="15"/>
                <w:szCs w:val="15"/>
                <w:color w:val="auto"/>
              </w:rPr>
              <w:t>Controls and Procedures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8"/>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9B.</w:t>
            </w:r>
          </w:p>
        </w:tc>
        <w:tc>
          <w:tcPr>
            <w:tcW w:w="8000" w:type="dxa"/>
            <w:vAlign w:val="bottom"/>
          </w:tcPr>
          <w:p>
            <w:pPr>
              <w:ind w:left="440"/>
              <w:spacing w:after="0"/>
              <w:rPr>
                <w:sz w:val="20"/>
                <w:szCs w:val="20"/>
                <w:color w:val="auto"/>
              </w:rPr>
            </w:pPr>
            <w:r>
              <w:rPr>
                <w:rFonts w:ascii="Arial" w:cs="Arial" w:eastAsia="Arial" w:hAnsi="Arial"/>
                <w:sz w:val="15"/>
                <w:szCs w:val="15"/>
                <w:color w:val="auto"/>
              </w:rPr>
              <w:t>Other Information</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73"/>
        </w:trPr>
        <w:tc>
          <w:tcPr>
            <w:tcW w:w="1060" w:type="dxa"/>
            <w:vAlign w:val="bottom"/>
          </w:tcPr>
          <w:p>
            <w:pPr>
              <w:spacing w:after="0"/>
              <w:rPr>
                <w:sz w:val="23"/>
                <w:szCs w:val="23"/>
                <w:color w:val="auto"/>
              </w:rPr>
            </w:pPr>
          </w:p>
        </w:tc>
        <w:tc>
          <w:tcPr>
            <w:tcW w:w="8000" w:type="dxa"/>
            <w:vAlign w:val="bottom"/>
          </w:tcPr>
          <w:p>
            <w:pPr>
              <w:jc w:val="center"/>
              <w:ind w:left="1119"/>
              <w:spacing w:after="0"/>
              <w:rPr>
                <w:sz w:val="20"/>
                <w:szCs w:val="20"/>
                <w:color w:val="auto"/>
              </w:rPr>
            </w:pPr>
            <w:r>
              <w:rPr>
                <w:rFonts w:ascii="Arial" w:cs="Arial" w:eastAsia="Arial" w:hAnsi="Arial"/>
                <w:sz w:val="21"/>
                <w:szCs w:val="21"/>
                <w:b w:val="1"/>
                <w:bCs w:val="1"/>
                <w:color w:val="auto"/>
              </w:rPr>
              <w:t>Part III</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10.</w:t>
            </w:r>
          </w:p>
        </w:tc>
        <w:tc>
          <w:tcPr>
            <w:tcW w:w="8000" w:type="dxa"/>
            <w:vAlign w:val="bottom"/>
          </w:tcPr>
          <w:p>
            <w:pPr>
              <w:ind w:left="440"/>
              <w:spacing w:after="0"/>
              <w:rPr>
                <w:sz w:val="20"/>
                <w:szCs w:val="20"/>
                <w:color w:val="auto"/>
              </w:rPr>
            </w:pPr>
            <w:r>
              <w:rPr>
                <w:rFonts w:ascii="Arial" w:cs="Arial" w:eastAsia="Arial" w:hAnsi="Arial"/>
                <w:sz w:val="15"/>
                <w:szCs w:val="15"/>
                <w:color w:val="auto"/>
              </w:rPr>
              <w:t>Directors and Executive Officers of the Registrant</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11.</w:t>
            </w:r>
          </w:p>
        </w:tc>
        <w:tc>
          <w:tcPr>
            <w:tcW w:w="8000" w:type="dxa"/>
            <w:vAlign w:val="bottom"/>
          </w:tcPr>
          <w:p>
            <w:pPr>
              <w:ind w:left="440"/>
              <w:spacing w:after="0"/>
              <w:rPr>
                <w:sz w:val="20"/>
                <w:szCs w:val="20"/>
                <w:color w:val="auto"/>
              </w:rPr>
            </w:pPr>
            <w:r>
              <w:rPr>
                <w:rFonts w:ascii="Arial" w:cs="Arial" w:eastAsia="Arial" w:hAnsi="Arial"/>
                <w:sz w:val="15"/>
                <w:szCs w:val="15"/>
                <w:color w:val="auto"/>
              </w:rPr>
              <w:t>Executive Compensation</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12.</w:t>
            </w:r>
          </w:p>
        </w:tc>
        <w:tc>
          <w:tcPr>
            <w:tcW w:w="8000" w:type="dxa"/>
            <w:vAlign w:val="bottom"/>
          </w:tcPr>
          <w:p>
            <w:pPr>
              <w:ind w:left="440"/>
              <w:spacing w:after="0"/>
              <w:rPr>
                <w:sz w:val="20"/>
                <w:szCs w:val="20"/>
                <w:color w:val="auto"/>
              </w:rPr>
            </w:pPr>
            <w:r>
              <w:rPr>
                <w:rFonts w:ascii="Arial" w:cs="Arial" w:eastAsia="Arial" w:hAnsi="Arial"/>
                <w:sz w:val="15"/>
                <w:szCs w:val="15"/>
                <w:color w:val="auto"/>
              </w:rPr>
              <w:t>Security Ownership of Certain Beneficial Owners and Management</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and Related Stockholder Matters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13.</w:t>
            </w:r>
          </w:p>
        </w:tc>
        <w:tc>
          <w:tcPr>
            <w:tcW w:w="8000" w:type="dxa"/>
            <w:vAlign w:val="bottom"/>
          </w:tcPr>
          <w:p>
            <w:pPr>
              <w:ind w:left="440"/>
              <w:spacing w:after="0"/>
              <w:rPr>
                <w:sz w:val="20"/>
                <w:szCs w:val="20"/>
                <w:color w:val="auto"/>
              </w:rPr>
            </w:pPr>
            <w:r>
              <w:rPr>
                <w:rFonts w:ascii="Arial" w:cs="Arial" w:eastAsia="Arial" w:hAnsi="Arial"/>
                <w:sz w:val="15"/>
                <w:szCs w:val="15"/>
                <w:color w:val="auto"/>
              </w:rPr>
              <w:t>Certain Relationships and Related Transactions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8"/>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14.</w:t>
            </w:r>
          </w:p>
        </w:tc>
        <w:tc>
          <w:tcPr>
            <w:tcW w:w="8000" w:type="dxa"/>
            <w:vAlign w:val="bottom"/>
          </w:tcPr>
          <w:p>
            <w:pPr>
              <w:ind w:left="440"/>
              <w:spacing w:after="0"/>
              <w:rPr>
                <w:sz w:val="20"/>
                <w:szCs w:val="20"/>
                <w:color w:val="auto"/>
              </w:rPr>
            </w:pPr>
            <w:r>
              <w:rPr>
                <w:rFonts w:ascii="Arial" w:cs="Arial" w:eastAsia="Arial" w:hAnsi="Arial"/>
                <w:sz w:val="15"/>
                <w:szCs w:val="15"/>
                <w:color w:val="auto"/>
              </w:rPr>
              <w:t>Principal Accountant Fees and Services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73"/>
        </w:trPr>
        <w:tc>
          <w:tcPr>
            <w:tcW w:w="1060" w:type="dxa"/>
            <w:vAlign w:val="bottom"/>
          </w:tcPr>
          <w:p>
            <w:pPr>
              <w:spacing w:after="0"/>
              <w:rPr>
                <w:sz w:val="23"/>
                <w:szCs w:val="23"/>
                <w:color w:val="auto"/>
              </w:rPr>
            </w:pPr>
          </w:p>
        </w:tc>
        <w:tc>
          <w:tcPr>
            <w:tcW w:w="8000" w:type="dxa"/>
            <w:vAlign w:val="bottom"/>
          </w:tcPr>
          <w:p>
            <w:pPr>
              <w:jc w:val="center"/>
              <w:ind w:left="1119"/>
              <w:spacing w:after="0"/>
              <w:rPr>
                <w:sz w:val="20"/>
                <w:szCs w:val="20"/>
                <w:color w:val="auto"/>
              </w:rPr>
            </w:pPr>
            <w:r>
              <w:rPr>
                <w:rFonts w:ascii="Arial" w:cs="Arial" w:eastAsia="Arial" w:hAnsi="Arial"/>
                <w:sz w:val="21"/>
                <w:szCs w:val="21"/>
                <w:b w:val="1"/>
                <w:bCs w:val="1"/>
                <w:color w:val="auto"/>
              </w:rPr>
              <w:t>Part IV</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Item 15.</w:t>
            </w:r>
          </w:p>
        </w:tc>
        <w:tc>
          <w:tcPr>
            <w:tcW w:w="8000" w:type="dxa"/>
            <w:vAlign w:val="bottom"/>
          </w:tcPr>
          <w:p>
            <w:pPr>
              <w:ind w:left="440"/>
              <w:spacing w:after="0"/>
              <w:rPr>
                <w:sz w:val="20"/>
                <w:szCs w:val="20"/>
                <w:color w:val="auto"/>
              </w:rPr>
            </w:pPr>
            <w:r>
              <w:rPr>
                <w:rFonts w:ascii="Arial" w:cs="Arial" w:eastAsia="Arial" w:hAnsi="Arial"/>
                <w:sz w:val="15"/>
                <w:szCs w:val="15"/>
                <w:color w:val="auto"/>
              </w:rPr>
              <w:t>Exhibits, Financial Statement Schedules and Reports on Form 8-K</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440"/>
              <w:spacing w:after="0"/>
              <w:rPr>
                <w:sz w:val="20"/>
                <w:szCs w:val="20"/>
                <w:color w:val="auto"/>
              </w:rPr>
            </w:pPr>
            <w:r>
              <w:rPr>
                <w:rFonts w:ascii="Arial" w:cs="Arial" w:eastAsia="Arial" w:hAnsi="Arial"/>
                <w:sz w:val="15"/>
                <w:szCs w:val="15"/>
                <w:color w:val="auto"/>
              </w:rPr>
              <w:t>Signatures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440"/>
              <w:spacing w:after="0"/>
              <w:rPr>
                <w:sz w:val="20"/>
                <w:szCs w:val="20"/>
                <w:color w:val="auto"/>
              </w:rPr>
            </w:pPr>
            <w:r>
              <w:rPr>
                <w:rFonts w:ascii="Arial" w:cs="Arial" w:eastAsia="Arial" w:hAnsi="Arial"/>
                <w:sz w:val="15"/>
                <w:szCs w:val="15"/>
                <w:color w:val="auto"/>
              </w:rPr>
              <w:t>Power of Attorney</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000" w:type="dxa"/>
            <w:vAlign w:val="bottom"/>
          </w:tcPr>
          <w:p>
            <w:pPr>
              <w:ind w:left="440"/>
              <w:spacing w:after="0"/>
              <w:rPr>
                <w:sz w:val="20"/>
                <w:szCs w:val="20"/>
                <w:color w:val="auto"/>
              </w:rPr>
            </w:pPr>
            <w:r>
              <w:rPr>
                <w:rFonts w:ascii="Arial" w:cs="Arial" w:eastAsia="Arial" w:hAnsi="Arial"/>
                <w:sz w:val="15"/>
                <w:szCs w:val="15"/>
                <w:color w:val="auto"/>
              </w:rPr>
              <w:t>Schedule II: Valuation and Qualifying Accounts and Reserves</w:t>
            </w:r>
          </w:p>
        </w:tc>
        <w:tc>
          <w:tcPr>
            <w:tcW w:w="2420" w:type="dxa"/>
            <w:vAlign w:val="bottom"/>
          </w:tcPr>
          <w:p>
            <w:pPr>
              <w:jc w:val="right"/>
              <w:ind w:right="4"/>
              <w:spacing w:after="0"/>
              <w:rPr>
                <w:sz w:val="20"/>
                <w:szCs w:val="20"/>
                <w:color w:val="auto"/>
              </w:rPr>
            </w:pPr>
            <w:r>
              <w:rPr>
                <w:rFonts w:ascii="Arial" w:cs="Arial" w:eastAsia="Arial" w:hAnsi="Arial"/>
                <w:sz w:val="15"/>
                <w:szCs w:val="15"/>
                <w:color w:val="auto"/>
              </w:rPr>
              <w:t>S-2</w:t>
            </w:r>
          </w:p>
        </w:tc>
        <w:tc>
          <w:tcPr>
            <w:tcW w:w="0" w:type="dxa"/>
            <w:vAlign w:val="bottom"/>
          </w:tcPr>
          <w:p>
            <w:pPr>
              <w:spacing w:after="0"/>
              <w:rPr>
                <w:sz w:val="1"/>
                <w:szCs w:val="1"/>
                <w:color w:val="auto"/>
              </w:rPr>
            </w:pPr>
          </w:p>
        </w:tc>
      </w:tr>
      <w:tr>
        <w:trPr>
          <w:trHeight w:val="872"/>
        </w:trPr>
        <w:tc>
          <w:tcPr>
            <w:tcW w:w="1060" w:type="dxa"/>
            <w:vAlign w:val="bottom"/>
            <w:tcBorders>
              <w:bottom w:val="single" w:sz="8" w:color="808080"/>
            </w:tcBorders>
          </w:tcPr>
          <w:p>
            <w:pPr>
              <w:spacing w:after="0"/>
              <w:rPr>
                <w:sz w:val="24"/>
                <w:szCs w:val="24"/>
                <w:color w:val="auto"/>
              </w:rPr>
            </w:pPr>
          </w:p>
        </w:tc>
        <w:tc>
          <w:tcPr>
            <w:tcW w:w="800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7278370</wp:posOffset>
            </wp:positionH>
            <wp:positionV relativeFrom="paragraph">
              <wp:posOffset>-34290</wp:posOffset>
            </wp:positionV>
            <wp:extent cx="12700"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12700" cy="3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-431165</wp:posOffset>
            </wp:positionV>
            <wp:extent cx="1938655" cy="340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ectPr>
          <w:pgSz w:w="11900" w:h="16838" w:orient="portrait"/>
          <w:cols w:equalWidth="0" w:num="1">
            <w:col w:w="11480"/>
          </w:cols>
          <w:pgMar w:left="220" w:top="103"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37"/>
          <w:szCs w:val="37"/>
          <w:b w:val="1"/>
          <w:bCs w:val="1"/>
          <w:color w:val="auto"/>
        </w:rPr>
        <w:t>Part I</w:t>
      </w:r>
    </w:p>
    <w:p>
      <w:pPr>
        <w:spacing w:after="0" w:line="213"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5"/>
          <w:szCs w:val="15"/>
          <w:b w:val="1"/>
          <w:bCs w:val="1"/>
          <w:color w:val="auto"/>
        </w:rPr>
        <w:t>Item 1 |</w:t>
      </w:r>
      <w:r>
        <w:rPr>
          <w:sz w:val="20"/>
          <w:szCs w:val="20"/>
          <w:color w:val="auto"/>
        </w:rPr>
        <w:tab/>
      </w:r>
      <w:r>
        <w:rPr>
          <w:rFonts w:ascii="Arial" w:cs="Arial" w:eastAsia="Arial" w:hAnsi="Arial"/>
          <w:sz w:val="15"/>
          <w:szCs w:val="15"/>
          <w:b w:val="1"/>
          <w:bCs w:val="1"/>
          <w:color w:val="auto"/>
        </w:rPr>
        <w:t>Business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Overview</w:t>
      </w:r>
    </w:p>
    <w:p>
      <w:pPr>
        <w:spacing w:after="0" w:line="22" w:lineRule="exact"/>
        <w:rPr>
          <w:sz w:val="20"/>
          <w:szCs w:val="20"/>
          <w:color w:val="auto"/>
        </w:rPr>
      </w:pPr>
    </w:p>
    <w:p>
      <w:pPr>
        <w:ind w:left="20" w:right="20"/>
        <w:spacing w:after="0" w:line="283" w:lineRule="auto"/>
        <w:rPr>
          <w:sz w:val="20"/>
          <w:szCs w:val="20"/>
          <w:color w:val="auto"/>
        </w:rPr>
      </w:pPr>
      <w:r>
        <w:rPr>
          <w:rFonts w:ascii="Arial" w:cs="Arial" w:eastAsia="Arial" w:hAnsi="Arial"/>
          <w:sz w:val="14"/>
          <w:szCs w:val="14"/>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developer of educational technology. Scholastic also creates quality educational and entertaining materials and products for use in school and at home, including textbooks, magazines, children’s reference and non-fiction materials, teacher materials, television programming, film, videos and toys. The Company is a leading operator of school-based book clubs and book fairs and school-based and direct-to-home continuity programs in the United States, and the Company distributes products and services through these proprietary channels, as well as directly to schools and libraries and to consumers through retail stores, the internet and television networks. The Company’s website, www.scholastic.com, is a leading site for teachers, classrooms and parents, and an award-winning destination for children. In addition to its operations in the United States, Scholastic has long-established operations in Canada, the United Kingdom, Australia, New Zealand and Southeast Asia and has newer operations in Argentina, China, India, Ireland and Mexico.</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Operating Segments</w:t>
      </w:r>
    </w:p>
    <w:p>
      <w:pPr>
        <w:spacing w:after="0" w:line="22" w:lineRule="exact"/>
        <w:rPr>
          <w:sz w:val="20"/>
          <w:szCs w:val="20"/>
          <w:color w:val="auto"/>
        </w:rPr>
      </w:pPr>
    </w:p>
    <w:p>
      <w:pPr>
        <w:ind w:left="20" w:right="60"/>
        <w:spacing w:after="0" w:line="264" w:lineRule="auto"/>
        <w:rPr>
          <w:sz w:val="20"/>
          <w:szCs w:val="20"/>
          <w:color w:val="auto"/>
        </w:rPr>
      </w:pPr>
      <w:r>
        <w:rPr>
          <w:rFonts w:ascii="Arial" w:cs="Arial" w:eastAsia="Arial" w:hAnsi="Arial"/>
          <w:sz w:val="15"/>
          <w:szCs w:val="15"/>
          <w:color w:val="auto"/>
        </w:rPr>
        <w:t xml:space="preserve">The Company categorizes its businesses into four operating segments: </w:t>
      </w:r>
      <w:r>
        <w:rPr>
          <w:rFonts w:ascii="Arial" w:cs="Arial" w:eastAsia="Arial" w:hAnsi="Arial"/>
          <w:sz w:val="15"/>
          <w:szCs w:val="15"/>
          <w:i w:val="1"/>
          <w:iCs w:val="1"/>
          <w:color w:val="auto"/>
        </w:rPr>
        <w:t>Children’s Book Publishing and Distribution; Educational Publishing; Media, Licensing and Advertising</w:t>
      </w:r>
      <w:r>
        <w:rPr>
          <w:rFonts w:ascii="Arial" w:cs="Arial" w:eastAsia="Arial" w:hAnsi="Arial"/>
          <w:sz w:val="15"/>
          <w:szCs w:val="15"/>
          <w:color w:val="auto"/>
        </w:rPr>
        <w:t xml:space="preserve"> (which collectively represent the Company’s domestic operations); and </w:t>
      </w:r>
      <w:r>
        <w:rPr>
          <w:rFonts w:ascii="Arial" w:cs="Arial" w:eastAsia="Arial" w:hAnsi="Arial"/>
          <w:sz w:val="15"/>
          <w:szCs w:val="15"/>
          <w:i w:val="1"/>
          <w:iCs w:val="1"/>
          <w:color w:val="auto"/>
        </w:rPr>
        <w:t>International</w:t>
      </w:r>
      <w:r>
        <w:rPr>
          <w:rFonts w:ascii="Arial" w:cs="Arial" w:eastAsia="Arial" w:hAnsi="Arial"/>
          <w:sz w:val="15"/>
          <w:szCs w:val="15"/>
          <w:color w:val="auto"/>
        </w:rPr>
        <w:t>. This classification reflects the nature of products and services consistent with the method by which the Company’s chief operating decision-maker assesses operating performance and allocates resources. Revenues and operating margin related to a segment’s products sold or services rendered through another segment are reallocated to the segment originating the products or services. The following table sets forth revenues by operating segment for the three fiscal years ended May 31: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(Amounts in millions)</w:t>
            </w:r>
          </w:p>
        </w:tc>
      </w:tr>
      <w:tr>
        <w:trPr>
          <w:trHeight w:val="106"/>
        </w:trPr>
        <w:tc>
          <w:tcPr>
            <w:tcW w:w="2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29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20" w:type="dxa"/>
            <w:vAlign w:val="bottom"/>
          </w:tcPr>
          <w:p>
            <w:pPr>
              <w:jc w:val="right"/>
              <w:ind w:right="359"/>
              <w:spacing w:after="0"/>
              <w:rPr>
                <w:sz w:val="20"/>
                <w:szCs w:val="20"/>
                <w:color w:val="auto"/>
              </w:rPr>
            </w:pPr>
            <w:r>
              <w:rPr>
                <w:rFonts w:ascii="Arial" w:cs="Arial" w:eastAsia="Arial" w:hAnsi="Arial"/>
                <w:sz w:val="15"/>
                <w:szCs w:val="15"/>
                <w:b w:val="1"/>
                <w:bCs w:val="1"/>
                <w:color w:val="auto"/>
              </w:rPr>
              <w:t>2006</w:t>
            </w:r>
          </w:p>
        </w:tc>
        <w:tc>
          <w:tcPr>
            <w:tcW w:w="1000" w:type="dxa"/>
            <w:vAlign w:val="bottom"/>
          </w:tcPr>
          <w:p>
            <w:pPr>
              <w:spacing w:after="0"/>
              <w:rPr>
                <w:sz w:val="24"/>
                <w:szCs w:val="24"/>
                <w:color w:val="auto"/>
              </w:rPr>
            </w:pPr>
          </w:p>
        </w:tc>
        <w:tc>
          <w:tcPr>
            <w:tcW w:w="1260" w:type="dxa"/>
            <w:vAlign w:val="bottom"/>
          </w:tcPr>
          <w:p>
            <w:pPr>
              <w:jc w:val="right"/>
              <w:ind w:right="319"/>
              <w:spacing w:after="0"/>
              <w:rPr>
                <w:sz w:val="20"/>
                <w:szCs w:val="20"/>
                <w:color w:val="auto"/>
              </w:rPr>
            </w:pPr>
            <w:r>
              <w:rPr>
                <w:rFonts w:ascii="Arial" w:cs="Arial" w:eastAsia="Arial" w:hAnsi="Arial"/>
                <w:sz w:val="15"/>
                <w:szCs w:val="15"/>
                <w:b w:val="1"/>
                <w:bCs w:val="1"/>
                <w:color w:val="auto"/>
              </w:rPr>
              <w:t>2005</w:t>
            </w:r>
          </w:p>
        </w:tc>
        <w:tc>
          <w:tcPr>
            <w:tcW w:w="6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2004</w:t>
            </w:r>
          </w:p>
        </w:tc>
      </w:tr>
      <w:tr>
        <w:trPr>
          <w:trHeight w:val="96"/>
        </w:trPr>
        <w:tc>
          <w:tcPr>
            <w:tcW w:w="3440" w:type="dxa"/>
            <w:vAlign w:val="bottom"/>
            <w:gridSpan w:val="2"/>
          </w:tcPr>
          <w:p>
            <w:pPr>
              <w:spacing w:after="0"/>
              <w:rPr>
                <w:sz w:val="8"/>
                <w:szCs w:val="8"/>
                <w:color w:val="auto"/>
              </w:rPr>
            </w:pPr>
          </w:p>
        </w:tc>
        <w:tc>
          <w:tcPr>
            <w:tcW w:w="2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3420" w:type="dxa"/>
            <w:vAlign w:val="bottom"/>
            <w:tcBorders>
              <w:top w:val="single" w:sz="8" w:color="auto"/>
            </w:tcBorders>
          </w:tcPr>
          <w:p>
            <w:pPr>
              <w:spacing w:after="0"/>
              <w:rPr>
                <w:sz w:val="7"/>
                <w:szCs w:val="7"/>
                <w:color w:val="auto"/>
              </w:rPr>
            </w:pPr>
          </w:p>
        </w:tc>
        <w:tc>
          <w:tcPr>
            <w:tcW w:w="240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r>
      <w:tr>
        <w:trPr>
          <w:trHeight w:val="197"/>
        </w:trPr>
        <w:tc>
          <w:tcPr>
            <w:tcW w:w="20" w:type="dxa"/>
            <w:vAlign w:val="bottom"/>
          </w:tcPr>
          <w:p>
            <w:pPr>
              <w:spacing w:after="0"/>
              <w:rPr>
                <w:sz w:val="17"/>
                <w:szCs w:val="17"/>
                <w:color w:val="auto"/>
              </w:rPr>
            </w:pPr>
          </w:p>
        </w:tc>
        <w:tc>
          <w:tcPr>
            <w:tcW w:w="3420" w:type="dxa"/>
            <w:vAlign w:val="bottom"/>
            <w:shd w:val="clear" w:color="auto" w:fill="E6E6E6"/>
          </w:tcPr>
          <w:p>
            <w:pPr>
              <w:spacing w:after="0"/>
              <w:rPr>
                <w:sz w:val="20"/>
                <w:szCs w:val="20"/>
                <w:color w:val="auto"/>
              </w:rPr>
            </w:pPr>
            <w:r>
              <w:rPr>
                <w:rFonts w:ascii="Arial" w:cs="Arial" w:eastAsia="Arial" w:hAnsi="Arial"/>
                <w:sz w:val="12"/>
                <w:szCs w:val="12"/>
                <w:color w:val="auto"/>
              </w:rPr>
              <w:t>Children’s Book Publishing</w:t>
            </w:r>
          </w:p>
        </w:tc>
        <w:tc>
          <w:tcPr>
            <w:tcW w:w="2400" w:type="dxa"/>
            <w:vAlign w:val="bottom"/>
            <w:shd w:val="clear" w:color="auto" w:fill="E6E6E6"/>
          </w:tcPr>
          <w:p>
            <w:pPr>
              <w:spacing w:after="0"/>
              <w:rPr>
                <w:sz w:val="17"/>
                <w:szCs w:val="17"/>
                <w:color w:val="auto"/>
              </w:rPr>
            </w:pPr>
          </w:p>
        </w:tc>
        <w:tc>
          <w:tcPr>
            <w:tcW w:w="142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1300" w:type="dxa"/>
            <w:vAlign w:val="bottom"/>
            <w:shd w:val="clear" w:color="auto" w:fill="E6E6E6"/>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E6E6E6"/>
          </w:tcPr>
          <w:p>
            <w:pPr>
              <w:ind w:left="40"/>
              <w:spacing w:after="0"/>
              <w:rPr>
                <w:sz w:val="20"/>
                <w:szCs w:val="20"/>
                <w:color w:val="auto"/>
              </w:rPr>
            </w:pPr>
            <w:r>
              <w:rPr>
                <w:rFonts w:ascii="Arial" w:cs="Arial" w:eastAsia="Arial" w:hAnsi="Arial"/>
                <w:sz w:val="12"/>
                <w:szCs w:val="12"/>
                <w:color w:val="auto"/>
              </w:rPr>
              <w:t>and Distribution</w:t>
            </w:r>
          </w:p>
        </w:tc>
        <w:tc>
          <w:tcPr>
            <w:tcW w:w="2400" w:type="dxa"/>
            <w:vAlign w:val="bottom"/>
            <w:shd w:val="clear" w:color="auto" w:fill="E6E6E6"/>
          </w:tcPr>
          <w:p>
            <w:pPr>
              <w:jc w:val="right"/>
              <w:ind w:right="562"/>
              <w:spacing w:after="0"/>
              <w:rPr>
                <w:sz w:val="20"/>
                <w:szCs w:val="20"/>
                <w:color w:val="auto"/>
              </w:rPr>
            </w:pPr>
            <w:r>
              <w:rPr>
                <w:rFonts w:ascii="Arial" w:cs="Arial" w:eastAsia="Arial" w:hAnsi="Arial"/>
                <w:sz w:val="12"/>
                <w:szCs w:val="12"/>
                <w:color w:val="auto"/>
              </w:rPr>
              <w:t>$</w:t>
            </w:r>
          </w:p>
        </w:tc>
        <w:tc>
          <w:tcPr>
            <w:tcW w:w="1420" w:type="dxa"/>
            <w:vAlign w:val="bottom"/>
            <w:shd w:val="clear" w:color="auto" w:fill="E6E6E6"/>
          </w:tcPr>
          <w:p>
            <w:pPr>
              <w:jc w:val="right"/>
              <w:ind w:right="359"/>
              <w:spacing w:after="0"/>
              <w:rPr>
                <w:sz w:val="20"/>
                <w:szCs w:val="20"/>
                <w:color w:val="auto"/>
              </w:rPr>
            </w:pPr>
            <w:r>
              <w:rPr>
                <w:rFonts w:ascii="Arial" w:cs="Arial" w:eastAsia="Arial" w:hAnsi="Arial"/>
                <w:sz w:val="12"/>
                <w:szCs w:val="12"/>
                <w:color w:val="auto"/>
              </w:rPr>
              <w:t>1,304.0</w:t>
            </w:r>
          </w:p>
        </w:tc>
        <w:tc>
          <w:tcPr>
            <w:tcW w:w="1000" w:type="dxa"/>
            <w:vAlign w:val="bottom"/>
            <w:shd w:val="clear" w:color="auto" w:fill="E6E6E6"/>
          </w:tcPr>
          <w:p>
            <w:pPr>
              <w:jc w:val="right"/>
              <w:ind w:right="442"/>
              <w:spacing w:after="0"/>
              <w:rPr>
                <w:sz w:val="20"/>
                <w:szCs w:val="20"/>
                <w:color w:val="auto"/>
              </w:rPr>
            </w:pPr>
            <w:r>
              <w:rPr>
                <w:rFonts w:ascii="Arial" w:cs="Arial" w:eastAsia="Arial" w:hAnsi="Arial"/>
                <w:sz w:val="12"/>
                <w:szCs w:val="12"/>
                <w:color w:val="auto"/>
              </w:rPr>
              <w:t>$</w:t>
            </w:r>
          </w:p>
        </w:tc>
        <w:tc>
          <w:tcPr>
            <w:tcW w:w="1260" w:type="dxa"/>
            <w:vAlign w:val="bottom"/>
            <w:shd w:val="clear" w:color="auto" w:fill="E6E6E6"/>
          </w:tcPr>
          <w:p>
            <w:pPr>
              <w:jc w:val="right"/>
              <w:ind w:right="319"/>
              <w:spacing w:after="0"/>
              <w:rPr>
                <w:sz w:val="20"/>
                <w:szCs w:val="20"/>
                <w:color w:val="auto"/>
              </w:rPr>
            </w:pPr>
            <w:r>
              <w:rPr>
                <w:rFonts w:ascii="Arial" w:cs="Arial" w:eastAsia="Arial" w:hAnsi="Arial"/>
                <w:sz w:val="12"/>
                <w:szCs w:val="12"/>
                <w:color w:val="auto"/>
              </w:rPr>
              <w:t>1,152.5</w:t>
            </w:r>
          </w:p>
        </w:tc>
        <w:tc>
          <w:tcPr>
            <w:tcW w:w="640" w:type="dxa"/>
            <w:vAlign w:val="bottom"/>
            <w:shd w:val="clear" w:color="auto" w:fill="E6E6E6"/>
          </w:tcPr>
          <w:p>
            <w:pPr>
              <w:jc w:val="right"/>
              <w:ind w:right="122"/>
              <w:spacing w:after="0"/>
              <w:rPr>
                <w:sz w:val="20"/>
                <w:szCs w:val="20"/>
                <w:color w:val="auto"/>
              </w:rPr>
            </w:pPr>
            <w:r>
              <w:rPr>
                <w:rFonts w:ascii="Arial" w:cs="Arial" w:eastAsia="Arial" w:hAnsi="Arial"/>
                <w:sz w:val="12"/>
                <w:szCs w:val="12"/>
                <w:color w:val="auto"/>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12"/>
                <w:szCs w:val="12"/>
                <w:color w:val="auto"/>
              </w:rPr>
              <w:t>1,358.6</w:t>
            </w:r>
          </w:p>
        </w:tc>
      </w:tr>
      <w:tr>
        <w:trPr>
          <w:trHeight w:val="203"/>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Educational Publishing</w:t>
            </w:r>
          </w:p>
        </w:tc>
        <w:tc>
          <w:tcPr>
            <w:tcW w:w="2400" w:type="dxa"/>
            <w:vAlign w:val="bottom"/>
          </w:tcPr>
          <w:p>
            <w:pPr>
              <w:spacing w:after="0"/>
              <w:rPr>
                <w:sz w:val="17"/>
                <w:szCs w:val="17"/>
                <w:color w:val="auto"/>
              </w:rPr>
            </w:pPr>
          </w:p>
        </w:tc>
        <w:tc>
          <w:tcPr>
            <w:tcW w:w="1420" w:type="dxa"/>
            <w:vAlign w:val="bottom"/>
          </w:tcPr>
          <w:p>
            <w:pPr>
              <w:jc w:val="right"/>
              <w:ind w:right="359"/>
              <w:spacing w:after="0"/>
              <w:rPr>
                <w:sz w:val="20"/>
                <w:szCs w:val="20"/>
                <w:color w:val="auto"/>
              </w:rPr>
            </w:pPr>
            <w:r>
              <w:rPr>
                <w:rFonts w:ascii="Arial" w:cs="Arial" w:eastAsia="Arial" w:hAnsi="Arial"/>
                <w:sz w:val="12"/>
                <w:szCs w:val="12"/>
                <w:color w:val="auto"/>
              </w:rPr>
              <w:t>416.1</w:t>
            </w:r>
          </w:p>
        </w:tc>
        <w:tc>
          <w:tcPr>
            <w:tcW w:w="1000" w:type="dxa"/>
            <w:vAlign w:val="bottom"/>
          </w:tcPr>
          <w:p>
            <w:pPr>
              <w:spacing w:after="0"/>
              <w:rPr>
                <w:sz w:val="17"/>
                <w:szCs w:val="17"/>
                <w:color w:val="auto"/>
              </w:rPr>
            </w:pPr>
          </w:p>
        </w:tc>
        <w:tc>
          <w:tcPr>
            <w:tcW w:w="1260" w:type="dxa"/>
            <w:vAlign w:val="bottom"/>
          </w:tcPr>
          <w:p>
            <w:pPr>
              <w:jc w:val="right"/>
              <w:ind w:right="319"/>
              <w:spacing w:after="0"/>
              <w:rPr>
                <w:sz w:val="20"/>
                <w:szCs w:val="20"/>
                <w:color w:val="auto"/>
              </w:rPr>
            </w:pPr>
            <w:r>
              <w:rPr>
                <w:rFonts w:ascii="Arial" w:cs="Arial" w:eastAsia="Arial" w:hAnsi="Arial"/>
                <w:sz w:val="12"/>
                <w:szCs w:val="12"/>
                <w:color w:val="auto"/>
              </w:rPr>
              <w:t>404.6</w:t>
            </w: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369.1</w:t>
            </w:r>
          </w:p>
        </w:tc>
      </w:tr>
      <w:tr>
        <w:trPr>
          <w:trHeight w:val="216"/>
        </w:trPr>
        <w:tc>
          <w:tcPr>
            <w:tcW w:w="20" w:type="dxa"/>
            <w:vAlign w:val="bottom"/>
          </w:tcPr>
          <w:p>
            <w:pPr>
              <w:spacing w:after="0"/>
              <w:rPr>
                <w:sz w:val="18"/>
                <w:szCs w:val="18"/>
                <w:color w:val="auto"/>
              </w:rPr>
            </w:pPr>
          </w:p>
        </w:tc>
        <w:tc>
          <w:tcPr>
            <w:tcW w:w="3420" w:type="dxa"/>
            <w:vAlign w:val="bottom"/>
            <w:shd w:val="clear" w:color="auto" w:fill="E6E6E6"/>
          </w:tcPr>
          <w:p>
            <w:pPr>
              <w:spacing w:after="0"/>
              <w:rPr>
                <w:sz w:val="20"/>
                <w:szCs w:val="20"/>
                <w:color w:val="auto"/>
              </w:rPr>
            </w:pPr>
            <w:r>
              <w:rPr>
                <w:rFonts w:ascii="Arial" w:cs="Arial" w:eastAsia="Arial" w:hAnsi="Arial"/>
                <w:sz w:val="12"/>
                <w:szCs w:val="12"/>
                <w:color w:val="auto"/>
              </w:rPr>
              <w:t>Media, Licensing and Advertising</w:t>
            </w:r>
          </w:p>
        </w:tc>
        <w:tc>
          <w:tcPr>
            <w:tcW w:w="2400" w:type="dxa"/>
            <w:vAlign w:val="bottom"/>
            <w:shd w:val="clear" w:color="auto" w:fill="E6E6E6"/>
          </w:tcPr>
          <w:p>
            <w:pPr>
              <w:spacing w:after="0"/>
              <w:rPr>
                <w:sz w:val="18"/>
                <w:szCs w:val="18"/>
                <w:color w:val="auto"/>
              </w:rPr>
            </w:pPr>
          </w:p>
        </w:tc>
        <w:tc>
          <w:tcPr>
            <w:tcW w:w="1420" w:type="dxa"/>
            <w:vAlign w:val="bottom"/>
            <w:shd w:val="clear" w:color="auto" w:fill="E6E6E6"/>
          </w:tcPr>
          <w:p>
            <w:pPr>
              <w:jc w:val="right"/>
              <w:ind w:right="359"/>
              <w:spacing w:after="0"/>
              <w:rPr>
                <w:sz w:val="20"/>
                <w:szCs w:val="20"/>
                <w:color w:val="auto"/>
              </w:rPr>
            </w:pPr>
            <w:r>
              <w:rPr>
                <w:rFonts w:ascii="Arial" w:cs="Arial" w:eastAsia="Arial" w:hAnsi="Arial"/>
                <w:sz w:val="12"/>
                <w:szCs w:val="12"/>
                <w:color w:val="auto"/>
              </w:rPr>
              <w:t>151.6</w:t>
            </w:r>
          </w:p>
        </w:tc>
        <w:tc>
          <w:tcPr>
            <w:tcW w:w="1000" w:type="dxa"/>
            <w:vAlign w:val="bottom"/>
            <w:shd w:val="clear" w:color="auto" w:fill="E6E6E6"/>
          </w:tcPr>
          <w:p>
            <w:pPr>
              <w:spacing w:after="0"/>
              <w:rPr>
                <w:sz w:val="18"/>
                <w:szCs w:val="18"/>
                <w:color w:val="auto"/>
              </w:rPr>
            </w:pPr>
          </w:p>
        </w:tc>
        <w:tc>
          <w:tcPr>
            <w:tcW w:w="1260" w:type="dxa"/>
            <w:vAlign w:val="bottom"/>
            <w:shd w:val="clear" w:color="auto" w:fill="E6E6E6"/>
          </w:tcPr>
          <w:p>
            <w:pPr>
              <w:jc w:val="right"/>
              <w:ind w:right="319"/>
              <w:spacing w:after="0"/>
              <w:rPr>
                <w:sz w:val="20"/>
                <w:szCs w:val="20"/>
                <w:color w:val="auto"/>
              </w:rPr>
            </w:pPr>
            <w:r>
              <w:rPr>
                <w:rFonts w:ascii="Arial" w:cs="Arial" w:eastAsia="Arial" w:hAnsi="Arial"/>
                <w:sz w:val="12"/>
                <w:szCs w:val="12"/>
                <w:color w:val="auto"/>
              </w:rPr>
              <w:t>133.1</w:t>
            </w:r>
          </w:p>
        </w:tc>
        <w:tc>
          <w:tcPr>
            <w:tcW w:w="640" w:type="dxa"/>
            <w:vAlign w:val="bottom"/>
            <w:shd w:val="clear" w:color="auto" w:fill="E6E6E6"/>
          </w:tcPr>
          <w:p>
            <w:pPr>
              <w:spacing w:after="0"/>
              <w:rPr>
                <w:sz w:val="18"/>
                <w:szCs w:val="18"/>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2"/>
                <w:szCs w:val="12"/>
                <w:color w:val="auto"/>
              </w:rPr>
              <w:t>136.4</w:t>
            </w:r>
          </w:p>
        </w:tc>
      </w:tr>
      <w:tr>
        <w:trPr>
          <w:trHeight w:val="197"/>
        </w:trPr>
        <w:tc>
          <w:tcPr>
            <w:tcW w:w="3440" w:type="dxa"/>
            <w:vAlign w:val="bottom"/>
            <w:gridSpan w:val="2"/>
          </w:tcPr>
          <w:p>
            <w:pPr>
              <w:ind w:left="20"/>
              <w:spacing w:after="0"/>
              <w:rPr>
                <w:sz w:val="20"/>
                <w:szCs w:val="20"/>
                <w:color w:val="auto"/>
              </w:rPr>
            </w:pPr>
            <w:r>
              <w:rPr>
                <w:rFonts w:ascii="Arial" w:cs="Arial" w:eastAsia="Arial" w:hAnsi="Arial"/>
                <w:sz w:val="12"/>
                <w:szCs w:val="12"/>
                <w:color w:val="auto"/>
              </w:rPr>
              <w:t>International</w:t>
            </w:r>
          </w:p>
        </w:tc>
        <w:tc>
          <w:tcPr>
            <w:tcW w:w="2400" w:type="dxa"/>
            <w:vAlign w:val="bottom"/>
          </w:tcPr>
          <w:p>
            <w:pPr>
              <w:spacing w:after="0"/>
              <w:rPr>
                <w:sz w:val="17"/>
                <w:szCs w:val="17"/>
                <w:color w:val="auto"/>
              </w:rPr>
            </w:pPr>
          </w:p>
        </w:tc>
        <w:tc>
          <w:tcPr>
            <w:tcW w:w="1420" w:type="dxa"/>
            <w:vAlign w:val="bottom"/>
          </w:tcPr>
          <w:p>
            <w:pPr>
              <w:jc w:val="right"/>
              <w:ind w:right="359"/>
              <w:spacing w:after="0"/>
              <w:rPr>
                <w:sz w:val="20"/>
                <w:szCs w:val="20"/>
                <w:color w:val="auto"/>
              </w:rPr>
            </w:pPr>
            <w:r>
              <w:rPr>
                <w:rFonts w:ascii="Arial" w:cs="Arial" w:eastAsia="Arial" w:hAnsi="Arial"/>
                <w:sz w:val="12"/>
                <w:szCs w:val="12"/>
                <w:color w:val="auto"/>
              </w:rPr>
              <w:t>412.1</w:t>
            </w:r>
          </w:p>
        </w:tc>
        <w:tc>
          <w:tcPr>
            <w:tcW w:w="1000" w:type="dxa"/>
            <w:vAlign w:val="bottom"/>
          </w:tcPr>
          <w:p>
            <w:pPr>
              <w:spacing w:after="0"/>
              <w:rPr>
                <w:sz w:val="17"/>
                <w:szCs w:val="17"/>
                <w:color w:val="auto"/>
              </w:rPr>
            </w:pPr>
          </w:p>
        </w:tc>
        <w:tc>
          <w:tcPr>
            <w:tcW w:w="1260" w:type="dxa"/>
            <w:vAlign w:val="bottom"/>
          </w:tcPr>
          <w:p>
            <w:pPr>
              <w:jc w:val="right"/>
              <w:ind w:right="319"/>
              <w:spacing w:after="0"/>
              <w:rPr>
                <w:sz w:val="20"/>
                <w:szCs w:val="20"/>
                <w:color w:val="auto"/>
              </w:rPr>
            </w:pPr>
            <w:r>
              <w:rPr>
                <w:rFonts w:ascii="Arial" w:cs="Arial" w:eastAsia="Arial" w:hAnsi="Arial"/>
                <w:sz w:val="12"/>
                <w:szCs w:val="12"/>
                <w:color w:val="auto"/>
              </w:rPr>
              <w:t>389.7</w:t>
            </w: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369.7</w:t>
            </w:r>
          </w:p>
        </w:tc>
      </w:tr>
      <w:tr>
        <w:trPr>
          <w:trHeight w:val="106"/>
        </w:trPr>
        <w:tc>
          <w:tcPr>
            <w:tcW w:w="3440" w:type="dxa"/>
            <w:vAlign w:val="bottom"/>
            <w:gridSpan w:val="2"/>
          </w:tcPr>
          <w:p>
            <w:pPr>
              <w:spacing w:after="0"/>
              <w:rPr>
                <w:sz w:val="9"/>
                <w:szCs w:val="9"/>
                <w:color w:val="auto"/>
              </w:rPr>
            </w:pPr>
          </w:p>
        </w:tc>
        <w:tc>
          <w:tcPr>
            <w:tcW w:w="2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95"/>
        </w:trPr>
        <w:tc>
          <w:tcPr>
            <w:tcW w:w="20" w:type="dxa"/>
            <w:vAlign w:val="bottom"/>
          </w:tcPr>
          <w:p>
            <w:pPr>
              <w:spacing w:after="0"/>
              <w:rPr>
                <w:sz w:val="24"/>
                <w:szCs w:val="24"/>
                <w:color w:val="auto"/>
              </w:rPr>
            </w:pPr>
          </w:p>
        </w:tc>
        <w:tc>
          <w:tcPr>
            <w:tcW w:w="3420" w:type="dxa"/>
            <w:vAlign w:val="bottom"/>
            <w:tcBorders>
              <w:top w:val="single" w:sz="8" w:color="808080"/>
            </w:tcBorders>
          </w:tcPr>
          <w:p>
            <w:pPr>
              <w:spacing w:after="0"/>
              <w:rPr>
                <w:sz w:val="24"/>
                <w:szCs w:val="24"/>
                <w:color w:val="auto"/>
              </w:rPr>
            </w:pPr>
          </w:p>
        </w:tc>
        <w:tc>
          <w:tcPr>
            <w:tcW w:w="2400" w:type="dxa"/>
            <w:vAlign w:val="bottom"/>
            <w:tcBorders>
              <w:top w:val="single" w:sz="8" w:color="808080"/>
            </w:tcBorders>
          </w:tcPr>
          <w:p>
            <w:pPr>
              <w:spacing w:after="0"/>
              <w:rPr>
                <w:sz w:val="24"/>
                <w:szCs w:val="24"/>
                <w:color w:val="auto"/>
              </w:rPr>
            </w:pPr>
          </w:p>
        </w:tc>
        <w:tc>
          <w:tcPr>
            <w:tcW w:w="1420" w:type="dxa"/>
            <w:vAlign w:val="bottom"/>
            <w:tcBorders>
              <w:top w:val="single" w:sz="8" w:color="808080"/>
            </w:tcBorders>
          </w:tcPr>
          <w:p>
            <w:pPr>
              <w:spacing w:after="0"/>
              <w:rPr>
                <w:sz w:val="24"/>
                <w:szCs w:val="24"/>
                <w:color w:val="auto"/>
              </w:rPr>
            </w:pPr>
          </w:p>
        </w:tc>
        <w:tc>
          <w:tcPr>
            <w:tcW w:w="1000" w:type="dxa"/>
            <w:vAlign w:val="bottom"/>
            <w:tcBorders>
              <w:top w:val="single" w:sz="8" w:color="808080"/>
            </w:tcBorders>
          </w:tcPr>
          <w:p>
            <w:pPr>
              <w:spacing w:after="0"/>
              <w:rPr>
                <w:sz w:val="24"/>
                <w:szCs w:val="24"/>
                <w:color w:val="auto"/>
              </w:rPr>
            </w:pPr>
          </w:p>
        </w:tc>
        <w:tc>
          <w:tcPr>
            <w:tcW w:w="1260" w:type="dxa"/>
            <w:vAlign w:val="bottom"/>
            <w:tcBorders>
              <w:top w:val="single" w:sz="8" w:color="808080"/>
            </w:tcBorders>
          </w:tcPr>
          <w:p>
            <w:pPr>
              <w:spacing w:after="0"/>
              <w:rPr>
                <w:sz w:val="24"/>
                <w:szCs w:val="24"/>
                <w:color w:val="auto"/>
              </w:rPr>
            </w:pPr>
          </w:p>
        </w:tc>
        <w:tc>
          <w:tcPr>
            <w:tcW w:w="640" w:type="dxa"/>
            <w:vAlign w:val="bottom"/>
            <w:tcBorders>
              <w:top w:val="single" w:sz="8" w:color="808080"/>
            </w:tcBorders>
          </w:tcPr>
          <w:p>
            <w:pPr>
              <w:spacing w:after="0"/>
              <w:rPr>
                <w:sz w:val="24"/>
                <w:szCs w:val="24"/>
                <w:color w:val="auto"/>
              </w:rPr>
            </w:pPr>
          </w:p>
        </w:tc>
        <w:tc>
          <w:tcPr>
            <w:tcW w:w="1300" w:type="dxa"/>
            <w:vAlign w:val="bottom"/>
            <w:tcBorders>
              <w:top w:val="single" w:sz="8" w:color="808080"/>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Total</w:t>
            </w:r>
          </w:p>
        </w:tc>
        <w:tc>
          <w:tcPr>
            <w:tcW w:w="2400" w:type="dxa"/>
            <w:vAlign w:val="bottom"/>
            <w:shd w:val="clear" w:color="auto" w:fill="E6E6E6"/>
          </w:tcPr>
          <w:p>
            <w:pPr>
              <w:jc w:val="right"/>
              <w:ind w:right="562"/>
              <w:spacing w:after="0"/>
              <w:rPr>
                <w:sz w:val="20"/>
                <w:szCs w:val="20"/>
                <w:color w:val="auto"/>
              </w:rPr>
            </w:pPr>
            <w:r>
              <w:rPr>
                <w:rFonts w:ascii="Arial" w:cs="Arial" w:eastAsia="Arial" w:hAnsi="Arial"/>
                <w:sz w:val="12"/>
                <w:szCs w:val="12"/>
                <w:b w:val="1"/>
                <w:bCs w:val="1"/>
                <w:color w:val="auto"/>
              </w:rPr>
              <w:t>$</w:t>
            </w:r>
          </w:p>
        </w:tc>
        <w:tc>
          <w:tcPr>
            <w:tcW w:w="1420" w:type="dxa"/>
            <w:vAlign w:val="bottom"/>
            <w:shd w:val="clear" w:color="auto" w:fill="E6E6E6"/>
          </w:tcPr>
          <w:p>
            <w:pPr>
              <w:jc w:val="right"/>
              <w:ind w:right="359"/>
              <w:spacing w:after="0"/>
              <w:rPr>
                <w:sz w:val="20"/>
                <w:szCs w:val="20"/>
                <w:color w:val="auto"/>
              </w:rPr>
            </w:pPr>
            <w:r>
              <w:rPr>
                <w:rFonts w:ascii="Arial" w:cs="Arial" w:eastAsia="Arial" w:hAnsi="Arial"/>
                <w:sz w:val="12"/>
                <w:szCs w:val="12"/>
                <w:b w:val="1"/>
                <w:bCs w:val="1"/>
                <w:color w:val="auto"/>
              </w:rPr>
              <w:t>2,283.8</w:t>
            </w:r>
          </w:p>
        </w:tc>
        <w:tc>
          <w:tcPr>
            <w:tcW w:w="1000" w:type="dxa"/>
            <w:vAlign w:val="bottom"/>
            <w:shd w:val="clear" w:color="auto" w:fill="E6E6E6"/>
          </w:tcPr>
          <w:p>
            <w:pPr>
              <w:jc w:val="right"/>
              <w:ind w:right="442"/>
              <w:spacing w:after="0"/>
              <w:rPr>
                <w:sz w:val="20"/>
                <w:szCs w:val="20"/>
                <w:color w:val="auto"/>
              </w:rPr>
            </w:pPr>
            <w:r>
              <w:rPr>
                <w:rFonts w:ascii="Arial" w:cs="Arial" w:eastAsia="Arial" w:hAnsi="Arial"/>
                <w:sz w:val="12"/>
                <w:szCs w:val="12"/>
                <w:b w:val="1"/>
                <w:bCs w:val="1"/>
                <w:color w:val="auto"/>
              </w:rPr>
              <w:t>$</w:t>
            </w:r>
          </w:p>
        </w:tc>
        <w:tc>
          <w:tcPr>
            <w:tcW w:w="1260" w:type="dxa"/>
            <w:vAlign w:val="bottom"/>
            <w:shd w:val="clear" w:color="auto" w:fill="E6E6E6"/>
          </w:tcPr>
          <w:p>
            <w:pPr>
              <w:jc w:val="right"/>
              <w:ind w:right="319"/>
              <w:spacing w:after="0"/>
              <w:rPr>
                <w:sz w:val="20"/>
                <w:szCs w:val="20"/>
                <w:color w:val="auto"/>
              </w:rPr>
            </w:pPr>
            <w:r>
              <w:rPr>
                <w:rFonts w:ascii="Arial" w:cs="Arial" w:eastAsia="Arial" w:hAnsi="Arial"/>
                <w:sz w:val="12"/>
                <w:szCs w:val="12"/>
                <w:b w:val="1"/>
                <w:bCs w:val="1"/>
                <w:color w:val="auto"/>
              </w:rPr>
              <w:t>2,079.9</w:t>
            </w:r>
          </w:p>
        </w:tc>
        <w:tc>
          <w:tcPr>
            <w:tcW w:w="640" w:type="dxa"/>
            <w:vAlign w:val="bottom"/>
            <w:shd w:val="clear" w:color="auto" w:fill="E6E6E6"/>
          </w:tcPr>
          <w:p>
            <w:pPr>
              <w:jc w:val="right"/>
              <w:ind w:right="122"/>
              <w:spacing w:after="0"/>
              <w:rPr>
                <w:sz w:val="20"/>
                <w:szCs w:val="20"/>
                <w:color w:val="auto"/>
              </w:rPr>
            </w:pPr>
            <w:r>
              <w:rPr>
                <w:rFonts w:ascii="Arial" w:cs="Arial" w:eastAsia="Arial" w:hAnsi="Arial"/>
                <w:sz w:val="12"/>
                <w:szCs w:val="12"/>
                <w:b w:val="1"/>
                <w:bCs w:val="1"/>
                <w:color w:val="auto"/>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12"/>
                <w:szCs w:val="12"/>
                <w:b w:val="1"/>
                <w:bCs w:val="1"/>
                <w:color w:val="auto"/>
              </w:rPr>
              <w:t>2,233.8</w:t>
            </w:r>
          </w:p>
        </w:tc>
      </w:tr>
      <w:tr>
        <w:trPr>
          <w:trHeight w:val="112"/>
        </w:trPr>
        <w:tc>
          <w:tcPr>
            <w:tcW w:w="2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-26670</wp:posOffset>
            </wp:positionV>
            <wp:extent cx="2032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-26670</wp:posOffset>
            </wp:positionV>
            <wp:extent cx="2032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4363720</wp:posOffset>
            </wp:positionH>
            <wp:positionV relativeFrom="paragraph">
              <wp:posOffset>-26670</wp:posOffset>
            </wp:positionV>
            <wp:extent cx="2032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-26670</wp:posOffset>
            </wp:positionV>
            <wp:extent cx="2032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-26670</wp:posOffset>
            </wp:positionV>
            <wp:extent cx="2032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5821045</wp:posOffset>
            </wp:positionH>
            <wp:positionV relativeFrom="paragraph">
              <wp:posOffset>-26670</wp:posOffset>
            </wp:positionV>
            <wp:extent cx="2032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-26670</wp:posOffset>
            </wp:positionV>
            <wp:extent cx="2032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-26670</wp:posOffset>
            </wp:positionV>
            <wp:extent cx="2032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20" cy="273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right="460"/>
        <w:spacing w:after="0" w:line="285" w:lineRule="auto"/>
        <w:rPr>
          <w:sz w:val="20"/>
          <w:szCs w:val="20"/>
          <w:color w:val="auto"/>
        </w:rPr>
      </w:pPr>
      <w:r>
        <w:rPr>
          <w:rFonts w:ascii="Arial" w:cs="Arial" w:eastAsia="Arial" w:hAnsi="Arial"/>
          <w:sz w:val="15"/>
          <w:szCs w:val="15"/>
          <w:color w:val="auto"/>
        </w:rPr>
        <w:t>Additional financial information covering the Company’s operating segments is included in Note 2 of Notes to Consolidated Financial Statements in Item 8, “Consolidated Financial Statements and Supplementary Data,” which is included herein.</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C </w:t>
      </w:r>
      <w:r>
        <w:rPr>
          <w:rFonts w:ascii="Arial" w:cs="Arial" w:eastAsia="Arial" w:hAnsi="Arial"/>
          <w:sz w:val="11"/>
          <w:szCs w:val="11"/>
          <w:b w:val="1"/>
          <w:bCs w:val="1"/>
          <w:color w:val="auto"/>
        </w:rPr>
        <w:t>H I L D R E N</w:t>
      </w:r>
      <w:r>
        <w:rPr>
          <w:rFonts w:ascii="Arial" w:cs="Arial" w:eastAsia="Arial" w:hAnsi="Arial"/>
          <w:sz w:val="15"/>
          <w:szCs w:val="15"/>
          <w:b w:val="1"/>
          <w:bCs w:val="1"/>
          <w:color w:val="auto"/>
        </w:rPr>
        <w:t xml:space="preserve"> ’ </w:t>
      </w:r>
      <w:r>
        <w:rPr>
          <w:rFonts w:ascii="Arial" w:cs="Arial" w:eastAsia="Arial" w:hAnsi="Arial"/>
          <w:sz w:val="11"/>
          <w:szCs w:val="11"/>
          <w:b w:val="1"/>
          <w:bCs w:val="1"/>
          <w:color w:val="auto"/>
        </w:rPr>
        <w:t>S</w:t>
      </w:r>
      <w:r>
        <w:rPr>
          <w:rFonts w:ascii="Arial" w:cs="Arial" w:eastAsia="Arial" w:hAnsi="Arial"/>
          <w:sz w:val="15"/>
          <w:szCs w:val="15"/>
          <w:b w:val="1"/>
          <w:bCs w:val="1"/>
          <w:color w:val="auto"/>
        </w:rPr>
        <w:t xml:space="preserve">  B </w:t>
      </w:r>
      <w:r>
        <w:rPr>
          <w:rFonts w:ascii="Arial" w:cs="Arial" w:eastAsia="Arial" w:hAnsi="Arial"/>
          <w:sz w:val="11"/>
          <w:szCs w:val="11"/>
          <w:b w:val="1"/>
          <w:bCs w:val="1"/>
          <w:color w:val="auto"/>
        </w:rPr>
        <w:t>O O K</w:t>
      </w:r>
      <w:r>
        <w:rPr>
          <w:rFonts w:ascii="Arial" w:cs="Arial" w:eastAsia="Arial" w:hAnsi="Arial"/>
          <w:sz w:val="15"/>
          <w:szCs w:val="15"/>
          <w:b w:val="1"/>
          <w:bCs w:val="1"/>
          <w:color w:val="auto"/>
        </w:rPr>
        <w:t xml:space="preserve">  P </w:t>
      </w:r>
      <w:r>
        <w:rPr>
          <w:rFonts w:ascii="Arial" w:cs="Arial" w:eastAsia="Arial" w:hAnsi="Arial"/>
          <w:sz w:val="11"/>
          <w:szCs w:val="11"/>
          <w:b w:val="1"/>
          <w:bCs w:val="1"/>
          <w:color w:val="auto"/>
        </w:rPr>
        <w:t>U B L I S H I N G  A N D</w:t>
      </w:r>
      <w:r>
        <w:rPr>
          <w:rFonts w:ascii="Arial" w:cs="Arial" w:eastAsia="Arial" w:hAnsi="Arial"/>
          <w:sz w:val="15"/>
          <w:szCs w:val="15"/>
          <w:b w:val="1"/>
          <w:bCs w:val="1"/>
          <w:color w:val="auto"/>
        </w:rPr>
        <w:t xml:space="preserve"> D </w:t>
      </w:r>
      <w:r>
        <w:rPr>
          <w:rFonts w:ascii="Arial" w:cs="Arial" w:eastAsia="Arial" w:hAnsi="Arial"/>
          <w:sz w:val="11"/>
          <w:szCs w:val="11"/>
          <w:b w:val="1"/>
          <w:bCs w:val="1"/>
          <w:color w:val="auto"/>
        </w:rPr>
        <w:t>I S T R I B U T I O 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(57.1% of fiscal 2006 revenues)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General</w:t>
      </w:r>
    </w:p>
    <w:p>
      <w:pPr>
        <w:spacing w:after="0" w:line="22" w:lineRule="exact"/>
        <w:rPr>
          <w:sz w:val="20"/>
          <w:szCs w:val="20"/>
          <w:color w:val="auto"/>
        </w:rPr>
      </w:pPr>
    </w:p>
    <w:p>
      <w:pPr>
        <w:ind w:left="20" w:right="260"/>
        <w:spacing w:after="0" w:line="268" w:lineRule="auto"/>
        <w:rPr>
          <w:sz w:val="20"/>
          <w:szCs w:val="20"/>
          <w:color w:val="auto"/>
        </w:rPr>
      </w:pPr>
      <w:r>
        <w:rPr>
          <w:rFonts w:ascii="Arial" w:cs="Arial" w:eastAsia="Arial" w:hAnsi="Arial"/>
          <w:sz w:val="15"/>
          <w:szCs w:val="15"/>
          <w:color w:val="auto"/>
        </w:rPr>
        <w:t xml:space="preserve">The Company’s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includes the publication and distribution of children’s books in the United States through school-based book clubs and book fairs, school-based and direct-to-home continuity programs and the trade channel.</w:t>
      </w:r>
    </w:p>
    <w:p>
      <w:pPr>
        <w:spacing w:after="0" w:line="162" w:lineRule="exact"/>
        <w:rPr>
          <w:sz w:val="20"/>
          <w:szCs w:val="20"/>
          <w:color w:val="auto"/>
        </w:rPr>
      </w:pPr>
    </w:p>
    <w:p>
      <w:pPr>
        <w:jc w:val="both"/>
        <w:ind w:left="20" w:right="280"/>
        <w:spacing w:after="0" w:line="332" w:lineRule="auto"/>
        <w:rPr>
          <w:sz w:val="20"/>
          <w:szCs w:val="20"/>
          <w:color w:val="auto"/>
        </w:rPr>
      </w:pPr>
      <w:r>
        <w:rPr>
          <w:rFonts w:ascii="Arial" w:cs="Arial" w:eastAsia="Arial" w:hAnsi="Arial"/>
          <w:sz w:val="13"/>
          <w:szCs w:val="13"/>
          <w:color w:val="auto"/>
        </w:rPr>
        <w:t>The Company is the world’s largest publisher and distributor of children’s books and is the largest operator of school-based book clubs and school-based book fairs in the United States. The Company is also a leading publisher of children’s books distributed through the trade channel and the leading distributor in the United States of children’s books through direct-to-home continuity programs primarily for children ages five and younger. In fiscal 2006, the Company distributed approximately 400 million children’s books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83820</wp:posOffset>
            </wp:positionV>
            <wp:extent cx="1938655" cy="340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728535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03" w:right="219" w:bottom="1440" w:gutter="0" w:footer="0" w:header="0"/>
        </w:sectPr>
      </w:pPr>
    </w:p>
    <w:bookmarkStart w:id="3" w:name="page4"/>
    <w:bookmarkEnd w:id="3"/>
    <w:p>
      <w:pPr>
        <w:ind w:right="460"/>
        <w:spacing w:after="0" w:line="285" w:lineRule="auto"/>
        <w:rPr>
          <w:sz w:val="20"/>
          <w:szCs w:val="20"/>
          <w:color w:val="auto"/>
        </w:rPr>
      </w:pPr>
      <w:r>
        <w:rPr>
          <w:rFonts w:ascii="Arial" w:cs="Arial" w:eastAsia="Arial" w:hAnsi="Arial"/>
          <w:sz w:val="15"/>
          <w:szCs w:val="15"/>
          <w:color w:val="auto"/>
        </w:rPr>
        <w:t>Scholastic offers a broad range of children’s books. Many of the Company’s books have received awards for excellence in children’s literature, including the Caldecott and Newbery Awards.</w:t>
      </w:r>
    </w:p>
    <w:p>
      <w:pPr>
        <w:spacing w:after="0" w:line="150"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auto"/>
        </w:rPr>
        <w:t>The Company obtains titles for sale through its distribution channels from three principal sources. The first source for titles is the Company’s publication of books created under exclusive agreements with authors, illustrators, book packagers or other media companies. Scholastic generally controls the exclusive rights to sell these titles through all channels of distribution in the United States and, to a lesser extent, internationally. Scholastic’s second source of titles is licenses to publish books exclusively in specified channels of distribution, including reprints of books originally published by others for which the Company acquires rights to sell in the school market and original publications for exclusive sale in direct-to-home continuity programs. The third source of titles is the Company’s purchase of finished books from other publishers to be sold in the school market.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School-Based Book Clubs</w:t>
      </w:r>
    </w:p>
    <w:p>
      <w:pPr>
        <w:spacing w:after="0" w:line="22"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 xml:space="preserve">Scholastic founded its first school-based book club in 1948. The Company’s core school-based book clubs consist of </w:t>
      </w:r>
      <w:r>
        <w:rPr>
          <w:rFonts w:ascii="Arial" w:cs="Arial" w:eastAsia="Arial" w:hAnsi="Arial"/>
          <w:sz w:val="13"/>
          <w:szCs w:val="13"/>
          <w:i w:val="1"/>
          <w:iCs w:val="1"/>
          <w:color w:val="auto"/>
        </w:rPr>
        <w:t>Honeybee</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xml:space="preserve">, serving children ages 1½ to 4; </w:t>
      </w:r>
      <w:r>
        <w:rPr>
          <w:rFonts w:ascii="Arial" w:cs="Arial" w:eastAsia="Arial" w:hAnsi="Arial"/>
          <w:sz w:val="13"/>
          <w:szCs w:val="13"/>
          <w:i w:val="1"/>
          <w:iCs w:val="1"/>
          <w:color w:val="auto"/>
        </w:rPr>
        <w:t>Firefly</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xml:space="preserve">, serving pre-kindergarten (“pre-K”) and kindergarten (“K”) students; </w:t>
      </w:r>
      <w:r>
        <w:rPr>
          <w:rFonts w:ascii="Arial" w:cs="Arial" w:eastAsia="Arial" w:hAnsi="Arial"/>
          <w:sz w:val="13"/>
          <w:szCs w:val="13"/>
          <w:i w:val="1"/>
          <w:iCs w:val="1"/>
          <w:color w:val="auto"/>
        </w:rPr>
        <w:t>SeeSaw</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xml:space="preserve">, serving students grades K to 1; </w:t>
      </w:r>
      <w:r>
        <w:rPr>
          <w:rFonts w:ascii="Arial" w:cs="Arial" w:eastAsia="Arial" w:hAnsi="Arial"/>
          <w:sz w:val="13"/>
          <w:szCs w:val="13"/>
          <w:i w:val="1"/>
          <w:iCs w:val="1"/>
          <w:color w:val="auto"/>
        </w:rPr>
        <w:t>Lucky</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xml:space="preserve">, serving students grades 2 to 3; </w:t>
      </w:r>
      <w:r>
        <w:rPr>
          <w:rFonts w:ascii="Arial" w:cs="Arial" w:eastAsia="Arial" w:hAnsi="Arial"/>
          <w:sz w:val="13"/>
          <w:szCs w:val="13"/>
          <w:i w:val="1"/>
          <w:iCs w:val="1"/>
          <w:color w:val="auto"/>
        </w:rPr>
        <w:t>Arrow</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xml:space="preserve">, serving students grades 4 to 6; </w:t>
      </w:r>
      <w:r>
        <w:rPr>
          <w:rFonts w:ascii="Arial" w:cs="Arial" w:eastAsia="Arial" w:hAnsi="Arial"/>
          <w:sz w:val="13"/>
          <w:szCs w:val="13"/>
          <w:i w:val="1"/>
          <w:iCs w:val="1"/>
          <w:color w:val="auto"/>
        </w:rPr>
        <w:t>TAB</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xml:space="preserve">, serving students grades 7 to 12; and </w:t>
      </w:r>
      <w:r>
        <w:rPr>
          <w:rFonts w:ascii="Arial" w:cs="Arial" w:eastAsia="Arial" w:hAnsi="Arial"/>
          <w:sz w:val="13"/>
          <w:szCs w:val="13"/>
          <w:i w:val="1"/>
          <w:iCs w:val="1"/>
          <w:color w:val="auto"/>
        </w:rPr>
        <w:t>Club Leo™</w:t>
      </w:r>
      <w:r>
        <w:rPr>
          <w:rFonts w:ascii="Arial" w:cs="Arial" w:eastAsia="Arial" w:hAnsi="Arial"/>
          <w:sz w:val="13"/>
          <w:szCs w:val="13"/>
          <w:color w:val="auto"/>
        </w:rPr>
        <w:t>, which provides Spanish language offers to students pre-K to grade 8. In fiscal 2006, the Company announced that it would offer only these</w:t>
      </w:r>
    </w:p>
    <w:p>
      <w:pPr>
        <w:spacing w:after="0" w:line="1" w:lineRule="exact"/>
        <w:rPr>
          <w:sz w:val="20"/>
          <w:szCs w:val="20"/>
          <w:color w:val="auto"/>
        </w:rPr>
      </w:pPr>
    </w:p>
    <w:p>
      <w:pPr>
        <w:ind w:right="120"/>
        <w:spacing w:after="0" w:line="212" w:lineRule="auto"/>
        <w:rPr>
          <w:sz w:val="20"/>
          <w:szCs w:val="20"/>
          <w:color w:val="auto"/>
        </w:rPr>
      </w:pPr>
      <w:r>
        <w:rPr>
          <w:rFonts w:ascii="Arial" w:cs="Arial" w:eastAsia="Arial" w:hAnsi="Arial"/>
          <w:sz w:val="15"/>
          <w:szCs w:val="15"/>
          <w:color w:val="auto"/>
        </w:rPr>
        <w:t xml:space="preserve">core clubs and would no longer offer two of its smaller clubs, </w:t>
      </w:r>
      <w:r>
        <w:rPr>
          <w:rFonts w:ascii="Arial" w:cs="Arial" w:eastAsia="Arial" w:hAnsi="Arial"/>
          <w:sz w:val="15"/>
          <w:szCs w:val="15"/>
          <w:i w:val="1"/>
          <w:iCs w:val="1"/>
          <w:color w:val="auto"/>
        </w:rPr>
        <w:t>Trumpet</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Troll</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/Carnival</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In addition to its regular offers, the Company creates special theme-based offers targeted to different grade levels during the year.</w:t>
      </w:r>
    </w:p>
    <w:p>
      <w:pPr>
        <w:spacing w:after="0" w:line="183"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The Company mails promotional materials containing order forms to teachers in the vast majority of the pre-K to grade 8 classrooms in the United States. Teachers who wish to participate in a school-based book club distribute the order forms to their students, who may choose from 80 or more selections at substantial reductions from list prices. The teacher aggregates the students’ orders and forwards them to the Company by internet, phone, mail or fax. In fiscal 2006, orders through the internet accounted for approximately 45% of total book club orders. The orders are then shipped to the teacher for distribution to the students. Teachers who participate in the book clubs receive bonus points, which may be redeemed for the purchase of additional books and other resource materials for their classrooms or the school.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School-Based Book Fairs</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Scholastic entered the school-based book fair business in 1981. Since that date, the Company has grown this business by expanding into new markets, including through selected acquisitions, and by increasing its business in its existing markets by (i) growing revenue on a per fair basis, and (ii) increasing the number of fairs held at its existing school customers. The Company is the leading operator of school-based book fairs in the United States.</w:t>
      </w:r>
    </w:p>
    <w:p>
      <w:pPr>
        <w:spacing w:after="0" w:line="167"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Book fairs are generally week-long events conducted on school premises, operated by school librarians and/or parent-teacher organizations. Book fair events provide children with access to hundreds of titles and allow them to purchase books and other select products at the school. Although the Company provides the school with the books and book display cases, the school itself conducts the book fair as a fundraiser for a variety of purposes, such as to purchase books, supplies and equipment for the school. The Company believes that a primary motivation for schools sponsoring fairs is to make quality books available to their students at reasonable prices in order to stimulate interest in reading.</w:t>
      </w:r>
    </w:p>
    <w:p>
      <w:pPr>
        <w:spacing w:after="0" w:line="149"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 xml:space="preserve">The Company operates school-based book fairs in all 50 states under the name </w:t>
      </w:r>
      <w:r>
        <w:rPr>
          <w:rFonts w:ascii="Arial" w:cs="Arial" w:eastAsia="Arial" w:hAnsi="Arial"/>
          <w:sz w:val="13"/>
          <w:szCs w:val="13"/>
          <w:i w:val="1"/>
          <w:iCs w:val="1"/>
          <w:color w:val="auto"/>
        </w:rPr>
        <w:t>Scholastic Book Fairs</w:t>
      </w:r>
      <w:r>
        <w:rPr>
          <w:rFonts w:ascii="Arial" w:cs="Arial" w:eastAsia="Arial" w:hAnsi="Arial"/>
          <w:sz w:val="25"/>
          <w:szCs w:val="25"/>
          <w:i w:val="1"/>
          <w:iCs w:val="1"/>
          <w:color w:val="auto"/>
          <w:vertAlign w:val="superscript"/>
        </w:rPr>
        <w:t>®</w:t>
      </w:r>
      <w:r>
        <w:rPr>
          <w:rFonts w:ascii="Arial" w:cs="Arial" w:eastAsia="Arial" w:hAnsi="Arial"/>
          <w:sz w:val="13"/>
          <w:szCs w:val="13"/>
          <w:color w:val="auto"/>
        </w:rPr>
        <w:t>. Books and display cases are delivered to schools from the Company’s warehouses principally by a fleet of leased vehicles. Sales and customer service functions are performed from regional sales offices supported by field representatives. Over 90% of the schools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107950</wp:posOffset>
            </wp:positionV>
            <wp:extent cx="1938655" cy="340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sponsored a Scholastic book fair in fiscal 2005 sponsored a Scholastic book fair again in fiscal 2006.</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Continuity Programs</w:t>
      </w:r>
    </w:p>
    <w:p>
      <w:pPr>
        <w:spacing w:after="0" w:line="22"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The Company operates continuity programs whereby families generally place an order to receive multiple shipments of children’s books over a period of time. Continuity programs are promoted through (i) direct-to-home offers, primarily through direct mail, on-line advertisements, telemarketing, print promotions and the internet, and (ii) offers in the Company’s school-based book clubs. The Company’s direct-to-home continuity business is the leading direct-to-home seller of books for children age five and under. In fiscal 2006, the Company’s direct-to-</w:t>
      </w:r>
    </w:p>
    <w:p>
      <w:pPr>
        <w:spacing w:after="0" w:line="1"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auto"/>
        </w:rPr>
        <w:t xml:space="preserve">home continuity business included Scholastic publishing properties, such as </w:t>
      </w:r>
      <w:r>
        <w:rPr>
          <w:rFonts w:ascii="Arial" w:cs="Arial" w:eastAsia="Arial" w:hAnsi="Arial"/>
          <w:sz w:val="13"/>
          <w:szCs w:val="13"/>
          <w:i w:val="1"/>
          <w:iCs w:val="1"/>
          <w:color w:val="auto"/>
        </w:rPr>
        <w:t>The New Book of Knowledge</w:t>
      </w:r>
      <w:r>
        <w:rPr>
          <w:rFonts w:ascii="Arial" w:cs="Arial" w:eastAsia="Arial" w:hAnsi="Arial"/>
          <w:sz w:val="25"/>
          <w:szCs w:val="25"/>
          <w:i w:val="1"/>
          <w:iCs w:val="1"/>
          <w:color w:val="auto"/>
          <w:vertAlign w:val="superscript"/>
        </w:rPr>
        <w:t>®</w:t>
      </w:r>
      <w:r>
        <w:rPr>
          <w:rFonts w:ascii="Arial" w:cs="Arial" w:eastAsia="Arial" w:hAnsi="Arial"/>
          <w:sz w:val="13"/>
          <w:szCs w:val="13"/>
          <w:color w:val="auto"/>
        </w:rPr>
        <w:t xml:space="preserve"> encyclopedia, </w:t>
      </w:r>
      <w:r>
        <w:rPr>
          <w:rFonts w:ascii="Arial" w:cs="Arial" w:eastAsia="Arial" w:hAnsi="Arial"/>
          <w:sz w:val="13"/>
          <w:szCs w:val="13"/>
          <w:i w:val="1"/>
          <w:iCs w:val="1"/>
          <w:color w:val="auto"/>
        </w:rPr>
        <w:t>My First Steps to Reading</w:t>
      </w:r>
      <w:r>
        <w:rPr>
          <w:rFonts w:ascii="Arial" w:cs="Arial" w:eastAsia="Arial" w:hAnsi="Arial"/>
          <w:sz w:val="25"/>
          <w:szCs w:val="25"/>
          <w:i w:val="1"/>
          <w:iCs w:val="1"/>
          <w:color w:val="auto"/>
          <w:vertAlign w:val="superscript"/>
        </w:rPr>
        <w:t>®</w:t>
      </w:r>
      <w:r>
        <w:rPr>
          <w:rFonts w:ascii="Arial" w:cs="Arial" w:eastAsia="Arial" w:hAnsi="Arial"/>
          <w:sz w:val="13"/>
          <w:szCs w:val="13"/>
          <w:color w:val="auto"/>
        </w:rPr>
        <w:t xml:space="preserve"> and </w:t>
      </w:r>
      <w:r>
        <w:rPr>
          <w:rFonts w:ascii="Arial" w:cs="Arial" w:eastAsia="Arial" w:hAnsi="Arial"/>
          <w:sz w:val="13"/>
          <w:szCs w:val="13"/>
          <w:i w:val="1"/>
          <w:iCs w:val="1"/>
          <w:color w:val="auto"/>
        </w:rPr>
        <w:t>Scholastic’s Phonics Reading</w:t>
      </w:r>
      <w:r>
        <w:rPr>
          <w:rFonts w:ascii="Arial" w:cs="Arial" w:eastAsia="Arial" w:hAnsi="Arial"/>
          <w:sz w:val="13"/>
          <w:szCs w:val="13"/>
          <w:color w:val="auto"/>
        </w:rPr>
        <w:t xml:space="preserve"> </w:t>
      </w:r>
      <w:r>
        <w:rPr>
          <w:rFonts w:ascii="Arial" w:cs="Arial" w:eastAsia="Arial" w:hAnsi="Arial"/>
          <w:sz w:val="13"/>
          <w:szCs w:val="13"/>
          <w:i w:val="1"/>
          <w:iCs w:val="1"/>
          <w:color w:val="auto"/>
        </w:rPr>
        <w:t>Program</w:t>
      </w:r>
      <w:r>
        <w:rPr>
          <w:rFonts w:ascii="Arial" w:cs="Arial" w:eastAsia="Arial" w:hAnsi="Arial"/>
          <w:sz w:val="13"/>
          <w:szCs w:val="13"/>
          <w:color w:val="auto"/>
        </w:rPr>
        <w:t>, as well as licensed programs, such as</w:t>
      </w:r>
      <w:r>
        <w:rPr>
          <w:rFonts w:ascii="Arial" w:cs="Arial" w:eastAsia="Arial" w:hAnsi="Arial"/>
          <w:sz w:val="13"/>
          <w:szCs w:val="13"/>
          <w:i w:val="1"/>
          <w:iCs w:val="1"/>
          <w:color w:val="auto"/>
        </w:rPr>
        <w:t xml:space="preserve"> Disney Book Club™</w:t>
      </w:r>
      <w:r>
        <w:rPr>
          <w:rFonts w:ascii="Arial" w:cs="Arial" w:eastAsia="Arial" w:hAnsi="Arial"/>
          <w:sz w:val="13"/>
          <w:szCs w:val="13"/>
          <w:color w:val="auto"/>
        </w:rPr>
        <w:t>,</w:t>
      </w:r>
      <w:r>
        <w:rPr>
          <w:rFonts w:ascii="Arial" w:cs="Arial" w:eastAsia="Arial" w:hAnsi="Arial"/>
          <w:sz w:val="13"/>
          <w:szCs w:val="13"/>
          <w:i w:val="1"/>
          <w:iCs w:val="1"/>
          <w:color w:val="auto"/>
        </w:rPr>
        <w:t xml:space="preserve"> Dr. Seuss™ Beginning Readers Program, Nick Jr.™ Book Club </w:t>
      </w:r>
      <w:r>
        <w:rPr>
          <w:rFonts w:ascii="Arial" w:cs="Arial" w:eastAsia="Arial" w:hAnsi="Arial"/>
          <w:sz w:val="13"/>
          <w:szCs w:val="13"/>
          <w:color w:val="auto"/>
        </w:rPr>
        <w:t>and</w:t>
      </w:r>
      <w:r>
        <w:rPr>
          <w:rFonts w:ascii="Arial" w:cs="Arial" w:eastAsia="Arial" w:hAnsi="Arial"/>
          <w:sz w:val="13"/>
          <w:szCs w:val="13"/>
          <w:i w:val="1"/>
          <w:iCs w:val="1"/>
          <w:color w:val="auto"/>
        </w:rPr>
        <w:t xml:space="preserve"> Veggie Tales™</w:t>
      </w:r>
      <w:r>
        <w:rPr>
          <w:rFonts w:ascii="Arial" w:cs="Arial" w:eastAsia="Arial" w:hAnsi="Arial"/>
          <w:sz w:val="13"/>
          <w:szCs w:val="13"/>
          <w:color w:val="auto"/>
        </w:rPr>
        <w:t>. Continuity programs offered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through Scholastic’s school-based book clubs include </w:t>
      </w:r>
      <w:r>
        <w:rPr>
          <w:rFonts w:ascii="Arial" w:cs="Arial" w:eastAsia="Arial" w:hAnsi="Arial"/>
          <w:sz w:val="13"/>
          <w:szCs w:val="13"/>
          <w:i w:val="1"/>
          <w:iCs w:val="1"/>
          <w:color w:val="auto"/>
        </w:rPr>
        <w:t>Spy University™, Nick Zone™, How to Survive, Care Bears</w:t>
      </w:r>
      <w:r>
        <w:rPr>
          <w:rFonts w:ascii="Arial" w:cs="Arial" w:eastAsia="Arial" w:hAnsi="Arial"/>
          <w:sz w:val="25"/>
          <w:szCs w:val="25"/>
          <w:i w:val="1"/>
          <w:iCs w:val="1"/>
          <w:color w:val="auto"/>
          <w:vertAlign w:val="superscript"/>
        </w:rPr>
        <w:t>®</w:t>
      </w:r>
      <w:r>
        <w:rPr>
          <w:rFonts w:ascii="Arial" w:cs="Arial" w:eastAsia="Arial" w:hAnsi="Arial"/>
          <w:sz w:val="13"/>
          <w:szCs w:val="13"/>
          <w:i w:val="1"/>
          <w:iCs w:val="1"/>
          <w:color w:val="auto"/>
        </w:rPr>
        <w:t>, Thomas and Friends™</w:t>
      </w:r>
      <w:r>
        <w:rPr>
          <w:rFonts w:ascii="Arial" w:cs="Arial" w:eastAsia="Arial" w:hAnsi="Arial"/>
          <w:sz w:val="13"/>
          <w:szCs w:val="13"/>
          <w:color w:val="auto"/>
        </w:rPr>
        <w:t xml:space="preserve"> and </w:t>
      </w:r>
      <w:r>
        <w:rPr>
          <w:rFonts w:ascii="Arial" w:cs="Arial" w:eastAsia="Arial" w:hAnsi="Arial"/>
          <w:sz w:val="13"/>
          <w:szCs w:val="13"/>
          <w:i w:val="1"/>
          <w:iCs w:val="1"/>
          <w:color w:val="auto"/>
        </w:rPr>
        <w:t>Clifford The Big Red Dog</w:t>
      </w:r>
      <w:r>
        <w:rPr>
          <w:rFonts w:ascii="Arial" w:cs="Arial" w:eastAsia="Arial" w:hAnsi="Arial"/>
          <w:sz w:val="25"/>
          <w:szCs w:val="25"/>
          <w:i w:val="1"/>
          <w:iCs w:val="1"/>
          <w:color w:val="auto"/>
          <w:vertAlign w:val="superscript"/>
        </w:rPr>
        <w:t>®</w:t>
      </w:r>
      <w:r>
        <w:rPr>
          <w:rFonts w:ascii="Arial" w:cs="Arial" w:eastAsia="Arial" w:hAnsi="Arial"/>
          <w:sz w:val="13"/>
          <w:szCs w:val="13"/>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w:t>
      </w:r>
    </w:p>
    <w:p>
      <w:pPr>
        <w:spacing w:after="0" w:line="22" w:lineRule="exact"/>
        <w:rPr>
          <w:sz w:val="20"/>
          <w:szCs w:val="20"/>
          <w:color w:val="auto"/>
        </w:rPr>
      </w:pPr>
    </w:p>
    <w:p>
      <w:pPr>
        <w:ind w:right="240"/>
        <w:spacing w:after="0" w:line="243" w:lineRule="auto"/>
        <w:rPr>
          <w:sz w:val="20"/>
          <w:szCs w:val="20"/>
          <w:color w:val="auto"/>
        </w:rPr>
      </w:pPr>
      <w:r>
        <w:rPr>
          <w:rFonts w:ascii="Arial" w:cs="Arial" w:eastAsia="Arial" w:hAnsi="Arial"/>
          <w:sz w:val="13"/>
          <w:szCs w:val="13"/>
          <w:color w:val="auto"/>
        </w:rPr>
        <w:t xml:space="preserve">Scholastic is a leading publisher of children’s books sold through bookstores and mass merchandisers in the United States. The Company maintains approximately 6,000 titles for trade distribution. Scholastic’s original publications include </w:t>
      </w:r>
      <w:r>
        <w:rPr>
          <w:rFonts w:ascii="Arial" w:cs="Arial" w:eastAsia="Arial" w:hAnsi="Arial"/>
          <w:sz w:val="13"/>
          <w:szCs w:val="13"/>
          <w:i w:val="1"/>
          <w:iCs w:val="1"/>
          <w:color w:val="auto"/>
        </w:rPr>
        <w:t>Harry Potter</w:t>
      </w:r>
      <w:r>
        <w:rPr>
          <w:rFonts w:ascii="Arial" w:cs="Arial" w:eastAsia="Arial" w:hAnsi="Arial"/>
          <w:sz w:val="25"/>
          <w:szCs w:val="25"/>
          <w:i w:val="1"/>
          <w:iCs w:val="1"/>
          <w:color w:val="auto"/>
          <w:vertAlign w:val="superscript"/>
        </w:rPr>
        <w:t>®</w:t>
      </w:r>
      <w:r>
        <w:rPr>
          <w:rFonts w:ascii="Arial" w:cs="Arial" w:eastAsia="Arial" w:hAnsi="Arial"/>
          <w:sz w:val="13"/>
          <w:szCs w:val="13"/>
          <w:i w:val="1"/>
          <w:iCs w:val="1"/>
          <w:color w:val="auto"/>
        </w:rPr>
        <w:t>, I Spy™, Clifford The Big Red Dog, Captain Underpants</w:t>
      </w:r>
      <w:r>
        <w:rPr>
          <w:rFonts w:ascii="Arial" w:cs="Arial" w:eastAsia="Arial" w:hAnsi="Arial"/>
          <w:sz w:val="25"/>
          <w:szCs w:val="25"/>
          <w:i w:val="1"/>
          <w:iCs w:val="1"/>
          <w:color w:val="auto"/>
          <w:vertAlign w:val="superscript"/>
        </w:rPr>
        <w:t>®</w:t>
      </w:r>
      <w:r>
        <w:rPr>
          <w:rFonts w:ascii="Arial" w:cs="Arial" w:eastAsia="Arial" w:hAnsi="Arial"/>
          <w:sz w:val="13"/>
          <w:szCs w:val="13"/>
          <w:i w:val="1"/>
          <w:iCs w:val="1"/>
          <w:color w:val="auto"/>
        </w:rPr>
        <w:t>, Geronimo Stilton</w:t>
      </w:r>
      <w:r>
        <w:rPr>
          <w:rFonts w:ascii="Arial" w:cs="Arial" w:eastAsia="Arial" w:hAnsi="Arial"/>
          <w:sz w:val="25"/>
          <w:szCs w:val="25"/>
          <w:i w:val="1"/>
          <w:iCs w:val="1"/>
          <w:color w:val="auto"/>
          <w:vertAlign w:val="superscript"/>
        </w:rPr>
        <w:t>®</w:t>
      </w:r>
      <w:r>
        <w:rPr>
          <w:rFonts w:ascii="Arial" w:cs="Arial" w:eastAsia="Arial" w:hAnsi="Arial"/>
          <w:sz w:val="13"/>
          <w:szCs w:val="13"/>
          <w:color w:val="auto"/>
        </w:rPr>
        <w:t xml:space="preserve"> and </w:t>
      </w:r>
      <w:r>
        <w:rPr>
          <w:rFonts w:ascii="Arial" w:cs="Arial" w:eastAsia="Arial" w:hAnsi="Arial"/>
          <w:sz w:val="13"/>
          <w:szCs w:val="13"/>
          <w:i w:val="1"/>
          <w:iCs w:val="1"/>
          <w:color w:val="auto"/>
        </w:rPr>
        <w:t>Goosebumps</w:t>
      </w:r>
      <w:r>
        <w:rPr>
          <w:rFonts w:ascii="Arial" w:cs="Arial" w:eastAsia="Arial" w:hAnsi="Arial"/>
          <w:sz w:val="25"/>
          <w:szCs w:val="25"/>
          <w:i w:val="1"/>
          <w:iCs w:val="1"/>
          <w:color w:val="auto"/>
          <w:vertAlign w:val="superscript"/>
        </w:rPr>
        <w:t>®</w:t>
      </w:r>
      <w:r>
        <w:rPr>
          <w:rFonts w:ascii="Arial" w:cs="Arial" w:eastAsia="Arial" w:hAnsi="Arial"/>
          <w:sz w:val="13"/>
          <w:szCs w:val="13"/>
          <w:color w:val="auto"/>
        </w:rPr>
        <w:t xml:space="preserve"> and licensed</w:t>
      </w:r>
    </w:p>
    <w:p>
      <w:pPr>
        <w:ind w:right="360"/>
        <w:spacing w:after="0" w:line="201" w:lineRule="auto"/>
        <w:rPr>
          <w:sz w:val="20"/>
          <w:szCs w:val="20"/>
          <w:color w:val="auto"/>
        </w:rPr>
      </w:pPr>
      <w:r>
        <w:rPr>
          <w:rFonts w:ascii="Arial" w:cs="Arial" w:eastAsia="Arial" w:hAnsi="Arial"/>
          <w:sz w:val="15"/>
          <w:szCs w:val="15"/>
          <w:color w:val="auto"/>
        </w:rPr>
        <w:t xml:space="preserve">properties such as </w:t>
      </w:r>
      <w:r>
        <w:rPr>
          <w:rFonts w:ascii="Arial" w:cs="Arial" w:eastAsia="Arial" w:hAnsi="Arial"/>
          <w:sz w:val="15"/>
          <w:szCs w:val="15"/>
          <w:i w:val="1"/>
          <w:iCs w:val="1"/>
          <w:color w:val="auto"/>
        </w:rPr>
        <w:t>Scooby-Doo</w:t>
      </w:r>
      <w:r>
        <w:rPr>
          <w:rFonts w:ascii="Arial" w:cs="Arial" w:eastAsia="Arial" w:hAnsi="Arial"/>
          <w:sz w:val="30"/>
          <w:szCs w:val="30"/>
          <w:i w:val="1"/>
          <w:iCs w:val="1"/>
          <w:color w:val="auto"/>
          <w:vertAlign w:val="superscript"/>
        </w:rPr>
        <w:t>®</w:t>
      </w:r>
      <w:r>
        <w:rPr>
          <w:rFonts w:ascii="Arial" w:cs="Arial" w:eastAsia="Arial" w:hAnsi="Arial"/>
          <w:sz w:val="15"/>
          <w:szCs w:val="15"/>
          <w:i w:val="1"/>
          <w:iCs w:val="1"/>
          <w:color w:val="auto"/>
        </w:rPr>
        <w:t>, Star Wars</w:t>
      </w:r>
      <w:r>
        <w:rPr>
          <w:rFonts w:ascii="Arial" w:cs="Arial" w:eastAsia="Arial" w:hAnsi="Arial"/>
          <w:sz w:val="30"/>
          <w:szCs w:val="30"/>
          <w:i w:val="1"/>
          <w:iCs w:val="1"/>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 Lego™, Care Bears</w:t>
      </w:r>
      <w:r>
        <w:rPr>
          <w:rFonts w:ascii="Arial" w:cs="Arial" w:eastAsia="Arial" w:hAnsi="Arial"/>
          <w:sz w:val="15"/>
          <w:szCs w:val="15"/>
          <w:color w:val="auto"/>
        </w:rPr>
        <w:t xml:space="preserve"> and </w:t>
      </w:r>
      <w:r>
        <w:rPr>
          <w:rFonts w:ascii="Arial" w:cs="Arial" w:eastAsia="Arial" w:hAnsi="Arial"/>
          <w:sz w:val="15"/>
          <w:szCs w:val="15"/>
          <w:i w:val="1"/>
          <w:iCs w:val="1"/>
          <w:color w:val="auto"/>
        </w:rPr>
        <w:t>Taggies</w:t>
      </w:r>
      <w:r>
        <w:rPr>
          <w:rFonts w:ascii="Arial" w:cs="Arial" w:eastAsia="Arial" w:hAnsi="Arial"/>
          <w:sz w:val="30"/>
          <w:szCs w:val="30"/>
          <w:i w:val="1"/>
          <w:iCs w:val="1"/>
          <w:color w:val="auto"/>
          <w:vertAlign w:val="superscript"/>
        </w:rPr>
        <w:t>®</w:t>
      </w:r>
      <w:r>
        <w:rPr>
          <w:rFonts w:ascii="Arial" w:cs="Arial" w:eastAsia="Arial" w:hAnsi="Arial"/>
          <w:sz w:val="15"/>
          <w:szCs w:val="15"/>
          <w:color w:val="auto"/>
        </w:rPr>
        <w:t>. In addition, the Company’s Klutz</w:t>
      </w:r>
      <w:r>
        <w:rPr>
          <w:rFonts w:ascii="Arial" w:cs="Arial" w:eastAsia="Arial" w:hAnsi="Arial"/>
          <w:sz w:val="30"/>
          <w:szCs w:val="30"/>
          <w:color w:val="auto"/>
          <w:vertAlign w:val="superscript"/>
        </w:rPr>
        <w:t>®</w:t>
      </w:r>
      <w:r>
        <w:rPr>
          <w:rFonts w:ascii="Arial" w:cs="Arial" w:eastAsia="Arial" w:hAnsi="Arial"/>
          <w:sz w:val="15"/>
          <w:szCs w:val="15"/>
          <w:color w:val="auto"/>
        </w:rPr>
        <w:t xml:space="preserve"> imprint is a publisher and creator of “books plus” products for children, including titles such as </w:t>
      </w:r>
      <w:r>
        <w:rPr>
          <w:rFonts w:ascii="Arial" w:cs="Arial" w:eastAsia="Arial" w:hAnsi="Arial"/>
          <w:sz w:val="15"/>
          <w:szCs w:val="15"/>
          <w:i w:val="1"/>
          <w:iCs w:val="1"/>
          <w:color w:val="auto"/>
        </w:rPr>
        <w:t>How to Make Paper Airplanes</w:t>
      </w:r>
      <w:r>
        <w:rPr>
          <w:rFonts w:ascii="Arial" w:cs="Arial" w:eastAsia="Arial" w:hAnsi="Arial"/>
          <w:sz w:val="15"/>
          <w:szCs w:val="15"/>
          <w:color w:val="auto"/>
        </w:rPr>
        <w:t>.</w:t>
      </w:r>
    </w:p>
    <w:p>
      <w:pPr>
        <w:spacing w:after="0" w:line="184" w:lineRule="exact"/>
        <w:rPr>
          <w:sz w:val="20"/>
          <w:szCs w:val="20"/>
          <w:color w:val="auto"/>
        </w:rPr>
      </w:pPr>
    </w:p>
    <w:p>
      <w:pPr>
        <w:jc w:val="both"/>
        <w:ind w:right="340"/>
        <w:spacing w:after="0" w:line="272" w:lineRule="auto"/>
        <w:rPr>
          <w:sz w:val="20"/>
          <w:szCs w:val="20"/>
          <w:color w:val="auto"/>
        </w:rPr>
      </w:pPr>
      <w:r>
        <w:rPr>
          <w:rFonts w:ascii="Arial" w:cs="Arial" w:eastAsia="Arial" w:hAnsi="Arial"/>
          <w:sz w:val="15"/>
          <w:szCs w:val="15"/>
          <w:color w:val="auto"/>
        </w:rPr>
        <w:t xml:space="preserve">The Company’s trade sales organization focuses on marketing and selling Scholastic’s publishing properties to bookstores, mass merchandisers, specialty sales outlets and other book retailers. Scholastic bestsellers during fiscal 2006 included books from the </w:t>
      </w:r>
      <w:r>
        <w:rPr>
          <w:rFonts w:ascii="Arial" w:cs="Arial" w:eastAsia="Arial" w:hAnsi="Arial"/>
          <w:sz w:val="15"/>
          <w:szCs w:val="15"/>
          <w:i w:val="1"/>
          <w:iCs w:val="1"/>
          <w:color w:val="auto"/>
        </w:rPr>
        <w:t>Harry Potter, I Spy, Taggies, How Do Dinosaurs™</w:t>
      </w:r>
      <w:r>
        <w:rPr>
          <w:rFonts w:ascii="Arial" w:cs="Arial" w:eastAsia="Arial" w:hAnsi="Arial"/>
          <w:sz w:val="15"/>
          <w:szCs w:val="15"/>
          <w:color w:val="auto"/>
        </w:rPr>
        <w:t xml:space="preserve"> and </w:t>
      </w:r>
      <w:r>
        <w:rPr>
          <w:rFonts w:ascii="Arial" w:cs="Arial" w:eastAsia="Arial" w:hAnsi="Arial"/>
          <w:sz w:val="15"/>
          <w:szCs w:val="15"/>
          <w:i w:val="1"/>
          <w:iCs w:val="1"/>
          <w:color w:val="auto"/>
        </w:rPr>
        <w:t>Charlie Bone™</w:t>
      </w:r>
      <w:r>
        <w:rPr>
          <w:rFonts w:ascii="Arial" w:cs="Arial" w:eastAsia="Arial" w:hAnsi="Arial"/>
          <w:sz w:val="15"/>
          <w:szCs w:val="15"/>
          <w:color w:val="auto"/>
        </w:rPr>
        <w:t xml:space="preserve"> series and individual titles, such as </w:t>
      </w:r>
      <w:r>
        <w:rPr>
          <w:rFonts w:ascii="Arial" w:cs="Arial" w:eastAsia="Arial" w:hAnsi="Arial"/>
          <w:sz w:val="15"/>
          <w:szCs w:val="15"/>
          <w:i w:val="1"/>
          <w:iCs w:val="1"/>
          <w:color w:val="auto"/>
        </w:rPr>
        <w:t xml:space="preserve">Inkspell, Over the Hedge </w:t>
      </w:r>
      <w:r>
        <w:rPr>
          <w:rFonts w:ascii="Arial" w:cs="Arial" w:eastAsia="Arial" w:hAnsi="Arial"/>
          <w:sz w:val="15"/>
          <w:szCs w:val="15"/>
          <w:color w:val="auto"/>
        </w:rPr>
        <w:t>and</w:t>
      </w:r>
      <w:r>
        <w:rPr>
          <w:rFonts w:ascii="Arial" w:cs="Arial" w:eastAsia="Arial" w:hAnsi="Arial"/>
          <w:sz w:val="15"/>
          <w:szCs w:val="15"/>
          <w:i w:val="1"/>
          <w:iCs w:val="1"/>
          <w:color w:val="auto"/>
        </w:rPr>
        <w:t xml:space="preserve"> Read and Learn Bible</w:t>
      </w:r>
      <w:r>
        <w:rPr>
          <w:rFonts w:ascii="Arial" w:cs="Arial" w:eastAsia="Arial" w:hAnsi="Arial"/>
          <w:sz w:val="15"/>
          <w:szCs w:val="15"/>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22"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Also included in this segment is The Book People, a direct seller of children’s and adult books to offices and other point of sale locations through display marketing and corporate book fairs.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 </w:t>
      </w:r>
      <w:r>
        <w:rPr>
          <w:rFonts w:ascii="Arial" w:cs="Arial" w:eastAsia="Arial" w:hAnsi="Arial"/>
          <w:sz w:val="11"/>
          <w:szCs w:val="11"/>
          <w:b w:val="1"/>
          <w:bCs w:val="1"/>
          <w:color w:val="auto"/>
        </w:rPr>
        <w:t>D U C A T I O N A L</w:t>
      </w:r>
      <w:r>
        <w:rPr>
          <w:rFonts w:ascii="Arial" w:cs="Arial" w:eastAsia="Arial" w:hAnsi="Arial"/>
          <w:sz w:val="15"/>
          <w:szCs w:val="15"/>
          <w:b w:val="1"/>
          <w:bCs w:val="1"/>
          <w:color w:val="auto"/>
        </w:rPr>
        <w:t xml:space="preserve">  P </w:t>
      </w:r>
      <w:r>
        <w:rPr>
          <w:rFonts w:ascii="Arial" w:cs="Arial" w:eastAsia="Arial" w:hAnsi="Arial"/>
          <w:sz w:val="11"/>
          <w:szCs w:val="11"/>
          <w:b w:val="1"/>
          <w:bCs w:val="1"/>
          <w:color w:val="auto"/>
        </w:rPr>
        <w:t>U B L I S H I N 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(18.2% of fiscal 2006 revenues)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2" w:lineRule="exact"/>
        <w:rPr>
          <w:sz w:val="20"/>
          <w:szCs w:val="20"/>
          <w:color w:val="auto"/>
        </w:rPr>
      </w:pPr>
    </w:p>
    <w:p>
      <w:pPr>
        <w:ind w:right="440"/>
        <w:spacing w:after="0" w:line="304" w:lineRule="auto"/>
        <w:rPr>
          <w:sz w:val="20"/>
          <w:szCs w:val="20"/>
          <w:color w:val="auto"/>
        </w:rPr>
      </w:pPr>
      <w:r>
        <w:rPr>
          <w:rFonts w:ascii="Arial" w:cs="Arial" w:eastAsia="Arial" w:hAnsi="Arial"/>
          <w:sz w:val="14"/>
          <w:szCs w:val="14"/>
          <w:color w:val="auto"/>
        </w:rPr>
        <w:t xml:space="preserve">The Company’s </w:t>
      </w:r>
      <w:r>
        <w:rPr>
          <w:rFonts w:ascii="Arial" w:cs="Arial" w:eastAsia="Arial" w:hAnsi="Arial"/>
          <w:sz w:val="14"/>
          <w:szCs w:val="14"/>
          <w:i w:val="1"/>
          <w:iCs w:val="1"/>
          <w:color w:val="auto"/>
        </w:rPr>
        <w:t>Educational Publishing</w:t>
      </w:r>
      <w:r>
        <w:rPr>
          <w:rFonts w:ascii="Arial" w:cs="Arial" w:eastAsia="Arial" w:hAnsi="Arial"/>
          <w:sz w:val="14"/>
          <w:szCs w:val="14"/>
          <w:color w:val="auto"/>
        </w:rPr>
        <w:t xml:space="preserve"> segment includes the production and/or publication and distribution to schools and libraries of educational technology products, curriculum materials, children’s books, classroom magazines and print and on-line reference and non-fiction products for grades pre-K to 12 in the United States.</w:t>
      </w:r>
    </w:p>
    <w:p>
      <w:pPr>
        <w:spacing w:after="0" w:line="139"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 xml:space="preserve">The Company is a leading provider of educational technology products and reading materials for schools and libraries. Scholastic has been providing quality, innovative educational materials to schools and libraries since it began publishing classroom magazines in the 1920s. The Company added supplementary books and texts to its product line in the 1960s, professional books for teachers in the 1980s and early childhood products and core curriculum materials in the 1990s. In 1996, the Company strengthened its Spanish language offerings through the acquisition of Lectorum Publications, Inc., the largest Spanish language book distributor to schools and libraries in the United States. As a result of the acquisition of Grolier Incorporated (“Grolier”) in 2000, the Company is the leading print and on-line publisher of children’s reference and non-fiction products sold primarily to school libraries in the United States. In 2002, the Company acquired Tom Snyder Productions, Inc., a developer and publisher of interactive educational software. The Company markets and sells its </w:t>
      </w:r>
      <w:r>
        <w:rPr>
          <w:rFonts w:ascii="Arial" w:cs="Arial" w:eastAsia="Arial" w:hAnsi="Arial"/>
          <w:sz w:val="15"/>
          <w:szCs w:val="15"/>
          <w:i w:val="1"/>
          <w:iCs w:val="1"/>
          <w:color w:val="auto"/>
        </w:rPr>
        <w:t>Educational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Publishing </w:t>
      </w:r>
      <w:r>
        <w:rPr>
          <w:rFonts w:ascii="Arial" w:cs="Arial" w:eastAsia="Arial" w:hAnsi="Arial"/>
          <w:sz w:val="15"/>
          <w:szCs w:val="15"/>
          <w:color w:val="auto"/>
        </w:rPr>
        <w:t>products through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111125</wp:posOffset>
            </wp:positionV>
            <wp:extent cx="1938655" cy="340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t>combination of field representatives, direct mail, telemarketing and the internet.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Curriculum Publishing and Teaching Resources</w:t>
      </w:r>
    </w:p>
    <w:p>
      <w:pPr>
        <w:spacing w:after="0" w:line="22"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color w:val="auto"/>
        </w:rPr>
        <w:t>Scholastic’s curriculum publishing and teaching resources operations develop and distribute instructional materials directly to schools in the United States, primarily purchased through school and district budgets. These operations also include reading improvement programs and educational technology products, paperback collections for classroom libraries and professional books.</w:t>
      </w:r>
    </w:p>
    <w:p>
      <w:pPr>
        <w:spacing w:after="0" w:line="167" w:lineRule="exact"/>
        <w:rPr>
          <w:sz w:val="20"/>
          <w:szCs w:val="20"/>
          <w:color w:val="auto"/>
        </w:rPr>
      </w:pPr>
    </w:p>
    <w:p>
      <w:pPr>
        <w:ind w:right="400"/>
        <w:spacing w:after="0" w:line="257" w:lineRule="auto"/>
        <w:rPr>
          <w:sz w:val="20"/>
          <w:szCs w:val="20"/>
          <w:color w:val="auto"/>
        </w:rPr>
      </w:pPr>
      <w:r>
        <w:rPr>
          <w:rFonts w:ascii="Arial" w:cs="Arial" w:eastAsia="Arial" w:hAnsi="Arial"/>
          <w:sz w:val="13"/>
          <w:szCs w:val="13"/>
          <w:color w:val="auto"/>
        </w:rPr>
        <w:t xml:space="preserve">The Company focuses its supplemental and core curriculum publishing efforts on reading improvement materials and the effective use of technology to support learning. Scholastic’s technology-based reading improvement programs include </w:t>
      </w:r>
      <w:r>
        <w:rPr>
          <w:rFonts w:ascii="Arial" w:cs="Arial" w:eastAsia="Arial" w:hAnsi="Arial"/>
          <w:sz w:val="13"/>
          <w:szCs w:val="13"/>
          <w:i w:val="1"/>
          <w:iCs w:val="1"/>
          <w:color w:val="auto"/>
        </w:rPr>
        <w:t>READ 180</w:t>
      </w:r>
      <w:r>
        <w:rPr>
          <w:rFonts w:ascii="Arial" w:cs="Arial" w:eastAsia="Arial" w:hAnsi="Arial"/>
          <w:sz w:val="21"/>
          <w:szCs w:val="21"/>
          <w:i w:val="1"/>
          <w:iCs w:val="1"/>
          <w:color w:val="auto"/>
          <w:vertAlign w:val="superscript"/>
        </w:rPr>
        <w:t>®</w:t>
      </w:r>
      <w:r>
        <w:rPr>
          <w:rFonts w:ascii="Arial" w:cs="Arial" w:eastAsia="Arial" w:hAnsi="Arial"/>
          <w:sz w:val="13"/>
          <w:szCs w:val="13"/>
          <w:color w:val="auto"/>
        </w:rPr>
        <w:t>, a reading intervention program for students in grades 4 to 12 reading at least two years below grade level,</w:t>
      </w:r>
    </w:p>
    <w:p>
      <w:pPr>
        <w:spacing w:after="0" w:line="230" w:lineRule="auto"/>
        <w:rPr>
          <w:sz w:val="20"/>
          <w:szCs w:val="20"/>
          <w:color w:val="auto"/>
        </w:rPr>
      </w:pPr>
      <w:r>
        <w:rPr>
          <w:rFonts w:ascii="Arial" w:cs="Arial" w:eastAsia="Arial" w:hAnsi="Arial"/>
          <w:sz w:val="15"/>
          <w:szCs w:val="15"/>
          <w:color w:val="auto"/>
        </w:rPr>
        <w:t xml:space="preserve">SCHOLASTIC ZIP ZOOM™ for grades K to 3, which supports beginning reading skills for English language learners, </w:t>
      </w:r>
      <w:r>
        <w:rPr>
          <w:rFonts w:ascii="Arial" w:cs="Arial" w:eastAsia="Arial" w:hAnsi="Arial"/>
          <w:sz w:val="15"/>
          <w:szCs w:val="15"/>
          <w:i w:val="1"/>
          <w:iCs w:val="1"/>
          <w:color w:val="auto"/>
        </w:rPr>
        <w:t>ReadAbout</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for grades 3 to 6, which combines adaptive technology with engaging non-fiction content, and </w:t>
      </w:r>
      <w:r>
        <w:rPr>
          <w:rFonts w:ascii="Arial" w:cs="Arial" w:eastAsia="Arial" w:hAnsi="Arial"/>
          <w:sz w:val="15"/>
          <w:szCs w:val="15"/>
          <w:i w:val="1"/>
          <w:iCs w:val="1"/>
          <w:color w:val="auto"/>
        </w:rPr>
        <w:t>Scholastic Reading Counts!™</w:t>
      </w:r>
      <w:r>
        <w:rPr>
          <w:rFonts w:ascii="Arial" w:cs="Arial" w:eastAsia="Arial" w:hAnsi="Arial"/>
          <w:sz w:val="15"/>
          <w:szCs w:val="15"/>
          <w:color w:val="auto"/>
        </w:rPr>
        <w:t xml:space="preserve">, which encourages reading through a school-managed incentive program. In fiscal 2006, Scholastic introduced the upgraded </w:t>
      </w:r>
      <w:r>
        <w:rPr>
          <w:rFonts w:ascii="Arial" w:cs="Arial" w:eastAsia="Arial" w:hAnsi="Arial"/>
          <w:sz w:val="15"/>
          <w:szCs w:val="15"/>
          <w:i w:val="1"/>
          <w:iCs w:val="1"/>
          <w:color w:val="auto"/>
        </w:rPr>
        <w:t>READ 180 Enterprise Edition,</w:t>
      </w:r>
      <w:r>
        <w:rPr>
          <w:rFonts w:ascii="Arial" w:cs="Arial" w:eastAsia="Arial" w:hAnsi="Arial"/>
          <w:sz w:val="15"/>
          <w:szCs w:val="15"/>
          <w:color w:val="auto"/>
        </w:rPr>
        <w:t xml:space="preserve"> which supports larger installations in schools and provides improved student data management, and launched </w:t>
      </w:r>
      <w:r>
        <w:rPr>
          <w:rFonts w:ascii="Arial" w:cs="Arial" w:eastAsia="Arial" w:hAnsi="Arial"/>
          <w:sz w:val="15"/>
          <w:szCs w:val="15"/>
          <w:i w:val="1"/>
          <w:iCs w:val="1"/>
          <w:color w:val="auto"/>
        </w:rPr>
        <w:t>FASTT Math™</w:t>
      </w:r>
      <w:r>
        <w:rPr>
          <w:rFonts w:ascii="Arial" w:cs="Arial" w:eastAsia="Arial" w:hAnsi="Arial"/>
          <w:sz w:val="15"/>
          <w:szCs w:val="15"/>
          <w:color w:val="auto"/>
        </w:rPr>
        <w:t xml:space="preserve">, a technology-based program to improve math fluency, developed with the creator of </w:t>
      </w:r>
      <w:r>
        <w:rPr>
          <w:rFonts w:ascii="Arial" w:cs="Arial" w:eastAsia="Arial" w:hAnsi="Arial"/>
          <w:sz w:val="15"/>
          <w:szCs w:val="15"/>
          <w:i w:val="1"/>
          <w:iCs w:val="1"/>
          <w:color w:val="auto"/>
        </w:rPr>
        <w:t>READ 180</w:t>
      </w:r>
      <w:r>
        <w:rPr>
          <w:rFonts w:ascii="Arial" w:cs="Arial" w:eastAsia="Arial" w:hAnsi="Arial"/>
          <w:sz w:val="15"/>
          <w:szCs w:val="15"/>
          <w:color w:val="auto"/>
        </w:rPr>
        <w:t>.</w:t>
      </w:r>
    </w:p>
    <w:p>
      <w:pPr>
        <w:spacing w:after="0" w:line="184" w:lineRule="exact"/>
        <w:rPr>
          <w:sz w:val="20"/>
          <w:szCs w:val="20"/>
          <w:color w:val="auto"/>
        </w:rPr>
      </w:pPr>
    </w:p>
    <w:p>
      <w:pPr>
        <w:ind w:right="80"/>
        <w:spacing w:after="0" w:line="332" w:lineRule="auto"/>
        <w:rPr>
          <w:sz w:val="20"/>
          <w:szCs w:val="20"/>
          <w:color w:val="auto"/>
        </w:rPr>
      </w:pPr>
      <w:r>
        <w:rPr>
          <w:rFonts w:ascii="Arial" w:cs="Arial" w:eastAsia="Arial" w:hAnsi="Arial"/>
          <w:sz w:val="13"/>
          <w:szCs w:val="13"/>
          <w:color w:val="auto"/>
        </w:rPr>
        <w:t>The teaching resources group publishes professional books designed for and generally purchased by teachers and distributes paperback collections to schools and school districts for classroom libraries and other uses, as well as to literacy organizations. The Company operates an on-line Teacher Store, which provides professional books and other educational materials to schools and teachers, and www.scholastic.com is a leading website for teachers and classrooms, offering multimedia teaching units, lesson plans, teaching tools and on-line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Classroom Magazines</w:t>
      </w:r>
    </w:p>
    <w:p>
      <w:pPr>
        <w:spacing w:after="0" w:line="22" w:lineRule="exact"/>
        <w:rPr>
          <w:sz w:val="20"/>
          <w:szCs w:val="20"/>
          <w:color w:val="auto"/>
        </w:rPr>
      </w:pPr>
    </w:p>
    <w:p>
      <w:pPr>
        <w:ind w:right="260"/>
        <w:spacing w:after="0" w:line="267" w:lineRule="auto"/>
        <w:rPr>
          <w:sz w:val="20"/>
          <w:szCs w:val="20"/>
          <w:color w:val="auto"/>
        </w:rPr>
      </w:pPr>
      <w:r>
        <w:rPr>
          <w:rFonts w:ascii="Arial" w:cs="Arial" w:eastAsia="Arial" w:hAnsi="Arial"/>
          <w:sz w:val="15"/>
          <w:szCs w:val="15"/>
          <w:color w:val="auto"/>
        </w:rPr>
        <w:t xml:space="preserve">Scholastic is a leading publisher of classroom magazines. Teachers in grades pre-K to 12 use these magazines as supplementary educational materials. The Company’s 31 classroom magazines supplement formal learning programs by bringing subjects of current interest into the classroom. The magazines are designed to encourage students to read and also to cover diverse subjects, including literature, math, science, current events, social studies and foreign languages. The most well known of the Company’s domestic magazines are </w:t>
      </w:r>
      <w:r>
        <w:rPr>
          <w:rFonts w:ascii="Arial" w:cs="Arial" w:eastAsia="Arial" w:hAnsi="Arial"/>
          <w:sz w:val="15"/>
          <w:szCs w:val="15"/>
          <w:i w:val="1"/>
          <w:iCs w:val="1"/>
          <w:color w:val="auto"/>
        </w:rPr>
        <w:t>Scholastic</w:t>
      </w:r>
      <w:r>
        <w:rPr>
          <w:rFonts w:ascii="Arial" w:cs="Arial" w:eastAsia="Arial" w:hAnsi="Arial"/>
          <w:sz w:val="15"/>
          <w:szCs w:val="15"/>
          <w:color w:val="auto"/>
        </w:rPr>
        <w:t xml:space="preserve"> </w:t>
      </w:r>
      <w:r>
        <w:rPr>
          <w:rFonts w:ascii="Arial" w:cs="Arial" w:eastAsia="Arial" w:hAnsi="Arial"/>
          <w:sz w:val="15"/>
          <w:szCs w:val="15"/>
          <w:i w:val="1"/>
          <w:iCs w:val="1"/>
          <w:color w:val="auto"/>
        </w:rPr>
        <w:t>News</w:t>
      </w:r>
      <w:r>
        <w:rPr>
          <w:rFonts w:ascii="Arial" w:cs="Arial" w:eastAsia="Arial" w:hAnsi="Arial"/>
          <w:sz w:val="30"/>
          <w:szCs w:val="30"/>
          <w:i w:val="1"/>
          <w:iCs w:val="1"/>
          <w:color w:val="auto"/>
          <w:vertAlign w:val="superscript"/>
        </w:rPr>
        <w:t>®</w:t>
      </w:r>
      <w:r>
        <w:rPr>
          <w:rFonts w:ascii="Arial" w:cs="Arial" w:eastAsia="Arial" w:hAnsi="Arial"/>
          <w:sz w:val="15"/>
          <w:szCs w:val="15"/>
          <w:i w:val="1"/>
          <w:iCs w:val="1"/>
          <w:color w:val="auto"/>
        </w:rPr>
        <w:t>, Junior Scholastic</w:t>
      </w:r>
      <w:r>
        <w:rPr>
          <w:rFonts w:ascii="Arial" w:cs="Arial" w:eastAsia="Arial" w:hAnsi="Arial"/>
          <w:sz w:val="30"/>
          <w:szCs w:val="30"/>
          <w:i w:val="1"/>
          <w:iCs w:val="1"/>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Let’s Find Out</w:t>
      </w:r>
      <w:r>
        <w:rPr>
          <w:rFonts w:ascii="Arial" w:cs="Arial" w:eastAsia="Arial" w:hAnsi="Arial"/>
          <w:sz w:val="30"/>
          <w:szCs w:val="30"/>
          <w:i w:val="1"/>
          <w:iCs w:val="1"/>
          <w:color w:val="auto"/>
          <w:vertAlign w:val="superscript"/>
        </w:rPr>
        <w:t>®</w:t>
      </w:r>
      <w:r>
        <w:rPr>
          <w:rFonts w:ascii="Arial" w:cs="Arial" w:eastAsia="Arial" w:hAnsi="Arial"/>
          <w:sz w:val="15"/>
          <w:szCs w:val="15"/>
          <w:color w:val="auto"/>
        </w:rPr>
        <w:t>.</w:t>
      </w:r>
    </w:p>
    <w:p>
      <w:pPr>
        <w:spacing w:after="0" w:line="31" w:lineRule="exact"/>
        <w:rPr>
          <w:sz w:val="20"/>
          <w:szCs w:val="20"/>
          <w:color w:val="auto"/>
        </w:rPr>
      </w:pPr>
    </w:p>
    <w:p>
      <w:pPr>
        <w:jc w:val="both"/>
        <w:ind w:right="200"/>
        <w:spacing w:after="0" w:line="272" w:lineRule="auto"/>
        <w:rPr>
          <w:sz w:val="20"/>
          <w:szCs w:val="20"/>
          <w:color w:val="auto"/>
        </w:rPr>
      </w:pPr>
      <w:r>
        <w:rPr>
          <w:rFonts w:ascii="Arial" w:cs="Arial" w:eastAsia="Arial" w:hAnsi="Arial"/>
          <w:sz w:val="15"/>
          <w:szCs w:val="15"/>
          <w:color w:val="auto"/>
        </w:rPr>
        <w:t>Scholastic’s classroom magazine circulation in the United States in fiscal 2006 was more than 8.2 million, with approximately two-thirds of the circulation in grades pre-K to 6. In fiscal 2006, teachers in approximately 65% of the schools in the United States used the Company’s classroom magazines. The various classroom magazines are distributed either on a weekly, biweekly or monthly basis during the school year and are supplemented by timely materials featured on www.scholastic.com.</w:t>
      </w:r>
    </w:p>
    <w:p>
      <w:pPr>
        <w:spacing w:after="0" w:line="159"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color w:val="auto"/>
        </w:rPr>
        <w:t>The majority of the magazines purchased are paid for with school or district funds, with teachers or students paying for the balance. Circulation revenue accounted for substantially all of the classroom magazine revenues in fiscal 2006.</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Library Publishing</w:t>
      </w:r>
    </w:p>
    <w:p>
      <w:pPr>
        <w:spacing w:after="0" w:line="2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 xml:space="preserve">Scholastic is a leading publisher of quality children’s reference and non-fiction products and encyclopedias sold primarily to schools and libraries in the United States. Products include </w:t>
      </w:r>
      <w:r>
        <w:rPr>
          <w:rFonts w:ascii="Arial" w:cs="Arial" w:eastAsia="Arial" w:hAnsi="Arial"/>
          <w:sz w:val="13"/>
          <w:szCs w:val="13"/>
          <w:i w:val="1"/>
          <w:iCs w:val="1"/>
          <w:color w:val="auto"/>
        </w:rPr>
        <w:t>Grolier Online</w:t>
      </w:r>
      <w:r>
        <w:rPr>
          <w:rFonts w:ascii="Arial" w:cs="Arial" w:eastAsia="Arial" w:hAnsi="Arial"/>
          <w:sz w:val="25"/>
          <w:szCs w:val="25"/>
          <w:i w:val="1"/>
          <w:iCs w:val="1"/>
          <w:color w:val="auto"/>
          <w:vertAlign w:val="superscript"/>
        </w:rPr>
        <w:t>®</w:t>
      </w:r>
      <w:r>
        <w:rPr>
          <w:rFonts w:ascii="Arial" w:cs="Arial" w:eastAsia="Arial" w:hAnsi="Arial"/>
          <w:sz w:val="13"/>
          <w:szCs w:val="13"/>
          <w:color w:val="auto"/>
        </w:rPr>
        <w:t>, which provides subscriptions to reference databases for schools and libraries,</w:t>
      </w:r>
      <w:r>
        <w:rPr>
          <w:rFonts w:ascii="Arial" w:cs="Arial" w:eastAsia="Arial" w:hAnsi="Arial"/>
          <w:sz w:val="13"/>
          <w:szCs w:val="13"/>
          <w:i w:val="1"/>
          <w:iCs w:val="1"/>
          <w:color w:val="auto"/>
        </w:rPr>
        <w:t xml:space="preserve"> Encyclopedia Americana</w:t>
      </w:r>
      <w:r>
        <w:rPr>
          <w:rFonts w:ascii="Arial" w:cs="Arial" w:eastAsia="Arial" w:hAnsi="Arial"/>
          <w:sz w:val="25"/>
          <w:szCs w:val="25"/>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The New Book of Knowledge</w:t>
      </w:r>
      <w:r>
        <w:rPr>
          <w:rFonts w:ascii="Arial" w:cs="Arial" w:eastAsia="Arial" w:hAnsi="Arial"/>
          <w:sz w:val="13"/>
          <w:szCs w:val="13"/>
          <w:color w:val="auto"/>
        </w:rPr>
        <w:t>, as well as reference materials</w:t>
      </w:r>
    </w:p>
    <w:p>
      <w:pPr>
        <w:ind w:right="300"/>
        <w:spacing w:after="0" w:line="239" w:lineRule="auto"/>
        <w:rPr>
          <w:sz w:val="20"/>
          <w:szCs w:val="20"/>
          <w:color w:val="auto"/>
        </w:rPr>
      </w:pPr>
      <w:r>
        <w:rPr>
          <w:rFonts w:ascii="Arial" w:cs="Arial" w:eastAsia="Arial" w:hAnsi="Arial"/>
          <w:sz w:val="13"/>
          <w:szCs w:val="13"/>
          <w:color w:val="auto"/>
        </w:rPr>
        <w:t>published under the Grolier</w:t>
      </w:r>
      <w:r>
        <w:rPr>
          <w:rFonts w:ascii="Arial" w:cs="Arial" w:eastAsia="Arial" w:hAnsi="Arial"/>
          <w:sz w:val="25"/>
          <w:szCs w:val="25"/>
          <w:color w:val="auto"/>
          <w:vertAlign w:val="superscript"/>
        </w:rPr>
        <w:t>®</w:t>
      </w:r>
      <w:r>
        <w:rPr>
          <w:rFonts w:ascii="Arial" w:cs="Arial" w:eastAsia="Arial" w:hAnsi="Arial"/>
          <w:sz w:val="13"/>
          <w:szCs w:val="13"/>
          <w:color w:val="auto"/>
        </w:rPr>
        <w:t xml:space="preserve"> name. The Company’s products also include non-fiction books published in the United States under the imprints Children’s Press</w:t>
      </w:r>
      <w:r>
        <w:rPr>
          <w:rFonts w:ascii="Arial" w:cs="Arial" w:eastAsia="Arial" w:hAnsi="Arial"/>
          <w:sz w:val="25"/>
          <w:szCs w:val="25"/>
          <w:color w:val="auto"/>
          <w:vertAlign w:val="superscript"/>
        </w:rPr>
        <w:t>®</w:t>
      </w:r>
      <w:r>
        <w:rPr>
          <w:rFonts w:ascii="Arial" w:cs="Arial" w:eastAsia="Arial" w:hAnsi="Arial"/>
          <w:sz w:val="13"/>
          <w:szCs w:val="13"/>
          <w:color w:val="auto"/>
        </w:rPr>
        <w:t xml:space="preserve"> and Franklin Watts</w:t>
      </w:r>
      <w:r>
        <w:rPr>
          <w:rFonts w:ascii="Arial" w:cs="Arial" w:eastAsia="Arial" w:hAnsi="Arial"/>
          <w:sz w:val="25"/>
          <w:szCs w:val="25"/>
          <w:color w:val="auto"/>
          <w:vertAlign w:val="superscript"/>
        </w:rPr>
        <w:t>®</w:t>
      </w:r>
      <w:r>
        <w:rPr>
          <w:rFonts w:ascii="Arial" w:cs="Arial" w:eastAsia="Arial" w:hAnsi="Arial"/>
          <w:sz w:val="13"/>
          <w:szCs w:val="13"/>
          <w:color w:val="auto"/>
        </w:rPr>
        <w:t xml:space="preserve">, including books from the </w:t>
      </w:r>
      <w:r>
        <w:rPr>
          <w:rFonts w:ascii="Arial" w:cs="Arial" w:eastAsia="Arial" w:hAnsi="Arial"/>
          <w:sz w:val="13"/>
          <w:szCs w:val="13"/>
          <w:i w:val="1"/>
          <w:iCs w:val="1"/>
          <w:color w:val="auto"/>
        </w:rPr>
        <w:t>America the Beautiful, Enchantment of the World</w:t>
      </w:r>
      <w:r>
        <w:rPr>
          <w:rFonts w:ascii="Arial" w:cs="Arial" w:eastAsia="Arial" w:hAnsi="Arial"/>
          <w:sz w:val="13"/>
          <w:szCs w:val="13"/>
          <w:color w:val="auto"/>
        </w:rPr>
        <w:t xml:space="preserve"> and </w:t>
      </w:r>
      <w:r>
        <w:rPr>
          <w:rFonts w:ascii="Arial" w:cs="Arial" w:eastAsia="Arial" w:hAnsi="Arial"/>
          <w:sz w:val="13"/>
          <w:szCs w:val="13"/>
          <w:i w:val="1"/>
          <w:iCs w:val="1"/>
          <w:color w:val="auto"/>
        </w:rPr>
        <w:t>True Books</w:t>
      </w:r>
      <w:r>
        <w:rPr>
          <w:rFonts w:ascii="Arial" w:cs="Arial" w:eastAsia="Arial" w:hAnsi="Arial"/>
          <w:sz w:val="13"/>
          <w:szCs w:val="13"/>
          <w:color w:val="auto"/>
        </w:rPr>
        <w:t xml:space="preserv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120015</wp:posOffset>
            </wp:positionV>
            <wp:extent cx="1938655" cy="340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 xml:space="preserve">M </w:t>
      </w:r>
      <w:r>
        <w:rPr>
          <w:rFonts w:ascii="Arial" w:cs="Arial" w:eastAsia="Arial" w:hAnsi="Arial"/>
          <w:sz w:val="11"/>
          <w:szCs w:val="11"/>
          <w:b w:val="1"/>
          <w:bCs w:val="1"/>
          <w:color w:val="auto"/>
        </w:rPr>
        <w:t>E D I A</w:t>
      </w:r>
      <w:r>
        <w:rPr>
          <w:rFonts w:ascii="Arial" w:cs="Arial" w:eastAsia="Arial" w:hAnsi="Arial"/>
          <w:sz w:val="15"/>
          <w:szCs w:val="15"/>
          <w:b w:val="1"/>
          <w:bCs w:val="1"/>
          <w:color w:val="auto"/>
        </w:rPr>
        <w:t xml:space="preserve"> ,  L </w:t>
      </w:r>
      <w:r>
        <w:rPr>
          <w:rFonts w:ascii="Arial" w:cs="Arial" w:eastAsia="Arial" w:hAnsi="Arial"/>
          <w:sz w:val="11"/>
          <w:szCs w:val="11"/>
          <w:b w:val="1"/>
          <w:bCs w:val="1"/>
          <w:color w:val="auto"/>
        </w:rPr>
        <w:t>I C E N S I N G  A N D</w:t>
      </w:r>
      <w:r>
        <w:rPr>
          <w:rFonts w:ascii="Arial" w:cs="Arial" w:eastAsia="Arial" w:hAnsi="Arial"/>
          <w:sz w:val="15"/>
          <w:szCs w:val="15"/>
          <w:b w:val="1"/>
          <w:bCs w:val="1"/>
          <w:color w:val="auto"/>
        </w:rPr>
        <w:t xml:space="preserve">  A </w:t>
      </w:r>
      <w:r>
        <w:rPr>
          <w:rFonts w:ascii="Arial" w:cs="Arial" w:eastAsia="Arial" w:hAnsi="Arial"/>
          <w:sz w:val="11"/>
          <w:szCs w:val="11"/>
          <w:b w:val="1"/>
          <w:bCs w:val="1"/>
          <w:color w:val="auto"/>
        </w:rPr>
        <w:t>D V E R T I S I N 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(6.7% of fiscal 2006 revenues)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2" w:lineRule="exact"/>
        <w:rPr>
          <w:sz w:val="20"/>
          <w:szCs w:val="20"/>
          <w:color w:val="auto"/>
        </w:rPr>
      </w:pPr>
    </w:p>
    <w:p>
      <w:pPr>
        <w:ind w:right="120"/>
        <w:spacing w:after="0" w:line="346" w:lineRule="auto"/>
        <w:rPr>
          <w:sz w:val="20"/>
          <w:szCs w:val="20"/>
          <w:color w:val="auto"/>
        </w:rPr>
      </w:pPr>
      <w:r>
        <w:rPr>
          <w:rFonts w:ascii="Arial" w:cs="Arial" w:eastAsia="Arial" w:hAnsi="Arial"/>
          <w:sz w:val="13"/>
          <w:szCs w:val="13"/>
          <w:color w:val="auto"/>
        </w:rPr>
        <w:t xml:space="preserve">The Company’s </w:t>
      </w:r>
      <w:r>
        <w:rPr>
          <w:rFonts w:ascii="Arial" w:cs="Arial" w:eastAsia="Arial" w:hAnsi="Arial"/>
          <w:sz w:val="13"/>
          <w:szCs w:val="13"/>
          <w:i w:val="1"/>
          <w:iCs w:val="1"/>
          <w:color w:val="auto"/>
        </w:rPr>
        <w:t>Media, Licensing and Advertising</w:t>
      </w:r>
      <w:r>
        <w:rPr>
          <w:rFonts w:ascii="Arial" w:cs="Arial" w:eastAsia="Arial" w:hAnsi="Arial"/>
          <w:sz w:val="13"/>
          <w:szCs w:val="13"/>
          <w:color w:val="auto"/>
        </w:rPr>
        <w:t xml:space="preserve"> segment includes the production and/or distribution of media and electronic products and programs (including children’s television programming, videos, DVD’s, software, feature films, interactive programs, promotional activities and non-book merchandise); and advertising revenue, including sponsorship programs.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Production and Distribution</w:t>
      </w:r>
    </w:p>
    <w:p>
      <w:pPr>
        <w:spacing w:after="0" w:line="22"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Through Scholastic Entertainment Inc. (“SEI”), Soup2Nuts Inc. (“S2N”) and the Weston Woods Studio, the Company creates and produces television programming, videos, DVD’s, feature films, and branded websites. SEI builds consumer awareness and value for the Company’s franchises by creating family-focused shows that form the basis for global branding campaigns. SEI generates revenue by exploiting these assets globally across multiple media formats and by developing and executing brand-marketing campaigns.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 xml:space="preserve">SEI has built a television library of over 400 half-hour productions, including: </w:t>
      </w:r>
      <w:r>
        <w:rPr>
          <w:rFonts w:ascii="Arial" w:cs="Arial" w:eastAsia="Arial" w:hAnsi="Arial"/>
          <w:sz w:val="15"/>
          <w:szCs w:val="15"/>
          <w:i w:val="1"/>
          <w:iCs w:val="1"/>
          <w:color w:val="auto"/>
        </w:rPr>
        <w:t>Clifford The Big Red Dog, Clifford’s Puppy Days™, Maya &amp; Miguel™, The Magic School Bus</w:t>
      </w:r>
      <w:r>
        <w:rPr>
          <w:rFonts w:ascii="Arial" w:cs="Arial" w:eastAsia="Arial" w:hAnsi="Arial"/>
          <w:sz w:val="30"/>
          <w:szCs w:val="30"/>
          <w:i w:val="1"/>
          <w:iCs w:val="1"/>
          <w:color w:val="auto"/>
          <w:vertAlign w:val="superscript"/>
        </w:rPr>
        <w:t>®</w:t>
      </w:r>
      <w:r>
        <w:rPr>
          <w:rFonts w:ascii="Arial" w:cs="Arial" w:eastAsia="Arial" w:hAnsi="Arial"/>
          <w:sz w:val="15"/>
          <w:szCs w:val="15"/>
          <w:i w:val="1"/>
          <w:iCs w:val="1"/>
          <w:color w:val="auto"/>
        </w:rPr>
        <w:t>, I Spy,</w:t>
      </w:r>
      <w:r>
        <w:rPr>
          <w:rFonts w:ascii="Arial" w:cs="Arial" w:eastAsia="Arial" w:hAnsi="Arial"/>
          <w:sz w:val="15"/>
          <w:szCs w:val="15"/>
          <w:color w:val="auto"/>
        </w:rPr>
        <w:t xml:space="preserve"> </w:t>
      </w:r>
      <w:r>
        <w:rPr>
          <w:rFonts w:ascii="Arial" w:cs="Arial" w:eastAsia="Arial" w:hAnsi="Arial"/>
          <w:sz w:val="15"/>
          <w:szCs w:val="15"/>
          <w:i w:val="1"/>
          <w:iCs w:val="1"/>
          <w:color w:val="auto"/>
        </w:rPr>
        <w:t>Goosebumps, Animorphs</w:t>
      </w:r>
      <w:r>
        <w:rPr>
          <w:rFonts w:ascii="Arial" w:cs="Arial" w:eastAsia="Arial" w:hAnsi="Arial"/>
          <w:sz w:val="30"/>
          <w:szCs w:val="30"/>
          <w:i w:val="1"/>
          <w:iCs w:val="1"/>
          <w:color w:val="auto"/>
          <w:vertAlign w:val="superscript"/>
        </w:rPr>
        <w:t>®</w:t>
      </w:r>
      <w:r>
        <w:rPr>
          <w:rFonts w:ascii="Arial" w:cs="Arial" w:eastAsia="Arial" w:hAnsi="Arial"/>
          <w:sz w:val="15"/>
          <w:szCs w:val="15"/>
          <w:i w:val="1"/>
          <w:iCs w:val="1"/>
          <w:color w:val="auto"/>
        </w:rPr>
        <w:t>, Dear America</w:t>
      </w:r>
      <w:r>
        <w:rPr>
          <w:rFonts w:ascii="Arial" w:cs="Arial" w:eastAsia="Arial" w:hAnsi="Arial"/>
          <w:sz w:val="30"/>
          <w:szCs w:val="30"/>
          <w:i w:val="1"/>
          <w:iCs w:val="1"/>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The Baby-sitters Club</w:t>
      </w:r>
      <w:r>
        <w:rPr>
          <w:rFonts w:ascii="Arial" w:cs="Arial" w:eastAsia="Arial" w:hAnsi="Arial"/>
          <w:sz w:val="30"/>
          <w:szCs w:val="30"/>
          <w:i w:val="1"/>
          <w:iCs w:val="1"/>
          <w:color w:val="auto"/>
          <w:vertAlign w:val="superscript"/>
        </w:rPr>
        <w:t>®</w:t>
      </w:r>
      <w:r>
        <w:rPr>
          <w:rFonts w:ascii="Arial" w:cs="Arial" w:eastAsia="Arial" w:hAnsi="Arial"/>
          <w:sz w:val="15"/>
          <w:szCs w:val="15"/>
          <w:color w:val="auto"/>
        </w:rPr>
        <w:t>. These series have been sold in the United States and internationally in various media formats. SEI has produced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39 episodes of </w:t>
      </w:r>
      <w:r>
        <w:rPr>
          <w:rFonts w:ascii="Arial" w:cs="Arial" w:eastAsia="Arial" w:hAnsi="Arial"/>
          <w:sz w:val="15"/>
          <w:szCs w:val="15"/>
          <w:i w:val="1"/>
          <w:iCs w:val="1"/>
          <w:color w:val="auto"/>
        </w:rPr>
        <w:t>Clifford’s Puppy Days</w:t>
      </w:r>
      <w:r>
        <w:rPr>
          <w:rFonts w:ascii="Arial" w:cs="Arial" w:eastAsia="Arial" w:hAnsi="Arial"/>
          <w:sz w:val="15"/>
          <w:szCs w:val="15"/>
          <w:color w:val="auto"/>
        </w:rPr>
        <w:t xml:space="preserve">, an animated spin-off of the award-winning </w:t>
      </w:r>
      <w:r>
        <w:rPr>
          <w:rFonts w:ascii="Arial" w:cs="Arial" w:eastAsia="Arial" w:hAnsi="Arial"/>
          <w:sz w:val="15"/>
          <w:szCs w:val="15"/>
          <w:i w:val="1"/>
          <w:iCs w:val="1"/>
          <w:color w:val="auto"/>
        </w:rPr>
        <w:t>Clifford The Big Red Dog</w:t>
      </w:r>
      <w:r>
        <w:rPr>
          <w:rFonts w:ascii="Arial" w:cs="Arial" w:eastAsia="Arial" w:hAnsi="Arial"/>
          <w:sz w:val="15"/>
          <w:szCs w:val="15"/>
          <w:color w:val="auto"/>
        </w:rPr>
        <w:t xml:space="preserve"> series, 14 of which were completed in fiscal 2006. SEI has also produced 65 episodes of an original animated series, </w:t>
      </w:r>
      <w:r>
        <w:rPr>
          <w:rFonts w:ascii="Arial" w:cs="Arial" w:eastAsia="Arial" w:hAnsi="Arial"/>
          <w:sz w:val="15"/>
          <w:szCs w:val="15"/>
          <w:i w:val="1"/>
          <w:iCs w:val="1"/>
          <w:color w:val="auto"/>
        </w:rPr>
        <w:t>Maya &amp; Miguel</w:t>
      </w:r>
      <w:r>
        <w:rPr>
          <w:rFonts w:ascii="Arial" w:cs="Arial" w:eastAsia="Arial" w:hAnsi="Arial"/>
          <w:sz w:val="15"/>
          <w:szCs w:val="15"/>
          <w:color w:val="auto"/>
        </w:rPr>
        <w:t xml:space="preserve">, 30 of which were completed in fiscal 2006. In fiscal 2004, SEI produced </w:t>
      </w:r>
      <w:r>
        <w:rPr>
          <w:rFonts w:ascii="Arial" w:cs="Arial" w:eastAsia="Arial" w:hAnsi="Arial"/>
          <w:sz w:val="15"/>
          <w:szCs w:val="15"/>
          <w:i w:val="1"/>
          <w:iCs w:val="1"/>
          <w:color w:val="auto"/>
        </w:rPr>
        <w:t>Clifford’s Really Big Movie</w:t>
      </w:r>
      <w:r>
        <w:rPr>
          <w:rFonts w:ascii="Arial" w:cs="Arial" w:eastAsia="Arial" w:hAnsi="Arial"/>
          <w:sz w:val="15"/>
          <w:szCs w:val="15"/>
          <w:color w:val="auto"/>
        </w:rPr>
        <w:t>, a feature length film. In May 2006, the Company announced that it would be participating in a new children’s programming network featuring bilingual content, with a mission to promote literacy and values in children’s television.</w:t>
      </w:r>
    </w:p>
    <w:p>
      <w:pPr>
        <w:spacing w:after="0" w:line="177" w:lineRule="exact"/>
        <w:rPr>
          <w:sz w:val="20"/>
          <w:szCs w:val="20"/>
          <w:color w:val="auto"/>
        </w:rPr>
      </w:pPr>
    </w:p>
    <w:p>
      <w:pPr>
        <w:ind w:right="480"/>
        <w:spacing w:after="0" w:line="285" w:lineRule="auto"/>
        <w:rPr>
          <w:sz w:val="20"/>
          <w:szCs w:val="20"/>
          <w:color w:val="auto"/>
        </w:rPr>
      </w:pPr>
      <w:r>
        <w:rPr>
          <w:rFonts w:ascii="Arial" w:cs="Arial" w:eastAsia="Arial" w:hAnsi="Arial"/>
          <w:sz w:val="15"/>
          <w:szCs w:val="15"/>
          <w:color w:val="auto"/>
        </w:rPr>
        <w:t xml:space="preserve">S2N, an award-winning producer of animated television and web programming, has produced over 100 half-hour episodes of television programming, including the animated series </w:t>
      </w:r>
      <w:r>
        <w:rPr>
          <w:rFonts w:ascii="Arial" w:cs="Arial" w:eastAsia="Arial" w:hAnsi="Arial"/>
          <w:sz w:val="15"/>
          <w:szCs w:val="15"/>
          <w:i w:val="1"/>
          <w:iCs w:val="1"/>
          <w:color w:val="auto"/>
        </w:rPr>
        <w:t xml:space="preserve">O’Grady™ </w:t>
      </w:r>
      <w:r>
        <w:rPr>
          <w:rFonts w:ascii="Arial" w:cs="Arial" w:eastAsia="Arial" w:hAnsi="Arial"/>
          <w:sz w:val="15"/>
          <w:szCs w:val="15"/>
          <w:color w:val="auto"/>
        </w:rPr>
        <w:t>and</w:t>
      </w:r>
      <w:r>
        <w:rPr>
          <w:rFonts w:ascii="Arial" w:cs="Arial" w:eastAsia="Arial" w:hAnsi="Arial"/>
          <w:sz w:val="15"/>
          <w:szCs w:val="15"/>
          <w:i w:val="1"/>
          <w:iCs w:val="1"/>
          <w:color w:val="auto"/>
        </w:rPr>
        <w:t xml:space="preserve"> Time Warp Trio</w:t>
      </w:r>
      <w:r>
        <w:rPr>
          <w:rFonts w:ascii="Arial" w:cs="Arial" w:eastAsia="Arial" w:hAnsi="Arial"/>
          <w:sz w:val="15"/>
          <w:szCs w:val="15"/>
          <w:color w:val="auto"/>
        </w:rPr>
        <w:t>.</w:t>
      </w:r>
    </w:p>
    <w:p>
      <w:pPr>
        <w:spacing w:after="0" w:line="150" w:lineRule="exact"/>
        <w:rPr>
          <w:sz w:val="20"/>
          <w:szCs w:val="20"/>
          <w:color w:val="auto"/>
        </w:rPr>
      </w:pPr>
    </w:p>
    <w:p>
      <w:pPr>
        <w:ind w:right="60"/>
        <w:spacing w:after="0" w:line="332" w:lineRule="auto"/>
        <w:rPr>
          <w:sz w:val="20"/>
          <w:szCs w:val="20"/>
          <w:color w:val="auto"/>
        </w:rPr>
      </w:pPr>
      <w:r>
        <w:rPr>
          <w:rFonts w:ascii="Arial" w:cs="Arial" w:eastAsia="Arial" w:hAnsi="Arial"/>
          <w:sz w:val="13"/>
          <w:szCs w:val="13"/>
          <w:color w:val="auto"/>
        </w:rPr>
        <w:t xml:space="preserve">Weston Woods Studios creates audiovisual adaptations of classic children’s picture books, such as </w:t>
      </w:r>
      <w:r>
        <w:rPr>
          <w:rFonts w:ascii="Arial" w:cs="Arial" w:eastAsia="Arial" w:hAnsi="Arial"/>
          <w:sz w:val="13"/>
          <w:szCs w:val="13"/>
          <w:i w:val="1"/>
          <w:iCs w:val="1"/>
          <w:color w:val="auto"/>
        </w:rPr>
        <w:t>Where the Wild Things Are, Chrysanthemum</w:t>
      </w:r>
      <w:r>
        <w:rPr>
          <w:rFonts w:ascii="Arial" w:cs="Arial" w:eastAsia="Arial" w:hAnsi="Arial"/>
          <w:sz w:val="13"/>
          <w:szCs w:val="13"/>
          <w:color w:val="auto"/>
        </w:rPr>
        <w:t xml:space="preserve"> and </w:t>
      </w:r>
      <w:r>
        <w:rPr>
          <w:rFonts w:ascii="Arial" w:cs="Arial" w:eastAsia="Arial" w:hAnsi="Arial"/>
          <w:sz w:val="13"/>
          <w:szCs w:val="13"/>
          <w:i w:val="1"/>
          <w:iCs w:val="1"/>
          <w:color w:val="auto"/>
        </w:rPr>
        <w:t>Make Way for Ducklings</w:t>
      </w:r>
      <w:r>
        <w:rPr>
          <w:rFonts w:ascii="Arial" w:cs="Arial" w:eastAsia="Arial" w:hAnsi="Arial"/>
          <w:sz w:val="13"/>
          <w:szCs w:val="13"/>
          <w:color w:val="auto"/>
        </w:rPr>
        <w:t xml:space="preserve">, that are initially produced for the school and library market as a supplemental educational resource. SEI has repackaged 35 titles for sale to the consumer market under the </w:t>
      </w:r>
      <w:r>
        <w:rPr>
          <w:rFonts w:ascii="Arial" w:cs="Arial" w:eastAsia="Arial" w:hAnsi="Arial"/>
          <w:sz w:val="13"/>
          <w:szCs w:val="13"/>
          <w:i w:val="1"/>
          <w:iCs w:val="1"/>
          <w:color w:val="auto"/>
        </w:rPr>
        <w:t>Scholastic Video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Collection </w:t>
      </w:r>
      <w:r>
        <w:rPr>
          <w:rFonts w:ascii="Arial" w:cs="Arial" w:eastAsia="Arial" w:hAnsi="Arial"/>
          <w:sz w:val="13"/>
          <w:szCs w:val="13"/>
          <w:color w:val="auto"/>
        </w:rPr>
        <w:t>banner. Weston Woods Studios has received numerous awards, including five Andrew Carnegie Medals for Excellence in Children’s Video and an Academy Award nomination.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Brand Marketing and Consumer Products</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SEI creates and develops award-winning global branding campaigns for Scholastic properties in order to extend and strengthen Scholastic’s consumer connection with parents, children and teachers.</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 xml:space="preserve">In addition to licensing rights for consumer products, SEI designs, manufactures and distributes consumer products primarily based on Scholastic’s literary properties, such as a line of upscale plush toys and wooden puzzles based on </w:t>
      </w:r>
      <w:r>
        <w:rPr>
          <w:rFonts w:ascii="Arial" w:cs="Arial" w:eastAsia="Arial" w:hAnsi="Arial"/>
          <w:sz w:val="15"/>
          <w:szCs w:val="15"/>
          <w:i w:val="1"/>
          <w:iCs w:val="1"/>
          <w:color w:val="auto"/>
        </w:rPr>
        <w:t>Clifford The Big Red Dog, The Magic School Bus, The Real Mother Goose</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Maya &amp; Miguel, Kim Parker Kids™, No David!™, Fergus™</w:t>
      </w:r>
      <w:r>
        <w:rPr>
          <w:rFonts w:ascii="Arial" w:cs="Arial" w:eastAsia="Arial" w:hAnsi="Arial"/>
          <w:sz w:val="15"/>
          <w:szCs w:val="15"/>
          <w:color w:val="auto"/>
        </w:rPr>
        <w:t xml:space="preserve"> and </w:t>
      </w:r>
      <w:r>
        <w:rPr>
          <w:rFonts w:ascii="Arial" w:cs="Arial" w:eastAsia="Arial" w:hAnsi="Arial"/>
          <w:sz w:val="15"/>
          <w:szCs w:val="15"/>
          <w:i w:val="1"/>
          <w:iCs w:val="1"/>
          <w:color w:val="auto"/>
        </w:rPr>
        <w:t>Dear Mrs. LaRue™</w:t>
      </w:r>
      <w:r>
        <w:rPr>
          <w:rFonts w:ascii="Arial" w:cs="Arial" w:eastAsia="Arial" w:hAnsi="Arial"/>
          <w:sz w:val="15"/>
          <w:szCs w:val="15"/>
          <w:color w:val="auto"/>
        </w:rPr>
        <w:t>. The products are available through independent toy/gift stores, specialty chains, department stores, mail order catalogs and bookstores, as well as through Scholastic’s school-based book clubs, school-based book fairs and continuity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120015</wp:posOffset>
            </wp:positionV>
            <wp:extent cx="1938655" cy="340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7" w:name="page8"/>
    <w:bookmarkEnd w:id="7"/>
    <w:p>
      <w:pPr>
        <w:ind w:left="7"/>
        <w:spacing w:after="0"/>
        <w:rPr>
          <w:sz w:val="20"/>
          <w:szCs w:val="20"/>
          <w:color w:val="auto"/>
        </w:rPr>
      </w:pPr>
      <w:r>
        <w:rPr>
          <w:rFonts w:ascii="Arial" w:cs="Arial" w:eastAsia="Arial" w:hAnsi="Arial"/>
          <w:sz w:val="15"/>
          <w:szCs w:val="15"/>
          <w:b w:val="1"/>
          <w:bCs w:val="1"/>
          <w:color w:val="auto"/>
        </w:rPr>
        <w:t>Consumer Software</w:t>
      </w:r>
    </w:p>
    <w:p>
      <w:pPr>
        <w:spacing w:after="0" w:line="22" w:lineRule="exact"/>
        <w:rPr>
          <w:sz w:val="20"/>
          <w:szCs w:val="20"/>
          <w:color w:val="auto"/>
        </w:rPr>
      </w:pPr>
    </w:p>
    <w:p>
      <w:pPr>
        <w:ind w:left="7" w:right="120"/>
        <w:spacing w:after="0" w:line="295" w:lineRule="auto"/>
        <w:rPr>
          <w:sz w:val="20"/>
          <w:szCs w:val="20"/>
          <w:color w:val="auto"/>
        </w:rPr>
      </w:pPr>
      <w:r>
        <w:rPr>
          <w:rFonts w:ascii="Arial" w:cs="Arial" w:eastAsia="Arial" w:hAnsi="Arial"/>
          <w:sz w:val="13"/>
          <w:szCs w:val="13"/>
          <w:color w:val="auto"/>
        </w:rPr>
        <w:t>Scholastic distributes original and licensed consumer software, handheld and console products and accessories and DVD’s for grades K to 8 through its school-based software clubs, book clubs, book fairs and continuity programs, as well as the library/teacher market and the trade market. The Company acquires software and multi-media products for distribution in all of these channels through a combination of licensing, purchases of product from software publishers and internal development. The Company’s CD-ROM titles include the award-winning</w:t>
      </w:r>
    </w:p>
    <w:p>
      <w:pPr>
        <w:spacing w:after="0" w:line="1" w:lineRule="exact"/>
        <w:rPr>
          <w:sz w:val="20"/>
          <w:szCs w:val="20"/>
          <w:color w:val="auto"/>
        </w:rPr>
      </w:pPr>
    </w:p>
    <w:p>
      <w:pPr>
        <w:ind w:left="7"/>
        <w:spacing w:after="0" w:line="205" w:lineRule="auto"/>
        <w:rPr>
          <w:sz w:val="20"/>
          <w:szCs w:val="20"/>
          <w:color w:val="auto"/>
        </w:rPr>
      </w:pPr>
      <w:r>
        <w:rPr>
          <w:rFonts w:ascii="Arial" w:cs="Arial" w:eastAsia="Arial" w:hAnsi="Arial"/>
          <w:sz w:val="15"/>
          <w:szCs w:val="15"/>
          <w:color w:val="auto"/>
        </w:rPr>
        <w:t xml:space="preserve">series </w:t>
      </w:r>
      <w:r>
        <w:rPr>
          <w:rFonts w:ascii="Arial" w:cs="Arial" w:eastAsia="Arial" w:hAnsi="Arial"/>
          <w:sz w:val="15"/>
          <w:szCs w:val="15"/>
          <w:i w:val="1"/>
          <w:iCs w:val="1"/>
          <w:color w:val="auto"/>
        </w:rPr>
        <w:t>I Spy, Clifford</w:t>
      </w:r>
      <w:r>
        <w:rPr>
          <w:rFonts w:ascii="Arial" w:cs="Arial" w:eastAsia="Arial" w:hAnsi="Arial"/>
          <w:sz w:val="15"/>
          <w:szCs w:val="15"/>
          <w:color w:val="auto"/>
        </w:rPr>
        <w:t xml:space="preserve"> and </w:t>
      </w:r>
      <w:r>
        <w:rPr>
          <w:rFonts w:ascii="Arial" w:cs="Arial" w:eastAsia="Arial" w:hAnsi="Arial"/>
          <w:sz w:val="15"/>
          <w:szCs w:val="15"/>
          <w:i w:val="1"/>
          <w:iCs w:val="1"/>
          <w:color w:val="auto"/>
        </w:rPr>
        <w:t>Math Missions</w:t>
      </w:r>
      <w:r>
        <w:rPr>
          <w:rFonts w:ascii="Arial" w:cs="Arial" w:eastAsia="Arial" w:hAnsi="Arial"/>
          <w:sz w:val="30"/>
          <w:szCs w:val="30"/>
          <w:i w:val="1"/>
          <w:iCs w:val="1"/>
          <w:color w:val="auto"/>
          <w:vertAlign w:val="superscript"/>
        </w:rPr>
        <w:t>®</w:t>
      </w:r>
      <w:r>
        <w:rPr>
          <w:rFonts w:ascii="Arial" w:cs="Arial" w:eastAsia="Arial" w:hAnsi="Arial"/>
          <w:sz w:val="15"/>
          <w:szCs w:val="15"/>
          <w:color w:val="auto"/>
        </w:rPr>
        <w:t xml:space="preserve">. The Company and Fisher-Price have jointly developed interactive educational products that were launched in the fall of 2005, including the </w:t>
      </w:r>
      <w:r>
        <w:rPr>
          <w:rFonts w:ascii="Arial" w:cs="Arial" w:eastAsia="Arial" w:hAnsi="Arial"/>
          <w:sz w:val="15"/>
          <w:szCs w:val="15"/>
          <w:i w:val="1"/>
          <w:iCs w:val="1"/>
          <w:color w:val="auto"/>
        </w:rPr>
        <w:t>Read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with Me DVD! </w:t>
      </w:r>
      <w:r>
        <w:rPr>
          <w:rFonts w:ascii="Arial" w:cs="Arial" w:eastAsia="Arial" w:hAnsi="Arial"/>
          <w:sz w:val="15"/>
          <w:szCs w:val="15"/>
          <w:color w:val="auto"/>
        </w:rPr>
        <w:t>learning system.</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Advertising</w:t>
      </w:r>
    </w:p>
    <w:p>
      <w:pPr>
        <w:spacing w:after="0" w:line="22" w:lineRule="exact"/>
        <w:rPr>
          <w:sz w:val="20"/>
          <w:szCs w:val="20"/>
          <w:color w:val="auto"/>
        </w:rPr>
      </w:pPr>
    </w:p>
    <w:p>
      <w:pPr>
        <w:ind w:left="7" w:right="300"/>
        <w:spacing w:after="0" w:line="246" w:lineRule="auto"/>
        <w:rPr>
          <w:sz w:val="20"/>
          <w:szCs w:val="20"/>
          <w:color w:val="auto"/>
        </w:rPr>
      </w:pPr>
      <w:r>
        <w:rPr>
          <w:rFonts w:ascii="Arial" w:cs="Arial" w:eastAsia="Arial" w:hAnsi="Arial"/>
          <w:sz w:val="13"/>
          <w:szCs w:val="13"/>
          <w:color w:val="auto"/>
        </w:rPr>
        <w:t xml:space="preserve">Certain of the Company’s magazine properties generate advertising revenues as their primary source of revenue, including </w:t>
      </w:r>
      <w:r>
        <w:rPr>
          <w:rFonts w:ascii="Arial" w:cs="Arial" w:eastAsia="Arial" w:hAnsi="Arial"/>
          <w:sz w:val="13"/>
          <w:szCs w:val="13"/>
          <w:i w:val="1"/>
          <w:iCs w:val="1"/>
          <w:color w:val="auto"/>
        </w:rPr>
        <w:t>Instructor</w:t>
      </w:r>
      <w:r>
        <w:rPr>
          <w:rFonts w:ascii="Arial" w:cs="Arial" w:eastAsia="Arial" w:hAnsi="Arial"/>
          <w:sz w:val="21"/>
          <w:szCs w:val="21"/>
          <w:i w:val="1"/>
          <w:iCs w:val="1"/>
          <w:color w:val="auto"/>
          <w:vertAlign w:val="superscript"/>
        </w:rPr>
        <w:t>®</w:t>
      </w:r>
      <w:r>
        <w:rPr>
          <w:rFonts w:ascii="Arial" w:cs="Arial" w:eastAsia="Arial" w:hAnsi="Arial"/>
          <w:sz w:val="13"/>
          <w:szCs w:val="13"/>
          <w:i w:val="1"/>
          <w:iCs w:val="1"/>
          <w:color w:val="auto"/>
        </w:rPr>
        <w:t>, Scholastic Administrator™, Instructor New</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Teacher™, Scholastic Early Childhood Today™ </w:t>
      </w:r>
      <w:r>
        <w:rPr>
          <w:rFonts w:ascii="Arial" w:cs="Arial" w:eastAsia="Arial" w:hAnsi="Arial"/>
          <w:sz w:val="13"/>
          <w:szCs w:val="13"/>
          <w:color w:val="auto"/>
        </w:rPr>
        <w:t>and</w:t>
      </w:r>
      <w:r>
        <w:rPr>
          <w:rFonts w:ascii="Arial" w:cs="Arial" w:eastAsia="Arial" w:hAnsi="Arial"/>
          <w:sz w:val="13"/>
          <w:szCs w:val="13"/>
          <w:i w:val="1"/>
          <w:iCs w:val="1"/>
          <w:color w:val="auto"/>
        </w:rPr>
        <w:t xml:space="preserve"> Coach and Athletic Director™</w:t>
      </w:r>
      <w:r>
        <w:rPr>
          <w:rFonts w:ascii="Arial" w:cs="Arial" w:eastAsia="Arial" w:hAnsi="Arial"/>
          <w:sz w:val="13"/>
          <w:szCs w:val="13"/>
          <w:color w:val="auto"/>
        </w:rPr>
        <w:t>, which are directed to teachers and education professionals and are distributed during the academic</w:t>
      </w:r>
    </w:p>
    <w:p>
      <w:pPr>
        <w:ind w:left="7" w:right="60"/>
        <w:spacing w:after="0" w:line="225" w:lineRule="auto"/>
        <w:rPr>
          <w:sz w:val="20"/>
          <w:szCs w:val="20"/>
          <w:color w:val="auto"/>
        </w:rPr>
      </w:pPr>
      <w:r>
        <w:rPr>
          <w:rFonts w:ascii="Arial" w:cs="Arial" w:eastAsia="Arial" w:hAnsi="Arial"/>
          <w:sz w:val="15"/>
          <w:szCs w:val="15"/>
          <w:color w:val="auto"/>
        </w:rPr>
        <w:t xml:space="preserve">year. Subscriptions for these magazines are solicited primarily by direct mail, with total circulation of approximately 450,000 in fiscal 2006. </w:t>
      </w:r>
      <w:r>
        <w:rPr>
          <w:rFonts w:ascii="Arial" w:cs="Arial" w:eastAsia="Arial" w:hAnsi="Arial"/>
          <w:sz w:val="15"/>
          <w:szCs w:val="15"/>
          <w:i w:val="1"/>
          <w:iCs w:val="1"/>
          <w:color w:val="auto"/>
        </w:rPr>
        <w:t>Scholastic Parent and Child</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magazine, which is directed at parents and distributed through schools and childcare programs, had circulation of approximately 1.2 million in fiscal 2006. These magazines carry paid advertising, advertising for Scholastic products and paid advertising for clients that sponsor customized programs.</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w:t>
      </w:r>
    </w:p>
    <w:p>
      <w:pPr>
        <w:spacing w:after="0" w:line="22" w:lineRule="exact"/>
        <w:rPr>
          <w:sz w:val="20"/>
          <w:szCs w:val="20"/>
          <w:color w:val="auto"/>
        </w:rPr>
      </w:pPr>
    </w:p>
    <w:p>
      <w:pPr>
        <w:ind w:left="7" w:right="40"/>
        <w:spacing w:after="0" w:line="222" w:lineRule="auto"/>
        <w:rPr>
          <w:sz w:val="20"/>
          <w:szCs w:val="20"/>
          <w:color w:val="auto"/>
        </w:rPr>
      </w:pPr>
      <w:r>
        <w:rPr>
          <w:rFonts w:ascii="Arial" w:cs="Arial" w:eastAsia="Arial" w:hAnsi="Arial"/>
          <w:sz w:val="15"/>
          <w:szCs w:val="15"/>
          <w:color w:val="auto"/>
        </w:rPr>
        <w:t>Also included in this segment are: Scholastic In-School Marketing, which develops sponsored educational materials and supplementary classroom programs in partnership with corporations, government agencies and nonprofit organizations; Back to Basics Toys</w:t>
      </w:r>
      <w:r>
        <w:rPr>
          <w:rFonts w:ascii="Arial" w:cs="Arial" w:eastAsia="Arial" w:hAnsi="Arial"/>
          <w:sz w:val="25"/>
          <w:szCs w:val="25"/>
          <w:color w:val="auto"/>
          <w:vertAlign w:val="superscript"/>
        </w:rPr>
        <w:t>®</w:t>
      </w:r>
      <w:r>
        <w:rPr>
          <w:rFonts w:ascii="Arial" w:cs="Arial" w:eastAsia="Arial" w:hAnsi="Arial"/>
          <w:sz w:val="15"/>
          <w:szCs w:val="15"/>
          <w:color w:val="auto"/>
        </w:rPr>
        <w:t>, a direct-to-home catalog business specializing in children’s toys; and Quality Education Data, which develops and markets databases and provides research and analysis focused on teachers, schools and education.</w:t>
      </w:r>
    </w:p>
    <w:p>
      <w:pPr>
        <w:spacing w:after="0" w:line="192" w:lineRule="exact"/>
        <w:rPr>
          <w:sz w:val="20"/>
          <w:szCs w:val="20"/>
          <w:color w:val="auto"/>
        </w:rPr>
      </w:pPr>
    </w:p>
    <w:p>
      <w:pPr>
        <w:ind w:left="87" w:hanging="87"/>
        <w:spacing w:after="0"/>
        <w:tabs>
          <w:tab w:leader="none" w:pos="87" w:val="left"/>
        </w:tabs>
        <w:numPr>
          <w:ilvl w:val="0"/>
          <w:numId w:val="1"/>
        </w:numPr>
        <w:rPr>
          <w:rFonts w:ascii="Arial" w:cs="Arial" w:eastAsia="Arial" w:hAnsi="Arial"/>
          <w:sz w:val="15"/>
          <w:szCs w:val="15"/>
          <w:b w:val="1"/>
          <w:bCs w:val="1"/>
          <w:color w:val="auto"/>
        </w:rPr>
      </w:pPr>
      <w:r>
        <w:rPr>
          <w:rFonts w:ascii="Arial" w:cs="Arial" w:eastAsia="Arial" w:hAnsi="Arial"/>
          <w:sz w:val="12"/>
          <w:szCs w:val="12"/>
          <w:b w:val="1"/>
          <w:bCs w:val="1"/>
          <w:color w:val="auto"/>
        </w:rPr>
        <w:t>N T E R N A T I O N A L</w:t>
      </w:r>
    </w:p>
    <w:p>
      <w:pPr>
        <w:spacing w:after="0" w:line="6" w:lineRule="exact"/>
        <w:rPr>
          <w:sz w:val="20"/>
          <w:szCs w:val="20"/>
          <w:color w:val="auto"/>
        </w:rPr>
      </w:pPr>
    </w:p>
    <w:p>
      <w:pPr>
        <w:ind w:left="7"/>
        <w:spacing w:after="0"/>
        <w:rPr>
          <w:sz w:val="20"/>
          <w:szCs w:val="20"/>
          <w:color w:val="auto"/>
        </w:rPr>
      </w:pPr>
      <w:r>
        <w:rPr>
          <w:rFonts w:ascii="Arial" w:cs="Arial" w:eastAsia="Arial" w:hAnsi="Arial"/>
          <w:sz w:val="15"/>
          <w:szCs w:val="15"/>
          <w:color w:val="auto"/>
        </w:rPr>
        <w:t>(18.0% of fiscal 2006 revenues)</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General</w:t>
      </w:r>
    </w:p>
    <w:p>
      <w:pPr>
        <w:spacing w:after="0" w:line="22" w:lineRule="exact"/>
        <w:rPr>
          <w:sz w:val="20"/>
          <w:szCs w:val="20"/>
          <w:color w:val="auto"/>
        </w:rPr>
      </w:pPr>
    </w:p>
    <w:p>
      <w:pPr>
        <w:ind w:left="7" w:right="40"/>
        <w:spacing w:after="0" w:line="26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International</w:t>
      </w:r>
      <w:r>
        <w:rPr>
          <w:rFonts w:ascii="Arial" w:cs="Arial" w:eastAsia="Arial" w:hAnsi="Arial"/>
          <w:sz w:val="15"/>
          <w:szCs w:val="15"/>
          <w:color w:val="auto"/>
        </w:rPr>
        <w:t xml:space="preserve"> segment includes the publication and distribution of products and services outside the United States by the Company’s international operations, and its export and foreign rights businesses.</w:t>
      </w:r>
    </w:p>
    <w:p>
      <w:pPr>
        <w:spacing w:after="0" w:line="162" w:lineRule="exact"/>
        <w:rPr>
          <w:sz w:val="20"/>
          <w:szCs w:val="20"/>
          <w:color w:val="auto"/>
        </w:rPr>
      </w:pPr>
    </w:p>
    <w:p>
      <w:pPr>
        <w:ind w:left="7"/>
        <w:spacing w:after="0" w:line="286" w:lineRule="auto"/>
        <w:rPr>
          <w:sz w:val="20"/>
          <w:szCs w:val="20"/>
          <w:color w:val="auto"/>
        </w:rPr>
      </w:pPr>
      <w:r>
        <w:rPr>
          <w:rFonts w:ascii="Arial" w:cs="Arial" w:eastAsia="Arial" w:hAnsi="Arial"/>
          <w:sz w:val="14"/>
          <w:szCs w:val="14"/>
          <w:color w:val="auto"/>
        </w:rPr>
        <w:t>Scholastic has long-established operations in Canada, the United Kingdom, Australia, New Zealand and Southeast Asia and also has newer operations in Argentina, China, India, Ireland and Mexico. Scholastic’s operations in Canada, the United Kingdom and Australia generally mirror its United States business model. Each of these international operations has original trade and educational publishing programs, distributes children’s books, software and other materials through school-based book clubs, school-based book fairs, trade channels and direct-to-home continuity programs, distributes magazines and offers on-line services. Each of these operations has also established its own export and foreign rights licensing programs and is a book publishing licensee for major media properties. Original books published by each of these operations have received awards of excellence in children’s literature. In Southeast Asia, the Company primarily publishes and distributes reference products and provides services under the Grolier name.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Canada</w:t>
      </w:r>
    </w:p>
    <w:p>
      <w:pPr>
        <w:spacing w:after="0" w:line="22" w:lineRule="exact"/>
        <w:rPr>
          <w:sz w:val="20"/>
          <w:szCs w:val="20"/>
          <w:color w:val="auto"/>
        </w:rPr>
      </w:pPr>
    </w:p>
    <w:p>
      <w:pPr>
        <w:ind w:left="7" w:right="220"/>
        <w:spacing w:after="0" w:line="268" w:lineRule="auto"/>
        <w:rPr>
          <w:sz w:val="20"/>
          <w:szCs w:val="20"/>
          <w:color w:val="auto"/>
        </w:rPr>
      </w:pPr>
      <w:r>
        <w:rPr>
          <w:rFonts w:ascii="Arial" w:cs="Arial" w:eastAsia="Arial" w:hAnsi="Arial"/>
          <w:sz w:val="15"/>
          <w:szCs w:val="15"/>
          <w:color w:val="auto"/>
        </w:rPr>
        <w:t>Scholastic Canada, founded in 1957, is a leading publisher and distributor of English and French language children’s books, is the largest school-based book club and school-based book fair operator in Canada and is one of the leading suppliers of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107315</wp:posOffset>
            </wp:positionV>
            <wp:extent cx="1938655" cy="340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7"/>
          </w:cols>
          <w:pgMar w:left="233" w:top="124" w:right="239" w:bottom="1440" w:gutter="0" w:footer="0" w:header="0"/>
        </w:sectPr>
      </w:pPr>
    </w:p>
    <w:bookmarkStart w:id="8" w:name="page9"/>
    <w:bookmarkEnd w:id="8"/>
    <w:p>
      <w:pPr>
        <w:jc w:val="both"/>
        <w:ind w:right="280"/>
        <w:spacing w:after="0" w:line="272" w:lineRule="auto"/>
        <w:rPr>
          <w:sz w:val="20"/>
          <w:szCs w:val="20"/>
          <w:color w:val="auto"/>
        </w:rPr>
      </w:pPr>
      <w:r>
        <w:rPr>
          <w:rFonts w:ascii="Arial" w:cs="Arial" w:eastAsia="Arial" w:hAnsi="Arial"/>
          <w:sz w:val="15"/>
          <w:szCs w:val="15"/>
          <w:color w:val="auto"/>
        </w:rPr>
        <w:t xml:space="preserve">or licensed children’s books to the Canadian trade market. Since 1965, Scholastic Canada has produced quality Canadian-authored books and educational materials. In 2006, Scholastic Canada launched a new Canadian-authored reading program, </w:t>
      </w:r>
      <w:r>
        <w:rPr>
          <w:rFonts w:ascii="Arial" w:cs="Arial" w:eastAsia="Arial" w:hAnsi="Arial"/>
          <w:sz w:val="15"/>
          <w:szCs w:val="15"/>
          <w:i w:val="1"/>
          <w:iCs w:val="1"/>
          <w:color w:val="auto"/>
        </w:rPr>
        <w:t>Literacy Place™ for the Early Years</w:t>
      </w:r>
      <w:r>
        <w:rPr>
          <w:rFonts w:ascii="Arial" w:cs="Arial" w:eastAsia="Arial" w:hAnsi="Arial"/>
          <w:sz w:val="15"/>
          <w:szCs w:val="15"/>
          <w:color w:val="auto"/>
        </w:rPr>
        <w:t>, for grades K to 3. Grolier Canada is a leading operator of direct-to-home continuity programs in Canada.</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United Kingdom</w:t>
      </w:r>
    </w:p>
    <w:p>
      <w:pPr>
        <w:spacing w:after="0" w:line="22"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Scholastic UK, founded in 1964, is the largest school-based book club and school-based book fair operator and a leading children’s publisher in the United Kingdom. Scholastic UK also publishes magazines for teachers and supplemental educational materials, including professional books. Grolier UK is a leading operator of direct-to-home continuity programs in the United Kingdom.</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Australia</w:t>
      </w:r>
    </w:p>
    <w:p>
      <w:pPr>
        <w:spacing w:after="0" w:line="22" w:lineRule="exact"/>
        <w:rPr>
          <w:sz w:val="20"/>
          <w:szCs w:val="20"/>
          <w:color w:val="auto"/>
        </w:rPr>
      </w:pPr>
    </w:p>
    <w:p>
      <w:pPr>
        <w:jc w:val="both"/>
        <w:ind w:right="400"/>
        <w:spacing w:after="0" w:line="263" w:lineRule="auto"/>
        <w:rPr>
          <w:sz w:val="20"/>
          <w:szCs w:val="20"/>
          <w:color w:val="auto"/>
        </w:rPr>
      </w:pPr>
      <w:r>
        <w:rPr>
          <w:rFonts w:ascii="Arial" w:cs="Arial" w:eastAsia="Arial" w:hAnsi="Arial"/>
          <w:sz w:val="15"/>
          <w:szCs w:val="15"/>
          <w:color w:val="auto"/>
        </w:rPr>
        <w:t>Scholastic Australia, founded in 1968, is the leading publisher and distributor of children’s educational materials in Australia and has the largest school-based book club and book fair operation in the country, reaching approximately 90% of the country’s primary schools. Scholastic Australia publishes quality children’s books supplying the Australian trade market. Scholastic Australia also operates direct-to-home continuity programs.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Zealand</w:t>
      </w:r>
    </w:p>
    <w:p>
      <w:pPr>
        <w:spacing w:after="0" w:line="22"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Scholastic New Zealand, founded in 1964, is the largest children’s book publisher and the leading book distributor to schools in New Zealand. Through its school-based book clubs and book fairs, Scholastic New Zealand reaches approximately 90% of the country’s primary schools.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Asia</w:t>
      </w:r>
    </w:p>
    <w:p>
      <w:pPr>
        <w:spacing w:after="0" w:line="22"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The Company’s Asia operations primarily sell English language reference materials and local language products through a network of over 1,500 independent door-to-door sales representatives in India, Indonesia, Malaysia, the Philippines, Singapore, Taiwan and Thailand. In India, the Company also operates school-based book clubs and book fairs and publishes original titles in the English and Hindi languages. In the Philippines, the Company also operates school-based book fairs, and in Malaysia, the Company operates school-based book clubs and continuity programs.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Latin America</w:t>
      </w:r>
    </w:p>
    <w:p>
      <w:pPr>
        <w:spacing w:after="0" w:line="22" w:lineRule="exact"/>
        <w:rPr>
          <w:sz w:val="20"/>
          <w:szCs w:val="20"/>
          <w:color w:val="auto"/>
        </w:rPr>
      </w:pPr>
    </w:p>
    <w:p>
      <w:pPr>
        <w:ind w:right="220"/>
        <w:spacing w:after="0" w:line="291" w:lineRule="auto"/>
        <w:rPr>
          <w:sz w:val="20"/>
          <w:szCs w:val="20"/>
          <w:color w:val="auto"/>
        </w:rPr>
      </w:pPr>
      <w:r>
        <w:rPr>
          <w:rFonts w:ascii="Arial" w:cs="Arial" w:eastAsia="Arial" w:hAnsi="Arial"/>
          <w:sz w:val="14"/>
          <w:szCs w:val="14"/>
          <w:color w:val="auto"/>
        </w:rPr>
        <w:t>In Latin America, the Company has operations in Mexico, Argentina and Puerto Rico. These businesses principally distribute books and educational material published by Scholastic, as well as merchandise from other publishers, through school-based book clubs and book fairs. In Puerto Rico, Scholastic also distributes Spanish language reference materials through a network of independent door-to-door sales representatives and sells educational books and software to public and private schools.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Rights and Export</w:t>
      </w:r>
    </w:p>
    <w:p>
      <w:pPr>
        <w:spacing w:after="0" w:line="22"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The Company licenses the rights to selected Scholastic titles for translation in over 40 languages to other publishing companies around the world. The Company’s export business sells educational materials, software and children’s books to schools, libraries, bookstores and other book distributors in over 140 countries that are not otherwise directly serviced by Scholastic subsidiaries. The Company partners with governments and non-governmental agencies to create and distribute books to public schools in developing countries.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 </w:t>
      </w:r>
      <w:r>
        <w:rPr>
          <w:rFonts w:ascii="Arial" w:cs="Arial" w:eastAsia="Arial" w:hAnsi="Arial"/>
          <w:sz w:val="11"/>
          <w:szCs w:val="11"/>
          <w:b w:val="1"/>
          <w:bCs w:val="1"/>
          <w:color w:val="auto"/>
        </w:rPr>
        <w:t>A N U F A C T U R I N G  A N D</w:t>
      </w:r>
      <w:r>
        <w:rPr>
          <w:rFonts w:ascii="Arial" w:cs="Arial" w:eastAsia="Arial" w:hAnsi="Arial"/>
          <w:sz w:val="15"/>
          <w:szCs w:val="15"/>
          <w:b w:val="1"/>
          <w:bCs w:val="1"/>
          <w:color w:val="auto"/>
        </w:rPr>
        <w:t xml:space="preserve">  D </w:t>
      </w:r>
      <w:r>
        <w:rPr>
          <w:rFonts w:ascii="Arial" w:cs="Arial" w:eastAsia="Arial" w:hAnsi="Arial"/>
          <w:sz w:val="11"/>
          <w:szCs w:val="11"/>
          <w:b w:val="1"/>
          <w:bCs w:val="1"/>
          <w:color w:val="auto"/>
        </w:rPr>
        <w:t>I S T R I B U T I O N</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Company’s books, magazines, software and other materials and products are manufactured by third parties under contracts entered into through arms-length negotiations or competitive bidding. As appropriate, the Company enters into multi-year agreements that guarantee specified volume in exchange for favorable pricing terms. Paper is purchased from third party sources. The Company does not anticipate any difficulty in continuing to satisfy its manufacturing and paper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110490</wp:posOffset>
            </wp:positionV>
            <wp:extent cx="1938655" cy="3403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 w:name="page10"/>
    <w:bookmarkEnd w:id="9"/>
    <w:p>
      <w:pPr>
        <w:ind w:left="7"/>
        <w:spacing w:after="0" w:line="264" w:lineRule="auto"/>
        <w:rPr>
          <w:sz w:val="20"/>
          <w:szCs w:val="20"/>
          <w:color w:val="auto"/>
        </w:rPr>
      </w:pPr>
      <w:r>
        <w:rPr>
          <w:rFonts w:ascii="Arial" w:cs="Arial" w:eastAsia="Arial" w:hAnsi="Arial"/>
          <w:sz w:val="15"/>
          <w:szCs w:val="15"/>
          <w:color w:val="auto"/>
        </w:rPr>
        <w:t>In the United States, the Company mainly processes and fulfills school-based book club, trade, curriculum publishing, reference and non-fiction products and export orders from its primary warehouse and distribution facility in Jefferson City, Missouri. Magazine orders are processed at the Jefferson City facility and are shipped directly from printers. The Company’s distribution facility in Maumelle, Arkansas serves as the Company’s primary packaging and fulfillment center for its continuity programs. In connection with its trade business, the Company generally outsources certain services, including invoicing, billing, returns processing and collection services, and also ships product directly from printers to customers. School-based book fair orders are fulfilled through a network of warehouses across the country. The Company’s international school-based book club, school-based book fair, trade, continuity businesses and educational operations use similar distribution systems.</w:t>
      </w:r>
    </w:p>
    <w:p>
      <w:pPr>
        <w:spacing w:after="0" w:line="175" w:lineRule="exact"/>
        <w:rPr>
          <w:sz w:val="20"/>
          <w:szCs w:val="20"/>
          <w:color w:val="auto"/>
        </w:rPr>
      </w:pPr>
    </w:p>
    <w:p>
      <w:pPr>
        <w:ind w:left="147" w:hanging="147"/>
        <w:spacing w:after="0"/>
        <w:tabs>
          <w:tab w:leader="none" w:pos="147" w:val="left"/>
        </w:tabs>
        <w:numPr>
          <w:ilvl w:val="0"/>
          <w:numId w:val="2"/>
        </w:numPr>
        <w:rPr>
          <w:rFonts w:ascii="Arial" w:cs="Arial" w:eastAsia="Arial" w:hAnsi="Arial"/>
          <w:sz w:val="15"/>
          <w:szCs w:val="15"/>
          <w:b w:val="1"/>
          <w:bCs w:val="1"/>
          <w:color w:val="auto"/>
        </w:rPr>
      </w:pPr>
      <w:r>
        <w:rPr>
          <w:rFonts w:ascii="Arial" w:cs="Arial" w:eastAsia="Arial" w:hAnsi="Arial"/>
          <w:sz w:val="12"/>
          <w:szCs w:val="12"/>
          <w:b w:val="1"/>
          <w:bCs w:val="1"/>
          <w:color w:val="auto"/>
        </w:rPr>
        <w:t>E A S O N A L I T Y</w:t>
      </w:r>
    </w:p>
    <w:p>
      <w:pPr>
        <w:spacing w:after="0" w:line="6"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quarter of the fiscal year, while revenues from the sale of instructional materials are the highest in the first quarter. The Company experiences a loss from operations in the first and third quarters of each fiscal year.</w:t>
      </w:r>
    </w:p>
    <w:p>
      <w:pPr>
        <w:spacing w:after="0" w:line="175" w:lineRule="exact"/>
        <w:rPr>
          <w:sz w:val="20"/>
          <w:szCs w:val="20"/>
          <w:color w:val="auto"/>
        </w:rPr>
      </w:pPr>
    </w:p>
    <w:p>
      <w:pPr>
        <w:ind w:left="147" w:hanging="147"/>
        <w:spacing w:after="0"/>
        <w:tabs>
          <w:tab w:leader="none" w:pos="147" w:val="left"/>
        </w:tabs>
        <w:numPr>
          <w:ilvl w:val="0"/>
          <w:numId w:val="3"/>
        </w:numPr>
        <w:rPr>
          <w:rFonts w:ascii="Arial" w:cs="Arial" w:eastAsia="Arial" w:hAnsi="Arial"/>
          <w:sz w:val="15"/>
          <w:szCs w:val="15"/>
          <w:b w:val="1"/>
          <w:bCs w:val="1"/>
          <w:color w:val="auto"/>
        </w:rPr>
      </w:pPr>
      <w:r>
        <w:rPr>
          <w:rFonts w:ascii="Arial" w:cs="Arial" w:eastAsia="Arial" w:hAnsi="Arial"/>
          <w:sz w:val="12"/>
          <w:szCs w:val="12"/>
          <w:b w:val="1"/>
          <w:bCs w:val="1"/>
          <w:color w:val="auto"/>
        </w:rPr>
        <w:t>O M P E T I T I O N</w:t>
      </w:r>
    </w:p>
    <w:p>
      <w:pPr>
        <w:spacing w:after="0" w:line="6"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The markets for children’s educational and entertainment materials are highly competitive. Competition is based on the quality and range of materials made available, price, promotion, customer service and distribution channels. Competitors include numerous other book, textbook, library, reference material and supplementary text publishers, distributors and other resellers (including over the internet) of children’s books and other educational materials, national publishers of classroom and professional magazines with substantial circulation, numerous producers of television, video and film programming (many of which are substantially larger than the Company), television networks and cable networks, publishers of computer software and distributors of products and services on the internet. In the United States, competitors also include regional and local school-based book fair operators, other fundraising activities in schools, and bookstores.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354330</wp:posOffset>
            </wp:positionV>
            <wp:extent cx="1938655" cy="340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0" w:name="page11"/>
    <w:bookmarkEnd w:id="10"/>
    <w:p>
      <w:pPr>
        <w:ind w:left="7"/>
        <w:spacing w:after="0"/>
        <w:rPr>
          <w:sz w:val="20"/>
          <w:szCs w:val="20"/>
          <w:color w:val="auto"/>
        </w:rPr>
      </w:pPr>
      <w:r>
        <w:rPr>
          <w:rFonts w:ascii="Arial" w:cs="Arial" w:eastAsia="Arial" w:hAnsi="Arial"/>
          <w:sz w:val="15"/>
          <w:szCs w:val="15"/>
          <w:b w:val="1"/>
          <w:bCs w:val="1"/>
          <w:color w:val="auto"/>
        </w:rPr>
        <w:t xml:space="preserve">C </w:t>
      </w:r>
      <w:r>
        <w:rPr>
          <w:rFonts w:ascii="Arial" w:cs="Arial" w:eastAsia="Arial" w:hAnsi="Arial"/>
          <w:sz w:val="11"/>
          <w:szCs w:val="11"/>
          <w:b w:val="1"/>
          <w:bCs w:val="1"/>
          <w:color w:val="auto"/>
        </w:rPr>
        <w:t>O P Y R I G H T  A N D</w:t>
      </w:r>
      <w:r>
        <w:rPr>
          <w:rFonts w:ascii="Arial" w:cs="Arial" w:eastAsia="Arial" w:hAnsi="Arial"/>
          <w:sz w:val="15"/>
          <w:szCs w:val="15"/>
          <w:b w:val="1"/>
          <w:bCs w:val="1"/>
          <w:color w:val="auto"/>
        </w:rPr>
        <w:t xml:space="preserve">  T </w:t>
      </w:r>
      <w:r>
        <w:rPr>
          <w:rFonts w:ascii="Arial" w:cs="Arial" w:eastAsia="Arial" w:hAnsi="Arial"/>
          <w:sz w:val="11"/>
          <w:szCs w:val="11"/>
          <w:b w:val="1"/>
          <w:bCs w:val="1"/>
          <w:color w:val="auto"/>
        </w:rPr>
        <w:t>R A D E M A R K S</w:t>
      </w:r>
    </w:p>
    <w:p>
      <w:pPr>
        <w:spacing w:after="0" w:line="22"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 xml:space="preserve">SCHOLASTIC is a registered trademark in the United States and in a number of countries where the Company conducts business. Scholastic Inc., the Corporation’s principal operating subsidiary in the United States, has registered and/or has pending applications to register in the United States its trademarks for the names of each of its domestic book clubs, the titles of its magazines and the names of all its curriculum programs. The Corporation’s international subsidiaries have also registered trademarks in the name of Scholastic Inc. for the names of their respective book clubs, magazines and curriculum programs in their respective countries. Although individual book titles are not subject to trademark protection, Scholastic Inc. has registered and/or has pending applications to register trademarks in the United States and in a number of countries for the names of certain series of books and consumer products, such as </w:t>
      </w:r>
      <w:r>
        <w:rPr>
          <w:rFonts w:ascii="Arial" w:cs="Arial" w:eastAsia="Arial" w:hAnsi="Arial"/>
          <w:sz w:val="15"/>
          <w:szCs w:val="15"/>
          <w:i w:val="1"/>
          <w:iCs w:val="1"/>
          <w:color w:val="auto"/>
        </w:rPr>
        <w:t xml:space="preserve">The Magic School Bus </w:t>
      </w:r>
      <w:r>
        <w:rPr>
          <w:rFonts w:ascii="Arial" w:cs="Arial" w:eastAsia="Arial" w:hAnsi="Arial"/>
          <w:sz w:val="15"/>
          <w:szCs w:val="15"/>
          <w:color w:val="auto"/>
        </w:rPr>
        <w:t>and</w:t>
      </w:r>
      <w:r>
        <w:rPr>
          <w:rFonts w:ascii="Arial" w:cs="Arial" w:eastAsia="Arial" w:hAnsi="Arial"/>
          <w:sz w:val="15"/>
          <w:szCs w:val="15"/>
          <w:i w:val="1"/>
          <w:iCs w:val="1"/>
          <w:color w:val="auto"/>
        </w:rPr>
        <w:t xml:space="preserve"> Clifford The Big Red Dog</w:t>
      </w:r>
      <w:r>
        <w:rPr>
          <w:rFonts w:ascii="Arial" w:cs="Arial" w:eastAsia="Arial" w:hAnsi="Arial"/>
          <w:sz w:val="15"/>
          <w:szCs w:val="15"/>
          <w:color w:val="auto"/>
        </w:rPr>
        <w:t>. GROLIER is a registered trademark in the United States and a number of countries where the Company conducts business. All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publications, including books, magazines and software, are subject to copyright protection. Where applicable, the Company consistently files copyright registrations for its products in the name of Scholastic Inc. or one of its subsidiaries. Copyrights and trademarks are vigorously defended by the Company, and as necessary, outside counsel may be retained to assist in such protection.</w:t>
      </w:r>
    </w:p>
    <w:p>
      <w:pPr>
        <w:spacing w:after="0" w:line="179" w:lineRule="exact"/>
        <w:rPr>
          <w:sz w:val="20"/>
          <w:szCs w:val="20"/>
          <w:color w:val="auto"/>
        </w:rPr>
      </w:pPr>
    </w:p>
    <w:p>
      <w:pPr>
        <w:ind w:left="147" w:hanging="147"/>
        <w:spacing w:after="0"/>
        <w:tabs>
          <w:tab w:leader="none" w:pos="147" w:val="left"/>
        </w:tabs>
        <w:numPr>
          <w:ilvl w:val="0"/>
          <w:numId w:val="4"/>
        </w:numPr>
        <w:rPr>
          <w:rFonts w:ascii="Arial" w:cs="Arial" w:eastAsia="Arial" w:hAnsi="Arial"/>
          <w:sz w:val="15"/>
          <w:szCs w:val="15"/>
          <w:b w:val="1"/>
          <w:bCs w:val="1"/>
          <w:color w:val="auto"/>
        </w:rPr>
      </w:pPr>
      <w:r>
        <w:rPr>
          <w:rFonts w:ascii="Arial" w:cs="Arial" w:eastAsia="Arial" w:hAnsi="Arial"/>
          <w:sz w:val="12"/>
          <w:szCs w:val="12"/>
          <w:b w:val="1"/>
          <w:bCs w:val="1"/>
          <w:color w:val="auto"/>
        </w:rPr>
        <w:t>M P L O Y E E S</w:t>
      </w:r>
    </w:p>
    <w:p>
      <w:pPr>
        <w:spacing w:after="0" w:line="6" w:lineRule="exact"/>
        <w:rPr>
          <w:sz w:val="20"/>
          <w:szCs w:val="20"/>
          <w:color w:val="auto"/>
        </w:rPr>
      </w:pPr>
    </w:p>
    <w:p>
      <w:pPr>
        <w:ind w:left="7" w:right="240"/>
        <w:spacing w:after="0" w:line="263" w:lineRule="auto"/>
        <w:rPr>
          <w:sz w:val="20"/>
          <w:szCs w:val="20"/>
          <w:color w:val="auto"/>
        </w:rPr>
      </w:pPr>
      <w:r>
        <w:rPr>
          <w:rFonts w:ascii="Arial" w:cs="Arial" w:eastAsia="Arial" w:hAnsi="Arial"/>
          <w:sz w:val="15"/>
          <w:szCs w:val="15"/>
          <w:color w:val="auto"/>
        </w:rPr>
        <w:t>At May 31, 2006, the Company employed approximately 7,100 people in full-time jobs and 900 people in part-time jobs in the United States and approximately 2,400 additional people internationally. The number of part-time employees fluctuates during the year because significant portions of the Company’s business are closely correlated with the school year. The Company believes that relations with its employees are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110490</wp:posOffset>
            </wp:positionV>
            <wp:extent cx="1938655" cy="340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6"/>
        <w:spacing w:after="0"/>
        <w:rPr>
          <w:sz w:val="20"/>
          <w:szCs w:val="20"/>
          <w:color w:val="auto"/>
        </w:rPr>
      </w:pPr>
      <w:r>
        <w:rPr>
          <w:rFonts w:ascii="Arial" w:cs="Arial" w:eastAsia="Arial" w:hAnsi="Arial"/>
          <w:sz w:val="15"/>
          <w:szCs w:val="15"/>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7"/>
          </w:cols>
          <w:pgMar w:left="233" w:top="124" w:right="25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Executive Officers</w:t>
      </w:r>
    </w:p>
    <w:p>
      <w:pPr>
        <w:spacing w:after="0" w:line="197" w:lineRule="exact"/>
        <w:rPr>
          <w:sz w:val="20"/>
          <w:szCs w:val="20"/>
          <w:color w:val="auto"/>
        </w:rPr>
      </w:pPr>
    </w:p>
    <w:p>
      <w:pPr>
        <w:ind w:right="120"/>
        <w:spacing w:after="0" w:line="322" w:lineRule="auto"/>
        <w:rPr>
          <w:sz w:val="20"/>
          <w:szCs w:val="20"/>
          <w:color w:val="auto"/>
        </w:rPr>
      </w:pPr>
      <w:r>
        <w:rPr>
          <w:rFonts w:ascii="Arial" w:cs="Arial" w:eastAsia="Arial" w:hAnsi="Arial"/>
          <w:sz w:val="14"/>
          <w:szCs w:val="14"/>
          <w:color w:val="auto"/>
        </w:rPr>
        <w:t>Each of the following individuals serves as an executive officer of Scholastic until the first meeting of the Corporation’s Board of Directors following the Annual Meeting of Stockholders of Scholastic Corporation in September 2006 and until their successors have been elected or appointed and qualified or until such officer’s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72656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5"/>
                <w:szCs w:val="15"/>
                <w:b w:val="1"/>
                <w:bCs w:val="1"/>
                <w:color w:val="auto"/>
                <w:w w:val="92"/>
              </w:rPr>
              <w:t>Employed by</w:t>
            </w:r>
          </w:p>
        </w:tc>
        <w:tc>
          <w:tcPr>
            <w:tcW w:w="6260" w:type="dxa"/>
            <w:vAlign w:val="bottom"/>
          </w:tcPr>
          <w:p>
            <w:pPr>
              <w:spacing w:after="0"/>
              <w:rPr>
                <w:sz w:val="16"/>
                <w:szCs w:val="16"/>
                <w:color w:val="auto"/>
              </w:rPr>
            </w:pPr>
          </w:p>
        </w:tc>
      </w:tr>
      <w:tr>
        <w:trPr>
          <w:trHeight w:val="210"/>
        </w:trPr>
        <w:tc>
          <w:tcPr>
            <w:tcW w:w="184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1340" w:type="dxa"/>
            <w:vAlign w:val="bottom"/>
          </w:tcPr>
          <w:p>
            <w:pPr>
              <w:jc w:val="center"/>
              <w:ind w:left="24"/>
              <w:spacing w:after="0"/>
              <w:rPr>
                <w:sz w:val="20"/>
                <w:szCs w:val="20"/>
                <w:color w:val="auto"/>
              </w:rPr>
            </w:pPr>
            <w:r>
              <w:rPr>
                <w:rFonts w:ascii="Arial" w:cs="Arial" w:eastAsia="Arial" w:hAnsi="Arial"/>
                <w:sz w:val="15"/>
                <w:szCs w:val="15"/>
                <w:b w:val="1"/>
                <w:bCs w:val="1"/>
                <w:color w:val="auto"/>
                <w:w w:val="84"/>
              </w:rPr>
              <w:t>Age</w:t>
            </w:r>
          </w:p>
        </w:tc>
        <w:tc>
          <w:tcPr>
            <w:tcW w:w="2000" w:type="dxa"/>
            <w:vAlign w:val="bottom"/>
          </w:tcPr>
          <w:p>
            <w:pPr>
              <w:jc w:val="center"/>
              <w:spacing w:after="0"/>
              <w:rPr>
                <w:sz w:val="20"/>
                <w:szCs w:val="20"/>
                <w:color w:val="auto"/>
              </w:rPr>
            </w:pPr>
            <w:r>
              <w:rPr>
                <w:rFonts w:ascii="Arial" w:cs="Arial" w:eastAsia="Arial" w:hAnsi="Arial"/>
                <w:sz w:val="15"/>
                <w:szCs w:val="15"/>
                <w:b w:val="1"/>
                <w:bCs w:val="1"/>
                <w:color w:val="auto"/>
                <w:w w:val="89"/>
              </w:rPr>
              <w:t>Registrant Since</w:t>
            </w:r>
          </w:p>
        </w:tc>
        <w:tc>
          <w:tcPr>
            <w:tcW w:w="6260" w:type="dxa"/>
            <w:vAlign w:val="bottom"/>
          </w:tcPr>
          <w:p>
            <w:pPr>
              <w:ind w:left="420"/>
              <w:spacing w:after="0"/>
              <w:rPr>
                <w:sz w:val="20"/>
                <w:szCs w:val="20"/>
                <w:color w:val="auto"/>
              </w:rPr>
            </w:pPr>
            <w:r>
              <w:rPr>
                <w:rFonts w:ascii="Arial" w:cs="Arial" w:eastAsia="Arial" w:hAnsi="Arial"/>
                <w:sz w:val="15"/>
                <w:szCs w:val="15"/>
                <w:b w:val="1"/>
                <w:bCs w:val="1"/>
                <w:color w:val="auto"/>
              </w:rPr>
              <w:t>Position(s) for Past Five Years</w:t>
            </w:r>
          </w:p>
        </w:tc>
      </w:tr>
      <w:tr>
        <w:trPr>
          <w:trHeight w:val="96"/>
        </w:trPr>
        <w:tc>
          <w:tcPr>
            <w:tcW w:w="18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r>
      <w:tr>
        <w:trPr>
          <w:trHeight w:val="292"/>
        </w:trPr>
        <w:tc>
          <w:tcPr>
            <w:tcW w:w="1840" w:type="dxa"/>
            <w:vAlign w:val="bottom"/>
          </w:tcPr>
          <w:p>
            <w:pPr>
              <w:spacing w:after="0"/>
              <w:rPr>
                <w:sz w:val="20"/>
                <w:szCs w:val="20"/>
                <w:color w:val="auto"/>
              </w:rPr>
            </w:pPr>
            <w:r>
              <w:rPr>
                <w:rFonts w:ascii="Arial" w:cs="Arial" w:eastAsia="Arial" w:hAnsi="Arial"/>
                <w:sz w:val="15"/>
                <w:szCs w:val="15"/>
                <w:b w:val="1"/>
                <w:bCs w:val="1"/>
                <w:color w:val="auto"/>
              </w:rPr>
              <w:t>Richard Robinson</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w w:val="95"/>
              </w:rPr>
              <w:t>69</w:t>
            </w:r>
          </w:p>
        </w:tc>
        <w:tc>
          <w:tcPr>
            <w:tcW w:w="2000" w:type="dxa"/>
            <w:vAlign w:val="bottom"/>
          </w:tcPr>
          <w:p>
            <w:pPr>
              <w:jc w:val="center"/>
              <w:spacing w:after="0"/>
              <w:rPr>
                <w:sz w:val="20"/>
                <w:szCs w:val="20"/>
                <w:color w:val="auto"/>
              </w:rPr>
            </w:pPr>
            <w:r>
              <w:rPr>
                <w:rFonts w:ascii="Arial" w:cs="Arial" w:eastAsia="Arial" w:hAnsi="Arial"/>
                <w:sz w:val="15"/>
                <w:szCs w:val="15"/>
                <w:color w:val="auto"/>
                <w:w w:val="89"/>
              </w:rPr>
              <w:t>1962</w:t>
            </w:r>
          </w:p>
        </w:tc>
        <w:tc>
          <w:tcPr>
            <w:tcW w:w="6260" w:type="dxa"/>
            <w:vAlign w:val="bottom"/>
          </w:tcPr>
          <w:p>
            <w:pPr>
              <w:ind w:left="420"/>
              <w:spacing w:after="0"/>
              <w:rPr>
                <w:sz w:val="20"/>
                <w:szCs w:val="20"/>
                <w:color w:val="auto"/>
              </w:rPr>
            </w:pPr>
            <w:r>
              <w:rPr>
                <w:rFonts w:ascii="Arial" w:cs="Arial" w:eastAsia="Arial" w:hAnsi="Arial"/>
                <w:sz w:val="15"/>
                <w:szCs w:val="15"/>
                <w:color w:val="auto"/>
              </w:rPr>
              <w:t>Chairman of the Board (since 1982), President (since</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1974) and Chief Executive Officer (since 1975).</w:t>
            </w:r>
          </w:p>
        </w:tc>
      </w:tr>
      <w:tr>
        <w:trPr>
          <w:trHeight w:val="96"/>
        </w:trPr>
        <w:tc>
          <w:tcPr>
            <w:tcW w:w="18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r>
      <w:tr>
        <w:trPr>
          <w:trHeight w:val="292"/>
        </w:trPr>
        <w:tc>
          <w:tcPr>
            <w:tcW w:w="1840" w:type="dxa"/>
            <w:vAlign w:val="bottom"/>
          </w:tcPr>
          <w:p>
            <w:pPr>
              <w:spacing w:after="0"/>
              <w:rPr>
                <w:sz w:val="20"/>
                <w:szCs w:val="20"/>
                <w:color w:val="auto"/>
              </w:rPr>
            </w:pPr>
            <w:r>
              <w:rPr>
                <w:rFonts w:ascii="Arial" w:cs="Arial" w:eastAsia="Arial" w:hAnsi="Arial"/>
                <w:sz w:val="15"/>
                <w:szCs w:val="15"/>
                <w:b w:val="1"/>
                <w:bCs w:val="1"/>
                <w:color w:val="auto"/>
              </w:rPr>
              <w:t>Mary A. Winston</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w w:val="95"/>
              </w:rPr>
              <w:t>44</w:t>
            </w:r>
          </w:p>
        </w:tc>
        <w:tc>
          <w:tcPr>
            <w:tcW w:w="2000" w:type="dxa"/>
            <w:vAlign w:val="bottom"/>
          </w:tcPr>
          <w:p>
            <w:pPr>
              <w:jc w:val="center"/>
              <w:spacing w:after="0"/>
              <w:rPr>
                <w:sz w:val="20"/>
                <w:szCs w:val="20"/>
                <w:color w:val="auto"/>
              </w:rPr>
            </w:pPr>
            <w:r>
              <w:rPr>
                <w:rFonts w:ascii="Arial" w:cs="Arial" w:eastAsia="Arial" w:hAnsi="Arial"/>
                <w:sz w:val="15"/>
                <w:szCs w:val="15"/>
                <w:color w:val="auto"/>
                <w:w w:val="89"/>
              </w:rPr>
              <w:t>2004</w:t>
            </w:r>
          </w:p>
        </w:tc>
        <w:tc>
          <w:tcPr>
            <w:tcW w:w="6260" w:type="dxa"/>
            <w:vAlign w:val="bottom"/>
          </w:tcPr>
          <w:p>
            <w:pPr>
              <w:ind w:left="420"/>
              <w:spacing w:after="0"/>
              <w:rPr>
                <w:sz w:val="20"/>
                <w:szCs w:val="20"/>
                <w:color w:val="auto"/>
              </w:rPr>
            </w:pPr>
            <w:r>
              <w:rPr>
                <w:rFonts w:ascii="Arial" w:cs="Arial" w:eastAsia="Arial" w:hAnsi="Arial"/>
                <w:sz w:val="15"/>
                <w:szCs w:val="15"/>
                <w:color w:val="auto"/>
              </w:rPr>
              <w:t>Executive Vice President and Chief Financial Officer</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(since 2004). Prior to joining the Company, Vice President</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and Controller (2003–2004) and Vice President and</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Treasurer (2002–2003) of Visteon Corporation, a global</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automotive supplier; and between 1995 and 2002, various</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senior financial management roles at Pfizer and Warner-</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Lambert, which merged in June 2000, including Vice</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President, Global Financial Operations for the</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pharmaceutical business (2000–2002).</w:t>
            </w:r>
          </w:p>
        </w:tc>
      </w:tr>
      <w:tr>
        <w:trPr>
          <w:trHeight w:val="96"/>
        </w:trPr>
        <w:tc>
          <w:tcPr>
            <w:tcW w:w="18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r>
      <w:tr>
        <w:trPr>
          <w:trHeight w:val="292"/>
        </w:trPr>
        <w:tc>
          <w:tcPr>
            <w:tcW w:w="1840" w:type="dxa"/>
            <w:vAlign w:val="bottom"/>
          </w:tcPr>
          <w:p>
            <w:pPr>
              <w:spacing w:after="0"/>
              <w:rPr>
                <w:sz w:val="20"/>
                <w:szCs w:val="20"/>
                <w:color w:val="auto"/>
              </w:rPr>
            </w:pPr>
            <w:r>
              <w:rPr>
                <w:rFonts w:ascii="Arial" w:cs="Arial" w:eastAsia="Arial" w:hAnsi="Arial"/>
                <w:sz w:val="15"/>
                <w:szCs w:val="15"/>
                <w:b w:val="1"/>
                <w:bCs w:val="1"/>
                <w:color w:val="auto"/>
              </w:rPr>
              <w:t>Deborah A. Forte</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w w:val="95"/>
              </w:rPr>
              <w:t>52</w:t>
            </w:r>
          </w:p>
        </w:tc>
        <w:tc>
          <w:tcPr>
            <w:tcW w:w="2000" w:type="dxa"/>
            <w:vAlign w:val="bottom"/>
          </w:tcPr>
          <w:p>
            <w:pPr>
              <w:jc w:val="center"/>
              <w:spacing w:after="0"/>
              <w:rPr>
                <w:sz w:val="20"/>
                <w:szCs w:val="20"/>
                <w:color w:val="auto"/>
              </w:rPr>
            </w:pPr>
            <w:r>
              <w:rPr>
                <w:rFonts w:ascii="Arial" w:cs="Arial" w:eastAsia="Arial" w:hAnsi="Arial"/>
                <w:sz w:val="15"/>
                <w:szCs w:val="15"/>
                <w:color w:val="auto"/>
                <w:w w:val="89"/>
              </w:rPr>
              <w:t>1983</w:t>
            </w:r>
          </w:p>
        </w:tc>
        <w:tc>
          <w:tcPr>
            <w:tcW w:w="6260" w:type="dxa"/>
            <w:vAlign w:val="bottom"/>
          </w:tcPr>
          <w:p>
            <w:pPr>
              <w:ind w:left="420"/>
              <w:spacing w:after="0"/>
              <w:rPr>
                <w:sz w:val="20"/>
                <w:szCs w:val="20"/>
                <w:color w:val="auto"/>
              </w:rPr>
            </w:pPr>
            <w:r>
              <w:rPr>
                <w:rFonts w:ascii="Arial" w:cs="Arial" w:eastAsia="Arial" w:hAnsi="Arial"/>
                <w:sz w:val="15"/>
                <w:szCs w:val="15"/>
                <w:color w:val="auto"/>
              </w:rPr>
              <w:t>Executive Vice President (since 1996), President,</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Scholastic Media (since 2006) and Scholastic</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Entertainment Inc. (since 2001) and Division Head,</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Scholastic Entertainment Inc. (1995-2001).</w:t>
            </w:r>
          </w:p>
        </w:tc>
      </w:tr>
      <w:tr>
        <w:trPr>
          <w:trHeight w:val="96"/>
        </w:trPr>
        <w:tc>
          <w:tcPr>
            <w:tcW w:w="18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r>
      <w:tr>
        <w:trPr>
          <w:trHeight w:val="292"/>
        </w:trPr>
        <w:tc>
          <w:tcPr>
            <w:tcW w:w="1840" w:type="dxa"/>
            <w:vAlign w:val="bottom"/>
          </w:tcPr>
          <w:p>
            <w:pPr>
              <w:spacing w:after="0"/>
              <w:rPr>
                <w:sz w:val="20"/>
                <w:szCs w:val="20"/>
                <w:color w:val="auto"/>
              </w:rPr>
            </w:pPr>
            <w:r>
              <w:rPr>
                <w:rFonts w:ascii="Arial" w:cs="Arial" w:eastAsia="Arial" w:hAnsi="Arial"/>
                <w:sz w:val="15"/>
                <w:szCs w:val="15"/>
                <w:b w:val="1"/>
                <w:bCs w:val="1"/>
                <w:color w:val="auto"/>
              </w:rPr>
              <w:t>Lisa Holton</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w w:val="95"/>
              </w:rPr>
              <w:t>44</w:t>
            </w:r>
          </w:p>
        </w:tc>
        <w:tc>
          <w:tcPr>
            <w:tcW w:w="2000" w:type="dxa"/>
            <w:vAlign w:val="bottom"/>
          </w:tcPr>
          <w:p>
            <w:pPr>
              <w:jc w:val="center"/>
              <w:spacing w:after="0"/>
              <w:rPr>
                <w:sz w:val="20"/>
                <w:szCs w:val="20"/>
                <w:color w:val="auto"/>
              </w:rPr>
            </w:pPr>
            <w:r>
              <w:rPr>
                <w:rFonts w:ascii="Arial" w:cs="Arial" w:eastAsia="Arial" w:hAnsi="Arial"/>
                <w:sz w:val="15"/>
                <w:szCs w:val="15"/>
                <w:color w:val="auto"/>
                <w:w w:val="89"/>
              </w:rPr>
              <w:t>2005</w:t>
            </w:r>
          </w:p>
        </w:tc>
        <w:tc>
          <w:tcPr>
            <w:tcW w:w="6260" w:type="dxa"/>
            <w:vAlign w:val="bottom"/>
          </w:tcPr>
          <w:p>
            <w:pPr>
              <w:ind w:left="420"/>
              <w:spacing w:after="0"/>
              <w:rPr>
                <w:sz w:val="20"/>
                <w:szCs w:val="20"/>
                <w:color w:val="auto"/>
              </w:rPr>
            </w:pPr>
            <w:r>
              <w:rPr>
                <w:rFonts w:ascii="Arial" w:cs="Arial" w:eastAsia="Arial" w:hAnsi="Arial"/>
                <w:sz w:val="15"/>
                <w:szCs w:val="15"/>
                <w:color w:val="auto"/>
              </w:rPr>
              <w:t>Executive Vice President and President, Book Fairs and</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Trade (since 2005). Prior to joining the Company, Senior</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Vice President, Publisher, Global Disney Children’s Books</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(2001-2005), and Vice President and Group Publisher of</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Disney Children’s Books (1999-2001).</w:t>
            </w:r>
          </w:p>
        </w:tc>
      </w:tr>
      <w:tr>
        <w:trPr>
          <w:trHeight w:val="96"/>
        </w:trPr>
        <w:tc>
          <w:tcPr>
            <w:tcW w:w="18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r>
      <w:tr>
        <w:trPr>
          <w:trHeight w:val="292"/>
        </w:trPr>
        <w:tc>
          <w:tcPr>
            <w:tcW w:w="1840" w:type="dxa"/>
            <w:vAlign w:val="bottom"/>
          </w:tcPr>
          <w:p>
            <w:pPr>
              <w:spacing w:after="0"/>
              <w:rPr>
                <w:sz w:val="20"/>
                <w:szCs w:val="20"/>
                <w:color w:val="auto"/>
              </w:rPr>
            </w:pPr>
            <w:r>
              <w:rPr>
                <w:rFonts w:ascii="Arial" w:cs="Arial" w:eastAsia="Arial" w:hAnsi="Arial"/>
                <w:sz w:val="15"/>
                <w:szCs w:val="15"/>
                <w:b w:val="1"/>
                <w:bCs w:val="1"/>
                <w:color w:val="auto"/>
              </w:rPr>
              <w:t>Margery W. Mayer</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w w:val="95"/>
              </w:rPr>
              <w:t>54</w:t>
            </w:r>
          </w:p>
        </w:tc>
        <w:tc>
          <w:tcPr>
            <w:tcW w:w="2000" w:type="dxa"/>
            <w:vAlign w:val="bottom"/>
          </w:tcPr>
          <w:p>
            <w:pPr>
              <w:jc w:val="center"/>
              <w:spacing w:after="0"/>
              <w:rPr>
                <w:sz w:val="20"/>
                <w:szCs w:val="20"/>
                <w:color w:val="auto"/>
              </w:rPr>
            </w:pPr>
            <w:r>
              <w:rPr>
                <w:rFonts w:ascii="Arial" w:cs="Arial" w:eastAsia="Arial" w:hAnsi="Arial"/>
                <w:sz w:val="15"/>
                <w:szCs w:val="15"/>
                <w:color w:val="auto"/>
                <w:w w:val="89"/>
              </w:rPr>
              <w:t>1990</w:t>
            </w:r>
          </w:p>
        </w:tc>
        <w:tc>
          <w:tcPr>
            <w:tcW w:w="6260" w:type="dxa"/>
            <w:vAlign w:val="bottom"/>
          </w:tcPr>
          <w:p>
            <w:pPr>
              <w:ind w:left="420"/>
              <w:spacing w:after="0"/>
              <w:rPr>
                <w:sz w:val="20"/>
                <w:szCs w:val="20"/>
                <w:color w:val="auto"/>
              </w:rPr>
            </w:pPr>
            <w:r>
              <w:rPr>
                <w:rFonts w:ascii="Arial" w:cs="Arial" w:eastAsia="Arial" w:hAnsi="Arial"/>
                <w:sz w:val="15"/>
                <w:szCs w:val="15"/>
                <w:color w:val="auto"/>
              </w:rPr>
              <w:t>Executive Vice President (since 1990), President,</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Scholastic Education (since 2002) and Executive Vice</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President, Learning Ventures (1998-2002).</w:t>
            </w:r>
          </w:p>
        </w:tc>
      </w:tr>
      <w:tr>
        <w:trPr>
          <w:trHeight w:val="96"/>
        </w:trPr>
        <w:tc>
          <w:tcPr>
            <w:tcW w:w="18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r>
      <w:tr>
        <w:trPr>
          <w:trHeight w:val="292"/>
        </w:trPr>
        <w:tc>
          <w:tcPr>
            <w:tcW w:w="1840" w:type="dxa"/>
            <w:vAlign w:val="bottom"/>
          </w:tcPr>
          <w:p>
            <w:pPr>
              <w:spacing w:after="0"/>
              <w:rPr>
                <w:sz w:val="20"/>
                <w:szCs w:val="20"/>
                <w:color w:val="auto"/>
              </w:rPr>
            </w:pPr>
            <w:r>
              <w:rPr>
                <w:rFonts w:ascii="Arial" w:cs="Arial" w:eastAsia="Arial" w:hAnsi="Arial"/>
                <w:sz w:val="15"/>
                <w:szCs w:val="15"/>
                <w:b w:val="1"/>
                <w:bCs w:val="1"/>
                <w:color w:val="auto"/>
              </w:rPr>
              <w:t>Judith A. Newman</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w w:val="95"/>
              </w:rPr>
              <w:t>48</w:t>
            </w:r>
          </w:p>
        </w:tc>
        <w:tc>
          <w:tcPr>
            <w:tcW w:w="2000" w:type="dxa"/>
            <w:vAlign w:val="bottom"/>
          </w:tcPr>
          <w:p>
            <w:pPr>
              <w:jc w:val="center"/>
              <w:spacing w:after="0"/>
              <w:rPr>
                <w:sz w:val="20"/>
                <w:szCs w:val="20"/>
                <w:color w:val="auto"/>
              </w:rPr>
            </w:pPr>
            <w:r>
              <w:rPr>
                <w:rFonts w:ascii="Arial" w:cs="Arial" w:eastAsia="Arial" w:hAnsi="Arial"/>
                <w:sz w:val="15"/>
                <w:szCs w:val="15"/>
                <w:color w:val="auto"/>
                <w:w w:val="89"/>
              </w:rPr>
              <w:t>1993</w:t>
            </w:r>
          </w:p>
        </w:tc>
        <w:tc>
          <w:tcPr>
            <w:tcW w:w="6260" w:type="dxa"/>
            <w:vAlign w:val="bottom"/>
          </w:tcPr>
          <w:p>
            <w:pPr>
              <w:ind w:left="420"/>
              <w:spacing w:after="0"/>
              <w:rPr>
                <w:sz w:val="20"/>
                <w:szCs w:val="20"/>
                <w:color w:val="auto"/>
              </w:rPr>
            </w:pPr>
            <w:r>
              <w:rPr>
                <w:rFonts w:ascii="Arial" w:cs="Arial" w:eastAsia="Arial" w:hAnsi="Arial"/>
                <w:sz w:val="15"/>
                <w:szCs w:val="15"/>
                <w:color w:val="auto"/>
              </w:rPr>
              <w:t>Executive Vice President and President, Book Clubs and</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Scholastic At Home (since 2005); Senior Vice President</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and President, Book Clubs and Scholastic At Home (2004-</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2005); and Senior Vice President, Book Clubs (1997-</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5"/>
                <w:szCs w:val="15"/>
                <w:color w:val="auto"/>
              </w:rPr>
              <w:t>2004).</w:t>
            </w:r>
          </w:p>
        </w:tc>
      </w:tr>
      <w:tr>
        <w:trPr>
          <w:trHeight w:val="96"/>
        </w:trPr>
        <w:tc>
          <w:tcPr>
            <w:tcW w:w="18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251460</wp:posOffset>
            </wp:positionV>
            <wp:extent cx="1938655" cy="340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1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jc w:val="center"/>
              <w:ind w:left="24"/>
              <w:spacing w:after="0"/>
              <w:rPr>
                <w:sz w:val="20"/>
                <w:szCs w:val="20"/>
                <w:color w:val="auto"/>
              </w:rPr>
            </w:pPr>
            <w:r>
              <w:rPr>
                <w:rFonts w:ascii="Arial" w:cs="Arial" w:eastAsia="Arial" w:hAnsi="Arial"/>
                <w:sz w:val="15"/>
                <w:szCs w:val="15"/>
                <w:b w:val="1"/>
                <w:bCs w:val="1"/>
                <w:color w:val="auto"/>
                <w:w w:val="92"/>
              </w:rPr>
              <w:t>Employed by</w:t>
            </w:r>
          </w:p>
        </w:tc>
        <w:tc>
          <w:tcPr>
            <w:tcW w:w="6240" w:type="dxa"/>
            <w:vAlign w:val="bottom"/>
          </w:tcPr>
          <w:p>
            <w:pPr>
              <w:spacing w:after="0"/>
              <w:rPr>
                <w:sz w:val="16"/>
                <w:szCs w:val="16"/>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1340" w:type="dxa"/>
            <w:vAlign w:val="bottom"/>
          </w:tcPr>
          <w:p>
            <w:pPr>
              <w:jc w:val="center"/>
              <w:ind w:left="4"/>
              <w:spacing w:after="0"/>
              <w:rPr>
                <w:sz w:val="20"/>
                <w:szCs w:val="20"/>
                <w:color w:val="auto"/>
              </w:rPr>
            </w:pPr>
            <w:r>
              <w:rPr>
                <w:rFonts w:ascii="Arial" w:cs="Arial" w:eastAsia="Arial" w:hAnsi="Arial"/>
                <w:sz w:val="15"/>
                <w:szCs w:val="15"/>
                <w:b w:val="1"/>
                <w:bCs w:val="1"/>
                <w:color w:val="auto"/>
                <w:w w:val="91"/>
              </w:rPr>
              <w:t>Age</w:t>
            </w:r>
          </w:p>
        </w:tc>
        <w:tc>
          <w:tcPr>
            <w:tcW w:w="1960" w:type="dxa"/>
            <w:vAlign w:val="bottom"/>
          </w:tcPr>
          <w:p>
            <w:pPr>
              <w:jc w:val="center"/>
              <w:ind w:left="24"/>
              <w:spacing w:after="0"/>
              <w:rPr>
                <w:sz w:val="20"/>
                <w:szCs w:val="20"/>
                <w:color w:val="auto"/>
              </w:rPr>
            </w:pPr>
            <w:r>
              <w:rPr>
                <w:rFonts w:ascii="Arial" w:cs="Arial" w:eastAsia="Arial" w:hAnsi="Arial"/>
                <w:sz w:val="15"/>
                <w:szCs w:val="15"/>
                <w:b w:val="1"/>
                <w:bCs w:val="1"/>
                <w:color w:val="auto"/>
                <w:w w:val="89"/>
              </w:rPr>
              <w:t>Registrant Since</w:t>
            </w:r>
          </w:p>
        </w:tc>
        <w:tc>
          <w:tcPr>
            <w:tcW w:w="6240" w:type="dxa"/>
            <w:vAlign w:val="bottom"/>
          </w:tcPr>
          <w:p>
            <w:pPr>
              <w:ind w:left="400"/>
              <w:spacing w:after="0"/>
              <w:rPr>
                <w:sz w:val="20"/>
                <w:szCs w:val="20"/>
                <w:color w:val="auto"/>
              </w:rPr>
            </w:pPr>
            <w:r>
              <w:rPr>
                <w:rFonts w:ascii="Arial" w:cs="Arial" w:eastAsia="Arial" w:hAnsi="Arial"/>
                <w:sz w:val="15"/>
                <w:szCs w:val="15"/>
                <w:b w:val="1"/>
                <w:bCs w:val="1"/>
                <w:color w:val="auto"/>
              </w:rPr>
              <w:t>Position(s) for Past Five Years</w:t>
            </w:r>
          </w:p>
        </w:tc>
      </w:tr>
      <w:tr>
        <w:trPr>
          <w:trHeight w:val="96"/>
        </w:trPr>
        <w:tc>
          <w:tcPr>
            <w:tcW w:w="19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r>
      <w:tr>
        <w:trPr>
          <w:trHeight w:val="292"/>
        </w:trPr>
        <w:tc>
          <w:tcPr>
            <w:tcW w:w="1900" w:type="dxa"/>
            <w:vAlign w:val="bottom"/>
          </w:tcPr>
          <w:p>
            <w:pPr>
              <w:spacing w:after="0"/>
              <w:rPr>
                <w:sz w:val="20"/>
                <w:szCs w:val="20"/>
                <w:color w:val="auto"/>
              </w:rPr>
            </w:pPr>
            <w:r>
              <w:rPr>
                <w:rFonts w:ascii="Arial" w:cs="Arial" w:eastAsia="Arial" w:hAnsi="Arial"/>
                <w:sz w:val="15"/>
                <w:szCs w:val="15"/>
                <w:b w:val="1"/>
                <w:bCs w:val="1"/>
                <w:color w:val="auto"/>
              </w:rPr>
              <w:t>Seth Radwell</w:t>
            </w:r>
          </w:p>
        </w:tc>
        <w:tc>
          <w:tcPr>
            <w:tcW w:w="1340" w:type="dxa"/>
            <w:vAlign w:val="bottom"/>
          </w:tcPr>
          <w:p>
            <w:pPr>
              <w:jc w:val="center"/>
              <w:ind w:left="4"/>
              <w:spacing w:after="0"/>
              <w:rPr>
                <w:sz w:val="20"/>
                <w:szCs w:val="20"/>
                <w:color w:val="auto"/>
              </w:rPr>
            </w:pPr>
            <w:r>
              <w:rPr>
                <w:rFonts w:ascii="Arial" w:cs="Arial" w:eastAsia="Arial" w:hAnsi="Arial"/>
                <w:sz w:val="15"/>
                <w:szCs w:val="15"/>
                <w:color w:val="auto"/>
                <w:w w:val="83"/>
              </w:rPr>
              <w:t>43</w:t>
            </w:r>
          </w:p>
        </w:tc>
        <w:tc>
          <w:tcPr>
            <w:tcW w:w="1960" w:type="dxa"/>
            <w:vAlign w:val="bottom"/>
          </w:tcPr>
          <w:p>
            <w:pPr>
              <w:jc w:val="center"/>
              <w:ind w:left="24"/>
              <w:spacing w:after="0"/>
              <w:rPr>
                <w:sz w:val="20"/>
                <w:szCs w:val="20"/>
                <w:color w:val="auto"/>
              </w:rPr>
            </w:pPr>
            <w:r>
              <w:rPr>
                <w:rFonts w:ascii="Arial" w:cs="Arial" w:eastAsia="Arial" w:hAnsi="Arial"/>
                <w:sz w:val="15"/>
                <w:szCs w:val="15"/>
                <w:color w:val="auto"/>
                <w:w w:val="89"/>
              </w:rPr>
              <w:t>2005</w:t>
            </w:r>
          </w:p>
        </w:tc>
        <w:tc>
          <w:tcPr>
            <w:tcW w:w="6240" w:type="dxa"/>
            <w:vAlign w:val="bottom"/>
          </w:tcPr>
          <w:p>
            <w:pPr>
              <w:ind w:left="400"/>
              <w:spacing w:after="0"/>
              <w:rPr>
                <w:sz w:val="20"/>
                <w:szCs w:val="20"/>
                <w:color w:val="auto"/>
              </w:rPr>
            </w:pPr>
            <w:r>
              <w:rPr>
                <w:rFonts w:ascii="Arial" w:cs="Arial" w:eastAsia="Arial" w:hAnsi="Arial"/>
                <w:sz w:val="15"/>
                <w:szCs w:val="15"/>
                <w:color w:val="auto"/>
              </w:rPr>
              <w:t>Executive Vice President and President, e-Scholastic</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(since 2005). Prior to joining the Company, President,</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Marketing &amp; Editorial Group, Bookspan (2002-2005); and</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Chief Executive Officer and President, Doubleday</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Interactive (1999-2001).</w:t>
            </w:r>
          </w:p>
        </w:tc>
      </w:tr>
      <w:tr>
        <w:trPr>
          <w:trHeight w:val="96"/>
        </w:trPr>
        <w:tc>
          <w:tcPr>
            <w:tcW w:w="19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6240" w:type="dxa"/>
            <w:vAlign w:val="bottom"/>
            <w:tcBorders>
              <w:bottom w:val="single" w:sz="8" w:color="808080"/>
            </w:tcBorders>
          </w:tcPr>
          <w:p>
            <w:pPr>
              <w:spacing w:after="0"/>
              <w:rPr>
                <w:sz w:val="8"/>
                <w:szCs w:val="8"/>
                <w:color w:val="auto"/>
              </w:rPr>
            </w:pPr>
          </w:p>
        </w:tc>
      </w:tr>
      <w:tr>
        <w:trPr>
          <w:trHeight w:val="292"/>
        </w:trPr>
        <w:tc>
          <w:tcPr>
            <w:tcW w:w="1900" w:type="dxa"/>
            <w:vAlign w:val="bottom"/>
          </w:tcPr>
          <w:p>
            <w:pPr>
              <w:spacing w:after="0"/>
              <w:rPr>
                <w:sz w:val="20"/>
                <w:szCs w:val="20"/>
                <w:color w:val="auto"/>
              </w:rPr>
            </w:pPr>
            <w:r>
              <w:rPr>
                <w:rFonts w:ascii="Arial" w:cs="Arial" w:eastAsia="Arial" w:hAnsi="Arial"/>
                <w:sz w:val="15"/>
                <w:szCs w:val="15"/>
                <w:b w:val="1"/>
                <w:bCs w:val="1"/>
                <w:color w:val="auto"/>
              </w:rPr>
              <w:t>Hugh Roome</w:t>
            </w:r>
          </w:p>
        </w:tc>
        <w:tc>
          <w:tcPr>
            <w:tcW w:w="1340" w:type="dxa"/>
            <w:vAlign w:val="bottom"/>
          </w:tcPr>
          <w:p>
            <w:pPr>
              <w:jc w:val="center"/>
              <w:ind w:left="4"/>
              <w:spacing w:after="0"/>
              <w:rPr>
                <w:sz w:val="20"/>
                <w:szCs w:val="20"/>
                <w:color w:val="auto"/>
              </w:rPr>
            </w:pPr>
            <w:r>
              <w:rPr>
                <w:rFonts w:ascii="Arial" w:cs="Arial" w:eastAsia="Arial" w:hAnsi="Arial"/>
                <w:sz w:val="15"/>
                <w:szCs w:val="15"/>
                <w:color w:val="auto"/>
                <w:w w:val="83"/>
              </w:rPr>
              <w:t>54</w:t>
            </w:r>
          </w:p>
        </w:tc>
        <w:tc>
          <w:tcPr>
            <w:tcW w:w="1960" w:type="dxa"/>
            <w:vAlign w:val="bottom"/>
          </w:tcPr>
          <w:p>
            <w:pPr>
              <w:jc w:val="center"/>
              <w:ind w:left="24"/>
              <w:spacing w:after="0"/>
              <w:rPr>
                <w:sz w:val="20"/>
                <w:szCs w:val="20"/>
                <w:color w:val="auto"/>
              </w:rPr>
            </w:pPr>
            <w:r>
              <w:rPr>
                <w:rFonts w:ascii="Arial" w:cs="Arial" w:eastAsia="Arial" w:hAnsi="Arial"/>
                <w:sz w:val="15"/>
                <w:szCs w:val="15"/>
                <w:color w:val="auto"/>
                <w:w w:val="89"/>
              </w:rPr>
              <w:t>1991</w:t>
            </w:r>
          </w:p>
        </w:tc>
        <w:tc>
          <w:tcPr>
            <w:tcW w:w="6240" w:type="dxa"/>
            <w:vAlign w:val="bottom"/>
          </w:tcPr>
          <w:p>
            <w:pPr>
              <w:ind w:left="400"/>
              <w:spacing w:after="0"/>
              <w:rPr>
                <w:sz w:val="20"/>
                <w:szCs w:val="20"/>
                <w:color w:val="auto"/>
              </w:rPr>
            </w:pPr>
            <w:r>
              <w:rPr>
                <w:rFonts w:ascii="Arial" w:cs="Arial" w:eastAsia="Arial" w:hAnsi="Arial"/>
                <w:sz w:val="15"/>
                <w:szCs w:val="15"/>
                <w:color w:val="auto"/>
              </w:rPr>
              <w:t>Executive Vice President (since 1996), President,</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International Group (since 2001) and Executive Vice</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President, International (2000-2001).</w:t>
            </w:r>
          </w:p>
        </w:tc>
      </w:tr>
      <w:tr>
        <w:trPr>
          <w:trHeight w:val="96"/>
        </w:trPr>
        <w:tc>
          <w:tcPr>
            <w:tcW w:w="19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6240" w:type="dxa"/>
            <w:vAlign w:val="bottom"/>
            <w:tcBorders>
              <w:bottom w:val="single" w:sz="8" w:color="808080"/>
            </w:tcBorders>
          </w:tcPr>
          <w:p>
            <w:pPr>
              <w:spacing w:after="0"/>
              <w:rPr>
                <w:sz w:val="8"/>
                <w:szCs w:val="8"/>
                <w:color w:val="auto"/>
              </w:rPr>
            </w:pPr>
          </w:p>
        </w:tc>
      </w:tr>
      <w:tr>
        <w:trPr>
          <w:trHeight w:val="292"/>
        </w:trPr>
        <w:tc>
          <w:tcPr>
            <w:tcW w:w="1900" w:type="dxa"/>
            <w:vAlign w:val="bottom"/>
          </w:tcPr>
          <w:p>
            <w:pPr>
              <w:spacing w:after="0"/>
              <w:rPr>
                <w:sz w:val="20"/>
                <w:szCs w:val="20"/>
                <w:color w:val="auto"/>
              </w:rPr>
            </w:pPr>
            <w:r>
              <w:rPr>
                <w:rFonts w:ascii="Arial" w:cs="Arial" w:eastAsia="Arial" w:hAnsi="Arial"/>
                <w:sz w:val="15"/>
                <w:szCs w:val="15"/>
                <w:b w:val="1"/>
                <w:bCs w:val="1"/>
                <w:color w:val="auto"/>
              </w:rPr>
              <w:t>Ernest B. Fleishman</w:t>
            </w:r>
          </w:p>
        </w:tc>
        <w:tc>
          <w:tcPr>
            <w:tcW w:w="1340" w:type="dxa"/>
            <w:vAlign w:val="bottom"/>
          </w:tcPr>
          <w:p>
            <w:pPr>
              <w:jc w:val="center"/>
              <w:ind w:left="4"/>
              <w:spacing w:after="0"/>
              <w:rPr>
                <w:sz w:val="20"/>
                <w:szCs w:val="20"/>
                <w:color w:val="auto"/>
              </w:rPr>
            </w:pPr>
            <w:r>
              <w:rPr>
                <w:rFonts w:ascii="Arial" w:cs="Arial" w:eastAsia="Arial" w:hAnsi="Arial"/>
                <w:sz w:val="15"/>
                <w:szCs w:val="15"/>
                <w:color w:val="auto"/>
                <w:w w:val="83"/>
              </w:rPr>
              <w:t>69</w:t>
            </w:r>
          </w:p>
        </w:tc>
        <w:tc>
          <w:tcPr>
            <w:tcW w:w="1960" w:type="dxa"/>
            <w:vAlign w:val="bottom"/>
          </w:tcPr>
          <w:p>
            <w:pPr>
              <w:jc w:val="center"/>
              <w:ind w:left="24"/>
              <w:spacing w:after="0"/>
              <w:rPr>
                <w:sz w:val="20"/>
                <w:szCs w:val="20"/>
                <w:color w:val="auto"/>
              </w:rPr>
            </w:pPr>
            <w:r>
              <w:rPr>
                <w:rFonts w:ascii="Arial" w:cs="Arial" w:eastAsia="Arial" w:hAnsi="Arial"/>
                <w:sz w:val="15"/>
                <w:szCs w:val="15"/>
                <w:color w:val="auto"/>
                <w:w w:val="89"/>
              </w:rPr>
              <w:t>1989</w:t>
            </w:r>
          </w:p>
        </w:tc>
        <w:tc>
          <w:tcPr>
            <w:tcW w:w="6240" w:type="dxa"/>
            <w:vAlign w:val="bottom"/>
          </w:tcPr>
          <w:p>
            <w:pPr>
              <w:ind w:left="400"/>
              <w:spacing w:after="0"/>
              <w:rPr>
                <w:sz w:val="20"/>
                <w:szCs w:val="20"/>
                <w:color w:val="auto"/>
              </w:rPr>
            </w:pPr>
            <w:r>
              <w:rPr>
                <w:rFonts w:ascii="Arial" w:cs="Arial" w:eastAsia="Arial" w:hAnsi="Arial"/>
                <w:sz w:val="15"/>
                <w:szCs w:val="15"/>
                <w:color w:val="auto"/>
              </w:rPr>
              <w:t>Senior Vice President, Education and Corporate Relations</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(since 1989).</w:t>
            </w:r>
          </w:p>
        </w:tc>
      </w:tr>
      <w:tr>
        <w:trPr>
          <w:trHeight w:val="96"/>
        </w:trPr>
        <w:tc>
          <w:tcPr>
            <w:tcW w:w="19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6240" w:type="dxa"/>
            <w:vAlign w:val="bottom"/>
            <w:tcBorders>
              <w:bottom w:val="single" w:sz="8" w:color="808080"/>
            </w:tcBorders>
          </w:tcPr>
          <w:p>
            <w:pPr>
              <w:spacing w:after="0"/>
              <w:rPr>
                <w:sz w:val="8"/>
                <w:szCs w:val="8"/>
                <w:color w:val="auto"/>
              </w:rPr>
            </w:pPr>
          </w:p>
        </w:tc>
      </w:tr>
      <w:tr>
        <w:trPr>
          <w:trHeight w:val="292"/>
        </w:trPr>
        <w:tc>
          <w:tcPr>
            <w:tcW w:w="1900" w:type="dxa"/>
            <w:vAlign w:val="bottom"/>
          </w:tcPr>
          <w:p>
            <w:pPr>
              <w:spacing w:after="0"/>
              <w:rPr>
                <w:sz w:val="20"/>
                <w:szCs w:val="20"/>
                <w:color w:val="auto"/>
              </w:rPr>
            </w:pPr>
            <w:r>
              <w:rPr>
                <w:rFonts w:ascii="Arial" w:cs="Arial" w:eastAsia="Arial" w:hAnsi="Arial"/>
                <w:sz w:val="15"/>
                <w:szCs w:val="15"/>
                <w:b w:val="1"/>
                <w:bCs w:val="1"/>
                <w:color w:val="auto"/>
              </w:rPr>
              <w:t>Beth Ford</w:t>
            </w:r>
          </w:p>
        </w:tc>
        <w:tc>
          <w:tcPr>
            <w:tcW w:w="1340" w:type="dxa"/>
            <w:vAlign w:val="bottom"/>
          </w:tcPr>
          <w:p>
            <w:pPr>
              <w:jc w:val="center"/>
              <w:ind w:left="4"/>
              <w:spacing w:after="0"/>
              <w:rPr>
                <w:sz w:val="20"/>
                <w:szCs w:val="20"/>
                <w:color w:val="auto"/>
              </w:rPr>
            </w:pPr>
            <w:r>
              <w:rPr>
                <w:rFonts w:ascii="Arial" w:cs="Arial" w:eastAsia="Arial" w:hAnsi="Arial"/>
                <w:sz w:val="15"/>
                <w:szCs w:val="15"/>
                <w:color w:val="auto"/>
                <w:w w:val="83"/>
              </w:rPr>
              <w:t>42</w:t>
            </w:r>
          </w:p>
        </w:tc>
        <w:tc>
          <w:tcPr>
            <w:tcW w:w="1960" w:type="dxa"/>
            <w:vAlign w:val="bottom"/>
          </w:tcPr>
          <w:p>
            <w:pPr>
              <w:jc w:val="center"/>
              <w:ind w:left="24"/>
              <w:spacing w:after="0"/>
              <w:rPr>
                <w:sz w:val="20"/>
                <w:szCs w:val="20"/>
                <w:color w:val="auto"/>
              </w:rPr>
            </w:pPr>
            <w:r>
              <w:rPr>
                <w:rFonts w:ascii="Arial" w:cs="Arial" w:eastAsia="Arial" w:hAnsi="Arial"/>
                <w:sz w:val="15"/>
                <w:szCs w:val="15"/>
                <w:color w:val="auto"/>
                <w:w w:val="89"/>
              </w:rPr>
              <w:t>2000</w:t>
            </w:r>
          </w:p>
        </w:tc>
        <w:tc>
          <w:tcPr>
            <w:tcW w:w="6240" w:type="dxa"/>
            <w:vAlign w:val="bottom"/>
          </w:tcPr>
          <w:p>
            <w:pPr>
              <w:ind w:left="400"/>
              <w:spacing w:after="0"/>
              <w:rPr>
                <w:sz w:val="20"/>
                <w:szCs w:val="20"/>
                <w:color w:val="auto"/>
              </w:rPr>
            </w:pPr>
            <w:r>
              <w:rPr>
                <w:rFonts w:ascii="Arial" w:cs="Arial" w:eastAsia="Arial" w:hAnsi="Arial"/>
                <w:sz w:val="15"/>
                <w:szCs w:val="15"/>
                <w:color w:val="auto"/>
              </w:rPr>
              <w:t>Senior Vice President, Global Operations and Information</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Technology (since 2002) and Senior Vice President, Global</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Operations (2000-2002).</w:t>
            </w:r>
          </w:p>
        </w:tc>
      </w:tr>
      <w:tr>
        <w:trPr>
          <w:trHeight w:val="96"/>
        </w:trPr>
        <w:tc>
          <w:tcPr>
            <w:tcW w:w="19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6240" w:type="dxa"/>
            <w:vAlign w:val="bottom"/>
            <w:tcBorders>
              <w:bottom w:val="single" w:sz="8" w:color="808080"/>
            </w:tcBorders>
          </w:tcPr>
          <w:p>
            <w:pPr>
              <w:spacing w:after="0"/>
              <w:rPr>
                <w:sz w:val="8"/>
                <w:szCs w:val="8"/>
                <w:color w:val="auto"/>
              </w:rPr>
            </w:pPr>
          </w:p>
        </w:tc>
      </w:tr>
      <w:tr>
        <w:trPr>
          <w:trHeight w:val="292"/>
        </w:trPr>
        <w:tc>
          <w:tcPr>
            <w:tcW w:w="1900" w:type="dxa"/>
            <w:vAlign w:val="bottom"/>
          </w:tcPr>
          <w:p>
            <w:pPr>
              <w:spacing w:after="0"/>
              <w:rPr>
                <w:sz w:val="20"/>
                <w:szCs w:val="20"/>
                <w:color w:val="auto"/>
              </w:rPr>
            </w:pPr>
            <w:r>
              <w:rPr>
                <w:rFonts w:ascii="Arial" w:cs="Arial" w:eastAsia="Arial" w:hAnsi="Arial"/>
                <w:sz w:val="15"/>
                <w:szCs w:val="15"/>
                <w:b w:val="1"/>
                <w:bCs w:val="1"/>
                <w:color w:val="auto"/>
              </w:rPr>
              <w:t>Karen A. Maloney</w:t>
            </w:r>
          </w:p>
        </w:tc>
        <w:tc>
          <w:tcPr>
            <w:tcW w:w="1340" w:type="dxa"/>
            <w:vAlign w:val="bottom"/>
          </w:tcPr>
          <w:p>
            <w:pPr>
              <w:jc w:val="center"/>
              <w:ind w:left="4"/>
              <w:spacing w:after="0"/>
              <w:rPr>
                <w:sz w:val="20"/>
                <w:szCs w:val="20"/>
                <w:color w:val="auto"/>
              </w:rPr>
            </w:pPr>
            <w:r>
              <w:rPr>
                <w:rFonts w:ascii="Arial" w:cs="Arial" w:eastAsia="Arial" w:hAnsi="Arial"/>
                <w:sz w:val="15"/>
                <w:szCs w:val="15"/>
                <w:color w:val="auto"/>
                <w:w w:val="83"/>
              </w:rPr>
              <w:t>49</w:t>
            </w:r>
          </w:p>
        </w:tc>
        <w:tc>
          <w:tcPr>
            <w:tcW w:w="1960" w:type="dxa"/>
            <w:vAlign w:val="bottom"/>
          </w:tcPr>
          <w:p>
            <w:pPr>
              <w:jc w:val="center"/>
              <w:ind w:left="24"/>
              <w:spacing w:after="0"/>
              <w:rPr>
                <w:sz w:val="20"/>
                <w:szCs w:val="20"/>
                <w:color w:val="auto"/>
              </w:rPr>
            </w:pPr>
            <w:r>
              <w:rPr>
                <w:rFonts w:ascii="Arial" w:cs="Arial" w:eastAsia="Arial" w:hAnsi="Arial"/>
                <w:sz w:val="15"/>
                <w:szCs w:val="15"/>
                <w:color w:val="auto"/>
                <w:w w:val="89"/>
              </w:rPr>
              <w:t>1997</w:t>
            </w:r>
          </w:p>
        </w:tc>
        <w:tc>
          <w:tcPr>
            <w:tcW w:w="6240" w:type="dxa"/>
            <w:vAlign w:val="bottom"/>
          </w:tcPr>
          <w:p>
            <w:pPr>
              <w:ind w:left="400"/>
              <w:spacing w:after="0"/>
              <w:rPr>
                <w:sz w:val="20"/>
                <w:szCs w:val="20"/>
                <w:color w:val="auto"/>
              </w:rPr>
            </w:pPr>
            <w:r>
              <w:rPr>
                <w:rFonts w:ascii="Arial" w:cs="Arial" w:eastAsia="Arial" w:hAnsi="Arial"/>
                <w:sz w:val="15"/>
                <w:szCs w:val="15"/>
                <w:color w:val="auto"/>
              </w:rPr>
              <w:t>Senior Vice President, Corporate Finance and Chief</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Accounting Officer (since 2005), and Vice President and</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Corporate Controller (1998-2004).</w:t>
            </w:r>
          </w:p>
        </w:tc>
      </w:tr>
      <w:tr>
        <w:trPr>
          <w:trHeight w:val="96"/>
        </w:trPr>
        <w:tc>
          <w:tcPr>
            <w:tcW w:w="19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6240" w:type="dxa"/>
            <w:vAlign w:val="bottom"/>
            <w:tcBorders>
              <w:bottom w:val="single" w:sz="8" w:color="808080"/>
            </w:tcBorders>
          </w:tcPr>
          <w:p>
            <w:pPr>
              <w:spacing w:after="0"/>
              <w:rPr>
                <w:sz w:val="8"/>
                <w:szCs w:val="8"/>
                <w:color w:val="auto"/>
              </w:rPr>
            </w:pPr>
          </w:p>
        </w:tc>
      </w:tr>
      <w:tr>
        <w:trPr>
          <w:trHeight w:val="292"/>
        </w:trPr>
        <w:tc>
          <w:tcPr>
            <w:tcW w:w="1900" w:type="dxa"/>
            <w:vAlign w:val="bottom"/>
          </w:tcPr>
          <w:p>
            <w:pPr>
              <w:spacing w:after="0"/>
              <w:rPr>
                <w:sz w:val="20"/>
                <w:szCs w:val="20"/>
                <w:color w:val="auto"/>
              </w:rPr>
            </w:pPr>
            <w:r>
              <w:rPr>
                <w:rFonts w:ascii="Arial" w:cs="Arial" w:eastAsia="Arial" w:hAnsi="Arial"/>
                <w:sz w:val="15"/>
                <w:szCs w:val="15"/>
                <w:b w:val="1"/>
                <w:bCs w:val="1"/>
                <w:color w:val="auto"/>
              </w:rPr>
              <w:t>Heather J. Myers</w:t>
            </w:r>
          </w:p>
        </w:tc>
        <w:tc>
          <w:tcPr>
            <w:tcW w:w="1340" w:type="dxa"/>
            <w:vAlign w:val="bottom"/>
          </w:tcPr>
          <w:p>
            <w:pPr>
              <w:jc w:val="center"/>
              <w:ind w:left="4"/>
              <w:spacing w:after="0"/>
              <w:rPr>
                <w:sz w:val="20"/>
                <w:szCs w:val="20"/>
                <w:color w:val="auto"/>
              </w:rPr>
            </w:pPr>
            <w:r>
              <w:rPr>
                <w:rFonts w:ascii="Arial" w:cs="Arial" w:eastAsia="Arial" w:hAnsi="Arial"/>
                <w:sz w:val="15"/>
                <w:szCs w:val="15"/>
                <w:color w:val="auto"/>
                <w:w w:val="83"/>
              </w:rPr>
              <w:t>41</w:t>
            </w:r>
          </w:p>
        </w:tc>
        <w:tc>
          <w:tcPr>
            <w:tcW w:w="1960" w:type="dxa"/>
            <w:vAlign w:val="bottom"/>
          </w:tcPr>
          <w:p>
            <w:pPr>
              <w:jc w:val="center"/>
              <w:ind w:left="24"/>
              <w:spacing w:after="0"/>
              <w:rPr>
                <w:sz w:val="20"/>
                <w:szCs w:val="20"/>
                <w:color w:val="auto"/>
              </w:rPr>
            </w:pPr>
            <w:r>
              <w:rPr>
                <w:rFonts w:ascii="Arial" w:cs="Arial" w:eastAsia="Arial" w:hAnsi="Arial"/>
                <w:sz w:val="15"/>
                <w:szCs w:val="15"/>
                <w:color w:val="auto"/>
                <w:w w:val="89"/>
              </w:rPr>
              <w:t>2003</w:t>
            </w:r>
          </w:p>
        </w:tc>
        <w:tc>
          <w:tcPr>
            <w:tcW w:w="6240" w:type="dxa"/>
            <w:vAlign w:val="bottom"/>
          </w:tcPr>
          <w:p>
            <w:pPr>
              <w:ind w:left="400"/>
              <w:spacing w:after="0"/>
              <w:rPr>
                <w:sz w:val="20"/>
                <w:szCs w:val="20"/>
                <w:color w:val="auto"/>
              </w:rPr>
            </w:pPr>
            <w:r>
              <w:rPr>
                <w:rFonts w:ascii="Arial" w:cs="Arial" w:eastAsia="Arial" w:hAnsi="Arial"/>
                <w:sz w:val="15"/>
                <w:szCs w:val="15"/>
                <w:color w:val="auto"/>
              </w:rPr>
              <w:t>Senior Vice President, Strategic Planning &amp; Business</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Development (since 2003). Prior to joining the Company,</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Independent Media &amp; Entertainment Consultant</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(2002–2003); and from 1995–2001, various positions at</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Vivendi Universal (formerly Seagram Company Ltd.),</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including Executive Vice President/ General Manager,</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Universal Global e, Universal Music Group (1999–2001).</w:t>
            </w:r>
          </w:p>
        </w:tc>
      </w:tr>
      <w:tr>
        <w:trPr>
          <w:trHeight w:val="96"/>
        </w:trPr>
        <w:tc>
          <w:tcPr>
            <w:tcW w:w="19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6240" w:type="dxa"/>
            <w:vAlign w:val="bottom"/>
            <w:tcBorders>
              <w:bottom w:val="single" w:sz="8" w:color="808080"/>
            </w:tcBorders>
          </w:tcPr>
          <w:p>
            <w:pPr>
              <w:spacing w:after="0"/>
              <w:rPr>
                <w:sz w:val="8"/>
                <w:szCs w:val="8"/>
                <w:color w:val="auto"/>
              </w:rPr>
            </w:pPr>
          </w:p>
        </w:tc>
      </w:tr>
      <w:tr>
        <w:trPr>
          <w:trHeight w:val="292"/>
        </w:trPr>
        <w:tc>
          <w:tcPr>
            <w:tcW w:w="1900" w:type="dxa"/>
            <w:vAlign w:val="bottom"/>
          </w:tcPr>
          <w:p>
            <w:pPr>
              <w:spacing w:after="0"/>
              <w:rPr>
                <w:sz w:val="20"/>
                <w:szCs w:val="20"/>
                <w:color w:val="auto"/>
              </w:rPr>
            </w:pPr>
            <w:r>
              <w:rPr>
                <w:rFonts w:ascii="Arial" w:cs="Arial" w:eastAsia="Arial" w:hAnsi="Arial"/>
                <w:sz w:val="15"/>
                <w:szCs w:val="15"/>
                <w:b w:val="1"/>
                <w:bCs w:val="1"/>
                <w:color w:val="auto"/>
              </w:rPr>
              <w:t>Peter Watts</w:t>
            </w:r>
          </w:p>
        </w:tc>
        <w:tc>
          <w:tcPr>
            <w:tcW w:w="1340" w:type="dxa"/>
            <w:vAlign w:val="bottom"/>
          </w:tcPr>
          <w:p>
            <w:pPr>
              <w:jc w:val="center"/>
              <w:ind w:left="4"/>
              <w:spacing w:after="0"/>
              <w:rPr>
                <w:sz w:val="20"/>
                <w:szCs w:val="20"/>
                <w:color w:val="auto"/>
              </w:rPr>
            </w:pPr>
            <w:r>
              <w:rPr>
                <w:rFonts w:ascii="Arial" w:cs="Arial" w:eastAsia="Arial" w:hAnsi="Arial"/>
                <w:sz w:val="15"/>
                <w:szCs w:val="15"/>
                <w:color w:val="auto"/>
                <w:w w:val="83"/>
              </w:rPr>
              <w:t>43</w:t>
            </w:r>
          </w:p>
        </w:tc>
        <w:tc>
          <w:tcPr>
            <w:tcW w:w="1960" w:type="dxa"/>
            <w:vAlign w:val="bottom"/>
          </w:tcPr>
          <w:p>
            <w:pPr>
              <w:jc w:val="center"/>
              <w:ind w:left="24"/>
              <w:spacing w:after="0"/>
              <w:rPr>
                <w:sz w:val="20"/>
                <w:szCs w:val="20"/>
                <w:color w:val="auto"/>
              </w:rPr>
            </w:pPr>
            <w:r>
              <w:rPr>
                <w:rFonts w:ascii="Arial" w:cs="Arial" w:eastAsia="Arial" w:hAnsi="Arial"/>
                <w:sz w:val="15"/>
                <w:szCs w:val="15"/>
                <w:color w:val="auto"/>
                <w:w w:val="89"/>
              </w:rPr>
              <w:t>2005</w:t>
            </w:r>
          </w:p>
        </w:tc>
        <w:tc>
          <w:tcPr>
            <w:tcW w:w="6240" w:type="dxa"/>
            <w:vAlign w:val="bottom"/>
          </w:tcPr>
          <w:p>
            <w:pPr>
              <w:ind w:left="400"/>
              <w:spacing w:after="0"/>
              <w:rPr>
                <w:sz w:val="20"/>
                <w:szCs w:val="20"/>
                <w:color w:val="auto"/>
              </w:rPr>
            </w:pPr>
            <w:r>
              <w:rPr>
                <w:rFonts w:ascii="Arial" w:cs="Arial" w:eastAsia="Arial" w:hAnsi="Arial"/>
                <w:sz w:val="15"/>
                <w:szCs w:val="15"/>
                <w:color w:val="auto"/>
              </w:rPr>
              <w:t>Senior Vice President, Corporate Human Resources and</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Employee Services (since 2005). Prior to joining the</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Company, an independent human resources consultant</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(2003-2005); and Vice President, Human Resources,</w:t>
            </w:r>
          </w:p>
        </w:tc>
      </w:tr>
      <w:tr>
        <w:trPr>
          <w:trHeight w:val="210"/>
        </w:trPr>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5"/>
                <w:szCs w:val="15"/>
                <w:color w:val="auto"/>
              </w:rPr>
              <w:t>Novartis Pharmaceuticals Corporation (2000-2002).</w:t>
            </w:r>
          </w:p>
        </w:tc>
      </w:tr>
      <w:tr>
        <w:trPr>
          <w:trHeight w:val="96"/>
        </w:trPr>
        <w:tc>
          <w:tcPr>
            <w:tcW w:w="19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251460</wp:posOffset>
            </wp:positionV>
            <wp:extent cx="1938655" cy="340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Available Information</w:t>
      </w:r>
    </w:p>
    <w:p>
      <w:pPr>
        <w:spacing w:after="0" w:line="22"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The Corporation’s annual reports on Form 10-K, quarterly reports on Form 10-Q, current reports on Form 8-K, and any amendments to those reports are accessible at the Investor Relations portion of its website, www.scholastic.com, by clicking on the “SEC Filings” tab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“Calendar and Presentations” portion of its website at least five days prior to the event. The Company’s investor calls are open to the public and remain available through the Company’s website for at least one year thereafter.</w:t>
      </w:r>
    </w:p>
    <w:p>
      <w:pPr>
        <w:spacing w:after="0" w:line="165"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The public may also read and copy materials that the Company files with the SEC at the SEC’s Public Reference Room at 100 F Street, N.E., Washington, D.C. The public may obtain information on the operation of the Public Reference Room by calling the SEC at 1-800-SEC-0330. The SEC also maintains an internet site, at www.sec.gov, that contains reports, proxy and information statements, and other information regarding issuers that file electronically with the SEC.</w:t>
      </w:r>
    </w:p>
    <w:p>
      <w:pPr>
        <w:spacing w:after="0" w:line="151"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1A |</w:t>
      </w:r>
      <w:r>
        <w:rPr>
          <w:sz w:val="20"/>
          <w:szCs w:val="20"/>
          <w:color w:val="auto"/>
        </w:rPr>
        <w:tab/>
      </w:r>
      <w:r>
        <w:rPr>
          <w:rFonts w:ascii="Arial" w:cs="Arial" w:eastAsia="Arial" w:hAnsi="Arial"/>
          <w:sz w:val="15"/>
          <w:szCs w:val="15"/>
          <w:b w:val="1"/>
          <w:bCs w:val="1"/>
          <w:color w:val="auto"/>
        </w:rPr>
        <w:t>Risk Factors</w:t>
      </w:r>
    </w:p>
    <w:p>
      <w:pPr>
        <w:spacing w:after="0" w:line="197" w:lineRule="exact"/>
        <w:rPr>
          <w:sz w:val="20"/>
          <w:szCs w:val="20"/>
          <w:color w:val="auto"/>
        </w:rPr>
      </w:pPr>
    </w:p>
    <w:p>
      <w:pPr>
        <w:ind w:right="120"/>
        <w:spacing w:after="0" w:line="292" w:lineRule="auto"/>
        <w:rPr>
          <w:sz w:val="20"/>
          <w:szCs w:val="20"/>
          <w:color w:val="auto"/>
        </w:rPr>
      </w:pPr>
      <w:r>
        <w:rPr>
          <w:rFonts w:ascii="Arial" w:cs="Arial" w:eastAsia="Arial" w:hAnsi="Arial"/>
          <w:sz w:val="14"/>
          <w:szCs w:val="14"/>
          <w:color w:val="auto"/>
        </w:rPr>
        <w:t>Set forth below and elsewhere in this Annual Report on Form 10-K and in other documents that the Corporation files with the SEC are risks that should be considered in evaluating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affecting the Company’s operating results, the Company’s past financial performance should not be considered an indicator of future performance.</w:t>
      </w:r>
    </w:p>
    <w:p>
      <w:pPr>
        <w:spacing w:after="0" w:line="140" w:lineRule="exact"/>
        <w:rPr>
          <w:sz w:val="20"/>
          <w:szCs w:val="20"/>
          <w:color w:val="auto"/>
        </w:rPr>
      </w:pPr>
    </w:p>
    <w:p>
      <w:pPr>
        <w:ind w:right="480"/>
        <w:spacing w:after="0" w:line="280" w:lineRule="auto"/>
        <w:rPr>
          <w:sz w:val="20"/>
          <w:szCs w:val="20"/>
          <w:color w:val="auto"/>
        </w:rPr>
      </w:pPr>
      <w:r>
        <w:rPr>
          <w:rFonts w:ascii="Arial" w:cs="Arial" w:eastAsia="Arial" w:hAnsi="Arial"/>
          <w:sz w:val="15"/>
          <w:szCs w:val="15"/>
          <w:b w:val="1"/>
          <w:bCs w:val="1"/>
          <w:color w:val="auto"/>
        </w:rPr>
        <w:t>If we cannot anticipate trends and develop new products or technologies responding to changing customer preferences, this could adversely affect our revenues or profitability.</w:t>
      </w:r>
    </w:p>
    <w:p>
      <w:pPr>
        <w:spacing w:after="0" w:line="142"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The Company operates in highly competitive markets that are subject to rapid change, including changes in customer preferences. There are substantial uncertainties associated with the Company’s efforts to develop successful educational, trade publishing, entertainment and software products and services for its customers, as well as to adapt its print materials to new technology, including the internet. The Company makes significant investments in new products and services that may not be profitable, or whose profitability may be significantly lower than the Company has experienced historically.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financial results would suffer if we fail to meet successfully market needs in school-based book clubs and book fairs, two of our core businesses.</w:t>
      </w:r>
    </w:p>
    <w:p>
      <w:pPr>
        <w:spacing w:after="0" w:line="197"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 xml:space="preserve">The Company’s school-based book clubs and book fairs are core businesses, which produce a substantial part of the Company’s revenues. The Company has recently determined to discontinue two of its smaller school-based book clubs, </w:t>
      </w:r>
      <w:r>
        <w:rPr>
          <w:rFonts w:ascii="Arial" w:cs="Arial" w:eastAsia="Arial" w:hAnsi="Arial"/>
          <w:sz w:val="14"/>
          <w:szCs w:val="14"/>
          <w:i w:val="1"/>
          <w:iCs w:val="1"/>
          <w:color w:val="auto"/>
        </w:rPr>
        <w:t>Trumpet</w:t>
      </w:r>
      <w:r>
        <w:rPr>
          <w:rFonts w:ascii="Arial" w:cs="Arial" w:eastAsia="Arial" w:hAnsi="Arial"/>
          <w:sz w:val="14"/>
          <w:szCs w:val="14"/>
          <w:color w:val="auto"/>
        </w:rPr>
        <w:t xml:space="preserve"> and </w:t>
      </w:r>
      <w:r>
        <w:rPr>
          <w:rFonts w:ascii="Arial" w:cs="Arial" w:eastAsia="Arial" w:hAnsi="Arial"/>
          <w:sz w:val="14"/>
          <w:szCs w:val="14"/>
          <w:i w:val="1"/>
          <w:iCs w:val="1"/>
          <w:color w:val="auto"/>
        </w:rPr>
        <w:t>Troll/Carnival</w:t>
      </w:r>
      <w:r>
        <w:rPr>
          <w:rFonts w:ascii="Arial" w:cs="Arial" w:eastAsia="Arial" w:hAnsi="Arial"/>
          <w:sz w:val="14"/>
          <w:szCs w:val="14"/>
          <w:color w:val="auto"/>
        </w:rPr>
        <w:t>, which is expected to result in lower revenues in the near term, and is changing its promotional strategy with respect to its other school-based book clubs for the school year starting in Fall 2006. The Company is subject to the risk that it will not successfully execute its new promotional strategy for its school-based books clubs or otherwise meet market needs in these businesses, which would have an adverse effect on the Company’s financial results.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failure to successfully execute our recent change in business plan for our continuity business may adversely affect our financial results.</w:t>
      </w:r>
    </w:p>
    <w:p>
      <w:pPr>
        <w:spacing w:after="0" w:line="197"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The Company’s direct-to-home continuity business was affected by the implementation of the National “Do-Not-Call Registry” legislation in 2003, which has adversely affected the business and necessitated changes in marketing strategies and the development of new continuity products. In response, the Company adopted a significant change to the business plan for its direct-to-home continuity business, focusing on its more productive customers, which has, as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105410</wp:posOffset>
            </wp:positionV>
            <wp:extent cx="1938655" cy="340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14" w:name="page15"/>
    <w:bookmarkEnd w:id="14"/>
    <w:p>
      <w:pPr>
        <w:jc w:val="both"/>
        <w:ind w:right="80"/>
        <w:spacing w:after="0" w:line="285" w:lineRule="auto"/>
        <w:rPr>
          <w:sz w:val="20"/>
          <w:szCs w:val="20"/>
          <w:color w:val="auto"/>
        </w:rPr>
      </w:pPr>
      <w:r>
        <w:rPr>
          <w:rFonts w:ascii="Arial" w:cs="Arial" w:eastAsia="Arial" w:hAnsi="Arial"/>
          <w:sz w:val="15"/>
          <w:szCs w:val="15"/>
          <w:color w:val="auto"/>
        </w:rPr>
        <w:t>resulted in a decline in continuity revenues from historical levels. The Company is subject to the risk that it will not successfully execute this plan and that the continuity business may not return to its historical levels of profitability.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unsuccessful in achieving significant cost savings from the execution of our cost savings initiative, our profitability would be adversely affected.</w:t>
      </w:r>
    </w:p>
    <w:p>
      <w:pPr>
        <w:spacing w:after="0" w:line="197" w:lineRule="exact"/>
        <w:rPr>
          <w:sz w:val="20"/>
          <w:szCs w:val="20"/>
          <w:color w:val="auto"/>
        </w:rPr>
      </w:pPr>
    </w:p>
    <w:p>
      <w:pPr>
        <w:jc w:val="both"/>
        <w:ind w:right="80"/>
        <w:spacing w:after="0" w:line="272" w:lineRule="auto"/>
        <w:rPr>
          <w:sz w:val="20"/>
          <w:szCs w:val="20"/>
          <w:color w:val="auto"/>
        </w:rPr>
      </w:pPr>
      <w:r>
        <w:rPr>
          <w:rFonts w:ascii="Arial" w:cs="Arial" w:eastAsia="Arial" w:hAnsi="Arial"/>
          <w:sz w:val="15"/>
          <w:szCs w:val="15"/>
          <w:color w:val="auto"/>
        </w:rPr>
        <w:t>In fiscal 2006, the Company announced that it was implementing a significant cost savings initiative, affecting all areas of the Company. The Company is subject to the risk that it will not meet successfully the announced goals of this cost savings initiative and that, even if successful, the achievement of the anticipated savings may not be sufficient to assist the Company in meeting its financial goals, adversely affecting profitability.</w:t>
      </w:r>
    </w:p>
    <w:p>
      <w:pPr>
        <w:spacing w:after="0" w:line="151" w:lineRule="exact"/>
        <w:rPr>
          <w:sz w:val="20"/>
          <w:szCs w:val="20"/>
          <w:color w:val="auto"/>
        </w:rPr>
      </w:pPr>
    </w:p>
    <w:p>
      <w:pPr>
        <w:ind w:right="260"/>
        <w:spacing w:after="0" w:line="280" w:lineRule="auto"/>
        <w:rPr>
          <w:sz w:val="20"/>
          <w:szCs w:val="20"/>
          <w:color w:val="auto"/>
        </w:rPr>
      </w:pPr>
      <w:r>
        <w:rPr>
          <w:rFonts w:ascii="Arial" w:cs="Arial" w:eastAsia="Arial" w:hAnsi="Arial"/>
          <w:sz w:val="15"/>
          <w:szCs w:val="15"/>
          <w:b w:val="1"/>
          <w:bCs w:val="1"/>
          <w:color w:val="auto"/>
        </w:rPr>
        <w:t>If we fail to maintain the continuance of strong relationships with our authors, illustrators and other creative talent, as well as to develop relationships with new creative talent, our business could be adversely affected.</w:t>
      </w:r>
    </w:p>
    <w:p>
      <w:pPr>
        <w:spacing w:after="0" w:line="142" w:lineRule="exact"/>
        <w:rPr>
          <w:sz w:val="20"/>
          <w:szCs w:val="20"/>
          <w:color w:val="auto"/>
        </w:rPr>
      </w:pPr>
    </w:p>
    <w:p>
      <w:pPr>
        <w:ind w:right="260"/>
        <w:spacing w:after="0" w:line="272" w:lineRule="auto"/>
        <w:rPr>
          <w:sz w:val="20"/>
          <w:szCs w:val="20"/>
          <w:color w:val="auto"/>
        </w:rPr>
      </w:pPr>
      <w:r>
        <w:rPr>
          <w:rFonts w:ascii="Arial" w:cs="Arial" w:eastAsia="Arial" w:hAnsi="Arial"/>
          <w:sz w:val="15"/>
          <w:szCs w:val="15"/>
          <w:color w:val="auto"/>
        </w:rPr>
        <w:t>The Company’s business, in particular the trade publishing and media portions of the business, is highly dependent on maintaining strong relationships with the authors, illustrators and other creative talent who produce the products and services that are sold to its customers. Any overall weakening of these relationships, or the failure to develop successful new relationships, could have an adverse impact on the Company’s business and financial performance.</w:t>
      </w:r>
    </w:p>
    <w:p>
      <w:pPr>
        <w:spacing w:after="0" w:line="151" w:lineRule="exact"/>
        <w:rPr>
          <w:sz w:val="20"/>
          <w:szCs w:val="20"/>
          <w:color w:val="auto"/>
        </w:rPr>
      </w:pPr>
    </w:p>
    <w:p>
      <w:pPr>
        <w:ind w:right="160"/>
        <w:spacing w:after="0" w:line="280" w:lineRule="auto"/>
        <w:rPr>
          <w:sz w:val="20"/>
          <w:szCs w:val="20"/>
          <w:color w:val="auto"/>
        </w:rPr>
      </w:pPr>
      <w:r>
        <w:rPr>
          <w:rFonts w:ascii="Arial" w:cs="Arial" w:eastAsia="Arial" w:hAnsi="Arial"/>
          <w:sz w:val="15"/>
          <w:szCs w:val="15"/>
          <w:b w:val="1"/>
          <w:bCs w:val="1"/>
          <w:color w:val="auto"/>
        </w:rPr>
        <w:t>If we fail to adapt to new purchasing patterns or requirements, especially in our educational publishing businesses, our business and financial results could be adversely affected.</w:t>
      </w:r>
    </w:p>
    <w:p>
      <w:pPr>
        <w:spacing w:after="0" w:line="142" w:lineRule="exact"/>
        <w:rPr>
          <w:sz w:val="20"/>
          <w:szCs w:val="20"/>
          <w:color w:val="auto"/>
        </w:rPr>
      </w:pPr>
    </w:p>
    <w:p>
      <w:pPr>
        <w:ind w:right="240"/>
        <w:spacing w:after="0" w:line="300" w:lineRule="auto"/>
        <w:rPr>
          <w:sz w:val="20"/>
          <w:szCs w:val="20"/>
          <w:color w:val="auto"/>
        </w:rPr>
      </w:pPr>
      <w:r>
        <w:rPr>
          <w:rFonts w:ascii="Arial" w:cs="Arial" w:eastAsia="Arial" w:hAnsi="Arial"/>
          <w:sz w:val="14"/>
          <w:szCs w:val="14"/>
          <w:color w:val="auto"/>
        </w:rPr>
        <w:t>The Company’s business is affected significantly by changes in purchasing patterns or trends in, as well as the underlying strength of, the educational, trade, entertainment and software markets. In particular, the Company’s educational publishing businesses may be adversely affected by changes in state educational funding as a result of new legislation or regulatory actions, both at the federal and state level, as well as changes in the procurement process, to which the Company may be unable to adapt successfully.</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competitive pressures we face in certain of our businesses could adversely affect our financial performance and growth prospects.</w:t>
      </w:r>
    </w:p>
    <w:p>
      <w:pPr>
        <w:spacing w:after="0" w:line="197"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The Company is subject to significant competition, including from other educational and trade publishers and media, entertainment and internet companies, many of which are substantially larger than the Company and have much greater resources. To the extent the Company cannot meet these challenges from existing or new competitors, including in the educational publishing business, and develop new product offerings to meet customer preferences or needs, the Company’s revenues and profitability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unsuccessful in implementing our corporate strategy, including our cost savings initiative, we may not be able to maintain our historical growth.</w:t>
      </w:r>
    </w:p>
    <w:p>
      <w:pPr>
        <w:spacing w:after="0" w:line="197" w:lineRule="exact"/>
        <w:rPr>
          <w:sz w:val="20"/>
          <w:szCs w:val="20"/>
          <w:color w:val="auto"/>
        </w:rPr>
      </w:pPr>
    </w:p>
    <w:p>
      <w:pPr>
        <w:ind w:right="280"/>
        <w:spacing w:after="0" w:line="332" w:lineRule="auto"/>
        <w:rPr>
          <w:sz w:val="20"/>
          <w:szCs w:val="20"/>
          <w:color w:val="auto"/>
        </w:rPr>
      </w:pPr>
      <w:r>
        <w:rPr>
          <w:rFonts w:ascii="Arial" w:cs="Arial" w:eastAsia="Arial" w:hAnsi="Arial"/>
          <w:sz w:val="13"/>
          <w:szCs w:val="13"/>
          <w:color w:val="auto"/>
        </w:rPr>
        <w:t>Continuance of the Company’s historical growth rate depends upon a number of factors, including the ability of the Company to implement successfully its strategies for the respective business units, the introduction and acceptance of new products and services, expansion in the global markets that the Company serves, and the successful completion of its recently announced cost savings initiative. Difficulties, delays, or failures experienced in connection with any of these factors could materially affect the future growth of the Company.</w:t>
      </w:r>
    </w:p>
    <w:p>
      <w:pPr>
        <w:spacing w:after="0" w:line="117" w:lineRule="exact"/>
        <w:rPr>
          <w:sz w:val="20"/>
          <w:szCs w:val="20"/>
          <w:color w:val="auto"/>
        </w:rPr>
      </w:pPr>
    </w:p>
    <w:p>
      <w:pPr>
        <w:ind w:right="480"/>
        <w:spacing w:after="0" w:line="280" w:lineRule="auto"/>
        <w:rPr>
          <w:sz w:val="20"/>
          <w:szCs w:val="20"/>
          <w:color w:val="auto"/>
        </w:rPr>
      </w:pPr>
      <w:r>
        <w:rPr>
          <w:rFonts w:ascii="Arial" w:cs="Arial" w:eastAsia="Arial" w:hAnsi="Arial"/>
          <w:sz w:val="15"/>
          <w:szCs w:val="15"/>
          <w:b w:val="1"/>
          <w:bCs w:val="1"/>
          <w:color w:val="auto"/>
        </w:rPr>
        <w:t>Increases in certain operating costs and expenses, which are beyond our control and can affect significantly our profitability, could adversely affect our operating performance.</w:t>
      </w:r>
    </w:p>
    <w:p>
      <w:pPr>
        <w:spacing w:after="0" w:line="142"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The Company’s major expense categories include employee compensation and printing, paper and distribution (including postage, shipping, and fuel) costs. The Company offers its employees competitive salaries and benefit packages in order to attract and retain the quality of employees required to grow and expand its businesses. Compensation costs are influenced by general economic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105410</wp:posOffset>
            </wp:positionV>
            <wp:extent cx="1938655" cy="3403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 w:name="page16"/>
    <w:bookmarkEnd w:id="15"/>
    <w:p>
      <w:pPr>
        <w:ind w:right="280"/>
        <w:spacing w:after="0" w:line="265" w:lineRule="auto"/>
        <w:rPr>
          <w:sz w:val="20"/>
          <w:szCs w:val="20"/>
          <w:color w:val="auto"/>
        </w:rPr>
      </w:pPr>
      <w:r>
        <w:rPr>
          <w:rFonts w:ascii="Arial" w:cs="Arial" w:eastAsia="Arial" w:hAnsi="Arial"/>
          <w:sz w:val="15"/>
          <w:szCs w:val="15"/>
          <w:color w:val="auto"/>
        </w:rPr>
        <w:t>those affecting costs of health insurance, post-retirement benefits, and any trends specific to the employee skill sets the Company requires. In addition, the Company’s reported earnings would be adversely affected by increases in pension costs due to poor investment returns and/or changes in pension regulations. Paper prices fluctuate based on worldwide demand and supply for paper, in general, and for the specific types of paper used by the Company. If there is a significant disruption in the supply of paper or increase in these costs, which would generally be beyond the control of the Company, or if the Company’s strategies to try to manage these issues are ineffective, the Company’s results of operations could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loss of or failure to obtain rights to intellectual property material to our businesses would adversely affect our financial results.</w:t>
      </w:r>
    </w:p>
    <w:p>
      <w:pPr>
        <w:spacing w:after="0" w:line="197"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operating results could be adversely affected by inadequate legal and technological protections for intellectual property and proprietary rights in some jurisdictions and markets, and the Company’s revenues could be constrained by limitations on the rights that the Company is able to secure to exploit its intellectual property in different media and distribution channels.</w:t>
      </w:r>
    </w:p>
    <w:p>
      <w:pPr>
        <w:spacing w:after="0" w:line="156"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b w:val="1"/>
          <w:bCs w:val="1"/>
          <w:color w:val="auto"/>
        </w:rPr>
        <w:t>Because we sell our products and services in foreign countries, changes in currency exchange rates, as well as other risks and uncertainties, could adversely affect our operations and financial results.</w:t>
      </w:r>
    </w:p>
    <w:p>
      <w:pPr>
        <w:spacing w:after="0" w:line="142" w:lineRule="exact"/>
        <w:rPr>
          <w:sz w:val="20"/>
          <w:szCs w:val="20"/>
          <w:color w:val="auto"/>
        </w:rPr>
      </w:pPr>
    </w:p>
    <w:p>
      <w:pPr>
        <w:ind w:right="60"/>
        <w:spacing w:after="0" w:line="300" w:lineRule="auto"/>
        <w:rPr>
          <w:sz w:val="20"/>
          <w:szCs w:val="20"/>
          <w:color w:val="auto"/>
        </w:rPr>
      </w:pPr>
      <w:r>
        <w:rPr>
          <w:rFonts w:ascii="Arial" w:cs="Arial" w:eastAsia="Arial" w:hAnsi="Arial"/>
          <w:sz w:val="14"/>
          <w:szCs w:val="14"/>
          <w:color w:val="auto"/>
        </w:rPr>
        <w:t>The Corporation has various operating subsidiaries domiciled in foreign countries. In addition, the Company sells products and services to customers located in foreign countries where it does not have operating subsidiaries. Accordingly, the Company could be adversely affected by changes in currency exchange rates, as well as by the political and economic risks attendant to conducting business in foreign countries. These risks include the potential of political instability in developing nations where the Company is conducting business.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of our activities are subject to weather risks, which could disrupt our operations or otherwise adversely affect our financial performance.</w:t>
      </w:r>
    </w:p>
    <w:p>
      <w:pPr>
        <w:spacing w:after="0" w:line="197"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The Company conducts many of its businesses and maintains warehouse and office facilities in locations that are at risk of being negatively affected by severe weather events, such as hurricanes, floods, or snowstorms. For example, in the fall of 2005, a series of hurricanes had a severe impact on the Gulf Coast area of the United States, closing several thousand schools, displacing several hundred thousand students and their families, and, in turn, affecting the schools that took in those children. This impacted the Company’s school-based book clubs, school-based book fairs, continuities, and education businesses. Accordingly, the Company could be adversely affected by any future significant weather event.</w:t>
      </w:r>
    </w:p>
    <w:p>
      <w:pPr>
        <w:spacing w:after="0" w:line="140"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b w:val="1"/>
          <w:bCs w:val="1"/>
          <w:color w:val="auto"/>
        </w:rPr>
        <w:t>Control of the Company resides in our Chairman, President, and Chief Executive Officer and other members of his family through their ownership of Class A Stock, and the holders of the Common Stock generally have no voting rights in respect of transactions requiring stockholder approval.</w:t>
      </w:r>
    </w:p>
    <w:p>
      <w:pPr>
        <w:spacing w:after="0" w:line="14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Richard Robinson, the Company’s Chairman, President, and Chief Executive Officer, and other members of the Robinson family beneficially own all of the outstanding shares of Class A Stock and are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109855</wp:posOffset>
            </wp:positionV>
            <wp:extent cx="1938655" cy="3403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Forward-Looking Statements:</w:t>
      </w:r>
    </w:p>
    <w:p>
      <w:pPr>
        <w:spacing w:after="0" w:line="204"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This Annual Report on Form 10-K contains forward-looking statements.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plans, strategies, or goals, revenues, operating margins, working capital, liquidity, capital needs, interest costs and income, are subject to certain risks and uncertainties that could cause actual results to differ materially from those indicated in the forward-looking statements, due to factors including those noted in this Report and other risks and factors identified from time to time in the Company’s filings with the SEC. These factors should not be construed as exhaustive or as any admission regarding the adequacy of disclosures made by the Company prior to the date hereof. The Company disclaims any intention or obligation to update or revise forward-looking statements, whether as a result of new information, future events or otherwise.</w:t>
      </w:r>
    </w:p>
    <w:p>
      <w:pPr>
        <w:spacing w:after="0" w:line="160"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b w:val="1"/>
          <w:bCs w:val="1"/>
          <w:color w:val="auto"/>
        </w:rPr>
        <w:t>Item 1B |</w:t>
      </w:r>
      <w:r>
        <w:rPr>
          <w:sz w:val="20"/>
          <w:szCs w:val="20"/>
          <w:color w:val="auto"/>
        </w:rPr>
        <w:tab/>
      </w:r>
      <w:r>
        <w:rPr>
          <w:rFonts w:ascii="Arial" w:cs="Arial" w:eastAsia="Arial" w:hAnsi="Arial"/>
          <w:sz w:val="15"/>
          <w:szCs w:val="15"/>
          <w:b w:val="1"/>
          <w:bCs w:val="1"/>
          <w:color w:val="auto"/>
        </w:rPr>
        <w:t>Unresolved Staff Comments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Item 2 |</w:t>
      </w:r>
      <w:r>
        <w:rPr>
          <w:sz w:val="20"/>
          <w:szCs w:val="20"/>
          <w:color w:val="auto"/>
        </w:rPr>
        <w:tab/>
      </w:r>
      <w:r>
        <w:rPr>
          <w:rFonts w:ascii="Arial" w:cs="Arial" w:eastAsia="Arial" w:hAnsi="Arial"/>
          <w:sz w:val="14"/>
          <w:szCs w:val="14"/>
          <w:b w:val="1"/>
          <w:bCs w:val="1"/>
          <w:color w:val="auto"/>
        </w:rPr>
        <w:t>Properties</w:t>
      </w:r>
    </w:p>
    <w:p>
      <w:pPr>
        <w:spacing w:after="0" w:line="197" w:lineRule="exact"/>
        <w:rPr>
          <w:sz w:val="20"/>
          <w:szCs w:val="20"/>
          <w:color w:val="auto"/>
        </w:rPr>
      </w:pPr>
    </w:p>
    <w:p>
      <w:pPr>
        <w:ind w:right="400"/>
        <w:spacing w:after="0" w:line="265" w:lineRule="auto"/>
        <w:rPr>
          <w:sz w:val="20"/>
          <w:szCs w:val="20"/>
          <w:color w:val="auto"/>
        </w:rPr>
      </w:pPr>
      <w:r>
        <w:rPr>
          <w:rFonts w:ascii="Arial" w:cs="Arial" w:eastAsia="Arial" w:hAnsi="Arial"/>
          <w:sz w:val="15"/>
          <w:szCs w:val="15"/>
          <w:color w:val="auto"/>
        </w:rPr>
        <w:t>The Company maintains its principal offices in the metropolitan New York area, where it leases approximately 600,000 square feet of space. The Company also owns or leases approximately 1.6 million square feet of office and warehouse space for its primary warehouse and distribution facility located in the Jefferson City, Missouri area. The Company’s distribution facility in Maumelle, Arkansas, consisting of a 500,000 square foot main floor and a 246,000 square foot mezzanine, serves as the Company’s primary packaging and fulfillment center for its continuity programs. In addition, the Company owns or leases approximately 2.9 million square feet of office and warehouse space in over 80 facilities in the United States, principally for Scholastic Book Fairs.</w:t>
      </w:r>
    </w:p>
    <w:p>
      <w:pPr>
        <w:spacing w:after="0" w:line="166" w:lineRule="exact"/>
        <w:rPr>
          <w:sz w:val="20"/>
          <w:szCs w:val="20"/>
          <w:color w:val="auto"/>
        </w:rPr>
      </w:pPr>
    </w:p>
    <w:p>
      <w:pPr>
        <w:ind w:right="440"/>
        <w:spacing w:after="0" w:line="285" w:lineRule="auto"/>
        <w:rPr>
          <w:sz w:val="20"/>
          <w:szCs w:val="20"/>
          <w:color w:val="auto"/>
        </w:rPr>
      </w:pPr>
      <w:r>
        <w:rPr>
          <w:rFonts w:ascii="Arial" w:cs="Arial" w:eastAsia="Arial" w:hAnsi="Arial"/>
          <w:sz w:val="15"/>
          <w:szCs w:val="15"/>
          <w:color w:val="auto"/>
        </w:rPr>
        <w:t>Additionally, the Company owns or leases approximately 1.7 million square feet of office and warehouse space in over 100 facilities in Canada, the United Kingdom, Australia, New Zealand, Southeast Asia and elsewhere around the world for its international businesses.</w:t>
      </w:r>
    </w:p>
    <w:p>
      <w:pPr>
        <w:spacing w:after="0" w:line="150"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Notes 1 and 4 of Notes to Consolidated Financial Statements in Item 8, “Consolidated Financial Statements and Supplementary Data.”</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Item 3 |</w:t>
      </w:r>
      <w:r>
        <w:rPr>
          <w:sz w:val="20"/>
          <w:szCs w:val="20"/>
          <w:color w:val="auto"/>
        </w:rPr>
        <w:tab/>
      </w:r>
      <w:r>
        <w:rPr>
          <w:rFonts w:ascii="Arial" w:cs="Arial" w:eastAsia="Arial" w:hAnsi="Arial"/>
          <w:sz w:val="15"/>
          <w:szCs w:val="15"/>
          <w:b w:val="1"/>
          <w:bCs w:val="1"/>
          <w:color w:val="auto"/>
        </w:rPr>
        <w:t>Legal Proceedings</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41"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Item 4 |</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During the fourth quarter of the fiscal year covered by this report, no matter was submitted to the vote of security holders, through the solicitation of proxies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131445</wp:posOffset>
            </wp:positionV>
            <wp:extent cx="1938655" cy="340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37"/>
          <w:szCs w:val="37"/>
          <w:b w:val="1"/>
          <w:bCs w:val="1"/>
          <w:color w:val="auto"/>
        </w:rPr>
        <w:t>Part II</w:t>
      </w:r>
    </w:p>
    <w:p>
      <w:pPr>
        <w:spacing w:after="0" w:line="213"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b w:val="1"/>
          <w:bCs w:val="1"/>
          <w:color w:val="auto"/>
        </w:rPr>
        <w:t>Item 5 |</w:t>
      </w:r>
      <w:r>
        <w:rPr>
          <w:sz w:val="20"/>
          <w:szCs w:val="20"/>
          <w:color w:val="auto"/>
        </w:rPr>
        <w:tab/>
      </w:r>
      <w:r>
        <w:rPr>
          <w:rFonts w:ascii="Arial" w:cs="Arial" w:eastAsia="Arial" w:hAnsi="Arial"/>
          <w:sz w:val="15"/>
          <w:szCs w:val="15"/>
          <w:b w:val="1"/>
          <w:bCs w:val="1"/>
          <w:color w:val="auto"/>
        </w:rPr>
        <w:t>Market for the Registrant’s Common Equity, Related Stockholder Matters and Issuer Purchases of Equity Securities</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3"/>
          <w:szCs w:val="13"/>
          <w:color w:val="auto"/>
        </w:rPr>
        <w:t>Scholastic Corporation’s Common Stock, par value $0.01 per share (the “Common Stock”), is traded on the NASDAQ Global Select Market (formerly the NASDAQ National Market) under the symbol SCHL. Scholastic Corporation’s Class A Stock, par value $0.01 per share (the “Class A Stock”), is convertible into Common Stock on a share-for-share basis. There is no public trading market for the Class A Stock. The table below sets forth, for the periods indicated, the quarterly high and low selling prices for the Common Stock as reported by NASDAQ.</w:t>
      </w:r>
    </w:p>
    <w:p>
      <w:pPr>
        <w:spacing w:after="0" w:line="190" w:lineRule="exact"/>
        <w:rPr>
          <w:sz w:val="20"/>
          <w:szCs w:val="20"/>
          <w:color w:val="auto"/>
        </w:rPr>
      </w:pPr>
    </w:p>
    <w:p>
      <w:pPr>
        <w:ind w:left="9800"/>
        <w:spacing w:after="0"/>
        <w:rPr>
          <w:sz w:val="20"/>
          <w:szCs w:val="20"/>
          <w:color w:val="auto"/>
        </w:rPr>
      </w:pPr>
      <w:r>
        <w:rPr>
          <w:rFonts w:ascii="Arial" w:cs="Arial" w:eastAsia="Arial" w:hAnsi="Arial"/>
          <w:sz w:val="10"/>
          <w:szCs w:val="10"/>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2656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b w:val="1"/>
                <w:bCs w:val="1"/>
                <w:color w:val="auto"/>
              </w:rPr>
              <w:t>2006</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ind w:right="304"/>
              <w:spacing w:after="0"/>
              <w:rPr>
                <w:sz w:val="20"/>
                <w:szCs w:val="20"/>
                <w:color w:val="auto"/>
              </w:rPr>
            </w:pPr>
            <w:r>
              <w:rPr>
                <w:rFonts w:ascii="Arial" w:cs="Arial" w:eastAsia="Arial" w:hAnsi="Arial"/>
                <w:sz w:val="15"/>
                <w:szCs w:val="15"/>
                <w:b w:val="1"/>
                <w:bCs w:val="1"/>
                <w:color w:val="auto"/>
              </w:rPr>
              <w:t>2005</w:t>
            </w:r>
          </w:p>
        </w:tc>
        <w:tc>
          <w:tcPr>
            <w:tcW w:w="640" w:type="dxa"/>
            <w:vAlign w:val="bottom"/>
          </w:tcPr>
          <w:p>
            <w:pPr>
              <w:spacing w:after="0"/>
              <w:rPr>
                <w:sz w:val="16"/>
                <w:szCs w:val="16"/>
                <w:color w:val="auto"/>
              </w:rPr>
            </w:pPr>
          </w:p>
        </w:tc>
      </w:tr>
      <w:tr>
        <w:trPr>
          <w:trHeight w:val="96"/>
        </w:trPr>
        <w:tc>
          <w:tcPr>
            <w:tcW w:w="362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92"/>
        </w:trPr>
        <w:tc>
          <w:tcPr>
            <w:tcW w:w="3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60" w:type="dxa"/>
            <w:vAlign w:val="bottom"/>
          </w:tcPr>
          <w:p>
            <w:pPr>
              <w:jc w:val="right"/>
              <w:ind w:right="444"/>
              <w:spacing w:after="0"/>
              <w:rPr>
                <w:sz w:val="20"/>
                <w:szCs w:val="20"/>
                <w:color w:val="auto"/>
              </w:rPr>
            </w:pPr>
            <w:r>
              <w:rPr>
                <w:rFonts w:ascii="Arial" w:cs="Arial" w:eastAsia="Arial" w:hAnsi="Arial"/>
                <w:sz w:val="15"/>
                <w:szCs w:val="15"/>
                <w:b w:val="1"/>
                <w:bCs w:val="1"/>
                <w:color w:val="auto"/>
              </w:rPr>
              <w:t>High</w:t>
            </w:r>
          </w:p>
        </w:tc>
        <w:tc>
          <w:tcPr>
            <w:tcW w:w="380" w:type="dxa"/>
            <w:vAlign w:val="bottom"/>
          </w:tcPr>
          <w:p>
            <w:pPr>
              <w:spacing w:after="0"/>
              <w:rPr>
                <w:sz w:val="24"/>
                <w:szCs w:val="24"/>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b w:val="1"/>
                <w:bCs w:val="1"/>
                <w:color w:val="auto"/>
              </w:rPr>
              <w:t>Low</w:t>
            </w:r>
          </w:p>
        </w:tc>
        <w:tc>
          <w:tcPr>
            <w:tcW w:w="500" w:type="dxa"/>
            <w:vAlign w:val="bottom"/>
          </w:tcPr>
          <w:p>
            <w:pPr>
              <w:spacing w:after="0"/>
              <w:rPr>
                <w:sz w:val="24"/>
                <w:szCs w:val="24"/>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b w:val="1"/>
                <w:bCs w:val="1"/>
                <w:color w:val="auto"/>
              </w:rPr>
              <w:t>High</w:t>
            </w:r>
          </w:p>
        </w:tc>
        <w:tc>
          <w:tcPr>
            <w:tcW w:w="7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Low</w:t>
            </w:r>
          </w:p>
        </w:tc>
      </w:tr>
      <w:tr>
        <w:trPr>
          <w:trHeight w:val="96"/>
        </w:trPr>
        <w:tc>
          <w:tcPr>
            <w:tcW w:w="362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r>
        <w:trPr>
          <w:trHeight w:val="85"/>
        </w:trPr>
        <w:tc>
          <w:tcPr>
            <w:tcW w:w="36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10"/>
        </w:trPr>
        <w:tc>
          <w:tcPr>
            <w:tcW w:w="3620" w:type="dxa"/>
            <w:vAlign w:val="bottom"/>
            <w:shd w:val="clear" w:color="auto" w:fill="E6E6E6"/>
          </w:tcPr>
          <w:p>
            <w:pPr>
              <w:spacing w:after="0"/>
              <w:rPr>
                <w:sz w:val="20"/>
                <w:szCs w:val="20"/>
                <w:color w:val="auto"/>
              </w:rPr>
            </w:pPr>
            <w:r>
              <w:rPr>
                <w:rFonts w:ascii="Arial" w:cs="Arial" w:eastAsia="Arial" w:hAnsi="Arial"/>
                <w:sz w:val="15"/>
                <w:szCs w:val="15"/>
                <w:color w:val="auto"/>
              </w:rPr>
              <w:t>First Quarter</w:t>
            </w:r>
          </w:p>
        </w:tc>
        <w:tc>
          <w:tcPr>
            <w:tcW w:w="28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6E6E6"/>
          </w:tcPr>
          <w:p>
            <w:pPr>
              <w:jc w:val="right"/>
              <w:ind w:right="444"/>
              <w:spacing w:after="0"/>
              <w:rPr>
                <w:sz w:val="20"/>
                <w:szCs w:val="20"/>
                <w:color w:val="auto"/>
              </w:rPr>
            </w:pPr>
            <w:r>
              <w:rPr>
                <w:rFonts w:ascii="Arial" w:cs="Arial" w:eastAsia="Arial" w:hAnsi="Arial"/>
                <w:sz w:val="15"/>
                <w:szCs w:val="15"/>
                <w:color w:val="auto"/>
              </w:rPr>
              <w:t>39.74</w:t>
            </w:r>
          </w:p>
        </w:tc>
        <w:tc>
          <w:tcPr>
            <w:tcW w:w="38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35.20</w:t>
            </w:r>
          </w:p>
        </w:tc>
        <w:tc>
          <w:tcPr>
            <w:tcW w:w="5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64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30.38</w:t>
            </w:r>
          </w:p>
        </w:tc>
        <w:tc>
          <w:tcPr>
            <w:tcW w:w="78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25.90</w:t>
            </w:r>
          </w:p>
        </w:tc>
      </w:tr>
      <w:tr>
        <w:trPr>
          <w:trHeight w:val="208"/>
        </w:trPr>
        <w:tc>
          <w:tcPr>
            <w:tcW w:w="3620" w:type="dxa"/>
            <w:vAlign w:val="bottom"/>
          </w:tcPr>
          <w:p>
            <w:pPr>
              <w:spacing w:after="0"/>
              <w:rPr>
                <w:sz w:val="20"/>
                <w:szCs w:val="20"/>
                <w:color w:val="auto"/>
              </w:rPr>
            </w:pPr>
            <w:r>
              <w:rPr>
                <w:rFonts w:ascii="Arial" w:cs="Arial" w:eastAsia="Arial" w:hAnsi="Arial"/>
                <w:sz w:val="15"/>
                <w:szCs w:val="15"/>
                <w:color w:val="auto"/>
              </w:rPr>
              <w:t>Second Quarter</w:t>
            </w:r>
          </w:p>
        </w:tc>
        <w:tc>
          <w:tcPr>
            <w:tcW w:w="2880" w:type="dxa"/>
            <w:vAlign w:val="bottom"/>
          </w:tcPr>
          <w:p>
            <w:pPr>
              <w:spacing w:after="0"/>
              <w:rPr>
                <w:sz w:val="18"/>
                <w:szCs w:val="18"/>
                <w:color w:val="auto"/>
              </w:rPr>
            </w:pPr>
          </w:p>
        </w:tc>
        <w:tc>
          <w:tcPr>
            <w:tcW w:w="1160" w:type="dxa"/>
            <w:vAlign w:val="bottom"/>
          </w:tcPr>
          <w:p>
            <w:pPr>
              <w:jc w:val="right"/>
              <w:ind w:right="444"/>
              <w:spacing w:after="0"/>
              <w:rPr>
                <w:sz w:val="20"/>
                <w:szCs w:val="20"/>
                <w:color w:val="auto"/>
              </w:rPr>
            </w:pPr>
            <w:r>
              <w:rPr>
                <w:rFonts w:ascii="Arial" w:cs="Arial" w:eastAsia="Arial" w:hAnsi="Arial"/>
                <w:sz w:val="15"/>
                <w:szCs w:val="15"/>
                <w:color w:val="auto"/>
              </w:rPr>
              <w:t>38.00</w:t>
            </w:r>
          </w:p>
        </w:tc>
        <w:tc>
          <w:tcPr>
            <w:tcW w:w="380" w:type="dxa"/>
            <w:vAlign w:val="bottom"/>
          </w:tcPr>
          <w:p>
            <w:pPr>
              <w:spacing w:after="0"/>
              <w:rPr>
                <w:sz w:val="18"/>
                <w:szCs w:val="18"/>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31.86</w:t>
            </w:r>
          </w:p>
        </w:tc>
        <w:tc>
          <w:tcPr>
            <w:tcW w:w="500" w:type="dxa"/>
            <w:vAlign w:val="bottom"/>
          </w:tcPr>
          <w:p>
            <w:pPr>
              <w:spacing w:after="0"/>
              <w:rPr>
                <w:sz w:val="18"/>
                <w:szCs w:val="18"/>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32.98</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28.34</w:t>
            </w:r>
          </w:p>
        </w:tc>
      </w:tr>
      <w:tr>
        <w:trPr>
          <w:trHeight w:val="211"/>
        </w:trPr>
        <w:tc>
          <w:tcPr>
            <w:tcW w:w="3620" w:type="dxa"/>
            <w:vAlign w:val="bottom"/>
            <w:shd w:val="clear" w:color="auto" w:fill="E6E6E6"/>
          </w:tcPr>
          <w:p>
            <w:pPr>
              <w:spacing w:after="0"/>
              <w:rPr>
                <w:sz w:val="20"/>
                <w:szCs w:val="20"/>
                <w:color w:val="auto"/>
              </w:rPr>
            </w:pPr>
            <w:r>
              <w:rPr>
                <w:rFonts w:ascii="Arial" w:cs="Arial" w:eastAsia="Arial" w:hAnsi="Arial"/>
                <w:sz w:val="15"/>
                <w:szCs w:val="15"/>
                <w:color w:val="auto"/>
              </w:rPr>
              <w:t>Third Quarter</w:t>
            </w:r>
          </w:p>
        </w:tc>
        <w:tc>
          <w:tcPr>
            <w:tcW w:w="2880" w:type="dxa"/>
            <w:vAlign w:val="bottom"/>
            <w:shd w:val="clear" w:color="auto" w:fill="E6E6E6"/>
          </w:tcPr>
          <w:p>
            <w:pPr>
              <w:spacing w:after="0"/>
              <w:rPr>
                <w:sz w:val="18"/>
                <w:szCs w:val="18"/>
                <w:color w:val="auto"/>
              </w:rPr>
            </w:pPr>
          </w:p>
        </w:tc>
        <w:tc>
          <w:tcPr>
            <w:tcW w:w="1160" w:type="dxa"/>
            <w:vAlign w:val="bottom"/>
            <w:shd w:val="clear" w:color="auto" w:fill="E6E6E6"/>
          </w:tcPr>
          <w:p>
            <w:pPr>
              <w:jc w:val="right"/>
              <w:ind w:right="444"/>
              <w:spacing w:after="0"/>
              <w:rPr>
                <w:sz w:val="20"/>
                <w:szCs w:val="20"/>
                <w:color w:val="auto"/>
              </w:rPr>
            </w:pPr>
            <w:r>
              <w:rPr>
                <w:rFonts w:ascii="Arial" w:cs="Arial" w:eastAsia="Arial" w:hAnsi="Arial"/>
                <w:sz w:val="15"/>
                <w:szCs w:val="15"/>
                <w:color w:val="auto"/>
              </w:rPr>
              <w:t>34.66</w:t>
            </w:r>
          </w:p>
        </w:tc>
        <w:tc>
          <w:tcPr>
            <w:tcW w:w="38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27.33</w:t>
            </w:r>
          </w:p>
        </w:tc>
        <w:tc>
          <w:tcPr>
            <w:tcW w:w="50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37.75</w:t>
            </w:r>
          </w:p>
        </w:tc>
        <w:tc>
          <w:tcPr>
            <w:tcW w:w="780" w:type="dxa"/>
            <w:vAlign w:val="bottom"/>
            <w:shd w:val="clear" w:color="auto" w:fill="E6E6E6"/>
          </w:tcPr>
          <w:p>
            <w:pPr>
              <w:spacing w:after="0"/>
              <w:rPr>
                <w:sz w:val="18"/>
                <w:szCs w:val="1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31.71</w:t>
            </w:r>
          </w:p>
        </w:tc>
      </w:tr>
      <w:tr>
        <w:trPr>
          <w:trHeight w:val="207"/>
        </w:trPr>
        <w:tc>
          <w:tcPr>
            <w:tcW w:w="3620" w:type="dxa"/>
            <w:vAlign w:val="bottom"/>
          </w:tcPr>
          <w:p>
            <w:pPr>
              <w:spacing w:after="0"/>
              <w:rPr>
                <w:sz w:val="20"/>
                <w:szCs w:val="20"/>
                <w:color w:val="auto"/>
              </w:rPr>
            </w:pPr>
            <w:r>
              <w:rPr>
                <w:rFonts w:ascii="Arial" w:cs="Arial" w:eastAsia="Arial" w:hAnsi="Arial"/>
                <w:sz w:val="15"/>
                <w:szCs w:val="15"/>
                <w:color w:val="auto"/>
              </w:rPr>
              <w:t>Fourth Quarter</w:t>
            </w:r>
          </w:p>
        </w:tc>
        <w:tc>
          <w:tcPr>
            <w:tcW w:w="2880" w:type="dxa"/>
            <w:vAlign w:val="bottom"/>
          </w:tcPr>
          <w:p>
            <w:pPr>
              <w:spacing w:after="0"/>
              <w:rPr>
                <w:sz w:val="18"/>
                <w:szCs w:val="18"/>
                <w:color w:val="auto"/>
              </w:rPr>
            </w:pPr>
          </w:p>
        </w:tc>
        <w:tc>
          <w:tcPr>
            <w:tcW w:w="1160" w:type="dxa"/>
            <w:vAlign w:val="bottom"/>
          </w:tcPr>
          <w:p>
            <w:pPr>
              <w:jc w:val="right"/>
              <w:ind w:right="444"/>
              <w:spacing w:after="0"/>
              <w:rPr>
                <w:sz w:val="20"/>
                <w:szCs w:val="20"/>
                <w:color w:val="auto"/>
              </w:rPr>
            </w:pPr>
            <w:r>
              <w:rPr>
                <w:rFonts w:ascii="Arial" w:cs="Arial" w:eastAsia="Arial" w:hAnsi="Arial"/>
                <w:sz w:val="15"/>
                <w:szCs w:val="15"/>
                <w:color w:val="auto"/>
              </w:rPr>
              <w:t>31.25</w:t>
            </w:r>
          </w:p>
        </w:tc>
        <w:tc>
          <w:tcPr>
            <w:tcW w:w="380" w:type="dxa"/>
            <w:vAlign w:val="bottom"/>
          </w:tcPr>
          <w:p>
            <w:pPr>
              <w:spacing w:after="0"/>
              <w:rPr>
                <w:sz w:val="18"/>
                <w:szCs w:val="18"/>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25.35</w:t>
            </w:r>
          </w:p>
        </w:tc>
        <w:tc>
          <w:tcPr>
            <w:tcW w:w="500" w:type="dxa"/>
            <w:vAlign w:val="bottom"/>
          </w:tcPr>
          <w:p>
            <w:pPr>
              <w:spacing w:after="0"/>
              <w:rPr>
                <w:sz w:val="18"/>
                <w:szCs w:val="18"/>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40.04</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33.08</w:t>
            </w:r>
          </w:p>
        </w:tc>
      </w:tr>
      <w:tr>
        <w:trPr>
          <w:trHeight w:val="96"/>
        </w:trPr>
        <w:tc>
          <w:tcPr>
            <w:tcW w:w="362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82" w:lineRule="exact"/>
        <w:rPr>
          <w:sz w:val="20"/>
          <w:szCs w:val="20"/>
          <w:color w:val="auto"/>
        </w:rPr>
      </w:pPr>
    </w:p>
    <w:p>
      <w:pPr>
        <w:jc w:val="both"/>
        <w:ind w:right="40"/>
        <w:spacing w:after="0" w:line="272" w:lineRule="auto"/>
        <w:rPr>
          <w:sz w:val="20"/>
          <w:szCs w:val="20"/>
          <w:color w:val="auto"/>
        </w:rPr>
      </w:pPr>
      <w:r>
        <w:rPr>
          <w:rFonts w:ascii="Arial" w:cs="Arial" w:eastAsia="Arial" w:hAnsi="Arial"/>
          <w:sz w:val="15"/>
          <w:szCs w:val="15"/>
          <w:color w:val="auto"/>
        </w:rPr>
        <w:t>Scholastic Corporation has not paid any cash dividends since its initial public offering in February 1992 and has no current plans to pay any dividends on the Class A Stock or the Common Stock. In addition, certain of the Company’s credit facilities restrict the payment of dividends. See Note 3 of Notes to Consolidated Financial Statements in Item 8, “Consolidated Financial Statements and Supplementary Data,” for further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number of holders of record of Class A Stock and Common Stock as of July 26, 2006 were 3 and approximately 11,100,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132080</wp:posOffset>
            </wp:positionV>
            <wp:extent cx="1938655" cy="3403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03" w:right="219" w:bottom="1440" w:gutter="0" w:footer="0" w:header="0"/>
        </w:sectPr>
      </w:pPr>
    </w:p>
    <w:bookmarkStart w:id="18" w:name="page19"/>
    <w:bookmarkEnd w:id="18"/>
    <w:p>
      <w:pPr>
        <w:ind w:left="7"/>
        <w:spacing w:after="0"/>
        <w:rPr>
          <w:sz w:val="20"/>
          <w:szCs w:val="20"/>
          <w:color w:val="auto"/>
        </w:rPr>
      </w:pPr>
      <w:r>
        <w:rPr>
          <w:rFonts w:ascii="Arial" w:cs="Arial" w:eastAsia="Arial" w:hAnsi="Arial"/>
          <w:sz w:val="15"/>
          <w:szCs w:val="15"/>
          <w:b w:val="1"/>
          <w:bCs w:val="1"/>
          <w:color w:val="auto"/>
        </w:rPr>
        <w:t>Item 6 | Selected Financial Data</w:t>
      </w:r>
    </w:p>
    <w:p>
      <w:pPr>
        <w:spacing w:after="0" w:line="110" w:lineRule="exact"/>
        <w:rPr>
          <w:sz w:val="20"/>
          <w:szCs w:val="20"/>
          <w:color w:val="auto"/>
        </w:rPr>
      </w:pPr>
    </w:p>
    <w:p>
      <w:pPr>
        <w:jc w:val="right"/>
        <w:ind w:right="200"/>
        <w:spacing w:after="0"/>
        <w:rPr>
          <w:sz w:val="20"/>
          <w:szCs w:val="20"/>
          <w:color w:val="auto"/>
        </w:rPr>
      </w:pPr>
      <w:r>
        <w:rPr>
          <w:rFonts w:ascii="Arial" w:cs="Arial" w:eastAsia="Arial" w:hAnsi="Arial"/>
          <w:sz w:val="12"/>
          <w:szCs w:val="12"/>
          <w:color w:val="auto"/>
        </w:rPr>
        <w:t>(Amounts in millions, except per share data)</w:t>
      </w:r>
    </w:p>
    <w:p>
      <w:pPr>
        <w:spacing w:after="0" w:line="72" w:lineRule="exact"/>
        <w:rPr>
          <w:sz w:val="20"/>
          <w:szCs w:val="20"/>
          <w:color w:val="auto"/>
        </w:rPr>
      </w:pPr>
    </w:p>
    <w:p>
      <w:pPr>
        <w:jc w:val="right"/>
        <w:ind w:right="200"/>
        <w:spacing w:after="0"/>
        <w:rPr>
          <w:sz w:val="20"/>
          <w:szCs w:val="20"/>
          <w:color w:val="auto"/>
        </w:rPr>
      </w:pPr>
      <w:r>
        <w:rPr>
          <w:rFonts w:ascii="Arial" w:cs="Arial" w:eastAsia="Arial" w:hAnsi="Arial"/>
          <w:sz w:val="12"/>
          <w:szCs w:val="12"/>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6567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2006</w:t>
            </w:r>
          </w:p>
        </w:tc>
        <w:tc>
          <w:tcPr>
            <w:tcW w:w="400" w:type="dxa"/>
            <w:vAlign w:val="bottom"/>
          </w:tcPr>
          <w:p>
            <w:pPr>
              <w:spacing w:after="0"/>
              <w:rPr>
                <w:sz w:val="16"/>
                <w:szCs w:val="16"/>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b w:val="1"/>
                <w:bCs w:val="1"/>
                <w:color w:val="auto"/>
              </w:rPr>
              <w:t>2005</w:t>
            </w:r>
          </w:p>
        </w:tc>
        <w:tc>
          <w:tcPr>
            <w:tcW w:w="380" w:type="dxa"/>
            <w:vAlign w:val="bottom"/>
          </w:tcPr>
          <w:p>
            <w:pPr>
              <w:spacing w:after="0"/>
              <w:rPr>
                <w:sz w:val="16"/>
                <w:szCs w:val="16"/>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2004</w:t>
            </w:r>
          </w:p>
        </w:tc>
        <w:tc>
          <w:tcPr>
            <w:tcW w:w="4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b w:val="1"/>
                <w:bCs w:val="1"/>
                <w:color w:val="auto"/>
              </w:rPr>
              <w:t>2003</w:t>
            </w:r>
          </w:p>
        </w:tc>
        <w:tc>
          <w:tcPr>
            <w:tcW w:w="600" w:type="dxa"/>
            <w:vAlign w:val="bottom"/>
          </w:tcPr>
          <w:p>
            <w:pPr>
              <w:spacing w:after="0"/>
              <w:rPr>
                <w:sz w:val="16"/>
                <w:szCs w:val="16"/>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b w:val="1"/>
                <w:bCs w:val="1"/>
                <w:color w:val="auto"/>
              </w:rPr>
              <w:t>2002</w:t>
            </w:r>
          </w:p>
        </w:tc>
      </w:tr>
      <w:tr>
        <w:trPr>
          <w:trHeight w:val="96"/>
        </w:trPr>
        <w:tc>
          <w:tcPr>
            <w:tcW w:w="4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93"/>
        </w:trPr>
        <w:tc>
          <w:tcPr>
            <w:tcW w:w="4220" w:type="dxa"/>
            <w:vAlign w:val="bottom"/>
          </w:tcPr>
          <w:p>
            <w:pPr>
              <w:spacing w:after="0"/>
              <w:rPr>
                <w:sz w:val="20"/>
                <w:szCs w:val="20"/>
                <w:color w:val="auto"/>
              </w:rPr>
            </w:pPr>
            <w:r>
              <w:rPr>
                <w:rFonts w:ascii="Arial" w:cs="Arial" w:eastAsia="Arial" w:hAnsi="Arial"/>
                <w:sz w:val="15"/>
                <w:szCs w:val="15"/>
                <w:b w:val="1"/>
                <w:bCs w:val="1"/>
                <w:color w:val="auto"/>
              </w:rPr>
              <w:t>Statement of Income Data:</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1"/>
        </w:trPr>
        <w:tc>
          <w:tcPr>
            <w:tcW w:w="4220" w:type="dxa"/>
            <w:vAlign w:val="bottom"/>
            <w:shd w:val="clear" w:color="auto" w:fill="E6E6E6"/>
          </w:tcPr>
          <w:p>
            <w:pPr>
              <w:spacing w:after="0"/>
              <w:rPr>
                <w:sz w:val="20"/>
                <w:szCs w:val="20"/>
                <w:color w:val="auto"/>
              </w:rPr>
            </w:pPr>
            <w:r>
              <w:rPr>
                <w:rFonts w:ascii="Arial" w:cs="Arial" w:eastAsia="Arial" w:hAnsi="Arial"/>
                <w:sz w:val="15"/>
                <w:szCs w:val="15"/>
                <w:color w:val="auto"/>
              </w:rPr>
              <w:t>Total revenues</w:t>
            </w:r>
          </w:p>
        </w:tc>
        <w:tc>
          <w:tcPr>
            <w:tcW w:w="130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2,283.8</w:t>
            </w:r>
          </w:p>
        </w:tc>
        <w:tc>
          <w:tcPr>
            <w:tcW w:w="40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2,079.9</w:t>
            </w:r>
          </w:p>
        </w:tc>
        <w:tc>
          <w:tcPr>
            <w:tcW w:w="38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2,233.8</w:t>
            </w:r>
          </w:p>
        </w:tc>
        <w:tc>
          <w:tcPr>
            <w:tcW w:w="4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1,958.3</w:t>
            </w:r>
          </w:p>
        </w:tc>
        <w:tc>
          <w:tcPr>
            <w:tcW w:w="60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1,917.0</w:t>
            </w:r>
          </w:p>
        </w:tc>
      </w:tr>
      <w:tr>
        <w:trPr>
          <w:trHeight w:val="256"/>
        </w:trPr>
        <w:tc>
          <w:tcPr>
            <w:tcW w:w="4220" w:type="dxa"/>
            <w:vAlign w:val="bottom"/>
          </w:tcPr>
          <w:p>
            <w:pPr>
              <w:spacing w:after="0" w:line="256" w:lineRule="exact"/>
              <w:rPr>
                <w:sz w:val="20"/>
                <w:szCs w:val="20"/>
                <w:color w:val="auto"/>
              </w:rPr>
            </w:pPr>
            <w:r>
              <w:rPr>
                <w:rFonts w:ascii="Arial" w:cs="Arial" w:eastAsia="Arial" w:hAnsi="Arial"/>
                <w:sz w:val="15"/>
                <w:szCs w:val="15"/>
                <w:color w:val="auto"/>
              </w:rPr>
              <w:t>Cost of goods sold</w:t>
            </w:r>
            <w:r>
              <w:rPr>
                <w:rFonts w:ascii="Arial" w:cs="Arial" w:eastAsia="Arial" w:hAnsi="Arial"/>
                <w:sz w:val="29"/>
                <w:szCs w:val="29"/>
                <w:color w:val="auto"/>
                <w:vertAlign w:val="superscript"/>
              </w:rPr>
              <w:t>(1)(2)</w:t>
            </w:r>
          </w:p>
        </w:tc>
        <w:tc>
          <w:tcPr>
            <w:tcW w:w="1300" w:type="dxa"/>
            <w:vAlign w:val="bottom"/>
          </w:tcPr>
          <w:p>
            <w:pPr>
              <w:spacing w:after="0"/>
              <w:rPr>
                <w:sz w:val="22"/>
                <w:szCs w:val="22"/>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1,103.1</w:t>
            </w:r>
          </w:p>
        </w:tc>
        <w:tc>
          <w:tcPr>
            <w:tcW w:w="400" w:type="dxa"/>
            <w:vAlign w:val="bottom"/>
          </w:tcPr>
          <w:p>
            <w:pPr>
              <w:spacing w:after="0"/>
              <w:rPr>
                <w:sz w:val="22"/>
                <w:szCs w:val="22"/>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979.0</w:t>
            </w:r>
          </w:p>
        </w:tc>
        <w:tc>
          <w:tcPr>
            <w:tcW w:w="380" w:type="dxa"/>
            <w:vAlign w:val="bottom"/>
          </w:tcPr>
          <w:p>
            <w:pPr>
              <w:spacing w:after="0"/>
              <w:rPr>
                <w:sz w:val="22"/>
                <w:szCs w:val="22"/>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1,086.8</w:t>
            </w:r>
          </w:p>
        </w:tc>
        <w:tc>
          <w:tcPr>
            <w:tcW w:w="48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882.1</w:t>
            </w:r>
          </w:p>
        </w:tc>
        <w:tc>
          <w:tcPr>
            <w:tcW w:w="600" w:type="dxa"/>
            <w:vAlign w:val="bottom"/>
          </w:tcPr>
          <w:p>
            <w:pPr>
              <w:spacing w:after="0"/>
              <w:rPr>
                <w:sz w:val="22"/>
                <w:szCs w:val="22"/>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852.1</w:t>
            </w:r>
          </w:p>
        </w:tc>
      </w:tr>
      <w:tr>
        <w:trPr>
          <w:trHeight w:val="256"/>
        </w:trPr>
        <w:tc>
          <w:tcPr>
            <w:tcW w:w="422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Selling, general and administrative expenses</w:t>
            </w:r>
            <w:r>
              <w:rPr>
                <w:rFonts w:ascii="Arial" w:cs="Arial" w:eastAsia="Arial" w:hAnsi="Arial"/>
                <w:sz w:val="29"/>
                <w:szCs w:val="29"/>
                <w:color w:val="auto"/>
                <w:vertAlign w:val="superscript"/>
              </w:rPr>
              <w:t>(1)</w:t>
            </w:r>
          </w:p>
        </w:tc>
        <w:tc>
          <w:tcPr>
            <w:tcW w:w="1300" w:type="dxa"/>
            <w:vAlign w:val="bottom"/>
            <w:shd w:val="clear" w:color="auto" w:fill="E6E6E6"/>
          </w:tcPr>
          <w:p>
            <w:pPr>
              <w:spacing w:after="0"/>
              <w:rPr>
                <w:sz w:val="22"/>
                <w:szCs w:val="22"/>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916.5</w:t>
            </w:r>
          </w:p>
        </w:tc>
        <w:tc>
          <w:tcPr>
            <w:tcW w:w="4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840.7</w:t>
            </w:r>
          </w:p>
        </w:tc>
        <w:tc>
          <w:tcPr>
            <w:tcW w:w="38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870.1</w:t>
            </w:r>
          </w:p>
        </w:tc>
        <w:tc>
          <w:tcPr>
            <w:tcW w:w="480" w:type="dxa"/>
            <w:vAlign w:val="bottom"/>
            <w:shd w:val="clear" w:color="auto" w:fill="E6E6E6"/>
          </w:tcPr>
          <w:p>
            <w:pPr>
              <w:spacing w:after="0"/>
              <w:rPr>
                <w:sz w:val="22"/>
                <w:szCs w:val="22"/>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813.1</w:t>
            </w:r>
          </w:p>
        </w:tc>
        <w:tc>
          <w:tcPr>
            <w:tcW w:w="60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765.1</w:t>
            </w:r>
          </w:p>
        </w:tc>
      </w:tr>
      <w:tr>
        <w:trPr>
          <w:trHeight w:val="256"/>
        </w:trPr>
        <w:tc>
          <w:tcPr>
            <w:tcW w:w="4220" w:type="dxa"/>
            <w:vAlign w:val="bottom"/>
          </w:tcPr>
          <w:p>
            <w:pPr>
              <w:spacing w:after="0" w:line="256" w:lineRule="exact"/>
              <w:rPr>
                <w:sz w:val="20"/>
                <w:szCs w:val="20"/>
                <w:color w:val="auto"/>
              </w:rPr>
            </w:pPr>
            <w:r>
              <w:rPr>
                <w:rFonts w:ascii="Arial" w:cs="Arial" w:eastAsia="Arial" w:hAnsi="Arial"/>
                <w:sz w:val="15"/>
                <w:szCs w:val="15"/>
                <w:color w:val="auto"/>
              </w:rPr>
              <w:t>Bad debt expense</w:t>
            </w:r>
            <w:r>
              <w:rPr>
                <w:rFonts w:ascii="Arial" w:cs="Arial" w:eastAsia="Arial" w:hAnsi="Arial"/>
                <w:sz w:val="29"/>
                <w:szCs w:val="29"/>
                <w:color w:val="auto"/>
                <w:vertAlign w:val="superscript"/>
              </w:rPr>
              <w:t>(1)(3)</w:t>
            </w:r>
          </w:p>
        </w:tc>
        <w:tc>
          <w:tcPr>
            <w:tcW w:w="1300" w:type="dxa"/>
            <w:vAlign w:val="bottom"/>
          </w:tcPr>
          <w:p>
            <w:pPr>
              <w:spacing w:after="0"/>
              <w:rPr>
                <w:sz w:val="22"/>
                <w:szCs w:val="22"/>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59.1</w:t>
            </w:r>
          </w:p>
        </w:tc>
        <w:tc>
          <w:tcPr>
            <w:tcW w:w="400" w:type="dxa"/>
            <w:vAlign w:val="bottom"/>
          </w:tcPr>
          <w:p>
            <w:pPr>
              <w:spacing w:after="0"/>
              <w:rPr>
                <w:sz w:val="22"/>
                <w:szCs w:val="22"/>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62.2</w:t>
            </w:r>
          </w:p>
        </w:tc>
        <w:tc>
          <w:tcPr>
            <w:tcW w:w="380" w:type="dxa"/>
            <w:vAlign w:val="bottom"/>
          </w:tcPr>
          <w:p>
            <w:pPr>
              <w:spacing w:after="0"/>
              <w:rPr>
                <w:sz w:val="22"/>
                <w:szCs w:val="22"/>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90.3</w:t>
            </w:r>
          </w:p>
        </w:tc>
        <w:tc>
          <w:tcPr>
            <w:tcW w:w="48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72.3</w:t>
            </w:r>
          </w:p>
        </w:tc>
        <w:tc>
          <w:tcPr>
            <w:tcW w:w="600" w:type="dxa"/>
            <w:vAlign w:val="bottom"/>
          </w:tcPr>
          <w:p>
            <w:pPr>
              <w:spacing w:after="0"/>
              <w:rPr>
                <w:sz w:val="22"/>
                <w:szCs w:val="22"/>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68.7</w:t>
            </w:r>
          </w:p>
        </w:tc>
      </w:tr>
      <w:tr>
        <w:trPr>
          <w:trHeight w:val="210"/>
        </w:trPr>
        <w:tc>
          <w:tcPr>
            <w:tcW w:w="4220" w:type="dxa"/>
            <w:vAlign w:val="bottom"/>
            <w:shd w:val="clear" w:color="auto" w:fill="E6E6E6"/>
          </w:tcPr>
          <w:p>
            <w:pPr>
              <w:spacing w:after="0"/>
              <w:rPr>
                <w:sz w:val="20"/>
                <w:szCs w:val="20"/>
                <w:color w:val="auto"/>
              </w:rPr>
            </w:pPr>
            <w:r>
              <w:rPr>
                <w:rFonts w:ascii="Arial" w:cs="Arial" w:eastAsia="Arial" w:hAnsi="Arial"/>
                <w:sz w:val="15"/>
                <w:szCs w:val="15"/>
                <w:color w:val="auto"/>
              </w:rPr>
              <w:t>Depreciation and amortization</w:t>
            </w:r>
          </w:p>
        </w:tc>
        <w:tc>
          <w:tcPr>
            <w:tcW w:w="130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65.8</w:t>
            </w:r>
          </w:p>
        </w:tc>
        <w:tc>
          <w:tcPr>
            <w:tcW w:w="4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63.1</w:t>
            </w:r>
          </w:p>
        </w:tc>
        <w:tc>
          <w:tcPr>
            <w:tcW w:w="38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62.1</w:t>
            </w:r>
          </w:p>
        </w:tc>
        <w:tc>
          <w:tcPr>
            <w:tcW w:w="48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52.1</w:t>
            </w:r>
          </w:p>
        </w:tc>
        <w:tc>
          <w:tcPr>
            <w:tcW w:w="600" w:type="dxa"/>
            <w:vAlign w:val="bottom"/>
            <w:shd w:val="clear" w:color="auto" w:fill="E6E6E6"/>
          </w:tcPr>
          <w:p>
            <w:pPr>
              <w:spacing w:after="0"/>
              <w:rPr>
                <w:sz w:val="18"/>
                <w:szCs w:val="18"/>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41.4</w:t>
            </w:r>
          </w:p>
        </w:tc>
      </w:tr>
      <w:tr>
        <w:trPr>
          <w:trHeight w:val="256"/>
        </w:trPr>
        <w:tc>
          <w:tcPr>
            <w:tcW w:w="4220" w:type="dxa"/>
            <w:vAlign w:val="bottom"/>
          </w:tcPr>
          <w:p>
            <w:pPr>
              <w:spacing w:after="0" w:line="256" w:lineRule="exact"/>
              <w:rPr>
                <w:sz w:val="20"/>
                <w:szCs w:val="20"/>
                <w:color w:val="auto"/>
              </w:rPr>
            </w:pPr>
            <w:r>
              <w:rPr>
                <w:rFonts w:ascii="Arial" w:cs="Arial" w:eastAsia="Arial" w:hAnsi="Arial"/>
                <w:sz w:val="15"/>
                <w:szCs w:val="15"/>
                <w:color w:val="auto"/>
              </w:rPr>
              <w:t>Operating income</w:t>
            </w:r>
            <w:r>
              <w:rPr>
                <w:rFonts w:ascii="Arial" w:cs="Arial" w:eastAsia="Arial" w:hAnsi="Arial"/>
                <w:sz w:val="29"/>
                <w:szCs w:val="29"/>
                <w:color w:val="auto"/>
                <w:vertAlign w:val="superscript"/>
              </w:rPr>
              <w:t>(4)</w:t>
            </w:r>
          </w:p>
        </w:tc>
        <w:tc>
          <w:tcPr>
            <w:tcW w:w="1300" w:type="dxa"/>
            <w:vAlign w:val="bottom"/>
          </w:tcPr>
          <w:p>
            <w:pPr>
              <w:spacing w:after="0"/>
              <w:rPr>
                <w:sz w:val="22"/>
                <w:szCs w:val="22"/>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139.3</w:t>
            </w:r>
          </w:p>
        </w:tc>
        <w:tc>
          <w:tcPr>
            <w:tcW w:w="400" w:type="dxa"/>
            <w:vAlign w:val="bottom"/>
          </w:tcPr>
          <w:p>
            <w:pPr>
              <w:spacing w:after="0"/>
              <w:rPr>
                <w:sz w:val="22"/>
                <w:szCs w:val="22"/>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134.9</w:t>
            </w:r>
          </w:p>
        </w:tc>
        <w:tc>
          <w:tcPr>
            <w:tcW w:w="380" w:type="dxa"/>
            <w:vAlign w:val="bottom"/>
          </w:tcPr>
          <w:p>
            <w:pPr>
              <w:spacing w:after="0"/>
              <w:rPr>
                <w:sz w:val="22"/>
                <w:szCs w:val="22"/>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48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125.9</w:t>
            </w:r>
          </w:p>
        </w:tc>
        <w:tc>
          <w:tcPr>
            <w:tcW w:w="600" w:type="dxa"/>
            <w:vAlign w:val="bottom"/>
          </w:tcPr>
          <w:p>
            <w:pPr>
              <w:spacing w:after="0"/>
              <w:rPr>
                <w:sz w:val="22"/>
                <w:szCs w:val="22"/>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188.5</w:t>
            </w:r>
          </w:p>
        </w:tc>
      </w:tr>
      <w:tr>
        <w:trPr>
          <w:trHeight w:val="256"/>
        </w:trPr>
        <w:tc>
          <w:tcPr>
            <w:tcW w:w="422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Other income (expense)</w:t>
            </w:r>
            <w:r>
              <w:rPr>
                <w:rFonts w:ascii="Arial" w:cs="Arial" w:eastAsia="Arial" w:hAnsi="Arial"/>
                <w:sz w:val="29"/>
                <w:szCs w:val="29"/>
                <w:color w:val="auto"/>
                <w:vertAlign w:val="superscript"/>
              </w:rPr>
              <w:t>(5)</w:t>
            </w:r>
          </w:p>
        </w:tc>
        <w:tc>
          <w:tcPr>
            <w:tcW w:w="1300" w:type="dxa"/>
            <w:vAlign w:val="bottom"/>
            <w:shd w:val="clear" w:color="auto" w:fill="E6E6E6"/>
          </w:tcPr>
          <w:p>
            <w:pPr>
              <w:spacing w:after="0"/>
              <w:rPr>
                <w:sz w:val="22"/>
                <w:szCs w:val="22"/>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4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38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8.0</w:t>
            </w:r>
          </w:p>
        </w:tc>
        <w:tc>
          <w:tcPr>
            <w:tcW w:w="480" w:type="dxa"/>
            <w:vAlign w:val="bottom"/>
            <w:shd w:val="clear" w:color="auto" w:fill="E6E6E6"/>
          </w:tcPr>
          <w:p>
            <w:pPr>
              <w:spacing w:after="0"/>
              <w:rPr>
                <w:sz w:val="22"/>
                <w:szCs w:val="22"/>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2.9</w:t>
            </w:r>
          </w:p>
        </w:tc>
        <w:tc>
          <w:tcPr>
            <w:tcW w:w="60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(2.0)</w:t>
            </w:r>
          </w:p>
        </w:tc>
      </w:tr>
      <w:tr>
        <w:trPr>
          <w:trHeight w:val="210"/>
        </w:trPr>
        <w:tc>
          <w:tcPr>
            <w:tcW w:w="4220" w:type="dxa"/>
            <w:vAlign w:val="bottom"/>
          </w:tcPr>
          <w:p>
            <w:pPr>
              <w:spacing w:after="0"/>
              <w:rPr>
                <w:sz w:val="20"/>
                <w:szCs w:val="20"/>
                <w:color w:val="auto"/>
              </w:rPr>
            </w:pPr>
            <w:r>
              <w:rPr>
                <w:rFonts w:ascii="Arial" w:cs="Arial" w:eastAsia="Arial" w:hAnsi="Arial"/>
                <w:sz w:val="15"/>
                <w:szCs w:val="15"/>
                <w:color w:val="auto"/>
              </w:rPr>
              <w:t>Interest expense, net</w:t>
            </w:r>
          </w:p>
        </w:tc>
        <w:tc>
          <w:tcPr>
            <w:tcW w:w="13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31.7</w:t>
            </w:r>
          </w:p>
        </w:tc>
        <w:tc>
          <w:tcPr>
            <w:tcW w:w="4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35.2</w:t>
            </w:r>
          </w:p>
        </w:tc>
        <w:tc>
          <w:tcPr>
            <w:tcW w:w="3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39.6</w:t>
            </w:r>
          </w:p>
        </w:tc>
        <w:tc>
          <w:tcPr>
            <w:tcW w:w="4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38.3</w:t>
            </w:r>
          </w:p>
        </w:tc>
        <w:tc>
          <w:tcPr>
            <w:tcW w:w="60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38.0</w:t>
            </w:r>
          </w:p>
        </w:tc>
      </w:tr>
      <w:tr>
        <w:trPr>
          <w:trHeight w:val="256"/>
        </w:trPr>
        <w:tc>
          <w:tcPr>
            <w:tcW w:w="422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Net income</w:t>
            </w:r>
            <w:r>
              <w:rPr>
                <w:rFonts w:ascii="Arial" w:cs="Arial" w:eastAsia="Arial" w:hAnsi="Arial"/>
                <w:sz w:val="29"/>
                <w:szCs w:val="29"/>
                <w:color w:val="auto"/>
                <w:vertAlign w:val="superscript"/>
              </w:rPr>
              <w:t>(6)</w:t>
            </w:r>
          </w:p>
        </w:tc>
        <w:tc>
          <w:tcPr>
            <w:tcW w:w="1300" w:type="dxa"/>
            <w:vAlign w:val="bottom"/>
            <w:shd w:val="clear" w:color="auto" w:fill="E6E6E6"/>
          </w:tcPr>
          <w:p>
            <w:pPr>
              <w:spacing w:after="0"/>
              <w:rPr>
                <w:sz w:val="22"/>
                <w:szCs w:val="22"/>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68.6</w:t>
            </w:r>
          </w:p>
        </w:tc>
        <w:tc>
          <w:tcPr>
            <w:tcW w:w="4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64.3</w:t>
            </w:r>
          </w:p>
        </w:tc>
        <w:tc>
          <w:tcPr>
            <w:tcW w:w="38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57.8</w:t>
            </w:r>
          </w:p>
        </w:tc>
        <w:tc>
          <w:tcPr>
            <w:tcW w:w="480" w:type="dxa"/>
            <w:vAlign w:val="bottom"/>
            <w:shd w:val="clear" w:color="auto" w:fill="E6E6E6"/>
          </w:tcPr>
          <w:p>
            <w:pPr>
              <w:spacing w:after="0"/>
              <w:rPr>
                <w:sz w:val="22"/>
                <w:szCs w:val="22"/>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58.8</w:t>
            </w:r>
          </w:p>
        </w:tc>
        <w:tc>
          <w:tcPr>
            <w:tcW w:w="60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90.5</w:t>
            </w:r>
          </w:p>
        </w:tc>
      </w:tr>
      <w:tr>
        <w:trPr>
          <w:trHeight w:val="418"/>
        </w:trPr>
        <w:tc>
          <w:tcPr>
            <w:tcW w:w="4220" w:type="dxa"/>
            <w:vAlign w:val="bottom"/>
          </w:tcPr>
          <w:p>
            <w:pPr>
              <w:spacing w:after="0"/>
              <w:rPr>
                <w:sz w:val="20"/>
                <w:szCs w:val="20"/>
                <w:color w:val="auto"/>
              </w:rPr>
            </w:pPr>
            <w:r>
              <w:rPr>
                <w:rFonts w:ascii="Arial" w:cs="Arial" w:eastAsia="Arial" w:hAnsi="Arial"/>
                <w:sz w:val="15"/>
                <w:szCs w:val="15"/>
                <w:color w:val="auto"/>
              </w:rPr>
              <w:t>Earnings per share:</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1"/>
        </w:trPr>
        <w:tc>
          <w:tcPr>
            <w:tcW w:w="4220" w:type="dxa"/>
            <w:vAlign w:val="bottom"/>
            <w:shd w:val="clear" w:color="auto" w:fill="E6E6E6"/>
          </w:tcPr>
          <w:p>
            <w:pPr>
              <w:ind w:left="140"/>
              <w:spacing w:after="0"/>
              <w:rPr>
                <w:sz w:val="20"/>
                <w:szCs w:val="20"/>
                <w:color w:val="auto"/>
              </w:rPr>
            </w:pPr>
            <w:r>
              <w:rPr>
                <w:rFonts w:ascii="Arial" w:cs="Arial" w:eastAsia="Arial" w:hAnsi="Arial"/>
                <w:sz w:val="15"/>
                <w:szCs w:val="15"/>
                <w:color w:val="auto"/>
              </w:rPr>
              <w:t>Basic</w:t>
            </w:r>
          </w:p>
        </w:tc>
        <w:tc>
          <w:tcPr>
            <w:tcW w:w="130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1.65</w:t>
            </w:r>
          </w:p>
        </w:tc>
        <w:tc>
          <w:tcPr>
            <w:tcW w:w="40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1.61</w:t>
            </w:r>
          </w:p>
        </w:tc>
        <w:tc>
          <w:tcPr>
            <w:tcW w:w="38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1.47</w:t>
            </w:r>
          </w:p>
        </w:tc>
        <w:tc>
          <w:tcPr>
            <w:tcW w:w="48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1.50</w:t>
            </w:r>
          </w:p>
        </w:tc>
        <w:tc>
          <w:tcPr>
            <w:tcW w:w="60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2.46</w:t>
            </w:r>
          </w:p>
        </w:tc>
      </w:tr>
      <w:tr>
        <w:trPr>
          <w:trHeight w:val="219"/>
        </w:trPr>
        <w:tc>
          <w:tcPr>
            <w:tcW w:w="4220" w:type="dxa"/>
            <w:vAlign w:val="bottom"/>
          </w:tcPr>
          <w:p>
            <w:pPr>
              <w:ind w:left="140"/>
              <w:spacing w:after="0"/>
              <w:rPr>
                <w:sz w:val="20"/>
                <w:szCs w:val="20"/>
                <w:color w:val="auto"/>
              </w:rPr>
            </w:pPr>
            <w:r>
              <w:rPr>
                <w:rFonts w:ascii="Arial" w:cs="Arial" w:eastAsia="Arial" w:hAnsi="Arial"/>
                <w:sz w:val="15"/>
                <w:szCs w:val="15"/>
                <w:color w:val="auto"/>
              </w:rPr>
              <w:t>Diluted</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1.63</w:t>
            </w:r>
          </w:p>
        </w:tc>
        <w:tc>
          <w:tcPr>
            <w:tcW w:w="4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1.58</w:t>
            </w:r>
          </w:p>
        </w:tc>
        <w:tc>
          <w:tcPr>
            <w:tcW w:w="3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1.44</w:t>
            </w:r>
          </w:p>
        </w:tc>
        <w:tc>
          <w:tcPr>
            <w:tcW w:w="4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1.46</w:t>
            </w:r>
          </w:p>
        </w:tc>
        <w:tc>
          <w:tcPr>
            <w:tcW w:w="6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2.31</w:t>
            </w:r>
          </w:p>
        </w:tc>
      </w:tr>
      <w:tr>
        <w:trPr>
          <w:trHeight w:val="201"/>
        </w:trPr>
        <w:tc>
          <w:tcPr>
            <w:tcW w:w="4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4220" w:type="dxa"/>
            <w:vAlign w:val="bottom"/>
            <w:shd w:val="clear" w:color="auto" w:fill="E6E6E6"/>
          </w:tcPr>
          <w:p>
            <w:pPr>
              <w:spacing w:after="0"/>
              <w:rPr>
                <w:sz w:val="20"/>
                <w:szCs w:val="20"/>
                <w:color w:val="auto"/>
              </w:rPr>
            </w:pPr>
            <w:r>
              <w:rPr>
                <w:rFonts w:ascii="Arial" w:cs="Arial" w:eastAsia="Arial" w:hAnsi="Arial"/>
                <w:sz w:val="15"/>
                <w:szCs w:val="15"/>
                <w:color w:val="auto"/>
              </w:rPr>
              <w:t>Weighted average shares outstanding – basic</w:t>
            </w:r>
          </w:p>
        </w:tc>
        <w:tc>
          <w:tcPr>
            <w:tcW w:w="130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41.6</w:t>
            </w:r>
          </w:p>
        </w:tc>
        <w:tc>
          <w:tcPr>
            <w:tcW w:w="4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40.0</w:t>
            </w:r>
          </w:p>
        </w:tc>
        <w:tc>
          <w:tcPr>
            <w:tcW w:w="38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39.4</w:t>
            </w:r>
          </w:p>
        </w:tc>
        <w:tc>
          <w:tcPr>
            <w:tcW w:w="48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39.1</w:t>
            </w:r>
          </w:p>
        </w:tc>
        <w:tc>
          <w:tcPr>
            <w:tcW w:w="600" w:type="dxa"/>
            <w:vAlign w:val="bottom"/>
            <w:shd w:val="clear" w:color="auto" w:fill="E6E6E6"/>
          </w:tcPr>
          <w:p>
            <w:pPr>
              <w:spacing w:after="0"/>
              <w:rPr>
                <w:sz w:val="18"/>
                <w:szCs w:val="18"/>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36.7</w:t>
            </w:r>
          </w:p>
        </w:tc>
      </w:tr>
      <w:tr>
        <w:trPr>
          <w:trHeight w:val="219"/>
        </w:trPr>
        <w:tc>
          <w:tcPr>
            <w:tcW w:w="4220" w:type="dxa"/>
            <w:vAlign w:val="bottom"/>
          </w:tcPr>
          <w:p>
            <w:pPr>
              <w:spacing w:after="0"/>
              <w:rPr>
                <w:sz w:val="20"/>
                <w:szCs w:val="20"/>
                <w:color w:val="auto"/>
              </w:rPr>
            </w:pPr>
            <w:r>
              <w:rPr>
                <w:rFonts w:ascii="Arial" w:cs="Arial" w:eastAsia="Arial" w:hAnsi="Arial"/>
                <w:sz w:val="15"/>
                <w:szCs w:val="15"/>
                <w:color w:val="auto"/>
              </w:rPr>
              <w:t>Weighted average shares outstanding – diluted</w:t>
            </w:r>
          </w:p>
        </w:tc>
        <w:tc>
          <w:tcPr>
            <w:tcW w:w="130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42.2</w:t>
            </w:r>
          </w:p>
        </w:tc>
        <w:tc>
          <w:tcPr>
            <w:tcW w:w="40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40.8</w:t>
            </w:r>
          </w:p>
        </w:tc>
        <w:tc>
          <w:tcPr>
            <w:tcW w:w="38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40.1</w:t>
            </w:r>
          </w:p>
        </w:tc>
        <w:tc>
          <w:tcPr>
            <w:tcW w:w="4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40.1</w:t>
            </w:r>
          </w:p>
        </w:tc>
        <w:tc>
          <w:tcPr>
            <w:tcW w:w="600" w:type="dxa"/>
            <w:vAlign w:val="bottom"/>
          </w:tcPr>
          <w:p>
            <w:pPr>
              <w:spacing w:after="0"/>
              <w:rPr>
                <w:sz w:val="19"/>
                <w:szCs w:val="19"/>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40.1</w:t>
            </w:r>
          </w:p>
        </w:tc>
      </w:tr>
      <w:tr>
        <w:trPr>
          <w:trHeight w:val="84"/>
        </w:trPr>
        <w:tc>
          <w:tcPr>
            <w:tcW w:w="422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r>
      <w:tr>
        <w:trPr>
          <w:trHeight w:val="293"/>
        </w:trPr>
        <w:tc>
          <w:tcPr>
            <w:tcW w:w="4220" w:type="dxa"/>
            <w:vAlign w:val="bottom"/>
          </w:tcPr>
          <w:p>
            <w:pPr>
              <w:spacing w:after="0"/>
              <w:rPr>
                <w:sz w:val="20"/>
                <w:szCs w:val="20"/>
                <w:color w:val="auto"/>
              </w:rPr>
            </w:pPr>
            <w:r>
              <w:rPr>
                <w:rFonts w:ascii="Arial" w:cs="Arial" w:eastAsia="Arial" w:hAnsi="Arial"/>
                <w:sz w:val="15"/>
                <w:szCs w:val="15"/>
                <w:b w:val="1"/>
                <w:bCs w:val="1"/>
                <w:color w:val="auto"/>
              </w:rPr>
              <w:t>Balance Sheet Data:</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1"/>
        </w:trPr>
        <w:tc>
          <w:tcPr>
            <w:tcW w:w="4220" w:type="dxa"/>
            <w:vAlign w:val="bottom"/>
            <w:shd w:val="clear" w:color="auto" w:fill="E6E6E6"/>
          </w:tcPr>
          <w:p>
            <w:pPr>
              <w:spacing w:after="0"/>
              <w:rPr>
                <w:sz w:val="20"/>
                <w:szCs w:val="20"/>
                <w:color w:val="auto"/>
              </w:rPr>
            </w:pPr>
            <w:r>
              <w:rPr>
                <w:rFonts w:ascii="Arial" w:cs="Arial" w:eastAsia="Arial" w:hAnsi="Arial"/>
                <w:sz w:val="15"/>
                <w:szCs w:val="15"/>
                <w:color w:val="auto"/>
              </w:rPr>
              <w:t>Working capital</w:t>
            </w:r>
          </w:p>
        </w:tc>
        <w:tc>
          <w:tcPr>
            <w:tcW w:w="130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389.9</w:t>
            </w:r>
          </w:p>
        </w:tc>
        <w:tc>
          <w:tcPr>
            <w:tcW w:w="40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564.5</w:t>
            </w:r>
          </w:p>
        </w:tc>
        <w:tc>
          <w:tcPr>
            <w:tcW w:w="38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467.4</w:t>
            </w:r>
          </w:p>
        </w:tc>
        <w:tc>
          <w:tcPr>
            <w:tcW w:w="48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381.9</w:t>
            </w:r>
          </w:p>
        </w:tc>
        <w:tc>
          <w:tcPr>
            <w:tcW w:w="60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449.6</w:t>
            </w:r>
          </w:p>
        </w:tc>
      </w:tr>
      <w:tr>
        <w:trPr>
          <w:trHeight w:val="210"/>
        </w:trPr>
        <w:tc>
          <w:tcPr>
            <w:tcW w:w="422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3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205.3</w:t>
            </w:r>
          </w:p>
        </w:tc>
        <w:tc>
          <w:tcPr>
            <w:tcW w:w="4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110.6</w:t>
            </w:r>
          </w:p>
        </w:tc>
        <w:tc>
          <w:tcPr>
            <w:tcW w:w="3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17.8</w:t>
            </w:r>
          </w:p>
        </w:tc>
        <w:tc>
          <w:tcPr>
            <w:tcW w:w="4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58.6</w:t>
            </w:r>
          </w:p>
        </w:tc>
        <w:tc>
          <w:tcPr>
            <w:tcW w:w="60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10.7</w:t>
            </w:r>
          </w:p>
        </w:tc>
      </w:tr>
      <w:tr>
        <w:trPr>
          <w:trHeight w:val="210"/>
        </w:trPr>
        <w:tc>
          <w:tcPr>
            <w:tcW w:w="4220" w:type="dxa"/>
            <w:vAlign w:val="bottom"/>
            <w:shd w:val="clear" w:color="auto" w:fill="E6E6E6"/>
          </w:tcPr>
          <w:p>
            <w:pPr>
              <w:spacing w:after="0"/>
              <w:rPr>
                <w:sz w:val="20"/>
                <w:szCs w:val="20"/>
                <w:color w:val="auto"/>
              </w:rPr>
            </w:pPr>
            <w:r>
              <w:rPr>
                <w:rFonts w:ascii="Arial" w:cs="Arial" w:eastAsia="Arial" w:hAnsi="Arial"/>
                <w:sz w:val="15"/>
                <w:szCs w:val="15"/>
                <w:color w:val="auto"/>
              </w:rPr>
              <w:t>Total assets</w:t>
            </w:r>
          </w:p>
        </w:tc>
        <w:tc>
          <w:tcPr>
            <w:tcW w:w="130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2,052.2</w:t>
            </w:r>
          </w:p>
        </w:tc>
        <w:tc>
          <w:tcPr>
            <w:tcW w:w="4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1,931.4</w:t>
            </w:r>
          </w:p>
        </w:tc>
        <w:tc>
          <w:tcPr>
            <w:tcW w:w="38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1,831.8</w:t>
            </w:r>
          </w:p>
        </w:tc>
        <w:tc>
          <w:tcPr>
            <w:tcW w:w="48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1,863.0</w:t>
            </w:r>
          </w:p>
        </w:tc>
        <w:tc>
          <w:tcPr>
            <w:tcW w:w="600" w:type="dxa"/>
            <w:vAlign w:val="bottom"/>
            <w:shd w:val="clear" w:color="auto" w:fill="E6E6E6"/>
          </w:tcPr>
          <w:p>
            <w:pPr>
              <w:spacing w:after="0"/>
              <w:rPr>
                <w:sz w:val="18"/>
                <w:szCs w:val="18"/>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1,694.9</w:t>
            </w:r>
          </w:p>
        </w:tc>
      </w:tr>
      <w:tr>
        <w:trPr>
          <w:trHeight w:val="210"/>
        </w:trPr>
        <w:tc>
          <w:tcPr>
            <w:tcW w:w="4220" w:type="dxa"/>
            <w:vAlign w:val="bottom"/>
          </w:tcPr>
          <w:p>
            <w:pPr>
              <w:spacing w:after="0"/>
              <w:rPr>
                <w:sz w:val="20"/>
                <w:szCs w:val="20"/>
                <w:color w:val="auto"/>
              </w:rPr>
            </w:pPr>
            <w:r>
              <w:rPr>
                <w:rFonts w:ascii="Arial" w:cs="Arial" w:eastAsia="Arial" w:hAnsi="Arial"/>
                <w:sz w:val="15"/>
                <w:szCs w:val="15"/>
                <w:color w:val="auto"/>
              </w:rPr>
              <w:t>Long-term debt (excluding capital leases)</w:t>
            </w:r>
          </w:p>
        </w:tc>
        <w:tc>
          <w:tcPr>
            <w:tcW w:w="13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173.2</w:t>
            </w:r>
          </w:p>
        </w:tc>
        <w:tc>
          <w:tcPr>
            <w:tcW w:w="4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476.5</w:t>
            </w:r>
          </w:p>
        </w:tc>
        <w:tc>
          <w:tcPr>
            <w:tcW w:w="3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492.5</w:t>
            </w:r>
          </w:p>
        </w:tc>
        <w:tc>
          <w:tcPr>
            <w:tcW w:w="4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482.2</w:t>
            </w:r>
          </w:p>
        </w:tc>
        <w:tc>
          <w:tcPr>
            <w:tcW w:w="60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525.8</w:t>
            </w:r>
          </w:p>
        </w:tc>
      </w:tr>
      <w:tr>
        <w:trPr>
          <w:trHeight w:val="210"/>
        </w:trPr>
        <w:tc>
          <w:tcPr>
            <w:tcW w:w="4220" w:type="dxa"/>
            <w:vAlign w:val="bottom"/>
            <w:shd w:val="clear" w:color="auto" w:fill="E6E6E6"/>
          </w:tcPr>
          <w:p>
            <w:pPr>
              <w:spacing w:after="0"/>
              <w:rPr>
                <w:sz w:val="20"/>
                <w:szCs w:val="20"/>
                <w:color w:val="auto"/>
              </w:rPr>
            </w:pPr>
            <w:r>
              <w:rPr>
                <w:rFonts w:ascii="Arial" w:cs="Arial" w:eastAsia="Arial" w:hAnsi="Arial"/>
                <w:sz w:val="15"/>
                <w:szCs w:val="15"/>
                <w:color w:val="auto"/>
              </w:rPr>
              <w:t>Total debt</w:t>
            </w:r>
          </w:p>
        </w:tc>
        <w:tc>
          <w:tcPr>
            <w:tcW w:w="130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502.4</w:t>
            </w:r>
          </w:p>
        </w:tc>
        <w:tc>
          <w:tcPr>
            <w:tcW w:w="4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501.4</w:t>
            </w:r>
          </w:p>
        </w:tc>
        <w:tc>
          <w:tcPr>
            <w:tcW w:w="38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516.6</w:t>
            </w:r>
          </w:p>
        </w:tc>
        <w:tc>
          <w:tcPr>
            <w:tcW w:w="48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635.9</w:t>
            </w:r>
          </w:p>
        </w:tc>
        <w:tc>
          <w:tcPr>
            <w:tcW w:w="600" w:type="dxa"/>
            <w:vAlign w:val="bottom"/>
            <w:shd w:val="clear" w:color="auto" w:fill="E6E6E6"/>
          </w:tcPr>
          <w:p>
            <w:pPr>
              <w:spacing w:after="0"/>
              <w:rPr>
                <w:sz w:val="18"/>
                <w:szCs w:val="18"/>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549.3</w:t>
            </w:r>
          </w:p>
        </w:tc>
      </w:tr>
      <w:tr>
        <w:trPr>
          <w:trHeight w:val="210"/>
        </w:trPr>
        <w:tc>
          <w:tcPr>
            <w:tcW w:w="4220" w:type="dxa"/>
            <w:vAlign w:val="bottom"/>
          </w:tcPr>
          <w:p>
            <w:pPr>
              <w:spacing w:after="0"/>
              <w:rPr>
                <w:sz w:val="20"/>
                <w:szCs w:val="20"/>
                <w:color w:val="auto"/>
              </w:rPr>
            </w:pPr>
            <w:r>
              <w:rPr>
                <w:rFonts w:ascii="Arial" w:cs="Arial" w:eastAsia="Arial" w:hAnsi="Arial"/>
                <w:sz w:val="15"/>
                <w:szCs w:val="15"/>
                <w:color w:val="auto"/>
              </w:rPr>
              <w:t>Long-term capital lease obligations</w:t>
            </w:r>
          </w:p>
        </w:tc>
        <w:tc>
          <w:tcPr>
            <w:tcW w:w="13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61.4</w:t>
            </w:r>
          </w:p>
        </w:tc>
        <w:tc>
          <w:tcPr>
            <w:tcW w:w="4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63.4</w:t>
            </w:r>
          </w:p>
        </w:tc>
        <w:tc>
          <w:tcPr>
            <w:tcW w:w="3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63.8</w:t>
            </w:r>
          </w:p>
        </w:tc>
        <w:tc>
          <w:tcPr>
            <w:tcW w:w="4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58.2</w:t>
            </w:r>
          </w:p>
        </w:tc>
        <w:tc>
          <w:tcPr>
            <w:tcW w:w="60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56.8</w:t>
            </w:r>
          </w:p>
        </w:tc>
      </w:tr>
      <w:tr>
        <w:trPr>
          <w:trHeight w:val="210"/>
        </w:trPr>
        <w:tc>
          <w:tcPr>
            <w:tcW w:w="4220" w:type="dxa"/>
            <w:vAlign w:val="bottom"/>
            <w:shd w:val="clear" w:color="auto" w:fill="E6E6E6"/>
          </w:tcPr>
          <w:p>
            <w:pPr>
              <w:spacing w:after="0"/>
              <w:rPr>
                <w:sz w:val="20"/>
                <w:szCs w:val="20"/>
                <w:color w:val="auto"/>
              </w:rPr>
            </w:pPr>
            <w:r>
              <w:rPr>
                <w:rFonts w:ascii="Arial" w:cs="Arial" w:eastAsia="Arial" w:hAnsi="Arial"/>
                <w:sz w:val="15"/>
                <w:szCs w:val="15"/>
                <w:color w:val="auto"/>
              </w:rPr>
              <w:t>Total capital lease obligations</w:t>
            </w:r>
          </w:p>
        </w:tc>
        <w:tc>
          <w:tcPr>
            <w:tcW w:w="130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68.9</w:t>
            </w:r>
          </w:p>
        </w:tc>
        <w:tc>
          <w:tcPr>
            <w:tcW w:w="4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74.4</w:t>
            </w:r>
          </w:p>
        </w:tc>
        <w:tc>
          <w:tcPr>
            <w:tcW w:w="38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74.0</w:t>
            </w:r>
          </w:p>
        </w:tc>
        <w:tc>
          <w:tcPr>
            <w:tcW w:w="48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66.8</w:t>
            </w:r>
          </w:p>
        </w:tc>
        <w:tc>
          <w:tcPr>
            <w:tcW w:w="600" w:type="dxa"/>
            <w:vAlign w:val="bottom"/>
            <w:shd w:val="clear" w:color="auto" w:fill="E6E6E6"/>
          </w:tcPr>
          <w:p>
            <w:pPr>
              <w:spacing w:after="0"/>
              <w:rPr>
                <w:sz w:val="18"/>
                <w:szCs w:val="18"/>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61.7</w:t>
            </w:r>
          </w:p>
        </w:tc>
      </w:tr>
      <w:tr>
        <w:trPr>
          <w:trHeight w:val="219"/>
        </w:trPr>
        <w:tc>
          <w:tcPr>
            <w:tcW w:w="422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130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1,049.3</w:t>
            </w:r>
          </w:p>
        </w:tc>
        <w:tc>
          <w:tcPr>
            <w:tcW w:w="40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937.1</w:t>
            </w:r>
          </w:p>
        </w:tc>
        <w:tc>
          <w:tcPr>
            <w:tcW w:w="38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845.4</w:t>
            </w:r>
          </w:p>
        </w:tc>
        <w:tc>
          <w:tcPr>
            <w:tcW w:w="4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762.6</w:t>
            </w:r>
          </w:p>
        </w:tc>
        <w:tc>
          <w:tcPr>
            <w:tcW w:w="600" w:type="dxa"/>
            <w:vAlign w:val="bottom"/>
          </w:tcPr>
          <w:p>
            <w:pPr>
              <w:spacing w:after="0"/>
              <w:rPr>
                <w:sz w:val="19"/>
                <w:szCs w:val="19"/>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708.8</w:t>
            </w:r>
          </w:p>
        </w:tc>
      </w:tr>
      <w:tr>
        <w:trPr>
          <w:trHeight w:val="84"/>
        </w:trPr>
        <w:tc>
          <w:tcPr>
            <w:tcW w:w="422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r>
    </w:tbl>
    <w:p>
      <w:pPr>
        <w:spacing w:after="0" w:line="119" w:lineRule="exact"/>
        <w:rPr>
          <w:sz w:val="20"/>
          <w:szCs w:val="20"/>
          <w:color w:val="auto"/>
        </w:rPr>
      </w:pPr>
    </w:p>
    <w:p>
      <w:pPr>
        <w:ind w:left="7"/>
        <w:spacing w:after="0"/>
        <w:rPr>
          <w:sz w:val="20"/>
          <w:szCs w:val="20"/>
          <w:color w:val="auto"/>
        </w:rPr>
      </w:pPr>
      <w:r>
        <w:rPr>
          <w:rFonts w:ascii="Arial" w:cs="Arial" w:eastAsia="Arial" w:hAnsi="Arial"/>
          <w:sz w:val="15"/>
          <w:szCs w:val="15"/>
          <w:color w:val="auto"/>
        </w:rPr>
        <w:t>Certain prior year amounts have been reclassified to conform with the present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2656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ind w:left="487" w:right="260" w:hanging="487"/>
        <w:spacing w:after="0" w:line="293" w:lineRule="auto"/>
        <w:tabs>
          <w:tab w:leader="none" w:pos="487" w:val="left"/>
        </w:tabs>
        <w:numPr>
          <w:ilvl w:val="0"/>
          <w:numId w:val="5"/>
        </w:numPr>
        <w:rPr>
          <w:rFonts w:ascii="Arial" w:cs="Arial" w:eastAsia="Arial" w:hAnsi="Arial"/>
          <w:sz w:val="10"/>
          <w:szCs w:val="10"/>
          <w:color w:val="auto"/>
        </w:rPr>
      </w:pPr>
      <w:r>
        <w:rPr>
          <w:rFonts w:ascii="Arial" w:cs="Arial" w:eastAsia="Arial" w:hAnsi="Arial"/>
          <w:sz w:val="10"/>
          <w:szCs w:val="10"/>
          <w:color w:val="auto"/>
        </w:rPr>
        <w:t>In fiscal 2004, the Company recorded pre-tax charges of $25.4, or $0.41 per diluted share, in connection with a review of its continuity business. These charges have been recorded primarily as components of Cost of goods sold of $6.8; Selling, general and administrative expenses of $15.2; and Bad debt expense of $2.0. In fiscal 2005, the Company recorded additional pre-tax charges of $3.8, or $0.06 per diluted share, primarily related to severance costs due to the review of its continuity business, which have been recorded as a component of Selling, general and administrative expenses.</w:t>
      </w:r>
    </w:p>
    <w:p>
      <w:pPr>
        <w:spacing w:after="0" w:line="173" w:lineRule="exact"/>
        <w:rPr>
          <w:rFonts w:ascii="Arial" w:cs="Arial" w:eastAsia="Arial" w:hAnsi="Arial"/>
          <w:sz w:val="10"/>
          <w:szCs w:val="10"/>
          <w:color w:val="auto"/>
        </w:rPr>
      </w:pPr>
    </w:p>
    <w:p>
      <w:pPr>
        <w:ind w:left="487" w:hanging="487"/>
        <w:spacing w:after="0"/>
        <w:tabs>
          <w:tab w:leader="none" w:pos="48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fiscal 2006, the Company recorded pre-tax costs of $3.2, or $0.05 per diluted share, related to the write-down of certain print reference set assets.</w:t>
      </w:r>
    </w:p>
    <w:p>
      <w:pPr>
        <w:spacing w:after="0" w:line="199" w:lineRule="exact"/>
        <w:rPr>
          <w:rFonts w:ascii="Arial" w:cs="Arial" w:eastAsia="Arial" w:hAnsi="Arial"/>
          <w:sz w:val="12"/>
          <w:szCs w:val="12"/>
          <w:color w:val="auto"/>
        </w:rPr>
      </w:pPr>
    </w:p>
    <w:p>
      <w:pPr>
        <w:ind w:left="487" w:hanging="487"/>
        <w:spacing w:after="0"/>
        <w:tabs>
          <w:tab w:leader="none" w:pos="48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fiscal 2006, the Company recorded pre-tax bad debt expense of $2.9, or $0.04 per diluted share, associated with the bankruptcy of a customer.</w:t>
      </w:r>
    </w:p>
    <w:p>
      <w:pPr>
        <w:spacing w:after="0" w:line="199" w:lineRule="exact"/>
        <w:rPr>
          <w:rFonts w:ascii="Arial" w:cs="Arial" w:eastAsia="Arial" w:hAnsi="Arial"/>
          <w:sz w:val="12"/>
          <w:szCs w:val="12"/>
          <w:color w:val="auto"/>
        </w:rPr>
      </w:pPr>
    </w:p>
    <w:p>
      <w:pPr>
        <w:ind w:left="487" w:right="240" w:hanging="487"/>
        <w:spacing w:after="0" w:line="232" w:lineRule="auto"/>
        <w:tabs>
          <w:tab w:leader="none" w:pos="48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fiscal 2004 and fiscal 2003, the Company recorded pre-tax special severance charges of $3.3, or $0.05 per diluted share, and $10.9, or $0.18 per diluted share, respectively, relating to a reduction in its work force announced in May 2003 but implemented in those periods.</w:t>
      </w:r>
    </w:p>
    <w:p>
      <w:pPr>
        <w:spacing w:after="0" w:line="199" w:lineRule="exact"/>
        <w:rPr>
          <w:rFonts w:ascii="Arial" w:cs="Arial" w:eastAsia="Arial" w:hAnsi="Arial"/>
          <w:sz w:val="12"/>
          <w:szCs w:val="12"/>
          <w:color w:val="auto"/>
        </w:rPr>
      </w:pPr>
    </w:p>
    <w:p>
      <w:pPr>
        <w:ind w:left="487" w:right="60" w:hanging="487"/>
        <w:spacing w:after="0" w:line="318" w:lineRule="auto"/>
        <w:tabs>
          <w:tab w:leader="none" w:pos="487" w:val="left"/>
        </w:tabs>
        <w:numPr>
          <w:ilvl w:val="0"/>
          <w:numId w:val="5"/>
        </w:numPr>
        <w:rPr>
          <w:rFonts w:ascii="Arial" w:cs="Arial" w:eastAsia="Arial" w:hAnsi="Arial"/>
          <w:sz w:val="10"/>
          <w:szCs w:val="10"/>
          <w:color w:val="auto"/>
        </w:rPr>
      </w:pPr>
      <w:r>
        <w:rPr>
          <w:rFonts w:ascii="Arial" w:cs="Arial" w:eastAsia="Arial" w:hAnsi="Arial"/>
          <w:sz w:val="10"/>
          <w:szCs w:val="10"/>
          <w:color w:val="auto"/>
        </w:rPr>
        <w:t>In fiscal 2004, the Company recorded a pre-tax net gain of $8.0, or $0.13 per diluted share, in connection with the early termination of a sublease by one of its tenants. In fiscal 2003, the Company sold a portion of an equity investment, resulting in a pre-tax gain of $2.9, or $0.05 per diluted share. In fiscal 2002, the Company wrote off an equity investment, resulting in a pre-tax loss of $2.0, or $0.03 per diluted share.</w:t>
      </w:r>
    </w:p>
    <w:p>
      <w:pPr>
        <w:spacing w:after="0" w:line="161" w:lineRule="exact"/>
        <w:rPr>
          <w:rFonts w:ascii="Arial" w:cs="Arial" w:eastAsia="Arial" w:hAnsi="Arial"/>
          <w:sz w:val="10"/>
          <w:szCs w:val="10"/>
          <w:color w:val="auto"/>
        </w:rPr>
      </w:pPr>
    </w:p>
    <w:p>
      <w:pPr>
        <w:ind w:left="487" w:right="220" w:hanging="487"/>
        <w:spacing w:after="0" w:line="232" w:lineRule="auto"/>
        <w:tabs>
          <w:tab w:leader="none" w:pos="48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fiscal 2002, the Company adopted Statement of Position No. 00-2, “Accounting by Producers and Distributors of Films,” which resulted in an after-tax charge of $5.2, or $0.13 per diluted share, recorded as a Cumulative effect of accounting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245110</wp:posOffset>
            </wp:positionV>
            <wp:extent cx="1938655" cy="3403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48" w:right="219" w:bottom="1440" w:gutter="0" w:footer="0" w:header="0"/>
        </w:sectPr>
      </w:pPr>
    </w:p>
    <w:bookmarkStart w:id="19" w:name="page20"/>
    <w:bookmarkEnd w:id="19"/>
    <w:p>
      <w:pPr>
        <w:ind w:left="7"/>
        <w:spacing w:after="0"/>
        <w:tabs>
          <w:tab w:leader="none" w:pos="966" w:val="left"/>
        </w:tabs>
        <w:rPr>
          <w:sz w:val="20"/>
          <w:szCs w:val="20"/>
          <w:color w:val="auto"/>
        </w:rPr>
      </w:pPr>
      <w:r>
        <w:rPr>
          <w:rFonts w:ascii="Arial" w:cs="Arial" w:eastAsia="Arial" w:hAnsi="Arial"/>
          <w:sz w:val="15"/>
          <w:szCs w:val="15"/>
          <w:b w:val="1"/>
          <w:bCs w:val="1"/>
          <w:color w:val="auto"/>
        </w:rPr>
        <w:t>Item 7 |</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General</w:t>
      </w:r>
    </w:p>
    <w:p>
      <w:pPr>
        <w:spacing w:after="0" w:line="22" w:lineRule="exact"/>
        <w:rPr>
          <w:sz w:val="20"/>
          <w:szCs w:val="20"/>
          <w:color w:val="auto"/>
        </w:rPr>
      </w:pPr>
    </w:p>
    <w:p>
      <w:pPr>
        <w:ind w:left="7" w:right="300"/>
        <w:spacing w:after="0" w:line="269" w:lineRule="auto"/>
        <w:rPr>
          <w:sz w:val="20"/>
          <w:szCs w:val="20"/>
          <w:color w:val="auto"/>
        </w:rPr>
      </w:pPr>
      <w:r>
        <w:rPr>
          <w:rFonts w:ascii="Arial" w:cs="Arial" w:eastAsia="Arial" w:hAnsi="Arial"/>
          <w:sz w:val="15"/>
          <w:szCs w:val="15"/>
          <w:color w:val="auto"/>
        </w:rPr>
        <w:t xml:space="preserve">The Company categorizes its businesses into four operating segments: </w:t>
      </w:r>
      <w:r>
        <w:rPr>
          <w:rFonts w:ascii="Arial" w:cs="Arial" w:eastAsia="Arial" w:hAnsi="Arial"/>
          <w:sz w:val="15"/>
          <w:szCs w:val="15"/>
          <w:i w:val="1"/>
          <w:iCs w:val="1"/>
          <w:color w:val="auto"/>
        </w:rPr>
        <w:t>Children’s Book Publishing and Distribution; Educational Publishing; Media, Licensing and Advertising</w:t>
      </w:r>
      <w:r>
        <w:rPr>
          <w:rFonts w:ascii="Arial" w:cs="Arial" w:eastAsia="Arial" w:hAnsi="Arial"/>
          <w:sz w:val="15"/>
          <w:szCs w:val="15"/>
          <w:color w:val="auto"/>
        </w:rPr>
        <w:t xml:space="preserve"> (which collectively represent the Company’s domestic operations); and </w:t>
      </w:r>
      <w:r>
        <w:rPr>
          <w:rFonts w:ascii="Arial" w:cs="Arial" w:eastAsia="Arial" w:hAnsi="Arial"/>
          <w:sz w:val="15"/>
          <w:szCs w:val="15"/>
          <w:i w:val="1"/>
          <w:iCs w:val="1"/>
          <w:color w:val="auto"/>
        </w:rPr>
        <w:t>International</w:t>
      </w:r>
      <w:r>
        <w:rPr>
          <w:rFonts w:ascii="Arial" w:cs="Arial" w:eastAsia="Arial" w:hAnsi="Arial"/>
          <w:sz w:val="15"/>
          <w:szCs w:val="15"/>
          <w:color w:val="auto"/>
        </w:rPr>
        <w:t>. This classification reflects the nature of products and services consistent with the method by which the Company’s chief operating decision-maker assesses operating performance and allocates resources.</w:t>
      </w:r>
    </w:p>
    <w:p>
      <w:pPr>
        <w:spacing w:after="0" w:line="161" w:lineRule="exact"/>
        <w:rPr>
          <w:sz w:val="20"/>
          <w:szCs w:val="20"/>
          <w:color w:val="auto"/>
        </w:rPr>
      </w:pPr>
    </w:p>
    <w:p>
      <w:pPr>
        <w:ind w:left="7" w:right="160"/>
        <w:spacing w:after="0" w:line="285" w:lineRule="auto"/>
        <w:rPr>
          <w:sz w:val="20"/>
          <w:szCs w:val="20"/>
          <w:color w:val="auto"/>
        </w:rPr>
      </w:pPr>
      <w:r>
        <w:rPr>
          <w:rFonts w:ascii="Arial" w:cs="Arial" w:eastAsia="Arial" w:hAnsi="Arial"/>
          <w:sz w:val="15"/>
          <w:szCs w:val="15"/>
          <w:color w:val="auto"/>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Overview and Outlook</w:t>
      </w:r>
    </w:p>
    <w:p>
      <w:pPr>
        <w:spacing w:after="0" w:line="22" w:lineRule="exact"/>
        <w:rPr>
          <w:sz w:val="20"/>
          <w:szCs w:val="20"/>
          <w:color w:val="auto"/>
        </w:rPr>
      </w:pPr>
    </w:p>
    <w:p>
      <w:pPr>
        <w:ind w:left="7" w:right="160"/>
        <w:spacing w:after="0" w:line="265" w:lineRule="auto"/>
        <w:rPr>
          <w:sz w:val="20"/>
          <w:szCs w:val="20"/>
          <w:color w:val="auto"/>
        </w:rPr>
      </w:pPr>
      <w:r>
        <w:rPr>
          <w:rFonts w:ascii="Arial" w:cs="Arial" w:eastAsia="Arial" w:hAnsi="Arial"/>
          <w:sz w:val="15"/>
          <w:szCs w:val="15"/>
          <w:color w:val="auto"/>
        </w:rPr>
        <w:t xml:space="preserve">Fiscal 2006 revenues increased approximately 10% from fiscal 2005 to approximately $2.3 billion, led by higher revenues in the Company’s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primarily due to the release of </w:t>
      </w:r>
      <w:r>
        <w:rPr>
          <w:rFonts w:ascii="Arial" w:cs="Arial" w:eastAsia="Arial" w:hAnsi="Arial"/>
          <w:sz w:val="15"/>
          <w:szCs w:val="15"/>
          <w:i w:val="1"/>
          <w:iCs w:val="1"/>
          <w:color w:val="auto"/>
        </w:rPr>
        <w:t>Harry Potter and the Half-Blood Prince,</w:t>
      </w:r>
      <w:r>
        <w:rPr>
          <w:rFonts w:ascii="Arial" w:cs="Arial" w:eastAsia="Arial" w:hAnsi="Arial"/>
          <w:sz w:val="15"/>
          <w:szCs w:val="15"/>
          <w:color w:val="auto"/>
        </w:rPr>
        <w:t xml:space="preserve"> the sixth book in the planned seven book series, on July 16, 2005. Revenues also increased in the </w:t>
      </w:r>
      <w:r>
        <w:rPr>
          <w:rFonts w:ascii="Arial" w:cs="Arial" w:eastAsia="Arial" w:hAnsi="Arial"/>
          <w:sz w:val="15"/>
          <w:szCs w:val="15"/>
          <w:i w:val="1"/>
          <w:iCs w:val="1"/>
          <w:color w:val="auto"/>
        </w:rPr>
        <w:t xml:space="preserve">Educational Publishing </w:t>
      </w:r>
      <w:r>
        <w:rPr>
          <w:rFonts w:ascii="Arial" w:cs="Arial" w:eastAsia="Arial" w:hAnsi="Arial"/>
          <w:sz w:val="15"/>
          <w:szCs w:val="15"/>
          <w:color w:val="auto"/>
        </w:rPr>
        <w:t>segment, led by sales of educational technology products, including the Company’s</w:t>
      </w:r>
      <w:r>
        <w:rPr>
          <w:rFonts w:ascii="Arial" w:cs="Arial" w:eastAsia="Arial" w:hAnsi="Arial"/>
          <w:sz w:val="15"/>
          <w:szCs w:val="15"/>
          <w:i w:val="1"/>
          <w:iCs w:val="1"/>
          <w:color w:val="auto"/>
        </w:rPr>
        <w:t xml:space="preserve"> READ 180 </w:t>
      </w:r>
      <w:r>
        <w:rPr>
          <w:rFonts w:ascii="Arial" w:cs="Arial" w:eastAsia="Arial" w:hAnsi="Arial"/>
          <w:sz w:val="15"/>
          <w:szCs w:val="15"/>
          <w:color w:val="auto"/>
        </w:rPr>
        <w:t>reading intervention program, and in the</w:t>
      </w:r>
      <w:r>
        <w:rPr>
          <w:rFonts w:ascii="Arial" w:cs="Arial" w:eastAsia="Arial" w:hAnsi="Arial"/>
          <w:sz w:val="15"/>
          <w:szCs w:val="15"/>
          <w:i w:val="1"/>
          <w:iCs w:val="1"/>
          <w:color w:val="auto"/>
        </w:rPr>
        <w:t xml:space="preserve"> International </w:t>
      </w:r>
      <w:r>
        <w:rPr>
          <w:rFonts w:ascii="Arial" w:cs="Arial" w:eastAsia="Arial" w:hAnsi="Arial"/>
          <w:sz w:val="15"/>
          <w:szCs w:val="15"/>
          <w:color w:val="auto"/>
        </w:rPr>
        <w:t>and</w:t>
      </w:r>
      <w:r>
        <w:rPr>
          <w:rFonts w:ascii="Arial" w:cs="Arial" w:eastAsia="Arial" w:hAnsi="Arial"/>
          <w:sz w:val="15"/>
          <w:szCs w:val="15"/>
          <w:i w:val="1"/>
          <w:iCs w:val="1"/>
          <w:color w:val="auto"/>
        </w:rPr>
        <w:t xml:space="preserve"> Media, Licensing and Advertising </w:t>
      </w:r>
      <w:r>
        <w:rPr>
          <w:rFonts w:ascii="Arial" w:cs="Arial" w:eastAsia="Arial" w:hAnsi="Arial"/>
          <w:sz w:val="15"/>
          <w:szCs w:val="15"/>
          <w:color w:val="auto"/>
        </w:rPr>
        <w:t>segments.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3"/>
          <w:szCs w:val="13"/>
          <w:color w:val="auto"/>
        </w:rPr>
        <w:t xml:space="preserve">Net income increased 6.7% to $68.6 million in fiscal 2006, due to improved results in the </w:t>
      </w:r>
      <w:r>
        <w:rPr>
          <w:rFonts w:ascii="Arial" w:cs="Arial" w:eastAsia="Arial" w:hAnsi="Arial"/>
          <w:sz w:val="13"/>
          <w:szCs w:val="13"/>
          <w:i w:val="1"/>
          <w:iCs w:val="1"/>
          <w:color w:val="auto"/>
        </w:rPr>
        <w:t>Children’s Book Publishing and Distribution</w:t>
      </w:r>
      <w:r>
        <w:rPr>
          <w:rFonts w:ascii="Arial" w:cs="Arial" w:eastAsia="Arial" w:hAnsi="Arial"/>
          <w:sz w:val="13"/>
          <w:szCs w:val="13"/>
          <w:color w:val="auto"/>
        </w:rPr>
        <w:t xml:space="preserve"> segment, as a result of higher </w:t>
      </w:r>
      <w:r>
        <w:rPr>
          <w:rFonts w:ascii="Arial" w:cs="Arial" w:eastAsia="Arial" w:hAnsi="Arial"/>
          <w:sz w:val="13"/>
          <w:szCs w:val="13"/>
          <w:i w:val="1"/>
          <w:iCs w:val="1"/>
          <w:color w:val="auto"/>
        </w:rPr>
        <w:t>Harry Potter</w:t>
      </w:r>
      <w:r>
        <w:rPr>
          <w:rFonts w:ascii="Arial" w:cs="Arial" w:eastAsia="Arial" w:hAnsi="Arial"/>
          <w:sz w:val="13"/>
          <w:szCs w:val="13"/>
          <w:color w:val="auto"/>
        </w:rPr>
        <w:t xml:space="preserve"> revenues.</w:t>
      </w:r>
    </w:p>
    <w:p>
      <w:pPr>
        <w:spacing w:after="0" w:line="4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This improvement was partially offset by lower profits in each of the other operating segments.</w:t>
      </w:r>
    </w:p>
    <w:p>
      <w:pPr>
        <w:spacing w:after="0" w:line="196" w:lineRule="exact"/>
        <w:rPr>
          <w:sz w:val="20"/>
          <w:szCs w:val="20"/>
          <w:color w:val="auto"/>
        </w:rPr>
      </w:pPr>
    </w:p>
    <w:p>
      <w:pPr>
        <w:ind w:left="7"/>
        <w:spacing w:after="0" w:line="301" w:lineRule="auto"/>
        <w:rPr>
          <w:sz w:val="20"/>
          <w:szCs w:val="20"/>
          <w:color w:val="auto"/>
        </w:rPr>
      </w:pPr>
      <w:r>
        <w:rPr>
          <w:rFonts w:ascii="Arial" w:cs="Arial" w:eastAsia="Arial" w:hAnsi="Arial"/>
          <w:sz w:val="13"/>
          <w:szCs w:val="13"/>
          <w:color w:val="auto"/>
        </w:rPr>
        <w:t>In fiscal 2007, the Company expects to improve overall profitability on slightly lower revenues. This goal is based on: (1) revenue and profit growth in the school-based book fair, continuities and non-</w:t>
      </w:r>
      <w:r>
        <w:rPr>
          <w:rFonts w:ascii="Arial" w:cs="Arial" w:eastAsia="Arial" w:hAnsi="Arial"/>
          <w:sz w:val="13"/>
          <w:szCs w:val="13"/>
          <w:i w:val="1"/>
          <w:iCs w:val="1"/>
          <w:color w:val="auto"/>
        </w:rPr>
        <w:t>Harry Potter</w:t>
      </w:r>
      <w:r>
        <w:rPr>
          <w:rFonts w:ascii="Arial" w:cs="Arial" w:eastAsia="Arial" w:hAnsi="Arial"/>
          <w:sz w:val="13"/>
          <w:szCs w:val="13"/>
          <w:color w:val="auto"/>
        </w:rPr>
        <w:t xml:space="preserve"> trade publishing businesses within the </w:t>
      </w:r>
      <w:r>
        <w:rPr>
          <w:rFonts w:ascii="Arial" w:cs="Arial" w:eastAsia="Arial" w:hAnsi="Arial"/>
          <w:sz w:val="13"/>
          <w:szCs w:val="13"/>
          <w:i w:val="1"/>
          <w:iCs w:val="1"/>
          <w:color w:val="auto"/>
        </w:rPr>
        <w:t>Children’s Book Publishing and Distribution</w:t>
      </w:r>
      <w:r>
        <w:rPr>
          <w:rFonts w:ascii="Arial" w:cs="Arial" w:eastAsia="Arial" w:hAnsi="Arial"/>
          <w:sz w:val="13"/>
          <w:szCs w:val="13"/>
          <w:color w:val="auto"/>
        </w:rPr>
        <w:t xml:space="preserve"> segment, partially offsetting the revenue and profit impact from lower </w:t>
      </w:r>
      <w:r>
        <w:rPr>
          <w:rFonts w:ascii="Arial" w:cs="Arial" w:eastAsia="Arial" w:hAnsi="Arial"/>
          <w:sz w:val="13"/>
          <w:szCs w:val="13"/>
          <w:i w:val="1"/>
          <w:iCs w:val="1"/>
          <w:color w:val="auto"/>
        </w:rPr>
        <w:t xml:space="preserve">Harry Potter </w:t>
      </w:r>
      <w:r>
        <w:rPr>
          <w:rFonts w:ascii="Arial" w:cs="Arial" w:eastAsia="Arial" w:hAnsi="Arial"/>
          <w:sz w:val="13"/>
          <w:szCs w:val="13"/>
          <w:color w:val="auto"/>
        </w:rPr>
        <w:t>sales in a year with no scheduled new release, and lower revenues and higher profits in the school-based book clubs, based on the Company’s decision to eliminate its</w:t>
      </w:r>
      <w:r>
        <w:rPr>
          <w:rFonts w:ascii="Arial" w:cs="Arial" w:eastAsia="Arial" w:hAnsi="Arial"/>
          <w:sz w:val="13"/>
          <w:szCs w:val="13"/>
          <w:i w:val="1"/>
          <w:iCs w:val="1"/>
          <w:color w:val="auto"/>
        </w:rPr>
        <w:t xml:space="preserve"> Trumpet </w:t>
      </w:r>
      <w:r>
        <w:rPr>
          <w:rFonts w:ascii="Arial" w:cs="Arial" w:eastAsia="Arial" w:hAnsi="Arial"/>
          <w:sz w:val="13"/>
          <w:szCs w:val="13"/>
          <w:color w:val="auto"/>
        </w:rPr>
        <w:t xml:space="preserve">and </w:t>
      </w:r>
      <w:r>
        <w:rPr>
          <w:rFonts w:ascii="Arial" w:cs="Arial" w:eastAsia="Arial" w:hAnsi="Arial"/>
          <w:sz w:val="13"/>
          <w:szCs w:val="13"/>
          <w:i w:val="1"/>
          <w:iCs w:val="1"/>
          <w:color w:val="auto"/>
        </w:rPr>
        <w:t>Troll/Carnival</w:t>
      </w:r>
      <w:r>
        <w:rPr>
          <w:rFonts w:ascii="Arial" w:cs="Arial" w:eastAsia="Arial" w:hAnsi="Arial"/>
          <w:sz w:val="13"/>
          <w:szCs w:val="13"/>
          <w:color w:val="auto"/>
        </w:rPr>
        <w:t xml:space="preserve"> book clubs; (2) revenue growth in the </w:t>
      </w:r>
      <w:r>
        <w:rPr>
          <w:rFonts w:ascii="Arial" w:cs="Arial" w:eastAsia="Arial" w:hAnsi="Arial"/>
          <w:sz w:val="13"/>
          <w:szCs w:val="13"/>
          <w:i w:val="1"/>
          <w:iCs w:val="1"/>
          <w:color w:val="auto"/>
        </w:rPr>
        <w:t>Educational Publishing</w:t>
      </w:r>
      <w:r>
        <w:rPr>
          <w:rFonts w:ascii="Arial" w:cs="Arial" w:eastAsia="Arial" w:hAnsi="Arial"/>
          <w:sz w:val="13"/>
          <w:szCs w:val="13"/>
          <w:color w:val="auto"/>
        </w:rPr>
        <w:t xml:space="preserve"> segment, based on last year’s investment in sales and support, particularly from educational technology;</w:t>
      </w:r>
    </w:p>
    <w:p>
      <w:pPr>
        <w:ind w:left="7" w:hanging="7"/>
        <w:spacing w:after="0" w:line="278" w:lineRule="auto"/>
        <w:tabs>
          <w:tab w:leader="none" w:pos="221"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continued revenue growth in the </w:t>
      </w:r>
      <w:r>
        <w:rPr>
          <w:rFonts w:ascii="Arial" w:cs="Arial" w:eastAsia="Arial" w:hAnsi="Arial"/>
          <w:sz w:val="15"/>
          <w:szCs w:val="15"/>
          <w:i w:val="1"/>
          <w:iCs w:val="1"/>
          <w:color w:val="auto"/>
        </w:rPr>
        <w:t>International</w:t>
      </w:r>
      <w:r>
        <w:rPr>
          <w:rFonts w:ascii="Arial" w:cs="Arial" w:eastAsia="Arial" w:hAnsi="Arial"/>
          <w:sz w:val="15"/>
          <w:szCs w:val="15"/>
          <w:color w:val="auto"/>
        </w:rPr>
        <w:t xml:space="preserve"> segment with improved profitability; and (4) ongoing implementation of the Company’s previously announced cost savings plan to reduce overhead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102870</wp:posOffset>
            </wp:positionV>
            <wp:extent cx="1938655" cy="3403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7"/>
          </w:cols>
          <w:pgMar w:left="233" w:top="124" w:right="2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2"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and installment receivables; sales returns; amortization periods; pension and other post-retirement obligations; and recoverability of inventories, deferred promotion costs, deferred income taxes and tax reserves, prepublication costs, royalty advances, goodwill and other intangibles.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policies and account descriptions include all those identified by the Company as critical to its business operations and the understanding of its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Company’s revenue recognition policies for its principal businesses are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School-Based Book Clubs </w:t>
      </w:r>
      <w:r>
        <w:rPr>
          <w:rFonts w:ascii="Arial" w:cs="Arial" w:eastAsia="Arial" w:hAnsi="Arial"/>
          <w:sz w:val="15"/>
          <w:szCs w:val="15"/>
          <w:color w:val="auto"/>
        </w:rPr>
        <w:t>– Revenue from school-based book clubs is recognized upon shipment of the products.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School-Based Book Fairs </w:t>
      </w:r>
      <w:r>
        <w:rPr>
          <w:rFonts w:ascii="Arial" w:cs="Arial" w:eastAsia="Arial" w:hAnsi="Arial"/>
          <w:sz w:val="15"/>
          <w:szCs w:val="15"/>
          <w:color w:val="auto"/>
        </w:rPr>
        <w:t>– Revenue from school-based book fairs, which are generally a week in duration, is recognized ratably as each book fair occurs.</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color w:val="auto"/>
        </w:rPr>
        <w:t xml:space="preserve">Continuity Programs </w:t>
      </w:r>
      <w:r>
        <w:rPr>
          <w:rFonts w:ascii="Arial" w:cs="Arial" w:eastAsia="Arial" w:hAnsi="Arial"/>
          <w:sz w:val="14"/>
          <w:szCs w:val="14"/>
          <w:color w:val="auto"/>
        </w:rPr>
        <w:t>– The Company operates continuity programs whereby customers generally place an order to receive multiple shipments of children’s books and other products over</w:t>
      </w:r>
      <w:r>
        <w:rPr>
          <w:rFonts w:ascii="Arial" w:cs="Arial" w:eastAsia="Arial" w:hAnsi="Arial"/>
          <w:sz w:val="14"/>
          <w:szCs w:val="14"/>
          <w:b w:val="1"/>
          <w:bCs w:val="1"/>
          <w:color w:val="auto"/>
        </w:rPr>
        <w:t xml:space="preserve"> </w:t>
      </w:r>
      <w:r>
        <w:rPr>
          <w:rFonts w:ascii="Arial" w:cs="Arial" w:eastAsia="Arial" w:hAnsi="Arial"/>
          <w:sz w:val="14"/>
          <w:szCs w:val="14"/>
          <w:color w:val="auto"/>
        </w:rPr>
        <w:t>a period of time. Revenue from continuity programs is recognized at the time of shipment or, in applicable cases, upon customer acceptance. Reserves for estimated returns are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 A one percentage point change in the estimated reserve for returns rate by product and media would have resulted in an increase or decrease in operating income for the year ended May 31, 2006 of approximately $0.2 million.</w:t>
      </w:r>
    </w:p>
    <w:p>
      <w:pPr>
        <w:spacing w:after="0" w:line="146"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b w:val="1"/>
          <w:bCs w:val="1"/>
          <w:color w:val="auto"/>
        </w:rPr>
        <w:t xml:space="preserve">Trade </w:t>
      </w:r>
      <w:r>
        <w:rPr>
          <w:rFonts w:ascii="Arial" w:cs="Arial" w:eastAsia="Arial" w:hAnsi="Arial"/>
          <w:sz w:val="15"/>
          <w:szCs w:val="15"/>
          <w:color w:val="auto"/>
        </w:rPr>
        <w:t>– Revenue from the sale of children’s books for distribution in the retail channel is primarily recognized when title transfers to the customer, which generally is at the time of</w:t>
      </w:r>
      <w:r>
        <w:rPr>
          <w:rFonts w:ascii="Arial" w:cs="Arial" w:eastAsia="Arial" w:hAnsi="Arial"/>
          <w:sz w:val="15"/>
          <w:szCs w:val="15"/>
          <w:b w:val="1"/>
          <w:bCs w:val="1"/>
          <w:color w:val="auto"/>
        </w:rPr>
        <w:t xml:space="preserve"> </w:t>
      </w:r>
      <w:r>
        <w:rPr>
          <w:rFonts w:ascii="Arial" w:cs="Arial" w:eastAsia="Arial" w:hAnsi="Arial"/>
          <w:sz w:val="15"/>
          <w:szCs w:val="15"/>
          <w:color w:val="auto"/>
        </w:rPr>
        <w:t>shipment, or when the product is on sale and available to the public. A reserve for estimated returns is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 A one percentage point change in the estimated reserve for returns rate would have resulted in an increase or decrease in operating income for the year ended May 31, 2006 of approximately $1.5 million.</w:t>
      </w:r>
    </w:p>
    <w:p>
      <w:pPr>
        <w:spacing w:after="0" w:line="159"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b w:val="1"/>
          <w:bCs w:val="1"/>
          <w:color w:val="auto"/>
        </w:rPr>
        <w:t xml:space="preserve">Educational Publishing </w:t>
      </w:r>
      <w:r>
        <w:rPr>
          <w:rFonts w:ascii="Arial" w:cs="Arial" w:eastAsia="Arial" w:hAnsi="Arial"/>
          <w:sz w:val="15"/>
          <w:szCs w:val="15"/>
          <w:color w:val="auto"/>
        </w:rPr>
        <w:t>– For shipments to schools, revenue is recognized on passage of title, which generally occurs upon receipt by the customer. Shipments to depositories are on</w:t>
      </w:r>
      <w:r>
        <w:rPr>
          <w:rFonts w:ascii="Arial" w:cs="Arial" w:eastAsia="Arial" w:hAnsi="Arial"/>
          <w:sz w:val="15"/>
          <w:szCs w:val="15"/>
          <w:b w:val="1"/>
          <w:bCs w:val="1"/>
          <w:color w:val="auto"/>
        </w:rPr>
        <w:t xml:space="preserve"> </w:t>
      </w:r>
      <w:r>
        <w:rPr>
          <w:rFonts w:ascii="Arial" w:cs="Arial" w:eastAsia="Arial" w:hAnsi="Arial"/>
          <w:sz w:val="15"/>
          <w:szCs w:val="15"/>
          <w:color w:val="auto"/>
        </w:rPr>
        <w:t>consignment. Revenue is recognized based on actual shipments from the depositories to the schools. For certain software-based products, the Company offers new customers installation and training. In such cases, revenue is recognized when installation and training are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104140</wp:posOffset>
            </wp:positionV>
            <wp:extent cx="1938655" cy="340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1" w:name="page22"/>
    <w:bookmarkEnd w:id="21"/>
    <w:p>
      <w:pPr>
        <w:ind w:right="20"/>
        <w:spacing w:after="0" w:line="275" w:lineRule="auto"/>
        <w:rPr>
          <w:sz w:val="20"/>
          <w:szCs w:val="20"/>
          <w:color w:val="auto"/>
        </w:rPr>
      </w:pPr>
      <w:r>
        <w:rPr>
          <w:rFonts w:ascii="Arial" w:cs="Arial" w:eastAsia="Arial" w:hAnsi="Arial"/>
          <w:sz w:val="15"/>
          <w:szCs w:val="15"/>
          <w:b w:val="1"/>
          <w:bCs w:val="1"/>
          <w:color w:val="auto"/>
        </w:rPr>
        <w:t xml:space="preserve">Toy Catalog </w:t>
      </w:r>
      <w:r>
        <w:rPr>
          <w:rFonts w:ascii="Arial" w:cs="Arial" w:eastAsia="Arial" w:hAnsi="Arial"/>
          <w:sz w:val="15"/>
          <w:szCs w:val="15"/>
          <w:color w:val="auto"/>
        </w:rPr>
        <w:t>– Revenue from the sale of children’s toys to the home through catalogs is recognized when title transfers to the customer, which is generally at the time of shipment. A</w:t>
      </w:r>
      <w:r>
        <w:rPr>
          <w:rFonts w:ascii="Arial" w:cs="Arial" w:eastAsia="Arial" w:hAnsi="Arial"/>
          <w:sz w:val="15"/>
          <w:szCs w:val="15"/>
          <w:b w:val="1"/>
          <w:bCs w:val="1"/>
          <w:color w:val="auto"/>
        </w:rPr>
        <w:t xml:space="preserve"> </w:t>
      </w:r>
      <w:r>
        <w:rPr>
          <w:rFonts w:ascii="Arial" w:cs="Arial" w:eastAsia="Arial" w:hAnsi="Arial"/>
          <w:sz w:val="15"/>
          <w:szCs w:val="15"/>
          <w:color w:val="auto"/>
        </w:rPr>
        <w:t>reserve for estimated returns is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w:t>
      </w:r>
    </w:p>
    <w:p>
      <w:pPr>
        <w:spacing w:after="0" w:line="153" w:lineRule="exact"/>
        <w:rPr>
          <w:sz w:val="20"/>
          <w:szCs w:val="20"/>
          <w:color w:val="auto"/>
        </w:rPr>
      </w:pPr>
    </w:p>
    <w:p>
      <w:pPr>
        <w:jc w:val="both"/>
        <w:ind w:right="120"/>
        <w:spacing w:after="0" w:line="275" w:lineRule="auto"/>
        <w:rPr>
          <w:sz w:val="20"/>
          <w:szCs w:val="20"/>
          <w:color w:val="auto"/>
        </w:rPr>
      </w:pPr>
      <w:r>
        <w:rPr>
          <w:rFonts w:ascii="Arial" w:cs="Arial" w:eastAsia="Arial" w:hAnsi="Arial"/>
          <w:sz w:val="15"/>
          <w:szCs w:val="15"/>
          <w:b w:val="1"/>
          <w:bCs w:val="1"/>
          <w:color w:val="auto"/>
        </w:rPr>
        <w:t xml:space="preserve">Film Production and Licensing </w:t>
      </w:r>
      <w:r>
        <w:rPr>
          <w:rFonts w:ascii="Arial" w:cs="Arial" w:eastAsia="Arial" w:hAnsi="Arial"/>
          <w:sz w:val="15"/>
          <w:szCs w:val="15"/>
          <w:color w:val="auto"/>
        </w:rPr>
        <w:t>– Revenue from the sale of film rights, principally for the home video and domestic and foreign television markets, is recognized when the film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and is available for showing or exploitation. Licensing revenue is recorded in accordance with royalty agreements at the time the licensed materials are available to the licensee and collections are reasonably assured.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Magazines </w:t>
      </w:r>
      <w:r>
        <w:rPr>
          <w:rFonts w:ascii="Arial" w:cs="Arial" w:eastAsia="Arial" w:hAnsi="Arial"/>
          <w:sz w:val="15"/>
          <w:szCs w:val="15"/>
          <w:color w:val="auto"/>
        </w:rPr>
        <w:t>– Revenue is deferred and recognized ratably over the subscription period, as the magazines are delivered.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Magazine Advertising </w:t>
      </w:r>
      <w:r>
        <w:rPr>
          <w:rFonts w:ascii="Arial" w:cs="Arial" w:eastAsia="Arial" w:hAnsi="Arial"/>
          <w:sz w:val="15"/>
          <w:szCs w:val="15"/>
          <w:color w:val="auto"/>
        </w:rPr>
        <w:t>– Revenue is recognized when the magazine is on sale and available to the subscribers.</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color w:val="auto"/>
        </w:rPr>
        <w:t xml:space="preserve">Scholastic In-School Marketing </w:t>
      </w:r>
      <w:r>
        <w:rPr>
          <w:rFonts w:ascii="Arial" w:cs="Arial" w:eastAsia="Arial" w:hAnsi="Arial"/>
          <w:sz w:val="15"/>
          <w:szCs w:val="15"/>
          <w:color w:val="auto"/>
        </w:rPr>
        <w:t>– Revenue is recognized when the Company has satisfied its obligations under the program and the customer has acknowledged acceptance of the product</w:t>
      </w:r>
      <w:r>
        <w:rPr>
          <w:rFonts w:ascii="Arial" w:cs="Arial" w:eastAsia="Arial" w:hAnsi="Arial"/>
          <w:sz w:val="15"/>
          <w:szCs w:val="15"/>
          <w:b w:val="1"/>
          <w:bCs w:val="1"/>
          <w:color w:val="auto"/>
        </w:rPr>
        <w:t xml:space="preserve"> </w:t>
      </w:r>
      <w:r>
        <w:rPr>
          <w:rFonts w:ascii="Arial" w:cs="Arial" w:eastAsia="Arial" w:hAnsi="Arial"/>
          <w:sz w:val="15"/>
          <w:szCs w:val="15"/>
          <w:color w:val="auto"/>
        </w:rPr>
        <w:t>or service.</w:t>
      </w:r>
    </w:p>
    <w:p>
      <w:pPr>
        <w:spacing w:after="0" w:line="146"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For the fiscal years ended May 31, 2006, 2005 and 2004, no significant changes have been made to the underlying assumptions related to the revenue recognition policy or the methodology applied.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 receivable:</w:t>
      </w:r>
    </w:p>
    <w:p>
      <w:pPr>
        <w:spacing w:after="0" w:line="22" w:lineRule="exact"/>
        <w:rPr>
          <w:sz w:val="20"/>
          <w:szCs w:val="20"/>
          <w:color w:val="auto"/>
        </w:rPr>
      </w:pPr>
    </w:p>
    <w:p>
      <w:pPr>
        <w:ind w:right="200"/>
        <w:spacing w:after="0" w:line="304" w:lineRule="auto"/>
        <w:rPr>
          <w:sz w:val="20"/>
          <w:szCs w:val="20"/>
          <w:color w:val="auto"/>
        </w:rPr>
      </w:pPr>
      <w:r>
        <w:rPr>
          <w:rFonts w:ascii="Arial" w:cs="Arial" w:eastAsia="Arial" w:hAnsi="Arial"/>
          <w:sz w:val="14"/>
          <w:szCs w:val="14"/>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w:t>
      </w:r>
    </w:p>
    <w:p>
      <w:pPr>
        <w:spacing w:after="0" w:line="139" w:lineRule="exact"/>
        <w:rPr>
          <w:sz w:val="20"/>
          <w:szCs w:val="20"/>
          <w:color w:val="auto"/>
        </w:rPr>
      </w:pPr>
    </w:p>
    <w:p>
      <w:pPr>
        <w:ind w:right="200"/>
        <w:spacing w:after="0" w:line="272" w:lineRule="auto"/>
        <w:rPr>
          <w:sz w:val="20"/>
          <w:szCs w:val="20"/>
          <w:color w:val="auto"/>
        </w:rPr>
      </w:pPr>
      <w:r>
        <w:rPr>
          <w:rFonts w:ascii="Arial" w:cs="Arial" w:eastAsia="Arial" w:hAnsi="Arial"/>
          <w:sz w:val="15"/>
          <w:szCs w:val="15"/>
          <w:color w:val="auto"/>
        </w:rPr>
        <w:t>Allowances for doubtful accounts are established through the evaluation of accounts receivable agings and prior collection experience to estimate the ultimate collectability of these receivables. A one percentage point change in the estimated bad debt reserve rates, which are applied to the accounts receivable agings, would have resulted in an increase or decrease in operating income for the year ended May 31, 2006 of approximately $2.5 million.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Inventories:</w:t>
      </w:r>
    </w:p>
    <w:p>
      <w:pPr>
        <w:spacing w:after="0" w:line="22" w:lineRule="exact"/>
        <w:rPr>
          <w:sz w:val="20"/>
          <w:szCs w:val="20"/>
          <w:color w:val="auto"/>
        </w:rPr>
      </w:pPr>
    </w:p>
    <w:p>
      <w:pPr>
        <w:jc w:val="both"/>
        <w:ind w:right="80"/>
        <w:spacing w:after="0" w:line="263" w:lineRule="auto"/>
        <w:rPr>
          <w:sz w:val="20"/>
          <w:szCs w:val="20"/>
          <w:color w:val="auto"/>
        </w:rPr>
      </w:pPr>
      <w:r>
        <w:rPr>
          <w:rFonts w:ascii="Arial" w:cs="Arial" w:eastAsia="Arial" w:hAnsi="Arial"/>
          <w:sz w:val="15"/>
          <w:szCs w:val="15"/>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 The impact of a one percentage point change in the obsolescence reserve would have resulted in an increase or decrease in operating income for the year ended May 31, 2006 of approximately $4.7 million.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promotion costs:</w:t>
      </w:r>
    </w:p>
    <w:p>
      <w:pPr>
        <w:spacing w:after="0" w:line="22" w:lineRule="exact"/>
        <w:rPr>
          <w:sz w:val="20"/>
          <w:szCs w:val="20"/>
          <w:color w:val="auto"/>
        </w:rPr>
      </w:pPr>
    </w:p>
    <w:p>
      <w:pPr>
        <w:ind w:right="160"/>
        <w:spacing w:after="0" w:line="315" w:lineRule="auto"/>
        <w:rPr>
          <w:sz w:val="20"/>
          <w:szCs w:val="20"/>
          <w:color w:val="auto"/>
        </w:rPr>
      </w:pPr>
      <w:r>
        <w:rPr>
          <w:rFonts w:ascii="Arial" w:cs="Arial" w:eastAsia="Arial" w:hAnsi="Arial"/>
          <w:sz w:val="13"/>
          <w:szCs w:val="13"/>
          <w:color w:val="auto"/>
        </w:rPr>
        <w:t>Deferred promotion costs represent direct mail, internet and telemarketing promotion costs incurred to acquire customers in the Company’s continuity and magazine businesses. Promotional costs are deferred when incurred and amortized in the proportion that current revenues bear to estimated total revenues. The Company regularly evaluates the operating performance of the promotions over their life cycle based on historical and forecasted demand and adjusts the carrying value accordingly. Except as discussed above, all other advertising costs are expensed as incurred. A one percentage point change in estimated direct mail, internet and telemarketing revenues would not materially affect operating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w:t>
      </w:r>
    </w:p>
    <w:p>
      <w:pPr>
        <w:spacing w:after="0" w:line="22"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Lease agreements are evaluated to determine whether they are capital or operating leases in accordance with Statement of Financial Accounting Standards (“SFAS”) No. 13, “Accounting For “Leases”, as amended (“SFAS No. 13”). When substantially all of the risks and benefits of property ownership have been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107315</wp:posOffset>
            </wp:positionV>
            <wp:extent cx="1938655" cy="3403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2" w:name="page23"/>
    <w:bookmarkEnd w:id="22"/>
    <w:p>
      <w:pPr>
        <w:spacing w:after="0"/>
        <w:rPr>
          <w:sz w:val="20"/>
          <w:szCs w:val="20"/>
          <w:color w:val="auto"/>
        </w:rPr>
      </w:pPr>
      <w:r>
        <w:rPr>
          <w:rFonts w:ascii="Arial" w:cs="Arial" w:eastAsia="Arial" w:hAnsi="Arial"/>
          <w:sz w:val="15"/>
          <w:szCs w:val="15"/>
          <w:color w:val="auto"/>
        </w:rPr>
        <w:t>to the Company, as determined by the test criteria in SFAS No. 13, the lease then qualifies as a capital lease.</w:t>
      </w:r>
    </w:p>
    <w:p>
      <w:pPr>
        <w:spacing w:after="0" w:line="200" w:lineRule="exact"/>
        <w:rPr>
          <w:sz w:val="20"/>
          <w:szCs w:val="20"/>
          <w:color w:val="auto"/>
        </w:rPr>
      </w:pPr>
    </w:p>
    <w:p>
      <w:pPr>
        <w:jc w:val="both"/>
        <w:ind w:right="60"/>
        <w:spacing w:after="0" w:line="300" w:lineRule="auto"/>
        <w:rPr>
          <w:sz w:val="20"/>
          <w:szCs w:val="20"/>
          <w:color w:val="auto"/>
        </w:rPr>
      </w:pPr>
      <w:r>
        <w:rPr>
          <w:rFonts w:ascii="Arial" w:cs="Arial" w:eastAsia="Arial" w:hAnsi="Arial"/>
          <w:sz w:val="14"/>
          <w:szCs w:val="14"/>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over a period consistent with the Company’s normal depreciation policy for tangible fixed assets, but generally not exceeding the lease term. Interest charges are expensed over the period of the lease in relation to the carrying value of the capital lease obligation.</w:t>
      </w:r>
    </w:p>
    <w:p>
      <w:pPr>
        <w:spacing w:after="0" w:line="142"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auto"/>
        </w:rPr>
        <w:t>Rent expense for operating leases, which may include free rent or fixed escalation amounts in addition to minimum lease payments, is recognized on a straight-line basis over the duration of each lease term.</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Prepublication costs:</w:t>
      </w:r>
    </w:p>
    <w:p>
      <w:pPr>
        <w:spacing w:after="0" w:line="22"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Company capitalizes the art, prepress, editorial and other costs incurred in the creation of the master copy of a book or other media (the “prepublication costs”). Prepublication costs are amortized on a straight-line basis over a three to seven year period based on expected future revenues. The Company regularly reviews the recoverability of the capitalized costs.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Royalty advances:</w:t>
      </w:r>
    </w:p>
    <w:p>
      <w:pPr>
        <w:spacing w:after="0" w:line="22"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The Company records a reserve for the recoverability of its outstanding advances to authors based primarily upon historical earndown experience. Royalty advances are expensed as related revenues are earned or when future recovery appears doubtful.</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other intangibles:</w:t>
      </w:r>
    </w:p>
    <w:p>
      <w:pPr>
        <w:spacing w:after="0" w:line="22"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Goodwill and other intangible assets with indefinite lives are not amortized and are reviewed for impairment annually, or more frequently if impairment indicators arise. With regard to goodwill, these reviews require the Company to estimate the fair value of its identified reporting units. For each of the reporting units, the estimated fair value is determined utilizing the expected present value of the projected future cash flows of the units, which is compared to the carrying value of the net assets of the reporting units. With regard to other intangibles with indefinite lives, the Company determines the fair value by asset, which is then compared to its carrying value.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noncurrent liabilities:</w:t>
      </w:r>
    </w:p>
    <w:p>
      <w:pPr>
        <w:spacing w:after="0" w:line="22"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All of the rate assumptions discussed below impact the Company’s calculations of its pension and post-retirement obligations. The rates applied by the Company are based on the portfolios’ past average rates of return and discussions with actuaries. Any change in market performance, interest rate performance, assumed health care costs trend rate, or compensation rates could result in significant changes in the Company’s pension and post-retirement obligations.</w:t>
      </w:r>
    </w:p>
    <w:p>
      <w:pPr>
        <w:spacing w:after="0" w:line="163"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b w:val="1"/>
          <w:bCs w:val="1"/>
          <w:color w:val="auto"/>
        </w:rPr>
        <w:t xml:space="preserve">Pension obligations </w:t>
      </w:r>
      <w:r>
        <w:rPr>
          <w:rFonts w:ascii="Arial" w:cs="Arial" w:eastAsia="Arial" w:hAnsi="Arial"/>
          <w:sz w:val="14"/>
          <w:szCs w:val="14"/>
          <w:color w:val="auto"/>
        </w:rPr>
        <w:t>– Scholastic Corporation and certain of its subsidiaries have defined benefit pension plans covering the majority of their employees who meet certain eligibility</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requirements. The Company follows SFAS No. 87, “Employers’ Accounting for Pensions,” in calculating the existing benefit obligations and net cost under the plans. These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service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A one percentage point change in the discount rate and expected long-term return on plan assets would have resulted in an increase or decrease in operating income for the year ended May 31, 2006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101600</wp:posOffset>
            </wp:positionV>
            <wp:extent cx="1938655" cy="340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 w:name="page24"/>
    <w:bookmarkEnd w:id="23"/>
    <w:p>
      <w:pPr>
        <w:ind w:right="140"/>
        <w:spacing w:after="0" w:line="272" w:lineRule="auto"/>
        <w:rPr>
          <w:sz w:val="20"/>
          <w:szCs w:val="20"/>
          <w:color w:val="auto"/>
        </w:rPr>
      </w:pPr>
      <w:r>
        <w:rPr>
          <w:rFonts w:ascii="Arial" w:cs="Arial" w:eastAsia="Arial" w:hAnsi="Arial"/>
          <w:sz w:val="15"/>
          <w:szCs w:val="15"/>
          <w:color w:val="auto"/>
        </w:rPr>
        <w:t>approximately $0.2 million and $1.2 million, respectively.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w:t>
      </w:r>
    </w:p>
    <w:p>
      <w:pPr>
        <w:spacing w:after="0" w:line="155" w:lineRule="exact"/>
        <w:rPr>
          <w:sz w:val="20"/>
          <w:szCs w:val="20"/>
          <w:color w:val="auto"/>
        </w:rPr>
      </w:pPr>
    </w:p>
    <w:p>
      <w:pPr>
        <w:spacing w:after="0" w:line="311" w:lineRule="auto"/>
        <w:rPr>
          <w:sz w:val="20"/>
          <w:szCs w:val="20"/>
          <w:color w:val="auto"/>
        </w:rPr>
      </w:pPr>
      <w:r>
        <w:rPr>
          <w:rFonts w:ascii="Arial" w:cs="Arial" w:eastAsia="Arial" w:hAnsi="Arial"/>
          <w:sz w:val="13"/>
          <w:szCs w:val="13"/>
          <w:b w:val="1"/>
          <w:bCs w:val="1"/>
          <w:color w:val="auto"/>
        </w:rPr>
        <w:t xml:space="preserve">Other post-retirement benefits </w:t>
      </w:r>
      <w:r>
        <w:rPr>
          <w:rFonts w:ascii="Arial" w:cs="Arial" w:eastAsia="Arial" w:hAnsi="Arial"/>
          <w:sz w:val="13"/>
          <w:szCs w:val="13"/>
          <w:color w:val="auto"/>
        </w:rPr>
        <w:t>– Scholastic Corporation provides post-retirement benefits, consisting of healthcare and life insurance benefits, to retired United States-based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A majority of these employees may become eligible for these benefits if they reach normal retirement age while working for the Company. The post-retirement medical plan benefits are funded on a pay-as-you-go basis, with the Company paying a portion of the premium and the employee paying the remainder. The Company follows SFAS No. 106, “Employers’ Accounting for Post-Retirement Benefits Other than Pensions,” in calculating the existing benefit obligation, which is based on the discount rate and the assumed health care cost trend rate. The discount rate is used in the measurement of the projected and accumulated benefit obligations and the service and interest cost components of net periodic post-retirement benefit cost. The assumed health care cost trend rate is used in the measurement of the long term expected increase in medical claims. A one percentage point change in the discount rate and the medical cost trend rate would have resulted in an increase or decrease in operating income for the year ended May 31, 2006 of approximately $0.0 million and $0.2 million, respectively.</w:t>
      </w:r>
    </w:p>
    <w:p>
      <w:pPr>
        <w:spacing w:after="0" w:line="139" w:lineRule="exact"/>
        <w:rPr>
          <w:sz w:val="20"/>
          <w:szCs w:val="20"/>
          <w:color w:val="auto"/>
        </w:rPr>
      </w:pPr>
    </w:p>
    <w:p>
      <w:pPr>
        <w:ind w:right="40"/>
        <w:spacing w:after="0" w:line="322" w:lineRule="auto"/>
        <w:rPr>
          <w:sz w:val="20"/>
          <w:szCs w:val="20"/>
          <w:color w:val="auto"/>
        </w:rPr>
      </w:pPr>
      <w:r>
        <w:rPr>
          <w:rFonts w:ascii="Arial" w:cs="Arial" w:eastAsia="Arial" w:hAnsi="Arial"/>
          <w:sz w:val="14"/>
          <w:szCs w:val="14"/>
          <w:color w:val="auto"/>
        </w:rPr>
        <w:t>Management has discussed the development and selection of these critical accounting policies with the Audit Committee of the Corporation’s Board of Directors. The Audit Committee has reviewed the Company’s disclosure relating to the policies described in this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85090</wp:posOffset>
            </wp:positionV>
            <wp:extent cx="1938655" cy="340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 w:name="page25"/>
    <w:bookmarkEnd w:id="24"/>
    <w:p>
      <w:pPr>
        <w:ind w:left="7"/>
        <w:spacing w:after="0"/>
        <w:rPr>
          <w:sz w:val="20"/>
          <w:szCs w:val="20"/>
          <w:color w:val="auto"/>
        </w:rPr>
      </w:pPr>
      <w:r>
        <w:rPr>
          <w:rFonts w:ascii="Arial" w:cs="Arial" w:eastAsia="Arial" w:hAnsi="Arial"/>
          <w:sz w:val="15"/>
          <w:szCs w:val="15"/>
          <w:b w:val="1"/>
          <w:bCs w:val="1"/>
          <w:color w:val="auto"/>
        </w:rPr>
        <w:t>Results of Operations</w:t>
      </w:r>
    </w:p>
    <w:p>
      <w:pPr>
        <w:spacing w:after="0" w:line="31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 amounts in millions, except per share data)</w:t>
      </w:r>
    </w:p>
    <w:p>
      <w:pPr>
        <w:spacing w:after="0" w:line="7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656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000" w:type="dxa"/>
            <w:vAlign w:val="bottom"/>
          </w:tcPr>
          <w:p>
            <w:pPr>
              <w:jc w:val="right"/>
              <w:ind w:right="84"/>
              <w:spacing w:after="0"/>
              <w:rPr>
                <w:sz w:val="20"/>
                <w:szCs w:val="20"/>
                <w:color w:val="auto"/>
              </w:rPr>
            </w:pPr>
            <w:r>
              <w:rPr>
                <w:rFonts w:ascii="Arial" w:cs="Arial" w:eastAsia="Arial" w:hAnsi="Arial"/>
                <w:sz w:val="15"/>
                <w:szCs w:val="15"/>
                <w:b w:val="1"/>
                <w:bCs w:val="1"/>
                <w:color w:val="auto"/>
              </w:rPr>
              <w:t>2006</w:t>
            </w:r>
          </w:p>
        </w:tc>
        <w:tc>
          <w:tcPr>
            <w:tcW w:w="78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b w:val="1"/>
                <w:bCs w:val="1"/>
                <w:color w:val="auto"/>
              </w:rPr>
              <w:t>2005</w:t>
            </w:r>
          </w:p>
        </w:tc>
        <w:tc>
          <w:tcPr>
            <w:tcW w:w="960" w:type="dxa"/>
            <w:vAlign w:val="bottom"/>
          </w:tcPr>
          <w:p>
            <w:pPr>
              <w:spacing w:after="0"/>
              <w:rPr>
                <w:sz w:val="16"/>
                <w:szCs w:val="16"/>
                <w:color w:val="auto"/>
              </w:rPr>
            </w:pPr>
          </w:p>
        </w:tc>
        <w:tc>
          <w:tcPr>
            <w:tcW w:w="1360" w:type="dxa"/>
            <w:vAlign w:val="bottom"/>
          </w:tcPr>
          <w:p>
            <w:pPr>
              <w:jc w:val="right"/>
              <w:ind w:right="204"/>
              <w:spacing w:after="0"/>
              <w:rPr>
                <w:sz w:val="20"/>
                <w:szCs w:val="20"/>
                <w:color w:val="auto"/>
              </w:rPr>
            </w:pPr>
            <w:r>
              <w:rPr>
                <w:rFonts w:ascii="Arial" w:cs="Arial" w:eastAsia="Arial" w:hAnsi="Arial"/>
                <w:sz w:val="15"/>
                <w:szCs w:val="15"/>
                <w:b w:val="1"/>
                <w:bCs w:val="1"/>
                <w:color w:val="auto"/>
              </w:rPr>
              <w:t>2004</w:t>
            </w:r>
          </w:p>
        </w:tc>
        <w:tc>
          <w:tcPr>
            <w:tcW w:w="760" w:type="dxa"/>
            <w:vAlign w:val="bottom"/>
          </w:tcPr>
          <w:p>
            <w:pPr>
              <w:spacing w:after="0"/>
              <w:rPr>
                <w:sz w:val="16"/>
                <w:szCs w:val="16"/>
                <w:color w:val="auto"/>
              </w:rPr>
            </w:pPr>
          </w:p>
        </w:tc>
      </w:tr>
      <w:tr>
        <w:trPr>
          <w:trHeight w:val="96"/>
        </w:trPr>
        <w:tc>
          <w:tcPr>
            <w:tcW w:w="44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92"/>
        </w:trPr>
        <w:tc>
          <w:tcPr>
            <w:tcW w:w="4440" w:type="dxa"/>
            <w:vAlign w:val="bottom"/>
          </w:tcPr>
          <w:p>
            <w:pPr>
              <w:spacing w:after="0"/>
              <w:rPr>
                <w:sz w:val="24"/>
                <w:szCs w:val="24"/>
                <w:color w:val="auto"/>
              </w:rPr>
            </w:pPr>
          </w:p>
        </w:tc>
        <w:tc>
          <w:tcPr>
            <w:tcW w:w="2000" w:type="dxa"/>
            <w:vAlign w:val="bottom"/>
          </w:tcPr>
          <w:p>
            <w:pPr>
              <w:jc w:val="right"/>
              <w:ind w:right="624"/>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164"/>
              <w:spacing w:after="0"/>
              <w:rPr>
                <w:sz w:val="20"/>
                <w:szCs w:val="20"/>
                <w:color w:val="auto"/>
              </w:rPr>
            </w:pPr>
            <w:r>
              <w:rPr>
                <w:rFonts w:ascii="Arial" w:cs="Arial" w:eastAsia="Arial" w:hAnsi="Arial"/>
                <w:sz w:val="15"/>
                <w:szCs w:val="15"/>
                <w:b w:val="1"/>
                <w:bCs w:val="1"/>
                <w:color w:val="auto"/>
              </w:rPr>
              <w:t>%(1)</w:t>
            </w:r>
          </w:p>
        </w:tc>
        <w:tc>
          <w:tcPr>
            <w:tcW w:w="1140" w:type="dxa"/>
            <w:vAlign w:val="bottom"/>
          </w:tcPr>
          <w:p>
            <w:pPr>
              <w:jc w:val="right"/>
              <w:ind w:right="704"/>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304"/>
              <w:spacing w:after="0"/>
              <w:rPr>
                <w:sz w:val="20"/>
                <w:szCs w:val="20"/>
                <w:color w:val="auto"/>
              </w:rPr>
            </w:pPr>
            <w:r>
              <w:rPr>
                <w:rFonts w:ascii="Arial" w:cs="Arial" w:eastAsia="Arial" w:hAnsi="Arial"/>
                <w:sz w:val="15"/>
                <w:szCs w:val="15"/>
                <w:b w:val="1"/>
                <w:bCs w:val="1"/>
                <w:color w:val="auto"/>
              </w:rPr>
              <w:t>%(1)</w:t>
            </w:r>
          </w:p>
        </w:tc>
        <w:tc>
          <w:tcPr>
            <w:tcW w:w="1360" w:type="dxa"/>
            <w:vAlign w:val="bottom"/>
          </w:tcPr>
          <w:p>
            <w:pPr>
              <w:jc w:val="right"/>
              <w:ind w:right="844"/>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24"/>
              <w:spacing w:after="0"/>
              <w:rPr>
                <w:sz w:val="20"/>
                <w:szCs w:val="20"/>
                <w:color w:val="auto"/>
              </w:rPr>
            </w:pPr>
            <w:r>
              <w:rPr>
                <w:rFonts w:ascii="Arial" w:cs="Arial" w:eastAsia="Arial" w:hAnsi="Arial"/>
                <w:sz w:val="15"/>
                <w:szCs w:val="15"/>
                <w:b w:val="1"/>
                <w:bCs w:val="1"/>
                <w:color w:val="auto"/>
              </w:rPr>
              <w:t>%(1)</w:t>
            </w:r>
          </w:p>
        </w:tc>
      </w:tr>
      <w:tr>
        <w:trPr>
          <w:trHeight w:val="96"/>
        </w:trPr>
        <w:tc>
          <w:tcPr>
            <w:tcW w:w="44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93"/>
        </w:trPr>
        <w:tc>
          <w:tcPr>
            <w:tcW w:w="4440" w:type="dxa"/>
            <w:vAlign w:val="bottom"/>
          </w:tcPr>
          <w:p>
            <w:pPr>
              <w:spacing w:after="0"/>
              <w:rPr>
                <w:sz w:val="20"/>
                <w:szCs w:val="20"/>
                <w:color w:val="auto"/>
              </w:rPr>
            </w:pPr>
            <w:r>
              <w:rPr>
                <w:rFonts w:ascii="Arial" w:cs="Arial" w:eastAsia="Arial" w:hAnsi="Arial"/>
                <w:sz w:val="15"/>
                <w:szCs w:val="15"/>
                <w:color w:val="auto"/>
              </w:rPr>
              <w:t>Revenues:</w:t>
            </w: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1"/>
        </w:trPr>
        <w:tc>
          <w:tcPr>
            <w:tcW w:w="4440" w:type="dxa"/>
            <w:vAlign w:val="bottom"/>
            <w:shd w:val="clear" w:color="auto" w:fill="E6E6E6"/>
          </w:tcPr>
          <w:p>
            <w:pPr>
              <w:ind w:left="140"/>
              <w:spacing w:after="0"/>
              <w:rPr>
                <w:sz w:val="20"/>
                <w:szCs w:val="20"/>
                <w:color w:val="auto"/>
              </w:rPr>
            </w:pPr>
            <w:r>
              <w:rPr>
                <w:rFonts w:ascii="Arial" w:cs="Arial" w:eastAsia="Arial" w:hAnsi="Arial"/>
                <w:sz w:val="15"/>
                <w:szCs w:val="15"/>
                <w:color w:val="auto"/>
              </w:rPr>
              <w:t>Children’s Book Publishing and Distribution</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1,304.0</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57.1</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1,152.5</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55.4</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1,358.6</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60.8</w:t>
            </w:r>
          </w:p>
        </w:tc>
      </w:tr>
      <w:tr>
        <w:trPr>
          <w:trHeight w:val="210"/>
        </w:trPr>
        <w:tc>
          <w:tcPr>
            <w:tcW w:w="4440" w:type="dxa"/>
            <w:vAlign w:val="bottom"/>
          </w:tcPr>
          <w:p>
            <w:pPr>
              <w:ind w:left="140"/>
              <w:spacing w:after="0"/>
              <w:rPr>
                <w:sz w:val="20"/>
                <w:szCs w:val="20"/>
                <w:color w:val="auto"/>
              </w:rPr>
            </w:pPr>
            <w:r>
              <w:rPr>
                <w:rFonts w:ascii="Arial" w:cs="Arial" w:eastAsia="Arial" w:hAnsi="Arial"/>
                <w:sz w:val="15"/>
                <w:szCs w:val="15"/>
                <w:color w:val="auto"/>
              </w:rPr>
              <w:t>Educational Publishing</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416.1</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18.2</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404.6</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19.5</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369.1</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16.5</w:t>
            </w:r>
          </w:p>
        </w:tc>
      </w:tr>
      <w:tr>
        <w:trPr>
          <w:trHeight w:val="210"/>
        </w:trPr>
        <w:tc>
          <w:tcPr>
            <w:tcW w:w="4440" w:type="dxa"/>
            <w:vAlign w:val="bottom"/>
            <w:shd w:val="clear" w:color="auto" w:fill="E6E6E6"/>
          </w:tcPr>
          <w:p>
            <w:pPr>
              <w:ind w:left="140"/>
              <w:spacing w:after="0"/>
              <w:rPr>
                <w:sz w:val="20"/>
                <w:szCs w:val="20"/>
                <w:color w:val="auto"/>
              </w:rPr>
            </w:pPr>
            <w:r>
              <w:rPr>
                <w:rFonts w:ascii="Arial" w:cs="Arial" w:eastAsia="Arial" w:hAnsi="Arial"/>
                <w:sz w:val="15"/>
                <w:szCs w:val="15"/>
                <w:color w:val="auto"/>
              </w:rPr>
              <w:t>Media, Licensing and Advertising</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151.6</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6.7</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133.1</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6.4</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136.4</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6.1</w:t>
            </w:r>
          </w:p>
        </w:tc>
      </w:tr>
      <w:tr>
        <w:trPr>
          <w:trHeight w:val="219"/>
        </w:trPr>
        <w:tc>
          <w:tcPr>
            <w:tcW w:w="4440" w:type="dxa"/>
            <w:vAlign w:val="bottom"/>
          </w:tcPr>
          <w:p>
            <w:pPr>
              <w:ind w:left="140"/>
              <w:spacing w:after="0"/>
              <w:rPr>
                <w:sz w:val="20"/>
                <w:szCs w:val="20"/>
                <w:color w:val="auto"/>
              </w:rPr>
            </w:pPr>
            <w:r>
              <w:rPr>
                <w:rFonts w:ascii="Arial" w:cs="Arial" w:eastAsia="Arial" w:hAnsi="Arial"/>
                <w:sz w:val="15"/>
                <w:szCs w:val="15"/>
                <w:color w:val="auto"/>
              </w:rPr>
              <w:t>International</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412.1</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18.0</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389.7</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18.7</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369.7</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16.6</w:t>
            </w:r>
          </w:p>
        </w:tc>
      </w:tr>
      <w:tr>
        <w:trPr>
          <w:trHeight w:val="84"/>
        </w:trPr>
        <w:tc>
          <w:tcPr>
            <w:tcW w:w="4440" w:type="dxa"/>
            <w:vAlign w:val="bottom"/>
            <w:tcBorders>
              <w:bottom w:val="single" w:sz="8" w:color="808080"/>
            </w:tcBorders>
          </w:tcPr>
          <w:p>
            <w:pPr>
              <w:spacing w:after="0"/>
              <w:rPr>
                <w:sz w:val="7"/>
                <w:szCs w:val="7"/>
                <w:color w:val="auto"/>
              </w:rPr>
            </w:pPr>
          </w:p>
        </w:tc>
        <w:tc>
          <w:tcPr>
            <w:tcW w:w="200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r>
      <w:tr>
        <w:trPr>
          <w:trHeight w:val="85"/>
        </w:trPr>
        <w:tc>
          <w:tcPr>
            <w:tcW w:w="44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10"/>
        </w:trPr>
        <w:tc>
          <w:tcPr>
            <w:tcW w:w="4440" w:type="dxa"/>
            <w:vAlign w:val="bottom"/>
            <w:shd w:val="clear" w:color="auto" w:fill="E6E6E6"/>
          </w:tcPr>
          <w:p>
            <w:pPr>
              <w:spacing w:after="0"/>
              <w:rPr>
                <w:sz w:val="20"/>
                <w:szCs w:val="20"/>
                <w:color w:val="auto"/>
              </w:rPr>
            </w:pPr>
            <w:r>
              <w:rPr>
                <w:rFonts w:ascii="Arial" w:cs="Arial" w:eastAsia="Arial" w:hAnsi="Arial"/>
                <w:sz w:val="15"/>
                <w:szCs w:val="15"/>
                <w:color w:val="auto"/>
              </w:rPr>
              <w:t>Total revenues</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2,283.8</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100.0</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2,079.9</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100.0</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2,233.8</w:t>
            </w:r>
          </w:p>
        </w:tc>
        <w:tc>
          <w:tcPr>
            <w:tcW w:w="76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100.0</w:t>
            </w:r>
          </w:p>
        </w:tc>
      </w:tr>
      <w:tr>
        <w:trPr>
          <w:trHeight w:val="256"/>
        </w:trPr>
        <w:tc>
          <w:tcPr>
            <w:tcW w:w="4440" w:type="dxa"/>
            <w:vAlign w:val="bottom"/>
          </w:tcPr>
          <w:p>
            <w:pPr>
              <w:spacing w:after="0" w:line="256" w:lineRule="exact"/>
              <w:rPr>
                <w:sz w:val="20"/>
                <w:szCs w:val="20"/>
                <w:color w:val="auto"/>
              </w:rPr>
            </w:pPr>
            <w:r>
              <w:rPr>
                <w:rFonts w:ascii="Arial" w:cs="Arial" w:eastAsia="Arial" w:hAnsi="Arial"/>
                <w:sz w:val="15"/>
                <w:szCs w:val="15"/>
                <w:color w:val="auto"/>
              </w:rPr>
              <w:t>Cost of goods sold (exclusive of depreciation)</w:t>
            </w:r>
            <w:r>
              <w:rPr>
                <w:rFonts w:ascii="Arial" w:cs="Arial" w:eastAsia="Arial" w:hAnsi="Arial"/>
                <w:sz w:val="29"/>
                <w:szCs w:val="29"/>
                <w:color w:val="auto"/>
                <w:vertAlign w:val="superscript"/>
              </w:rPr>
              <w:t>(2)</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1,099.9</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48.2</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979.0</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47.1</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1,086.8</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48.7</w:t>
            </w:r>
          </w:p>
        </w:tc>
      </w:tr>
      <w:tr>
        <w:trPr>
          <w:trHeight w:val="256"/>
        </w:trPr>
        <w:tc>
          <w:tcPr>
            <w:tcW w:w="44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Cost of goods sold – Reference sets</w:t>
            </w:r>
            <w:r>
              <w:rPr>
                <w:rFonts w:ascii="Arial" w:cs="Arial" w:eastAsia="Arial" w:hAnsi="Arial"/>
                <w:sz w:val="29"/>
                <w:szCs w:val="29"/>
                <w:color w:val="auto"/>
                <w:vertAlign w:val="superscript"/>
              </w:rPr>
              <w:t>(3)</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3.2</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0.1</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r>
      <w:tr>
        <w:trPr>
          <w:trHeight w:val="256"/>
        </w:trPr>
        <w:tc>
          <w:tcPr>
            <w:tcW w:w="4440" w:type="dxa"/>
            <w:vAlign w:val="bottom"/>
          </w:tcPr>
          <w:p>
            <w:pPr>
              <w:spacing w:after="0" w:line="256" w:lineRule="exact"/>
              <w:rPr>
                <w:sz w:val="20"/>
                <w:szCs w:val="20"/>
                <w:color w:val="auto"/>
              </w:rPr>
            </w:pPr>
            <w:r>
              <w:rPr>
                <w:rFonts w:ascii="Arial" w:cs="Arial" w:eastAsia="Arial" w:hAnsi="Arial"/>
                <w:sz w:val="15"/>
                <w:szCs w:val="15"/>
                <w:color w:val="auto"/>
              </w:rPr>
              <w:t>Selling, general and administrative expenses</w:t>
            </w:r>
            <w:r>
              <w:rPr>
                <w:rFonts w:ascii="Arial" w:cs="Arial" w:eastAsia="Arial" w:hAnsi="Arial"/>
                <w:sz w:val="29"/>
                <w:szCs w:val="29"/>
                <w:color w:val="auto"/>
                <w:vertAlign w:val="superscript"/>
              </w:rPr>
              <w:t>(2)</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916.5</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40.1</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840.7</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40.4</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870.1</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39.0</w:t>
            </w:r>
          </w:p>
        </w:tc>
      </w:tr>
      <w:tr>
        <w:trPr>
          <w:trHeight w:val="256"/>
        </w:trPr>
        <w:tc>
          <w:tcPr>
            <w:tcW w:w="44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Bad debt expense</w:t>
            </w:r>
            <w:r>
              <w:rPr>
                <w:rFonts w:ascii="Arial" w:cs="Arial" w:eastAsia="Arial" w:hAnsi="Arial"/>
                <w:sz w:val="29"/>
                <w:szCs w:val="29"/>
                <w:color w:val="auto"/>
                <w:vertAlign w:val="superscript"/>
              </w:rPr>
              <w:t>(2)</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56.2</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2.5</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62.2</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3.0</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90.3</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4.0</w:t>
            </w:r>
          </w:p>
        </w:tc>
      </w:tr>
      <w:tr>
        <w:trPr>
          <w:trHeight w:val="256"/>
        </w:trPr>
        <w:tc>
          <w:tcPr>
            <w:tcW w:w="4440" w:type="dxa"/>
            <w:vAlign w:val="bottom"/>
          </w:tcPr>
          <w:p>
            <w:pPr>
              <w:spacing w:after="0" w:line="256" w:lineRule="exact"/>
              <w:rPr>
                <w:sz w:val="20"/>
                <w:szCs w:val="20"/>
                <w:color w:val="auto"/>
              </w:rPr>
            </w:pPr>
            <w:r>
              <w:rPr>
                <w:rFonts w:ascii="Arial" w:cs="Arial" w:eastAsia="Arial" w:hAnsi="Arial"/>
                <w:sz w:val="15"/>
                <w:szCs w:val="15"/>
                <w:color w:val="auto"/>
              </w:rPr>
              <w:t>Bad debt expense – Educational Publishing</w:t>
            </w:r>
            <w:r>
              <w:rPr>
                <w:rFonts w:ascii="Arial" w:cs="Arial" w:eastAsia="Arial" w:hAnsi="Arial"/>
                <w:sz w:val="29"/>
                <w:szCs w:val="29"/>
                <w:color w:val="auto"/>
                <w:vertAlign w:val="superscript"/>
              </w:rPr>
              <w:t>(4)</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2.9</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0.1</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10"/>
        </w:trPr>
        <w:tc>
          <w:tcPr>
            <w:tcW w:w="4440" w:type="dxa"/>
            <w:vAlign w:val="bottom"/>
            <w:shd w:val="clear" w:color="auto" w:fill="E6E6E6"/>
          </w:tcPr>
          <w:p>
            <w:pPr>
              <w:spacing w:after="0"/>
              <w:rPr>
                <w:sz w:val="20"/>
                <w:szCs w:val="20"/>
                <w:color w:val="auto"/>
              </w:rPr>
            </w:pPr>
            <w:r>
              <w:rPr>
                <w:rFonts w:ascii="Arial" w:cs="Arial" w:eastAsia="Arial" w:hAnsi="Arial"/>
                <w:sz w:val="15"/>
                <w:szCs w:val="15"/>
                <w:color w:val="auto"/>
              </w:rPr>
              <w:t>Depreciation and amortization</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65.8</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2.9</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63.1</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3.0</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62.1</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2.8</w:t>
            </w:r>
          </w:p>
        </w:tc>
      </w:tr>
      <w:tr>
        <w:trPr>
          <w:trHeight w:val="256"/>
        </w:trPr>
        <w:tc>
          <w:tcPr>
            <w:tcW w:w="4440" w:type="dxa"/>
            <w:vAlign w:val="bottom"/>
          </w:tcPr>
          <w:p>
            <w:pPr>
              <w:spacing w:after="0" w:line="256" w:lineRule="exact"/>
              <w:rPr>
                <w:sz w:val="20"/>
                <w:szCs w:val="20"/>
                <w:color w:val="auto"/>
              </w:rPr>
            </w:pPr>
            <w:r>
              <w:rPr>
                <w:rFonts w:ascii="Arial" w:cs="Arial" w:eastAsia="Arial" w:hAnsi="Arial"/>
                <w:sz w:val="15"/>
                <w:szCs w:val="15"/>
                <w:color w:val="auto"/>
              </w:rPr>
              <w:t>Special severance charges</w:t>
            </w:r>
            <w:r>
              <w:rPr>
                <w:rFonts w:ascii="Arial" w:cs="Arial" w:eastAsia="Arial" w:hAnsi="Arial"/>
                <w:sz w:val="29"/>
                <w:szCs w:val="29"/>
                <w:color w:val="auto"/>
                <w:vertAlign w:val="superscript"/>
              </w:rPr>
              <w:t>(5)</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3.3</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0.1</w:t>
            </w:r>
          </w:p>
        </w:tc>
      </w:tr>
      <w:tr>
        <w:trPr>
          <w:trHeight w:val="210"/>
        </w:trPr>
        <w:tc>
          <w:tcPr>
            <w:tcW w:w="4440" w:type="dxa"/>
            <w:vAlign w:val="bottom"/>
            <w:shd w:val="clear" w:color="auto" w:fill="E6E6E6"/>
          </w:tcPr>
          <w:p>
            <w:pPr>
              <w:spacing w:after="0"/>
              <w:rPr>
                <w:sz w:val="20"/>
                <w:szCs w:val="20"/>
                <w:color w:val="auto"/>
              </w:rPr>
            </w:pPr>
            <w:r>
              <w:rPr>
                <w:rFonts w:ascii="Arial" w:cs="Arial" w:eastAsia="Arial" w:hAnsi="Arial"/>
                <w:sz w:val="15"/>
                <w:szCs w:val="15"/>
                <w:color w:val="auto"/>
              </w:rPr>
              <w:t>Operating income</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139.3</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6.1</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134.9</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6.5</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121.2</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5.4</w:t>
            </w:r>
          </w:p>
        </w:tc>
      </w:tr>
      <w:tr>
        <w:trPr>
          <w:trHeight w:val="256"/>
        </w:trPr>
        <w:tc>
          <w:tcPr>
            <w:tcW w:w="4440" w:type="dxa"/>
            <w:vAlign w:val="bottom"/>
          </w:tcPr>
          <w:p>
            <w:pPr>
              <w:spacing w:after="0" w:line="256" w:lineRule="exact"/>
              <w:rPr>
                <w:sz w:val="20"/>
                <w:szCs w:val="20"/>
                <w:color w:val="auto"/>
              </w:rPr>
            </w:pPr>
            <w:r>
              <w:rPr>
                <w:rFonts w:ascii="Arial" w:cs="Arial" w:eastAsia="Arial" w:hAnsi="Arial"/>
                <w:sz w:val="15"/>
                <w:szCs w:val="15"/>
                <w:color w:val="auto"/>
              </w:rPr>
              <w:t>Other income</w:t>
            </w:r>
            <w:r>
              <w:rPr>
                <w:rFonts w:ascii="Arial" w:cs="Arial" w:eastAsia="Arial" w:hAnsi="Arial"/>
                <w:sz w:val="29"/>
                <w:szCs w:val="29"/>
                <w:color w:val="auto"/>
                <w:vertAlign w:val="superscript"/>
              </w:rPr>
              <w:t>(6)</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8.0</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0.4</w:t>
            </w:r>
          </w:p>
        </w:tc>
      </w:tr>
      <w:tr>
        <w:trPr>
          <w:trHeight w:val="210"/>
        </w:trPr>
        <w:tc>
          <w:tcPr>
            <w:tcW w:w="4440" w:type="dxa"/>
            <w:vAlign w:val="bottom"/>
            <w:shd w:val="clear" w:color="auto" w:fill="E6E6E6"/>
          </w:tcPr>
          <w:p>
            <w:pPr>
              <w:spacing w:after="0"/>
              <w:rPr>
                <w:sz w:val="20"/>
                <w:szCs w:val="20"/>
                <w:color w:val="auto"/>
              </w:rPr>
            </w:pPr>
            <w:r>
              <w:rPr>
                <w:rFonts w:ascii="Arial" w:cs="Arial" w:eastAsia="Arial" w:hAnsi="Arial"/>
                <w:sz w:val="15"/>
                <w:szCs w:val="15"/>
                <w:color w:val="auto"/>
              </w:rPr>
              <w:t>Interest income</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3.5</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0.1</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1.0</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0.4</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r>
      <w:tr>
        <w:trPr>
          <w:trHeight w:val="210"/>
        </w:trPr>
        <w:tc>
          <w:tcPr>
            <w:tcW w:w="4440" w:type="dxa"/>
            <w:vAlign w:val="bottom"/>
          </w:tcPr>
          <w:p>
            <w:pPr>
              <w:spacing w:after="0"/>
              <w:rPr>
                <w:sz w:val="20"/>
                <w:szCs w:val="20"/>
                <w:color w:val="auto"/>
              </w:rPr>
            </w:pPr>
            <w:r>
              <w:rPr>
                <w:rFonts w:ascii="Arial" w:cs="Arial" w:eastAsia="Arial" w:hAnsi="Arial"/>
                <w:sz w:val="15"/>
                <w:szCs w:val="15"/>
                <w:color w:val="auto"/>
              </w:rPr>
              <w:t>Interest expense</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35.2</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1.5</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36.2</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1.7</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40.0</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1.8</w:t>
            </w:r>
          </w:p>
        </w:tc>
      </w:tr>
      <w:tr>
        <w:trPr>
          <w:trHeight w:val="210"/>
        </w:trPr>
        <w:tc>
          <w:tcPr>
            <w:tcW w:w="4440" w:type="dxa"/>
            <w:vAlign w:val="bottom"/>
            <w:shd w:val="clear" w:color="auto" w:fill="E6E6E6"/>
          </w:tcPr>
          <w:p>
            <w:pPr>
              <w:spacing w:after="0"/>
              <w:rPr>
                <w:sz w:val="20"/>
                <w:szCs w:val="20"/>
                <w:color w:val="auto"/>
              </w:rPr>
            </w:pPr>
            <w:r>
              <w:rPr>
                <w:rFonts w:ascii="Arial" w:cs="Arial" w:eastAsia="Arial" w:hAnsi="Arial"/>
                <w:sz w:val="15"/>
                <w:szCs w:val="15"/>
                <w:color w:val="auto"/>
              </w:rPr>
              <w:t>Earnings before income taxes</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107.6</w:t>
            </w:r>
          </w:p>
        </w:tc>
        <w:tc>
          <w:tcPr>
            <w:tcW w:w="7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4.7</w:t>
            </w: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99.7</w:t>
            </w:r>
          </w:p>
        </w:tc>
        <w:tc>
          <w:tcPr>
            <w:tcW w:w="96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4.8</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89.6</w:t>
            </w:r>
          </w:p>
        </w:tc>
        <w:tc>
          <w:tcPr>
            <w:tcW w:w="7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4.0</w:t>
            </w:r>
          </w:p>
        </w:tc>
      </w:tr>
      <w:tr>
        <w:trPr>
          <w:trHeight w:val="219"/>
        </w:trPr>
        <w:tc>
          <w:tcPr>
            <w:tcW w:w="4440" w:type="dxa"/>
            <w:vAlign w:val="bottom"/>
          </w:tcPr>
          <w:p>
            <w:pPr>
              <w:spacing w:after="0"/>
              <w:rPr>
                <w:sz w:val="20"/>
                <w:szCs w:val="20"/>
                <w:color w:val="auto"/>
              </w:rPr>
            </w:pPr>
            <w:r>
              <w:rPr>
                <w:rFonts w:ascii="Arial" w:cs="Arial" w:eastAsia="Arial" w:hAnsi="Arial"/>
                <w:sz w:val="15"/>
                <w:szCs w:val="15"/>
                <w:color w:val="auto"/>
              </w:rPr>
              <w:t>Net income</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68.6</w:t>
            </w:r>
          </w:p>
        </w:tc>
        <w:tc>
          <w:tcPr>
            <w:tcW w:w="780" w:type="dxa"/>
            <w:vAlign w:val="bottom"/>
          </w:tcPr>
          <w:p>
            <w:pPr>
              <w:jc w:val="right"/>
              <w:ind w:right="164"/>
              <w:spacing w:after="0"/>
              <w:rPr>
                <w:sz w:val="20"/>
                <w:szCs w:val="20"/>
                <w:color w:val="auto"/>
              </w:rPr>
            </w:pPr>
            <w:r>
              <w:rPr>
                <w:rFonts w:ascii="Arial" w:cs="Arial" w:eastAsia="Arial" w:hAnsi="Arial"/>
                <w:sz w:val="15"/>
                <w:szCs w:val="15"/>
                <w:color w:val="auto"/>
              </w:rPr>
              <w:t>3.0</w:t>
            </w: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64.3</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3.1</w:t>
            </w: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57.8</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2.6</w:t>
            </w:r>
          </w:p>
        </w:tc>
      </w:tr>
      <w:tr>
        <w:trPr>
          <w:trHeight w:val="199"/>
        </w:trPr>
        <w:tc>
          <w:tcPr>
            <w:tcW w:w="4440" w:type="dxa"/>
            <w:vAlign w:val="bottom"/>
          </w:tcPr>
          <w:p>
            <w:pPr>
              <w:spacing w:after="0"/>
              <w:rPr>
                <w:sz w:val="20"/>
                <w:szCs w:val="20"/>
                <w:color w:val="auto"/>
              </w:rPr>
            </w:pPr>
            <w:r>
              <w:rPr>
                <w:rFonts w:ascii="Arial" w:cs="Arial" w:eastAsia="Arial" w:hAnsi="Arial"/>
                <w:sz w:val="15"/>
                <w:szCs w:val="15"/>
                <w:color w:val="auto"/>
              </w:rPr>
              <w:t>Earnings per share:</w:t>
            </w: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1"/>
        </w:trPr>
        <w:tc>
          <w:tcPr>
            <w:tcW w:w="4440" w:type="dxa"/>
            <w:vAlign w:val="bottom"/>
            <w:shd w:val="clear" w:color="auto" w:fill="E6E6E6"/>
          </w:tcPr>
          <w:p>
            <w:pPr>
              <w:ind w:left="140"/>
              <w:spacing w:after="0"/>
              <w:rPr>
                <w:sz w:val="20"/>
                <w:szCs w:val="20"/>
                <w:color w:val="auto"/>
              </w:rPr>
            </w:pPr>
            <w:r>
              <w:rPr>
                <w:rFonts w:ascii="Arial" w:cs="Arial" w:eastAsia="Arial" w:hAnsi="Arial"/>
                <w:sz w:val="15"/>
                <w:szCs w:val="15"/>
                <w:color w:val="auto"/>
              </w:rPr>
              <w:t>Basic</w:t>
            </w:r>
          </w:p>
        </w:tc>
        <w:tc>
          <w:tcPr>
            <w:tcW w:w="20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1.65</w:t>
            </w:r>
          </w:p>
        </w:tc>
        <w:tc>
          <w:tcPr>
            <w:tcW w:w="78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1.61</w:t>
            </w:r>
          </w:p>
        </w:tc>
        <w:tc>
          <w:tcPr>
            <w:tcW w:w="960" w:type="dxa"/>
            <w:vAlign w:val="bottom"/>
            <w:shd w:val="clear" w:color="auto" w:fill="E6E6E6"/>
          </w:tcPr>
          <w:p>
            <w:pPr>
              <w:spacing w:after="0"/>
              <w:rPr>
                <w:sz w:val="18"/>
                <w:szCs w:val="18"/>
                <w:color w:val="auto"/>
              </w:rPr>
            </w:pP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5"/>
                <w:szCs w:val="15"/>
                <w:color w:val="auto"/>
              </w:rPr>
              <w:t>1.47</w:t>
            </w:r>
          </w:p>
        </w:tc>
        <w:tc>
          <w:tcPr>
            <w:tcW w:w="760" w:type="dxa"/>
            <w:vAlign w:val="bottom"/>
            <w:shd w:val="clear" w:color="auto" w:fill="E6E6E6"/>
          </w:tcPr>
          <w:p>
            <w:pPr>
              <w:spacing w:after="0"/>
              <w:rPr>
                <w:sz w:val="18"/>
                <w:szCs w:val="18"/>
                <w:color w:val="auto"/>
              </w:rPr>
            </w:pPr>
          </w:p>
        </w:tc>
      </w:tr>
      <w:tr>
        <w:trPr>
          <w:trHeight w:val="207"/>
        </w:trPr>
        <w:tc>
          <w:tcPr>
            <w:tcW w:w="4440" w:type="dxa"/>
            <w:vAlign w:val="bottom"/>
          </w:tcPr>
          <w:p>
            <w:pPr>
              <w:ind w:left="140"/>
              <w:spacing w:after="0"/>
              <w:rPr>
                <w:sz w:val="20"/>
                <w:szCs w:val="20"/>
                <w:color w:val="auto"/>
              </w:rPr>
            </w:pPr>
            <w:r>
              <w:rPr>
                <w:rFonts w:ascii="Arial" w:cs="Arial" w:eastAsia="Arial" w:hAnsi="Arial"/>
                <w:sz w:val="15"/>
                <w:szCs w:val="15"/>
                <w:color w:val="auto"/>
              </w:rPr>
              <w:t>Diluted</w:t>
            </w:r>
          </w:p>
        </w:tc>
        <w:tc>
          <w:tcPr>
            <w:tcW w:w="2000" w:type="dxa"/>
            <w:vAlign w:val="bottom"/>
          </w:tcPr>
          <w:p>
            <w:pPr>
              <w:jc w:val="right"/>
              <w:ind w:right="224"/>
              <w:spacing w:after="0"/>
              <w:rPr>
                <w:sz w:val="20"/>
                <w:szCs w:val="20"/>
                <w:color w:val="auto"/>
              </w:rPr>
            </w:pPr>
            <w:r>
              <w:rPr>
                <w:rFonts w:ascii="Arial" w:cs="Arial" w:eastAsia="Arial" w:hAnsi="Arial"/>
                <w:sz w:val="15"/>
                <w:szCs w:val="15"/>
                <w:color w:val="auto"/>
              </w:rPr>
              <w:t>1.63</w:t>
            </w:r>
          </w:p>
        </w:tc>
        <w:tc>
          <w:tcPr>
            <w:tcW w:w="780" w:type="dxa"/>
            <w:vAlign w:val="bottom"/>
          </w:tcPr>
          <w:p>
            <w:pPr>
              <w:spacing w:after="0"/>
              <w:rPr>
                <w:sz w:val="18"/>
                <w:szCs w:val="18"/>
                <w:color w:val="auto"/>
              </w:rPr>
            </w:pPr>
          </w:p>
        </w:tc>
        <w:tc>
          <w:tcPr>
            <w:tcW w:w="1140" w:type="dxa"/>
            <w:vAlign w:val="bottom"/>
          </w:tcPr>
          <w:p>
            <w:pPr>
              <w:jc w:val="right"/>
              <w:ind w:right="304"/>
              <w:spacing w:after="0"/>
              <w:rPr>
                <w:sz w:val="20"/>
                <w:szCs w:val="20"/>
                <w:color w:val="auto"/>
              </w:rPr>
            </w:pPr>
            <w:r>
              <w:rPr>
                <w:rFonts w:ascii="Arial" w:cs="Arial" w:eastAsia="Arial" w:hAnsi="Arial"/>
                <w:sz w:val="15"/>
                <w:szCs w:val="15"/>
                <w:color w:val="auto"/>
              </w:rPr>
              <w:t>1.58</w:t>
            </w:r>
          </w:p>
        </w:tc>
        <w:tc>
          <w:tcPr>
            <w:tcW w:w="960" w:type="dxa"/>
            <w:vAlign w:val="bottom"/>
          </w:tcPr>
          <w:p>
            <w:pPr>
              <w:spacing w:after="0"/>
              <w:rPr>
                <w:sz w:val="18"/>
                <w:szCs w:val="18"/>
                <w:color w:val="auto"/>
              </w:rPr>
            </w:pP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1.44</w:t>
            </w:r>
          </w:p>
        </w:tc>
        <w:tc>
          <w:tcPr>
            <w:tcW w:w="760" w:type="dxa"/>
            <w:vAlign w:val="bottom"/>
          </w:tcPr>
          <w:p>
            <w:pPr>
              <w:spacing w:after="0"/>
              <w:rPr>
                <w:sz w:val="18"/>
                <w:szCs w:val="18"/>
                <w:color w:val="auto"/>
              </w:rPr>
            </w:pPr>
          </w:p>
        </w:tc>
      </w:tr>
      <w:tr>
        <w:trPr>
          <w:trHeight w:val="96"/>
        </w:trPr>
        <w:tc>
          <w:tcPr>
            <w:tcW w:w="44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r>
    </w:tbl>
    <w:p>
      <w:pPr>
        <w:spacing w:after="0" w:line="131" w:lineRule="exact"/>
        <w:rPr>
          <w:sz w:val="20"/>
          <w:szCs w:val="20"/>
          <w:color w:val="auto"/>
        </w:rPr>
      </w:pPr>
    </w:p>
    <w:p>
      <w:pPr>
        <w:ind w:left="7"/>
        <w:spacing w:after="0"/>
        <w:rPr>
          <w:sz w:val="20"/>
          <w:szCs w:val="20"/>
          <w:color w:val="auto"/>
        </w:rPr>
      </w:pPr>
      <w:r>
        <w:rPr>
          <w:rFonts w:ascii="Arial" w:cs="Arial" w:eastAsia="Arial" w:hAnsi="Arial"/>
          <w:sz w:val="15"/>
          <w:szCs w:val="15"/>
          <w:color w:val="auto"/>
        </w:rPr>
        <w:t>Certain prior year amounts have been reclassified to conform with the present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656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7" w:lineRule="exact"/>
        <w:rPr>
          <w:sz w:val="20"/>
          <w:szCs w:val="20"/>
          <w:color w:val="auto"/>
        </w:rPr>
      </w:pPr>
    </w:p>
    <w:p>
      <w:pPr>
        <w:ind w:left="487" w:hanging="487"/>
        <w:spacing w:after="0"/>
        <w:tabs>
          <w:tab w:leader="none" w:pos="487"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percentage of total revenues.</w:t>
      </w:r>
    </w:p>
    <w:p>
      <w:pPr>
        <w:spacing w:after="0" w:line="199" w:lineRule="exact"/>
        <w:rPr>
          <w:rFonts w:ascii="Arial" w:cs="Arial" w:eastAsia="Arial" w:hAnsi="Arial"/>
          <w:sz w:val="12"/>
          <w:szCs w:val="12"/>
          <w:color w:val="auto"/>
        </w:rPr>
      </w:pPr>
    </w:p>
    <w:p>
      <w:pPr>
        <w:ind w:left="487" w:right="260" w:hanging="487"/>
        <w:spacing w:after="0" w:line="293" w:lineRule="auto"/>
        <w:tabs>
          <w:tab w:leader="none" w:pos="487" w:val="left"/>
        </w:tabs>
        <w:numPr>
          <w:ilvl w:val="0"/>
          <w:numId w:val="7"/>
        </w:numPr>
        <w:rPr>
          <w:rFonts w:ascii="Arial" w:cs="Arial" w:eastAsia="Arial" w:hAnsi="Arial"/>
          <w:sz w:val="10"/>
          <w:szCs w:val="10"/>
          <w:color w:val="auto"/>
        </w:rPr>
      </w:pPr>
      <w:r>
        <w:rPr>
          <w:rFonts w:ascii="Arial" w:cs="Arial" w:eastAsia="Arial" w:hAnsi="Arial"/>
          <w:sz w:val="10"/>
          <w:szCs w:val="10"/>
          <w:color w:val="auto"/>
        </w:rPr>
        <w:t>In fiscal 2004, the Company recorded pre-tax charges of $25.4, or $0.41 per diluted share, in connection with a review of its continuity business. These charges have been recorded primarily as components of Cost of goods sold of $6.8; Selling, general and administrative expenses of $15.2; and Bad debt expense of $2.0. In fiscal 2005, the Company recorded additional pre-tax charges of $3.8, or $0.06 per diluted share, primarily related to severance costs due to the review of its continuity business, which have been recorded as a component of Selling, general and administrative expenses.</w:t>
      </w:r>
    </w:p>
    <w:p>
      <w:pPr>
        <w:spacing w:after="0" w:line="173" w:lineRule="exact"/>
        <w:rPr>
          <w:rFonts w:ascii="Arial" w:cs="Arial" w:eastAsia="Arial" w:hAnsi="Arial"/>
          <w:sz w:val="10"/>
          <w:szCs w:val="10"/>
          <w:color w:val="auto"/>
        </w:rPr>
      </w:pPr>
    </w:p>
    <w:p>
      <w:pPr>
        <w:ind w:left="487" w:hanging="487"/>
        <w:spacing w:after="0"/>
        <w:tabs>
          <w:tab w:leader="none" w:pos="48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fiscal 2006, the Company recorded pre-tax costs of $3.2, or $0.05 per diluted share, related to the write-down of certain print reference set assets.</w:t>
      </w:r>
    </w:p>
    <w:p>
      <w:pPr>
        <w:spacing w:after="0" w:line="199" w:lineRule="exact"/>
        <w:rPr>
          <w:rFonts w:ascii="Arial" w:cs="Arial" w:eastAsia="Arial" w:hAnsi="Arial"/>
          <w:sz w:val="12"/>
          <w:szCs w:val="12"/>
          <w:color w:val="auto"/>
        </w:rPr>
      </w:pPr>
    </w:p>
    <w:p>
      <w:pPr>
        <w:ind w:left="487" w:hanging="487"/>
        <w:spacing w:after="0"/>
        <w:tabs>
          <w:tab w:leader="none" w:pos="48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fiscal 2006, the Company recorded pre-tax bad debt expense of $2.9, or $0.04 per diluted share, associated with the bankruptcy of a customer.</w:t>
      </w:r>
    </w:p>
    <w:p>
      <w:pPr>
        <w:spacing w:after="0" w:line="199" w:lineRule="exact"/>
        <w:rPr>
          <w:rFonts w:ascii="Arial" w:cs="Arial" w:eastAsia="Arial" w:hAnsi="Arial"/>
          <w:sz w:val="12"/>
          <w:szCs w:val="12"/>
          <w:color w:val="auto"/>
        </w:rPr>
      </w:pPr>
    </w:p>
    <w:p>
      <w:pPr>
        <w:ind w:left="487" w:right="700" w:hanging="487"/>
        <w:spacing w:after="0" w:line="232" w:lineRule="auto"/>
        <w:tabs>
          <w:tab w:leader="none" w:pos="48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fiscal 2004, the Company recorded pre-tax Special severance charges of $3.3, or $0.05 per diluted share, relating to the portion of a reduction in its work force that was announced in fiscal 2003 but implemented in fiscal 2004.</w:t>
      </w:r>
    </w:p>
    <w:p>
      <w:pPr>
        <w:spacing w:after="0" w:line="199" w:lineRule="exact"/>
        <w:rPr>
          <w:rFonts w:ascii="Arial" w:cs="Arial" w:eastAsia="Arial" w:hAnsi="Arial"/>
          <w:sz w:val="12"/>
          <w:szCs w:val="12"/>
          <w:color w:val="auto"/>
        </w:rPr>
      </w:pPr>
    </w:p>
    <w:p>
      <w:pPr>
        <w:ind w:left="487" w:hanging="487"/>
        <w:spacing w:after="0"/>
        <w:tabs>
          <w:tab w:leader="none" w:pos="48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fiscal 2004, the Company recorded a pre-tax net gain of $8.0, or $0.13 per diluted share, in connection with the early termination of a sublease by one of its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245745</wp:posOffset>
            </wp:positionV>
            <wp:extent cx="1938655" cy="3403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52" w:right="21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Results of Operations – Consolidated</w:t>
      </w:r>
    </w:p>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 xml:space="preserve">Revenues for fiscal 2006 increased 9.8%, or $203.9 million, to $2,283.8 million, as compared to $2,079.9 million in fiscal 2005, based on revenue growth in each of the Company’s four operating segments, but primarily attributable to $151.5 million in higher revenues from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principally due to the release of </w:t>
      </w:r>
      <w:r>
        <w:rPr>
          <w:rFonts w:ascii="Arial" w:cs="Arial" w:eastAsia="Arial" w:hAnsi="Arial"/>
          <w:sz w:val="15"/>
          <w:szCs w:val="15"/>
          <w:i w:val="1"/>
          <w:iCs w:val="1"/>
          <w:color w:val="auto"/>
        </w:rPr>
        <w:t>Harry</w:t>
      </w:r>
      <w:r>
        <w:rPr>
          <w:rFonts w:ascii="Arial" w:cs="Arial" w:eastAsia="Arial" w:hAnsi="Arial"/>
          <w:sz w:val="15"/>
          <w:szCs w:val="15"/>
          <w:color w:val="auto"/>
        </w:rPr>
        <w:t xml:space="preserve"> </w:t>
      </w:r>
      <w:r>
        <w:rPr>
          <w:rFonts w:ascii="Arial" w:cs="Arial" w:eastAsia="Arial" w:hAnsi="Arial"/>
          <w:sz w:val="15"/>
          <w:szCs w:val="15"/>
          <w:i w:val="1"/>
          <w:iCs w:val="1"/>
          <w:color w:val="auto"/>
        </w:rPr>
        <w:t>Potter and the Half-Blood Prince</w:t>
      </w:r>
      <w:r>
        <w:rPr>
          <w:rFonts w:ascii="Arial" w:cs="Arial" w:eastAsia="Arial" w:hAnsi="Arial"/>
          <w:sz w:val="15"/>
          <w:szCs w:val="15"/>
          <w:color w:val="auto"/>
        </w:rPr>
        <w:t>, the sixth book in the planned seven book series, in July 2005. Revenues grew in the</w:t>
      </w:r>
      <w:r>
        <w:rPr>
          <w:rFonts w:ascii="Arial" w:cs="Arial" w:eastAsia="Arial" w:hAnsi="Arial"/>
          <w:sz w:val="15"/>
          <w:szCs w:val="15"/>
          <w:i w:val="1"/>
          <w:iCs w:val="1"/>
          <w:color w:val="auto"/>
        </w:rPr>
        <w:t xml:space="preserve"> International; Media, Licensing and Advertising</w:t>
      </w:r>
      <w:r>
        <w:rPr>
          <w:rFonts w:ascii="Arial" w:cs="Arial" w:eastAsia="Arial" w:hAnsi="Arial"/>
          <w:sz w:val="15"/>
          <w:szCs w:val="15"/>
          <w:color w:val="auto"/>
        </w:rPr>
        <w:t>; and</w:t>
      </w:r>
      <w:r>
        <w:rPr>
          <w:rFonts w:ascii="Arial" w:cs="Arial" w:eastAsia="Arial" w:hAnsi="Arial"/>
          <w:sz w:val="15"/>
          <w:szCs w:val="15"/>
          <w:i w:val="1"/>
          <w:iCs w:val="1"/>
          <w:color w:val="auto"/>
        </w:rPr>
        <w:t xml:space="preserve"> Educational Publishing </w:t>
      </w:r>
      <w:r>
        <w:rPr>
          <w:rFonts w:ascii="Arial" w:cs="Arial" w:eastAsia="Arial" w:hAnsi="Arial"/>
          <w:sz w:val="15"/>
          <w:szCs w:val="15"/>
          <w:color w:val="auto"/>
        </w:rPr>
        <w:t>segments by $22.4 million, $18.5 million and $11.5 million, respectively. Revenues for fiscal 2005 decreased 6.9%, or $153.9 million, as compared to $2,233.8 million 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2004. This decrease related primarily to $206.1 million in lower revenues from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principally due to the fiscal 2004 release of </w:t>
      </w:r>
      <w:r>
        <w:rPr>
          <w:rFonts w:ascii="Arial" w:cs="Arial" w:eastAsia="Arial" w:hAnsi="Arial"/>
          <w:sz w:val="15"/>
          <w:szCs w:val="15"/>
          <w:i w:val="1"/>
          <w:iCs w:val="1"/>
          <w:color w:val="auto"/>
        </w:rPr>
        <w:t>Harry</w:t>
      </w:r>
      <w:r>
        <w:rPr>
          <w:rFonts w:ascii="Arial" w:cs="Arial" w:eastAsia="Arial" w:hAnsi="Arial"/>
          <w:sz w:val="15"/>
          <w:szCs w:val="15"/>
          <w:color w:val="auto"/>
        </w:rPr>
        <w:t xml:space="preserve"> </w:t>
      </w:r>
      <w:r>
        <w:rPr>
          <w:rFonts w:ascii="Arial" w:cs="Arial" w:eastAsia="Arial" w:hAnsi="Arial"/>
          <w:sz w:val="15"/>
          <w:szCs w:val="15"/>
          <w:i w:val="1"/>
          <w:iCs w:val="1"/>
          <w:color w:val="auto"/>
        </w:rPr>
        <w:t>Potter and the Order of the Phoenix</w:t>
      </w:r>
      <w:r>
        <w:rPr>
          <w:rFonts w:ascii="Arial" w:cs="Arial" w:eastAsia="Arial" w:hAnsi="Arial"/>
          <w:sz w:val="15"/>
          <w:szCs w:val="15"/>
          <w:color w:val="auto"/>
        </w:rPr>
        <w:t>, the fifth book in the series. This decrease was partially offset by higher revenues from the</w:t>
      </w:r>
      <w:r>
        <w:rPr>
          <w:rFonts w:ascii="Arial" w:cs="Arial" w:eastAsia="Arial" w:hAnsi="Arial"/>
          <w:sz w:val="15"/>
          <w:szCs w:val="15"/>
          <w:i w:val="1"/>
          <w:iCs w:val="1"/>
          <w:color w:val="auto"/>
        </w:rPr>
        <w:t xml:space="preserve"> Educational Publishing </w:t>
      </w:r>
      <w:r>
        <w:rPr>
          <w:rFonts w:ascii="Arial" w:cs="Arial" w:eastAsia="Arial" w:hAnsi="Arial"/>
          <w:sz w:val="15"/>
          <w:szCs w:val="15"/>
          <w:color w:val="auto"/>
        </w:rPr>
        <w:t>and</w:t>
      </w:r>
      <w:r>
        <w:rPr>
          <w:rFonts w:ascii="Arial" w:cs="Arial" w:eastAsia="Arial" w:hAnsi="Arial"/>
          <w:sz w:val="15"/>
          <w:szCs w:val="15"/>
          <w:i w:val="1"/>
          <w:iCs w:val="1"/>
          <w:color w:val="auto"/>
        </w:rPr>
        <w:t xml:space="preserve"> International </w:t>
      </w:r>
      <w:r>
        <w:rPr>
          <w:rFonts w:ascii="Arial" w:cs="Arial" w:eastAsia="Arial" w:hAnsi="Arial"/>
          <w:sz w:val="15"/>
          <w:szCs w:val="15"/>
          <w:color w:val="auto"/>
        </w:rPr>
        <w:t>segments of $35.5</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and $20.0 million, respectively.</w:t>
      </w:r>
    </w:p>
    <w:p>
      <w:pPr>
        <w:spacing w:after="0" w:line="168"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 xml:space="preserve">Cost of goods sold for fiscal 2006 increased to $1,103.1 million, or 48.3% of revenues, compared to $979.0 million, or 47.1% of revenues, in the prior fiscal year. This increase was primarily due to higher costs related to the release of </w:t>
      </w:r>
      <w:r>
        <w:rPr>
          <w:rFonts w:ascii="Arial" w:cs="Arial" w:eastAsia="Arial" w:hAnsi="Arial"/>
          <w:sz w:val="15"/>
          <w:szCs w:val="15"/>
          <w:i w:val="1"/>
          <w:iCs w:val="1"/>
          <w:color w:val="auto"/>
        </w:rPr>
        <w:t>Harry Potter and the Half-Blood Prince</w:t>
      </w:r>
      <w:r>
        <w:rPr>
          <w:rFonts w:ascii="Arial" w:cs="Arial" w:eastAsia="Arial" w:hAnsi="Arial"/>
          <w:sz w:val="15"/>
          <w:szCs w:val="15"/>
          <w:color w:val="auto"/>
        </w:rPr>
        <w:t xml:space="preserve"> in fiscal 2006. Cost of goods sold in fiscal 2006 also included $3.2 million related to the write-down of certain print reference set assets, which is included in the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segment. Cost of goods sold for fiscal 2005 decreased 9.9%, or $107.8 million, as compared to $1,086.8 million, or 48.7% of revenues, in the prior fiscal year. This decrease was primarily due to costs in fiscal 2004 related to the release of </w:t>
      </w:r>
      <w:r>
        <w:rPr>
          <w:rFonts w:ascii="Arial" w:cs="Arial" w:eastAsia="Arial" w:hAnsi="Arial"/>
          <w:sz w:val="15"/>
          <w:szCs w:val="15"/>
          <w:i w:val="1"/>
          <w:iCs w:val="1"/>
          <w:color w:val="auto"/>
        </w:rPr>
        <w:t>Harry Potter and the Order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the Phoenix </w:t>
      </w:r>
      <w:r>
        <w:rPr>
          <w:rFonts w:ascii="Arial" w:cs="Arial" w:eastAsia="Arial" w:hAnsi="Arial"/>
          <w:sz w:val="15"/>
          <w:szCs w:val="15"/>
          <w:color w:val="auto"/>
        </w:rPr>
        <w:t>in that year. In fiscal 2004, the Company recorded certain charges in connection with a review of its continuity business (“Continuity charges”), of which $6.8 million was</w:t>
      </w:r>
      <w:r>
        <w:rPr>
          <w:rFonts w:ascii="Arial" w:cs="Arial" w:eastAsia="Arial" w:hAnsi="Arial"/>
          <w:sz w:val="15"/>
          <w:szCs w:val="15"/>
          <w:i w:val="1"/>
          <w:iCs w:val="1"/>
          <w:color w:val="auto"/>
        </w:rPr>
        <w:t xml:space="preserve"> </w:t>
      </w:r>
      <w:r>
        <w:rPr>
          <w:rFonts w:ascii="Arial" w:cs="Arial" w:eastAsia="Arial" w:hAnsi="Arial"/>
          <w:sz w:val="15"/>
          <w:szCs w:val="15"/>
          <w:color w:val="auto"/>
        </w:rPr>
        <w:t>recorded as a component of Cost of goods sold.</w:t>
      </w:r>
    </w:p>
    <w:p>
      <w:pPr>
        <w:spacing w:after="0" w:line="167"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 xml:space="preserve">In fiscal 2006, Selling, general and administrative expenses as a percentage of revenue decreased slightly to 40.1% from 40.4% in the prior fiscal year. The decrease was primarily due to the revenue benefit of the fiscal 2006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release without a corresponding increase in related expense, substantially offset by increased costs in other portions of the </w:t>
      </w:r>
      <w:r>
        <w:rPr>
          <w:rFonts w:ascii="Arial" w:cs="Arial" w:eastAsia="Arial" w:hAnsi="Arial"/>
          <w:sz w:val="14"/>
          <w:szCs w:val="14"/>
          <w:i w:val="1"/>
          <w:iCs w:val="1"/>
          <w:color w:val="auto"/>
        </w:rPr>
        <w:t>Children’s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Book Publishing and Distribution </w:t>
      </w:r>
      <w:r>
        <w:rPr>
          <w:rFonts w:ascii="Arial" w:cs="Arial" w:eastAsia="Arial" w:hAnsi="Arial"/>
          <w:sz w:val="14"/>
          <w:szCs w:val="14"/>
          <w:color w:val="auto"/>
        </w:rPr>
        <w:t>segment and the</w:t>
      </w:r>
      <w:r>
        <w:rPr>
          <w:rFonts w:ascii="Arial" w:cs="Arial" w:eastAsia="Arial" w:hAnsi="Arial"/>
          <w:sz w:val="14"/>
          <w:szCs w:val="14"/>
          <w:i w:val="1"/>
          <w:iCs w:val="1"/>
          <w:color w:val="auto"/>
        </w:rPr>
        <w:t xml:space="preserve"> Educational Publishing </w:t>
      </w:r>
      <w:r>
        <w:rPr>
          <w:rFonts w:ascii="Arial" w:cs="Arial" w:eastAsia="Arial" w:hAnsi="Arial"/>
          <w:sz w:val="14"/>
          <w:szCs w:val="14"/>
          <w:color w:val="auto"/>
        </w:rPr>
        <w:t>Segment. Selling, general and administrative expenses as a percentage of revenue in fiscal 2005 increased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40.4% from 39.0% in the prior fiscal year, primarily due to the revenue benefit of the fiscal 2004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release without a corresponding increase in related expense. In fiscal 2005 and fiscal 2004, Selling, general and administrative expenses included Continuity charges of $3.8 million and $15.2 million, respectively.</w:t>
      </w:r>
    </w:p>
    <w:p>
      <w:pPr>
        <w:spacing w:after="0" w:line="149"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 xml:space="preserve">Bad debt expense for fiscal 2006 decreased to $59.1 million, or 2.6% of revenues, compared to $62.2 million, or 3.0% of revenues, in the prior fiscal year. This decrease was primarily due to lower bad debt in the Company’s continuity business, which is included 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partially offset by bad debt expense of $2.9 million associated with the bankruptcy of a for-profit educational services customer in the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segment. Bad debt expense for fiscal 2005 decreased by $28.1 million, or 31.1%, as compared to $90.3 million, or 4.0% of revenues, in the prior fiscal year, primarily related to lower bad debt in the Company’s continuity business. The lower levels of bad debt expense in the Company’s continuity business resulted primarily from the Company’s previously announced plan for this business to focus on its more productive customers. Bad debt expense in fiscal 2004 included Continuity charges of $2.0 million.</w:t>
      </w:r>
    </w:p>
    <w:p>
      <w:pPr>
        <w:spacing w:after="0" w:line="167" w:lineRule="exact"/>
        <w:rPr>
          <w:sz w:val="20"/>
          <w:szCs w:val="20"/>
          <w:color w:val="auto"/>
        </w:rPr>
      </w:pPr>
    </w:p>
    <w:p>
      <w:pPr>
        <w:spacing w:after="0" w:line="322" w:lineRule="auto"/>
        <w:rPr>
          <w:sz w:val="20"/>
          <w:szCs w:val="20"/>
          <w:color w:val="auto"/>
        </w:rPr>
      </w:pPr>
      <w:r>
        <w:rPr>
          <w:rFonts w:ascii="Arial" w:cs="Arial" w:eastAsia="Arial" w:hAnsi="Arial"/>
          <w:sz w:val="14"/>
          <w:szCs w:val="14"/>
          <w:color w:val="auto"/>
        </w:rPr>
        <w:t>Depreciation and amortization expense for fiscal 2006 increased to $65.8 million, compared to $63.1 million in fiscal 2005. Depreciation and amortization expense for fiscal 2005 increased by $1.0 million, compared to $62.1 million in fiscal 2004. These increases were principally associated with the depreciation of information technology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85090</wp:posOffset>
            </wp:positionV>
            <wp:extent cx="1938655" cy="340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6" w:name="page27"/>
    <w:bookmarkEnd w:id="26"/>
    <w:p>
      <w:pPr>
        <w:ind w:left="7"/>
        <w:spacing w:after="0"/>
        <w:rPr>
          <w:sz w:val="20"/>
          <w:szCs w:val="20"/>
          <w:color w:val="auto"/>
        </w:rPr>
      </w:pPr>
      <w:r>
        <w:rPr>
          <w:rFonts w:ascii="Arial" w:cs="Arial" w:eastAsia="Arial" w:hAnsi="Arial"/>
          <w:sz w:val="15"/>
          <w:szCs w:val="15"/>
          <w:color w:val="auto"/>
        </w:rPr>
        <w:t>In fiscal 2004, the Company recorded $3.3 million in Special severance charges related to a reduction in its global work force.</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resulting operating income for fiscal 2006 increased by $4.4 million, or 3.3%, to $139.3 million, as compared to $134.9 million in the prior fiscal year. This improvement reflected</w:t>
      </w:r>
    </w:p>
    <w:p>
      <w:pPr>
        <w:spacing w:after="0" w:line="30" w:lineRule="exact"/>
        <w:rPr>
          <w:sz w:val="20"/>
          <w:szCs w:val="20"/>
          <w:color w:val="auto"/>
        </w:rPr>
      </w:pPr>
    </w:p>
    <w:p>
      <w:pPr>
        <w:ind w:left="7" w:right="100"/>
        <w:spacing w:after="0" w:line="265" w:lineRule="auto"/>
        <w:rPr>
          <w:sz w:val="20"/>
          <w:szCs w:val="20"/>
          <w:color w:val="auto"/>
        </w:rPr>
      </w:pPr>
      <w:r>
        <w:rPr>
          <w:rFonts w:ascii="Arial" w:cs="Arial" w:eastAsia="Arial" w:hAnsi="Arial"/>
          <w:sz w:val="15"/>
          <w:szCs w:val="15"/>
          <w:color w:val="auto"/>
        </w:rPr>
        <w:t xml:space="preserve">$20.7 million in higher profits from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partially offset by decreases of $8.9 million in the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segment and $7.6 million in the </w:t>
      </w:r>
      <w:r>
        <w:rPr>
          <w:rFonts w:ascii="Arial" w:cs="Arial" w:eastAsia="Arial" w:hAnsi="Arial"/>
          <w:sz w:val="15"/>
          <w:szCs w:val="15"/>
          <w:i w:val="1"/>
          <w:iCs w:val="1"/>
          <w:color w:val="auto"/>
        </w:rPr>
        <w:t>International</w:t>
      </w:r>
      <w:r>
        <w:rPr>
          <w:rFonts w:ascii="Arial" w:cs="Arial" w:eastAsia="Arial" w:hAnsi="Arial"/>
          <w:sz w:val="15"/>
          <w:szCs w:val="15"/>
          <w:color w:val="auto"/>
        </w:rPr>
        <w:t xml:space="preserve"> segment, as compared to the prior fiscal year. In fiscal 2005, operating income increased by $13.7 million, or 11.3%, compared to $121.2 million in the prior fiscal year. This improvement reflected $22.4 million in higher profits from the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segment, partially offset by a decrease of $11.1 million in the </w:t>
      </w:r>
      <w:r>
        <w:rPr>
          <w:rFonts w:ascii="Arial" w:cs="Arial" w:eastAsia="Arial" w:hAnsi="Arial"/>
          <w:sz w:val="15"/>
          <w:szCs w:val="15"/>
          <w:i w:val="1"/>
          <w:iCs w:val="1"/>
          <w:color w:val="auto"/>
        </w:rPr>
        <w:t>Children’s Book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Publishing and Distribution </w:t>
      </w:r>
      <w:r>
        <w:rPr>
          <w:rFonts w:ascii="Arial" w:cs="Arial" w:eastAsia="Arial" w:hAnsi="Arial"/>
          <w:sz w:val="15"/>
          <w:szCs w:val="15"/>
          <w:color w:val="auto"/>
        </w:rPr>
        <w:t>segment profits, as compared to the prior fiscal year.</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fiscal 2004, the Company recorded $8.0 million in Other income, representing the net gain on the early termination of a sublease by one of its tenants.</w:t>
      </w:r>
    </w:p>
    <w:p>
      <w:pPr>
        <w:spacing w:after="0" w:line="200" w:lineRule="exact"/>
        <w:rPr>
          <w:sz w:val="20"/>
          <w:szCs w:val="20"/>
          <w:color w:val="auto"/>
        </w:rPr>
      </w:pPr>
    </w:p>
    <w:p>
      <w:pPr>
        <w:ind w:left="7" w:right="60"/>
        <w:spacing w:after="0" w:line="285" w:lineRule="auto"/>
        <w:rPr>
          <w:sz w:val="20"/>
          <w:szCs w:val="20"/>
          <w:color w:val="auto"/>
        </w:rPr>
      </w:pPr>
      <w:r>
        <w:rPr>
          <w:rFonts w:ascii="Arial" w:cs="Arial" w:eastAsia="Arial" w:hAnsi="Arial"/>
          <w:sz w:val="15"/>
          <w:szCs w:val="15"/>
          <w:color w:val="auto"/>
        </w:rPr>
        <w:t>Interest income for fiscal 2006 increased by $2.5 million to $3.5 million, as compared to $1.0 million in fiscal 2005, primarily due to higher average cash balances. Interest income in fiscal 2005 increased by $0.6 million as compared to fiscal 2004.</w:t>
      </w:r>
    </w:p>
    <w:p>
      <w:pPr>
        <w:spacing w:after="0" w:line="150" w:lineRule="exact"/>
        <w:rPr>
          <w:sz w:val="20"/>
          <w:szCs w:val="20"/>
          <w:color w:val="auto"/>
        </w:rPr>
      </w:pPr>
    </w:p>
    <w:p>
      <w:pPr>
        <w:ind w:left="7" w:right="20"/>
        <w:spacing w:after="0" w:line="285" w:lineRule="auto"/>
        <w:rPr>
          <w:sz w:val="20"/>
          <w:szCs w:val="20"/>
          <w:color w:val="auto"/>
        </w:rPr>
      </w:pPr>
      <w:r>
        <w:rPr>
          <w:rFonts w:ascii="Arial" w:cs="Arial" w:eastAsia="Arial" w:hAnsi="Arial"/>
          <w:sz w:val="15"/>
          <w:szCs w:val="15"/>
          <w:color w:val="auto"/>
        </w:rPr>
        <w:t>Interest expense for fiscal 2006 decreased by $1.0 million, or 2.8%, to $35.2 million, as compared to $36.2 million in fiscal 2005. Interest expense for fiscal 2005 decreased by $3.8 million, as compared to $40.0 million in fiscal 2004. These decreases were primarily due to lower average debt levels.</w:t>
      </w:r>
    </w:p>
    <w:p>
      <w:pPr>
        <w:spacing w:after="0" w:line="150" w:lineRule="exact"/>
        <w:rPr>
          <w:sz w:val="20"/>
          <w:szCs w:val="20"/>
          <w:color w:val="auto"/>
        </w:rPr>
      </w:pPr>
    </w:p>
    <w:p>
      <w:pPr>
        <w:ind w:left="7" w:right="100"/>
        <w:spacing w:after="0" w:line="285" w:lineRule="auto"/>
        <w:rPr>
          <w:sz w:val="20"/>
          <w:szCs w:val="20"/>
          <w:color w:val="auto"/>
        </w:rPr>
      </w:pPr>
      <w:r>
        <w:rPr>
          <w:rFonts w:ascii="Arial" w:cs="Arial" w:eastAsia="Arial" w:hAnsi="Arial"/>
          <w:sz w:val="15"/>
          <w:szCs w:val="15"/>
          <w:color w:val="auto"/>
        </w:rPr>
        <w:t>The Company’s effective tax rate in fiscal 2006 increased to 36.25% from 35.5% of earnings before taxes for each of fiscal 2005 and fiscal 2004. The increase in fiscal 2006 was primarily due to higher effective state and local tax rates.</w:t>
      </w:r>
    </w:p>
    <w:p>
      <w:pPr>
        <w:spacing w:after="0" w:line="150" w:lineRule="exact"/>
        <w:rPr>
          <w:sz w:val="20"/>
          <w:szCs w:val="20"/>
          <w:color w:val="auto"/>
        </w:rPr>
      </w:pPr>
    </w:p>
    <w:p>
      <w:pPr>
        <w:ind w:left="7" w:right="140"/>
        <w:spacing w:after="0" w:line="272" w:lineRule="auto"/>
        <w:rPr>
          <w:sz w:val="20"/>
          <w:szCs w:val="20"/>
          <w:color w:val="auto"/>
        </w:rPr>
      </w:pPr>
      <w:r>
        <w:rPr>
          <w:rFonts w:ascii="Arial" w:cs="Arial" w:eastAsia="Arial" w:hAnsi="Arial"/>
          <w:sz w:val="15"/>
          <w:szCs w:val="15"/>
          <w:color w:val="auto"/>
        </w:rPr>
        <w:t>Net income increased 6.7% to $68.6 million in fiscal 2006, from $64.3 million in fiscal 2005, which increased 11.2% from $57.8 million in fiscal 2004. The basic and diluted earnings per share of Class A Stock and Common Stock were $1.65 and $1.63, respectively, in fiscal 2006, $1.61 and $1.58, respectively, in fiscal 2005, and $1.47 and $1.44, respectively, in fiscal 2004.</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Results of Operations – Segments</w:t>
      </w:r>
    </w:p>
    <w:p>
      <w:pPr>
        <w:spacing w:after="0" w:line="24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 xml:space="preserve">C </w:t>
      </w:r>
      <w:r>
        <w:rPr>
          <w:rFonts w:ascii="Arial" w:cs="Arial" w:eastAsia="Arial" w:hAnsi="Arial"/>
          <w:sz w:val="11"/>
          <w:szCs w:val="11"/>
          <w:b w:val="1"/>
          <w:bCs w:val="1"/>
          <w:color w:val="auto"/>
        </w:rPr>
        <w:t>H I L D R E N</w:t>
      </w:r>
      <w:r>
        <w:rPr>
          <w:rFonts w:ascii="Arial" w:cs="Arial" w:eastAsia="Arial" w:hAnsi="Arial"/>
          <w:sz w:val="15"/>
          <w:szCs w:val="15"/>
          <w:b w:val="1"/>
          <w:bCs w:val="1"/>
          <w:color w:val="auto"/>
        </w:rPr>
        <w:t xml:space="preserve"> ’ </w:t>
      </w:r>
      <w:r>
        <w:rPr>
          <w:rFonts w:ascii="Arial" w:cs="Arial" w:eastAsia="Arial" w:hAnsi="Arial"/>
          <w:sz w:val="11"/>
          <w:szCs w:val="11"/>
          <w:b w:val="1"/>
          <w:bCs w:val="1"/>
          <w:color w:val="auto"/>
        </w:rPr>
        <w:t>S</w:t>
      </w:r>
      <w:r>
        <w:rPr>
          <w:rFonts w:ascii="Arial" w:cs="Arial" w:eastAsia="Arial" w:hAnsi="Arial"/>
          <w:sz w:val="15"/>
          <w:szCs w:val="15"/>
          <w:b w:val="1"/>
          <w:bCs w:val="1"/>
          <w:color w:val="auto"/>
        </w:rPr>
        <w:t xml:space="preserve">  B </w:t>
      </w:r>
      <w:r>
        <w:rPr>
          <w:rFonts w:ascii="Arial" w:cs="Arial" w:eastAsia="Arial" w:hAnsi="Arial"/>
          <w:sz w:val="11"/>
          <w:szCs w:val="11"/>
          <w:b w:val="1"/>
          <w:bCs w:val="1"/>
          <w:color w:val="auto"/>
        </w:rPr>
        <w:t>O O K</w:t>
      </w:r>
      <w:r>
        <w:rPr>
          <w:rFonts w:ascii="Arial" w:cs="Arial" w:eastAsia="Arial" w:hAnsi="Arial"/>
          <w:sz w:val="15"/>
          <w:szCs w:val="15"/>
          <w:b w:val="1"/>
          <w:bCs w:val="1"/>
          <w:color w:val="auto"/>
        </w:rPr>
        <w:t xml:space="preserve"> P </w:t>
      </w:r>
      <w:r>
        <w:rPr>
          <w:rFonts w:ascii="Arial" w:cs="Arial" w:eastAsia="Arial" w:hAnsi="Arial"/>
          <w:sz w:val="11"/>
          <w:szCs w:val="11"/>
          <w:b w:val="1"/>
          <w:bCs w:val="1"/>
          <w:color w:val="auto"/>
        </w:rPr>
        <w:t>U B L I S H I N G  A N D</w:t>
      </w:r>
      <w:r>
        <w:rPr>
          <w:rFonts w:ascii="Arial" w:cs="Arial" w:eastAsia="Arial" w:hAnsi="Arial"/>
          <w:sz w:val="15"/>
          <w:szCs w:val="15"/>
          <w:b w:val="1"/>
          <w:bCs w:val="1"/>
          <w:color w:val="auto"/>
        </w:rPr>
        <w:t xml:space="preserve">  D </w:t>
      </w:r>
      <w:r>
        <w:rPr>
          <w:rFonts w:ascii="Arial" w:cs="Arial" w:eastAsia="Arial" w:hAnsi="Arial"/>
          <w:sz w:val="11"/>
          <w:szCs w:val="11"/>
          <w:b w:val="1"/>
          <w:bCs w:val="1"/>
          <w:color w:val="auto"/>
        </w:rPr>
        <w:t>I S T R I B U T I O N</w:t>
      </w:r>
    </w:p>
    <w:p>
      <w:pPr>
        <w:spacing w:after="0" w:line="320" w:lineRule="exact"/>
        <w:rPr>
          <w:sz w:val="20"/>
          <w:szCs w:val="20"/>
          <w:color w:val="auto"/>
        </w:rPr>
      </w:pPr>
    </w:p>
    <w:p>
      <w:pPr>
        <w:ind w:left="9927"/>
        <w:spacing w:after="0"/>
        <w:rPr>
          <w:sz w:val="20"/>
          <w:szCs w:val="20"/>
          <w:color w:val="auto"/>
        </w:rPr>
      </w:pPr>
      <w:r>
        <w:rPr>
          <w:rFonts w:ascii="Arial" w:cs="Arial" w:eastAsia="Arial" w:hAnsi="Arial"/>
          <w:sz w:val="12"/>
          <w:szCs w:val="12"/>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656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0" w:type="dxa"/>
            <w:vAlign w:val="bottom"/>
          </w:tcPr>
          <w:p>
            <w:pPr>
              <w:jc w:val="right"/>
              <w:ind w:right="157"/>
              <w:spacing w:after="0"/>
              <w:rPr>
                <w:sz w:val="20"/>
                <w:szCs w:val="20"/>
                <w:color w:val="auto"/>
              </w:rPr>
            </w:pPr>
            <w:r>
              <w:rPr>
                <w:rFonts w:ascii="Arial" w:cs="Arial" w:eastAsia="Arial" w:hAnsi="Arial"/>
                <w:sz w:val="15"/>
                <w:szCs w:val="15"/>
                <w:b w:val="1"/>
                <w:bCs w:val="1"/>
                <w:color w:val="auto"/>
              </w:rPr>
              <w:t>2006</w:t>
            </w:r>
          </w:p>
        </w:tc>
        <w:tc>
          <w:tcPr>
            <w:tcW w:w="340" w:type="dxa"/>
            <w:vAlign w:val="bottom"/>
          </w:tcPr>
          <w:p>
            <w:pPr>
              <w:spacing w:after="0"/>
              <w:rPr>
                <w:sz w:val="16"/>
                <w:szCs w:val="16"/>
                <w:color w:val="auto"/>
              </w:rPr>
            </w:pPr>
          </w:p>
        </w:tc>
        <w:tc>
          <w:tcPr>
            <w:tcW w:w="840" w:type="dxa"/>
            <w:vAlign w:val="bottom"/>
          </w:tcPr>
          <w:p>
            <w:pPr>
              <w:jc w:val="right"/>
              <w:ind w:right="217"/>
              <w:spacing w:after="0"/>
              <w:rPr>
                <w:sz w:val="20"/>
                <w:szCs w:val="20"/>
                <w:color w:val="auto"/>
              </w:rPr>
            </w:pPr>
            <w:r>
              <w:rPr>
                <w:rFonts w:ascii="Arial" w:cs="Arial" w:eastAsia="Arial" w:hAnsi="Arial"/>
                <w:sz w:val="15"/>
                <w:szCs w:val="15"/>
                <w:b w:val="1"/>
                <w:bCs w:val="1"/>
                <w:color w:val="auto"/>
              </w:rPr>
              <w:t>2005</w:t>
            </w:r>
          </w:p>
        </w:tc>
        <w:tc>
          <w:tcPr>
            <w:tcW w:w="420" w:type="dxa"/>
            <w:vAlign w:val="bottom"/>
          </w:tcPr>
          <w:p>
            <w:pPr>
              <w:spacing w:after="0"/>
              <w:rPr>
                <w:sz w:val="16"/>
                <w:szCs w:val="16"/>
                <w:color w:val="auto"/>
              </w:rPr>
            </w:pPr>
          </w:p>
        </w:tc>
        <w:tc>
          <w:tcPr>
            <w:tcW w:w="940" w:type="dxa"/>
            <w:vAlign w:val="bottom"/>
          </w:tcPr>
          <w:p>
            <w:pPr>
              <w:jc w:val="right"/>
              <w:ind w:right="297"/>
              <w:spacing w:after="0"/>
              <w:rPr>
                <w:sz w:val="20"/>
                <w:szCs w:val="20"/>
                <w:color w:val="auto"/>
              </w:rPr>
            </w:pPr>
            <w:r>
              <w:rPr>
                <w:rFonts w:ascii="Arial" w:cs="Arial" w:eastAsia="Arial" w:hAnsi="Arial"/>
                <w:sz w:val="15"/>
                <w:szCs w:val="15"/>
                <w:b w:val="1"/>
                <w:bCs w:val="1"/>
                <w:color w:val="auto"/>
              </w:rPr>
              <w:t>2004</w:t>
            </w:r>
          </w:p>
        </w:tc>
      </w:tr>
      <w:tr>
        <w:trPr>
          <w:trHeight w:val="96"/>
        </w:trPr>
        <w:tc>
          <w:tcPr>
            <w:tcW w:w="442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85"/>
        </w:trPr>
        <w:tc>
          <w:tcPr>
            <w:tcW w:w="44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10"/>
        </w:trPr>
        <w:tc>
          <w:tcPr>
            <w:tcW w:w="4420" w:type="dxa"/>
            <w:vAlign w:val="bottom"/>
            <w:shd w:val="clear" w:color="auto" w:fill="E6E6E6"/>
          </w:tcPr>
          <w:p>
            <w:pPr>
              <w:spacing w:after="0"/>
              <w:rPr>
                <w:sz w:val="20"/>
                <w:szCs w:val="20"/>
                <w:color w:val="auto"/>
              </w:rPr>
            </w:pPr>
            <w:r>
              <w:rPr>
                <w:rFonts w:ascii="Arial" w:cs="Arial" w:eastAsia="Arial" w:hAnsi="Arial"/>
                <w:sz w:val="12"/>
                <w:szCs w:val="12"/>
                <w:color w:val="auto"/>
              </w:rPr>
              <w:t>Revenue</w:t>
            </w:r>
          </w:p>
        </w:tc>
        <w:tc>
          <w:tcPr>
            <w:tcW w:w="3740" w:type="dxa"/>
            <w:vAlign w:val="bottom"/>
            <w:shd w:val="clear" w:color="auto" w:fill="E6E6E6"/>
          </w:tcPr>
          <w:p>
            <w:pPr>
              <w:jc w:val="right"/>
              <w:ind w:right="102"/>
              <w:spacing w:after="0"/>
              <w:rPr>
                <w:sz w:val="20"/>
                <w:szCs w:val="20"/>
                <w:color w:val="auto"/>
              </w:rPr>
            </w:pPr>
            <w:r>
              <w:rPr>
                <w:rFonts w:ascii="Arial" w:cs="Arial" w:eastAsia="Arial" w:hAnsi="Arial"/>
                <w:sz w:val="12"/>
                <w:szCs w:val="12"/>
                <w:color w:val="auto"/>
              </w:rPr>
              <w:t>$</w:t>
            </w:r>
          </w:p>
        </w:tc>
        <w:tc>
          <w:tcPr>
            <w:tcW w:w="740" w:type="dxa"/>
            <w:vAlign w:val="bottom"/>
            <w:shd w:val="clear" w:color="auto" w:fill="E6E6E6"/>
          </w:tcPr>
          <w:p>
            <w:pPr>
              <w:jc w:val="right"/>
              <w:ind w:right="157"/>
              <w:spacing w:after="0"/>
              <w:rPr>
                <w:sz w:val="20"/>
                <w:szCs w:val="20"/>
                <w:color w:val="auto"/>
              </w:rPr>
            </w:pPr>
            <w:r>
              <w:rPr>
                <w:rFonts w:ascii="Arial" w:cs="Arial" w:eastAsia="Arial" w:hAnsi="Arial"/>
                <w:sz w:val="12"/>
                <w:szCs w:val="12"/>
                <w:color w:val="auto"/>
              </w:rPr>
              <w:t>1,304.0</w:t>
            </w:r>
          </w:p>
        </w:tc>
        <w:tc>
          <w:tcPr>
            <w:tcW w:w="340" w:type="dxa"/>
            <w:vAlign w:val="bottom"/>
            <w:shd w:val="clear" w:color="auto" w:fill="E6E6E6"/>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shd w:val="clear" w:color="auto" w:fill="E6E6E6"/>
          </w:tcPr>
          <w:p>
            <w:pPr>
              <w:jc w:val="right"/>
              <w:ind w:right="217"/>
              <w:spacing w:after="0"/>
              <w:rPr>
                <w:sz w:val="20"/>
                <w:szCs w:val="20"/>
                <w:color w:val="auto"/>
              </w:rPr>
            </w:pPr>
            <w:r>
              <w:rPr>
                <w:rFonts w:ascii="Arial" w:cs="Arial" w:eastAsia="Arial" w:hAnsi="Arial"/>
                <w:sz w:val="12"/>
                <w:szCs w:val="12"/>
                <w:color w:val="auto"/>
              </w:rPr>
              <w:t>1,152.5</w:t>
            </w:r>
          </w:p>
        </w:tc>
        <w:tc>
          <w:tcPr>
            <w:tcW w:w="420" w:type="dxa"/>
            <w:vAlign w:val="bottom"/>
            <w:shd w:val="clear" w:color="auto" w:fill="E6E6E6"/>
          </w:tcPr>
          <w:p>
            <w:pPr>
              <w:jc w:val="right"/>
              <w:ind w:right="142"/>
              <w:spacing w:after="0"/>
              <w:rPr>
                <w:sz w:val="20"/>
                <w:szCs w:val="20"/>
                <w:color w:val="auto"/>
              </w:rPr>
            </w:pPr>
            <w:r>
              <w:rPr>
                <w:rFonts w:ascii="Arial" w:cs="Arial" w:eastAsia="Arial" w:hAnsi="Arial"/>
                <w:sz w:val="12"/>
                <w:szCs w:val="12"/>
                <w:color w:val="auto"/>
              </w:rPr>
              <w:t>$</w:t>
            </w:r>
          </w:p>
        </w:tc>
        <w:tc>
          <w:tcPr>
            <w:tcW w:w="940" w:type="dxa"/>
            <w:vAlign w:val="bottom"/>
            <w:shd w:val="clear" w:color="auto" w:fill="E6E6E6"/>
          </w:tcPr>
          <w:p>
            <w:pPr>
              <w:jc w:val="right"/>
              <w:ind w:right="297"/>
              <w:spacing w:after="0"/>
              <w:rPr>
                <w:sz w:val="20"/>
                <w:szCs w:val="20"/>
                <w:color w:val="auto"/>
              </w:rPr>
            </w:pPr>
            <w:r>
              <w:rPr>
                <w:rFonts w:ascii="Arial" w:cs="Arial" w:eastAsia="Arial" w:hAnsi="Arial"/>
                <w:sz w:val="12"/>
                <w:szCs w:val="12"/>
                <w:color w:val="auto"/>
              </w:rPr>
              <w:t>1,358.6</w:t>
            </w:r>
          </w:p>
        </w:tc>
      </w:tr>
      <w:tr>
        <w:trPr>
          <w:trHeight w:val="306"/>
        </w:trPr>
        <w:tc>
          <w:tcPr>
            <w:tcW w:w="4420" w:type="dxa"/>
            <w:vAlign w:val="bottom"/>
            <w:tcBorders>
              <w:bottom w:val="single" w:sz="8" w:color="808080"/>
            </w:tcBorders>
          </w:tcPr>
          <w:p>
            <w:pPr>
              <w:spacing w:after="0"/>
              <w:rPr>
                <w:sz w:val="20"/>
                <w:szCs w:val="20"/>
                <w:color w:val="auto"/>
              </w:rPr>
            </w:pPr>
            <w:r>
              <w:rPr>
                <w:rFonts w:ascii="Arial" w:cs="Arial" w:eastAsia="Arial" w:hAnsi="Arial"/>
                <w:sz w:val="12"/>
                <w:szCs w:val="12"/>
                <w:color w:val="auto"/>
              </w:rPr>
              <w:t>Operating income</w:t>
            </w:r>
          </w:p>
        </w:tc>
        <w:tc>
          <w:tcPr>
            <w:tcW w:w="37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57"/>
              <w:spacing w:after="0"/>
              <w:rPr>
                <w:sz w:val="20"/>
                <w:szCs w:val="20"/>
                <w:color w:val="auto"/>
              </w:rPr>
            </w:pPr>
            <w:r>
              <w:rPr>
                <w:rFonts w:ascii="Arial" w:cs="Arial" w:eastAsia="Arial" w:hAnsi="Arial"/>
                <w:sz w:val="12"/>
                <w:szCs w:val="12"/>
                <w:color w:val="auto"/>
              </w:rPr>
              <w:t>114.2</w:t>
            </w:r>
          </w:p>
        </w:tc>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77"/>
              <w:spacing w:after="0"/>
              <w:rPr>
                <w:sz w:val="20"/>
                <w:szCs w:val="20"/>
                <w:color w:val="auto"/>
              </w:rPr>
            </w:pPr>
            <w:r>
              <w:rPr>
                <w:rFonts w:ascii="Arial" w:cs="Arial" w:eastAsia="Arial" w:hAnsi="Arial"/>
                <w:sz w:val="12"/>
                <w:szCs w:val="12"/>
                <w:color w:val="auto"/>
              </w:rPr>
              <w:t>93.5</w:t>
            </w:r>
            <w:r>
              <w:rPr>
                <w:rFonts w:ascii="Arial" w:cs="Arial" w:eastAsia="Arial" w:hAnsi="Arial"/>
                <w:sz w:val="23"/>
                <w:szCs w:val="23"/>
                <w:color w:val="auto"/>
                <w:vertAlign w:val="superscript"/>
              </w:rPr>
              <w:t>(1)</w:t>
            </w:r>
          </w:p>
        </w:tc>
        <w:tc>
          <w:tcPr>
            <w:tcW w:w="4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157"/>
              <w:spacing w:after="0"/>
              <w:rPr>
                <w:sz w:val="20"/>
                <w:szCs w:val="20"/>
                <w:color w:val="auto"/>
              </w:rPr>
            </w:pPr>
            <w:r>
              <w:rPr>
                <w:rFonts w:ascii="Arial" w:cs="Arial" w:eastAsia="Arial" w:hAnsi="Arial"/>
                <w:sz w:val="12"/>
                <w:szCs w:val="12"/>
                <w:color w:val="auto"/>
              </w:rPr>
              <w:t>104.6</w:t>
            </w:r>
            <w:r>
              <w:rPr>
                <w:rFonts w:ascii="Arial" w:cs="Arial" w:eastAsia="Arial" w:hAnsi="Arial"/>
                <w:sz w:val="23"/>
                <w:szCs w:val="23"/>
                <w:color w:val="auto"/>
                <w:vertAlign w:val="superscript"/>
              </w:rPr>
              <w:t>(1)</w:t>
            </w:r>
          </w:p>
        </w:tc>
      </w:tr>
      <w:tr>
        <w:trPr>
          <w:trHeight w:val="93"/>
        </w:trPr>
        <w:tc>
          <w:tcPr>
            <w:tcW w:w="44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0"/>
        </w:trPr>
        <w:tc>
          <w:tcPr>
            <w:tcW w:w="4420" w:type="dxa"/>
            <w:vAlign w:val="bottom"/>
            <w:shd w:val="clear" w:color="auto" w:fill="E6E6E6"/>
          </w:tcPr>
          <w:p>
            <w:pPr>
              <w:spacing w:after="0"/>
              <w:rPr>
                <w:sz w:val="20"/>
                <w:szCs w:val="20"/>
                <w:color w:val="auto"/>
              </w:rPr>
            </w:pPr>
            <w:r>
              <w:rPr>
                <w:rFonts w:ascii="Arial" w:cs="Arial" w:eastAsia="Arial" w:hAnsi="Arial"/>
                <w:sz w:val="12"/>
                <w:szCs w:val="12"/>
                <w:color w:val="auto"/>
              </w:rPr>
              <w:t>Operating margin</w:t>
            </w:r>
          </w:p>
        </w:tc>
        <w:tc>
          <w:tcPr>
            <w:tcW w:w="37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57"/>
              <w:spacing w:after="0" w:line="210" w:lineRule="exact"/>
              <w:rPr>
                <w:sz w:val="20"/>
                <w:szCs w:val="20"/>
                <w:color w:val="auto"/>
              </w:rPr>
            </w:pPr>
            <w:r>
              <w:rPr>
                <w:rFonts w:ascii="Arial" w:cs="Arial" w:eastAsia="Arial" w:hAnsi="Arial"/>
                <w:sz w:val="12"/>
                <w:szCs w:val="12"/>
                <w:color w:val="auto"/>
              </w:rPr>
              <w:t>8.8</w:t>
            </w:r>
            <w:r>
              <w:rPr>
                <w:rFonts w:ascii="Arial" w:cs="Arial" w:eastAsia="Arial" w:hAnsi="Arial"/>
                <w:sz w:val="23"/>
                <w:szCs w:val="23"/>
                <w:color w:val="auto"/>
                <w:vertAlign w:val="superscript"/>
              </w:rPr>
              <w:t>%</w:t>
            </w:r>
          </w:p>
        </w:tc>
        <w:tc>
          <w:tcPr>
            <w:tcW w:w="34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117"/>
              <w:spacing w:after="0" w:line="210" w:lineRule="exact"/>
              <w:rPr>
                <w:sz w:val="20"/>
                <w:szCs w:val="20"/>
                <w:color w:val="auto"/>
              </w:rPr>
            </w:pPr>
            <w:r>
              <w:rPr>
                <w:rFonts w:ascii="Arial" w:cs="Arial" w:eastAsia="Arial" w:hAnsi="Arial"/>
                <w:sz w:val="12"/>
                <w:szCs w:val="12"/>
                <w:color w:val="auto"/>
              </w:rPr>
              <w:t>8.1</w:t>
            </w:r>
            <w:r>
              <w:rPr>
                <w:rFonts w:ascii="Arial" w:cs="Arial" w:eastAsia="Arial" w:hAnsi="Arial"/>
                <w:sz w:val="23"/>
                <w:szCs w:val="23"/>
                <w:color w:val="auto"/>
                <w:vertAlign w:val="superscript"/>
              </w:rPr>
              <w:t>%</w:t>
            </w:r>
          </w:p>
        </w:tc>
        <w:tc>
          <w:tcPr>
            <w:tcW w:w="420" w:type="dxa"/>
            <w:vAlign w:val="bottom"/>
            <w:shd w:val="clear" w:color="auto" w:fill="E6E6E6"/>
          </w:tcPr>
          <w:p>
            <w:pPr>
              <w:spacing w:after="0"/>
              <w:rPr>
                <w:sz w:val="18"/>
                <w:szCs w:val="18"/>
                <w:color w:val="auto"/>
              </w:rPr>
            </w:pPr>
          </w:p>
        </w:tc>
        <w:tc>
          <w:tcPr>
            <w:tcW w:w="940" w:type="dxa"/>
            <w:vAlign w:val="bottom"/>
            <w:shd w:val="clear" w:color="auto" w:fill="E6E6E6"/>
          </w:tcPr>
          <w:p>
            <w:pPr>
              <w:jc w:val="right"/>
              <w:ind w:right="197"/>
              <w:spacing w:after="0" w:line="210" w:lineRule="exact"/>
              <w:rPr>
                <w:sz w:val="20"/>
                <w:szCs w:val="20"/>
                <w:color w:val="auto"/>
              </w:rPr>
            </w:pPr>
            <w:r>
              <w:rPr>
                <w:rFonts w:ascii="Arial" w:cs="Arial" w:eastAsia="Arial" w:hAnsi="Arial"/>
                <w:sz w:val="12"/>
                <w:szCs w:val="12"/>
                <w:color w:val="auto"/>
              </w:rPr>
              <w:t>7.7</w:t>
            </w:r>
            <w:r>
              <w:rPr>
                <w:rFonts w:ascii="Arial" w:cs="Arial" w:eastAsia="Arial" w:hAnsi="Arial"/>
                <w:sz w:val="23"/>
                <w:szCs w:val="23"/>
                <w:color w:val="auto"/>
                <w:vertAlign w:val="superscript"/>
              </w:rPr>
              <w:t>%</w:t>
            </w:r>
          </w:p>
        </w:tc>
      </w:tr>
    </w:tbl>
    <w:p>
      <w:pPr>
        <w:spacing w:after="0" w:line="209" w:lineRule="exact"/>
        <w:rPr>
          <w:sz w:val="20"/>
          <w:szCs w:val="20"/>
          <w:color w:val="auto"/>
        </w:rPr>
      </w:pPr>
    </w:p>
    <w:p>
      <w:pPr>
        <w:ind w:left="487" w:hanging="487"/>
        <w:spacing w:after="0"/>
        <w:tabs>
          <w:tab w:leader="none" w:pos="487"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the portion of the Continuity charges related to this segment of approximately $4 in fiscal 2005 and approximately $22 in fiscal 2004.</w:t>
      </w:r>
    </w:p>
    <w:p>
      <w:pPr>
        <w:spacing w:after="0" w:line="170" w:lineRule="exact"/>
        <w:rPr>
          <w:sz w:val="20"/>
          <w:szCs w:val="20"/>
          <w:color w:val="auto"/>
        </w:rPr>
      </w:pPr>
    </w:p>
    <w:p>
      <w:pPr>
        <w:ind w:left="7" w:right="220"/>
        <w:spacing w:after="0" w:line="265" w:lineRule="auto"/>
        <w:rPr>
          <w:sz w:val="20"/>
          <w:szCs w:val="20"/>
          <w:color w:val="auto"/>
        </w:rPr>
      </w:pPr>
      <w:r>
        <w:rPr>
          <w:rFonts w:ascii="Arial" w:cs="Arial" w:eastAsia="Arial" w:hAnsi="Arial"/>
          <w:sz w:val="15"/>
          <w:szCs w:val="15"/>
          <w:i w:val="1"/>
          <w:iCs w:val="1"/>
          <w:color w:val="auto"/>
        </w:rPr>
        <w:t xml:space="preserve">Children’s Book Publishing and Distribution </w:t>
      </w:r>
      <w:r>
        <w:rPr>
          <w:rFonts w:ascii="Arial" w:cs="Arial" w:eastAsia="Arial" w:hAnsi="Arial"/>
          <w:sz w:val="15"/>
          <w:szCs w:val="15"/>
          <w:color w:val="auto"/>
        </w:rPr>
        <w:t>revenues accounted for 57.1% of the Company’s revenues in fiscal 2006, 55.4% in fiscal 2005 and 60.8% in fiscal 2004. In fiscal 2006,</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segment revenues increased by $151.5 million, or 13.1%, to $1,304.0 million from $1,152.5 million in fiscal 2005. This increase was primarily due to higher revenues in the Company’s trade business, which rose by $171.7 million driven by the release of the sixth </w:t>
      </w:r>
      <w:r>
        <w:rPr>
          <w:rFonts w:ascii="Arial" w:cs="Arial" w:eastAsia="Arial" w:hAnsi="Arial"/>
          <w:sz w:val="15"/>
          <w:szCs w:val="15"/>
          <w:i w:val="1"/>
          <w:iCs w:val="1"/>
          <w:color w:val="auto"/>
        </w:rPr>
        <w:t>Harry Potter</w:t>
      </w:r>
      <w:r>
        <w:rPr>
          <w:rFonts w:ascii="Arial" w:cs="Arial" w:eastAsia="Arial" w:hAnsi="Arial"/>
          <w:sz w:val="15"/>
          <w:szCs w:val="15"/>
          <w:color w:val="auto"/>
        </w:rPr>
        <w:t xml:space="preserve"> book, </w:t>
      </w:r>
      <w:r>
        <w:rPr>
          <w:rFonts w:ascii="Arial" w:cs="Arial" w:eastAsia="Arial" w:hAnsi="Arial"/>
          <w:sz w:val="15"/>
          <w:szCs w:val="15"/>
          <w:i w:val="1"/>
          <w:iCs w:val="1"/>
          <w:color w:val="auto"/>
        </w:rPr>
        <w:t>Harry Potter and the Half-Blood Prince</w:t>
      </w:r>
      <w:r>
        <w:rPr>
          <w:rFonts w:ascii="Arial" w:cs="Arial" w:eastAsia="Arial" w:hAnsi="Arial"/>
          <w:sz w:val="15"/>
          <w:szCs w:val="15"/>
          <w:color w:val="auto"/>
        </w:rPr>
        <w:t>, in July 2005, as well as higher revenues from school-based book fairs, which improved by $22.2 million. These improvements were partially offset by declines in school-based book club revenues, which decreased by $23.0 million, and lower continuity program revenues, which decreased by $19.4 million.</w:t>
      </w:r>
    </w:p>
    <w:p>
      <w:pPr>
        <w:spacing w:after="0" w:line="166" w:lineRule="exact"/>
        <w:rPr>
          <w:sz w:val="20"/>
          <w:szCs w:val="20"/>
          <w:color w:val="auto"/>
        </w:rPr>
      </w:pPr>
    </w:p>
    <w:p>
      <w:pPr>
        <w:ind w:left="7" w:right="240"/>
        <w:spacing w:after="0" w:line="300" w:lineRule="auto"/>
        <w:rPr>
          <w:sz w:val="20"/>
          <w:szCs w:val="20"/>
          <w:color w:val="auto"/>
        </w:rPr>
      </w:pPr>
      <w:r>
        <w:rPr>
          <w:rFonts w:ascii="Arial" w:cs="Arial" w:eastAsia="Arial" w:hAnsi="Arial"/>
          <w:sz w:val="14"/>
          <w:szCs w:val="14"/>
          <w:color w:val="auto"/>
        </w:rPr>
        <w:t xml:space="preserve">In fiscal 2005, segment revenues decreased by $206.1 million, or 15.2%, from $1,358.6 million in fiscal 2004. This decrease was primarily attributable to a $142.2 million decline in the Company’s trade revenues, in a year without a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release. Continuity program revenues decreased by $73.8 million compared to the prior fiscal year, as the Company implemented its new plan for this business. These decreases were partially offset by an increase of $17.0 million in revenues from the school-based book fairs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94615</wp:posOffset>
            </wp:positionV>
            <wp:extent cx="1938655" cy="3403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7" w:name="page28"/>
    <w:bookmarkEnd w:id="27"/>
    <w:p>
      <w:pPr>
        <w:jc w:val="both"/>
        <w:ind w:left="7" w:right="160"/>
        <w:spacing w:after="0" w:line="272" w:lineRule="auto"/>
        <w:rPr>
          <w:sz w:val="20"/>
          <w:szCs w:val="20"/>
          <w:color w:val="auto"/>
        </w:rPr>
      </w:pPr>
      <w:r>
        <w:rPr>
          <w:rFonts w:ascii="Arial" w:cs="Arial" w:eastAsia="Arial" w:hAnsi="Arial"/>
          <w:sz w:val="15"/>
          <w:szCs w:val="15"/>
          <w:color w:val="auto"/>
        </w:rPr>
        <w:t>Revenues from school-based book fairs accounted for 29.5% of segment revenues in fiscal 2006, compared to 31.5% in fiscal 2005 and 25.4% in fiscal 2004. In fiscal 2006, school-based book fair revenues increased by 6.1% to $384.8 million over fiscal 2005, primarily due to growth in revenue per fair as a result of better product offerings. Fiscal 2005 revenues increased by 4.9% to $362.6 million versus fiscal 2004, primarily due to growth in revenue per fair.</w:t>
      </w:r>
    </w:p>
    <w:p>
      <w:pPr>
        <w:spacing w:after="0" w:line="159" w:lineRule="exact"/>
        <w:rPr>
          <w:sz w:val="20"/>
          <w:szCs w:val="20"/>
          <w:color w:val="auto"/>
        </w:rPr>
      </w:pPr>
    </w:p>
    <w:p>
      <w:pPr>
        <w:ind w:left="7" w:right="60"/>
        <w:spacing w:after="0" w:line="292" w:lineRule="auto"/>
        <w:rPr>
          <w:sz w:val="20"/>
          <w:szCs w:val="20"/>
          <w:color w:val="auto"/>
        </w:rPr>
      </w:pPr>
      <w:r>
        <w:rPr>
          <w:rFonts w:ascii="Arial" w:cs="Arial" w:eastAsia="Arial" w:hAnsi="Arial"/>
          <w:sz w:val="14"/>
          <w:szCs w:val="14"/>
          <w:color w:val="auto"/>
        </w:rPr>
        <w:t xml:space="preserve">School-based book club revenues accounted for 28.7% of </w:t>
      </w:r>
      <w:r>
        <w:rPr>
          <w:rFonts w:ascii="Arial" w:cs="Arial" w:eastAsia="Arial" w:hAnsi="Arial"/>
          <w:sz w:val="14"/>
          <w:szCs w:val="14"/>
          <w:i w:val="1"/>
          <w:iCs w:val="1"/>
          <w:color w:val="auto"/>
        </w:rPr>
        <w:t>Children’s Book Publishing and Distribution</w:t>
      </w:r>
      <w:r>
        <w:rPr>
          <w:rFonts w:ascii="Arial" w:cs="Arial" w:eastAsia="Arial" w:hAnsi="Arial"/>
          <w:sz w:val="14"/>
          <w:szCs w:val="14"/>
          <w:color w:val="auto"/>
        </w:rPr>
        <w:t xml:space="preserve"> revenues in fiscal 2006, compared to 34.4% in fiscal 2005 and 29.7% in fiscal 2004. In fiscal 2006, school-based book club revenues decreased by 5.8% to $373.9 million as compared to fiscal 2005, primarily due to a lower number of orders in the </w:t>
      </w:r>
      <w:r>
        <w:rPr>
          <w:rFonts w:ascii="Arial" w:cs="Arial" w:eastAsia="Arial" w:hAnsi="Arial"/>
          <w:sz w:val="14"/>
          <w:szCs w:val="14"/>
          <w:i w:val="1"/>
          <w:iCs w:val="1"/>
          <w:color w:val="auto"/>
        </w:rPr>
        <w:t>Trumpet</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Troll/Carnival </w:t>
      </w:r>
      <w:r>
        <w:rPr>
          <w:rFonts w:ascii="Arial" w:cs="Arial" w:eastAsia="Arial" w:hAnsi="Arial"/>
          <w:sz w:val="14"/>
          <w:szCs w:val="14"/>
          <w:color w:val="auto"/>
        </w:rPr>
        <w:t>clubs, which resulted from the Company’s promotional strategy to shift customers from these smaller, less efficient clubs to its core Scholastic-branded clubs. In fiscal 2005,</w:t>
      </w:r>
      <w:r>
        <w:rPr>
          <w:rFonts w:ascii="Arial" w:cs="Arial" w:eastAsia="Arial" w:hAnsi="Arial"/>
          <w:sz w:val="14"/>
          <w:szCs w:val="14"/>
          <w:i w:val="1"/>
          <w:iCs w:val="1"/>
          <w:color w:val="auto"/>
        </w:rPr>
        <w:t xml:space="preserve"> </w:t>
      </w:r>
      <w:r>
        <w:rPr>
          <w:rFonts w:ascii="Arial" w:cs="Arial" w:eastAsia="Arial" w:hAnsi="Arial"/>
          <w:sz w:val="14"/>
          <w:szCs w:val="14"/>
          <w:color w:val="auto"/>
        </w:rPr>
        <w:t>school-based book club revenues declined by 1.8%, or $7.1 million, to $396.9 million, as compared to fiscal 2004, primarily due to lower revenue per order.</w:t>
      </w:r>
    </w:p>
    <w:p>
      <w:pPr>
        <w:spacing w:after="0" w:line="149" w:lineRule="exact"/>
        <w:rPr>
          <w:sz w:val="20"/>
          <w:szCs w:val="20"/>
          <w:color w:val="auto"/>
        </w:rPr>
      </w:pPr>
    </w:p>
    <w:p>
      <w:pPr>
        <w:ind w:left="7" w:right="20"/>
        <w:spacing w:after="0" w:line="292" w:lineRule="auto"/>
        <w:rPr>
          <w:sz w:val="20"/>
          <w:szCs w:val="20"/>
          <w:color w:val="auto"/>
        </w:rPr>
      </w:pPr>
      <w:r>
        <w:rPr>
          <w:rFonts w:ascii="Arial" w:cs="Arial" w:eastAsia="Arial" w:hAnsi="Arial"/>
          <w:sz w:val="14"/>
          <w:szCs w:val="14"/>
          <w:color w:val="auto"/>
        </w:rPr>
        <w:t xml:space="preserve">The trade distribution channel accounted for 27.0% of segment revenues in fiscal 2006, as compared to 15.7% in fiscal 2005 and 23.9% in fiscal 2004. Trade revenues increased to $352.6 million in fiscal 2006 compared to $180.9 million in fiscal 2005, due to the release of </w:t>
      </w:r>
      <w:r>
        <w:rPr>
          <w:rFonts w:ascii="Arial" w:cs="Arial" w:eastAsia="Arial" w:hAnsi="Arial"/>
          <w:sz w:val="14"/>
          <w:szCs w:val="14"/>
          <w:i w:val="1"/>
          <w:iCs w:val="1"/>
          <w:color w:val="auto"/>
        </w:rPr>
        <w:t>Harry Potter and the Half-Blood Prince</w:t>
      </w:r>
      <w:r>
        <w:rPr>
          <w:rFonts w:ascii="Arial" w:cs="Arial" w:eastAsia="Arial" w:hAnsi="Arial"/>
          <w:sz w:val="14"/>
          <w:szCs w:val="14"/>
          <w:color w:val="auto"/>
        </w:rPr>
        <w:t xml:space="preserve"> in July 2005. In fiscal 2005, trade revenues decreased 44.0%, compared to $323.1 million in fiscal 2004, principally due to a decline in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revenues as compared to fiscal 2004, which included the release of </w:t>
      </w:r>
      <w:r>
        <w:rPr>
          <w:rFonts w:ascii="Arial" w:cs="Arial" w:eastAsia="Arial" w:hAnsi="Arial"/>
          <w:sz w:val="14"/>
          <w:szCs w:val="14"/>
          <w:i w:val="1"/>
          <w:iCs w:val="1"/>
          <w:color w:val="auto"/>
        </w:rPr>
        <w:t>Harry Potter and the Order of the</w:t>
      </w:r>
      <w:r>
        <w:rPr>
          <w:rFonts w:ascii="Arial" w:cs="Arial" w:eastAsia="Arial" w:hAnsi="Arial"/>
          <w:sz w:val="14"/>
          <w:szCs w:val="14"/>
          <w:color w:val="auto"/>
        </w:rPr>
        <w:t xml:space="preserve"> </w:t>
      </w:r>
      <w:r>
        <w:rPr>
          <w:rFonts w:ascii="Arial" w:cs="Arial" w:eastAsia="Arial" w:hAnsi="Arial"/>
          <w:sz w:val="14"/>
          <w:szCs w:val="14"/>
          <w:i w:val="1"/>
          <w:iCs w:val="1"/>
          <w:color w:val="auto"/>
        </w:rPr>
        <w:t>Phoenix</w:t>
      </w:r>
      <w:r>
        <w:rPr>
          <w:rFonts w:ascii="Arial" w:cs="Arial" w:eastAsia="Arial" w:hAnsi="Arial"/>
          <w:sz w:val="14"/>
          <w:szCs w:val="14"/>
          <w:color w:val="auto"/>
        </w:rPr>
        <w:t>. Trade revenues for</w:t>
      </w:r>
      <w:r>
        <w:rPr>
          <w:rFonts w:ascii="Arial" w:cs="Arial" w:eastAsia="Arial" w:hAnsi="Arial"/>
          <w:sz w:val="14"/>
          <w:szCs w:val="14"/>
          <w:i w:val="1"/>
          <w:iCs w:val="1"/>
          <w:color w:val="auto"/>
        </w:rPr>
        <w:t xml:space="preserve"> Harry Potter </w:t>
      </w:r>
      <w:r>
        <w:rPr>
          <w:rFonts w:ascii="Arial" w:cs="Arial" w:eastAsia="Arial" w:hAnsi="Arial"/>
          <w:sz w:val="14"/>
          <w:szCs w:val="14"/>
          <w:color w:val="auto"/>
        </w:rPr>
        <w:t>were approximately $195 million, $20 million and $175 million in fiscal 2006, 2005 and 2004, respectively.</w:t>
      </w:r>
    </w:p>
    <w:p>
      <w:pPr>
        <w:spacing w:after="0" w:line="149" w:lineRule="exact"/>
        <w:rPr>
          <w:sz w:val="20"/>
          <w:szCs w:val="20"/>
          <w:color w:val="auto"/>
        </w:rPr>
      </w:pPr>
    </w:p>
    <w:p>
      <w:pPr>
        <w:ind w:left="7" w:right="220"/>
        <w:spacing w:after="0" w:line="300" w:lineRule="auto"/>
        <w:rPr>
          <w:sz w:val="20"/>
          <w:szCs w:val="20"/>
          <w:color w:val="auto"/>
        </w:rPr>
      </w:pPr>
      <w:r>
        <w:rPr>
          <w:rFonts w:ascii="Arial" w:cs="Arial" w:eastAsia="Arial" w:hAnsi="Arial"/>
          <w:sz w:val="14"/>
          <w:szCs w:val="14"/>
          <w:color w:val="auto"/>
        </w:rPr>
        <w:t>In fiscal 2006, continuity revenues accounted for 14.8% of segment revenues, as compared to 18.4% in fiscal 2005 and 21.0% in fiscal 2004. Revenues from the continuity business in fiscal 2006 decreased 9.1% to $192.7 million, as compared to fiscal 2005. Revenues from the continuity business in fiscal 2005 decreased 25.8% to $212.1 million, as compared to fiscal 2004. These decreases were consistent with the Company’s previously announced plan for this business to focus on its more productive customers.</w:t>
      </w:r>
    </w:p>
    <w:p>
      <w:pPr>
        <w:spacing w:after="0" w:line="142" w:lineRule="exact"/>
        <w:rPr>
          <w:sz w:val="20"/>
          <w:szCs w:val="20"/>
          <w:color w:val="auto"/>
        </w:rPr>
      </w:pPr>
    </w:p>
    <w:p>
      <w:pPr>
        <w:ind w:left="7" w:right="220"/>
        <w:spacing w:after="0" w:line="272" w:lineRule="auto"/>
        <w:rPr>
          <w:sz w:val="20"/>
          <w:szCs w:val="20"/>
          <w:color w:val="auto"/>
        </w:rPr>
      </w:pPr>
      <w:r>
        <w:rPr>
          <w:rFonts w:ascii="Arial" w:cs="Arial" w:eastAsia="Arial" w:hAnsi="Arial"/>
          <w:sz w:val="15"/>
          <w:szCs w:val="15"/>
          <w:color w:val="auto"/>
        </w:rPr>
        <w:t xml:space="preserve">Segment operating income in fiscal 2006 improved by $20.7 million, or 22.1%, to $114.2 million, compared to $93.5 million in fiscal 2005, principally due to better operating results for the trade business, driven by the profit impact of higher </w:t>
      </w:r>
      <w:r>
        <w:rPr>
          <w:rFonts w:ascii="Arial" w:cs="Arial" w:eastAsia="Arial" w:hAnsi="Arial"/>
          <w:sz w:val="15"/>
          <w:szCs w:val="15"/>
          <w:i w:val="1"/>
          <w:iCs w:val="1"/>
          <w:color w:val="auto"/>
        </w:rPr>
        <w:t>Harry Potter</w:t>
      </w:r>
      <w:r>
        <w:rPr>
          <w:rFonts w:ascii="Arial" w:cs="Arial" w:eastAsia="Arial" w:hAnsi="Arial"/>
          <w:sz w:val="15"/>
          <w:szCs w:val="15"/>
          <w:color w:val="auto"/>
        </w:rPr>
        <w:t xml:space="preserve"> revenues. This improvement was partially offset by lower operating results in the school-based book club and continuity businesses due to decreases in revenues and increased promotional costs.</w:t>
      </w:r>
    </w:p>
    <w:p>
      <w:pPr>
        <w:spacing w:after="0" w:line="159" w:lineRule="exact"/>
        <w:rPr>
          <w:sz w:val="20"/>
          <w:szCs w:val="20"/>
          <w:color w:val="auto"/>
        </w:rPr>
      </w:pPr>
    </w:p>
    <w:p>
      <w:pPr>
        <w:ind w:left="7" w:right="20"/>
        <w:spacing w:after="0" w:line="267" w:lineRule="auto"/>
        <w:rPr>
          <w:sz w:val="20"/>
          <w:szCs w:val="20"/>
          <w:color w:val="auto"/>
        </w:rPr>
      </w:pPr>
      <w:r>
        <w:rPr>
          <w:rFonts w:ascii="Arial" w:cs="Arial" w:eastAsia="Arial" w:hAnsi="Arial"/>
          <w:sz w:val="15"/>
          <w:szCs w:val="15"/>
          <w:color w:val="auto"/>
        </w:rPr>
        <w:t xml:space="preserve">In fiscal 2005, segment operating income declined by $11.1 million, or 10.6%, from $104.6 million in fiscal 2004. This decline was principally attributable to lower operating results for the Company’s trade business, which decreased by approximately $27 million, primarily due to lower </w:t>
      </w:r>
      <w:r>
        <w:rPr>
          <w:rFonts w:ascii="Arial" w:cs="Arial" w:eastAsia="Arial" w:hAnsi="Arial"/>
          <w:sz w:val="15"/>
          <w:szCs w:val="15"/>
          <w:i w:val="1"/>
          <w:iCs w:val="1"/>
          <w:color w:val="auto"/>
        </w:rPr>
        <w:t>Harry Potter</w:t>
      </w:r>
      <w:r>
        <w:rPr>
          <w:rFonts w:ascii="Arial" w:cs="Arial" w:eastAsia="Arial" w:hAnsi="Arial"/>
          <w:sz w:val="15"/>
          <w:szCs w:val="15"/>
          <w:color w:val="auto"/>
        </w:rPr>
        <w:t xml:space="preserve"> revenues, partially offset by an approximately $22 million increase in operating income from continuity programs. In fiscal 2005 and fiscal 2004, segment operating expenses included Continuity charges of approximately $4 million and $22 million, respectively.</w:t>
      </w:r>
    </w:p>
    <w:p>
      <w:pPr>
        <w:spacing w:after="0" w:line="165" w:lineRule="exact"/>
        <w:rPr>
          <w:sz w:val="20"/>
          <w:szCs w:val="20"/>
          <w:color w:val="auto"/>
        </w:rPr>
      </w:pPr>
    </w:p>
    <w:p>
      <w:pPr>
        <w:ind w:left="7" w:right="560"/>
        <w:spacing w:after="0" w:line="285" w:lineRule="auto"/>
        <w:rPr>
          <w:sz w:val="20"/>
          <w:szCs w:val="20"/>
          <w:color w:val="auto"/>
        </w:rPr>
      </w:pPr>
      <w:r>
        <w:rPr>
          <w:rFonts w:ascii="Arial" w:cs="Arial" w:eastAsia="Arial" w:hAnsi="Arial"/>
          <w:sz w:val="15"/>
          <w:szCs w:val="15"/>
          <w:color w:val="auto"/>
        </w:rPr>
        <w:t xml:space="preserve">The following highlights the results of the direct-to-home portion of the Company’s continuity programs, which consists primarily of the business formerly operated by Grolier and included in the </w:t>
      </w:r>
      <w:r>
        <w:rPr>
          <w:rFonts w:ascii="Arial" w:cs="Arial" w:eastAsia="Arial" w:hAnsi="Arial"/>
          <w:sz w:val="15"/>
          <w:szCs w:val="15"/>
          <w:i w:val="1"/>
          <w:iCs w:val="1"/>
          <w:color w:val="auto"/>
        </w:rPr>
        <w:t>Children’s Book Publishing and Distibution</w:t>
      </w:r>
      <w:r>
        <w:rPr>
          <w:rFonts w:ascii="Arial" w:cs="Arial" w:eastAsia="Arial" w:hAnsi="Arial"/>
          <w:sz w:val="15"/>
          <w:szCs w:val="15"/>
          <w:color w:val="auto"/>
        </w:rPr>
        <w:t xml:space="preserve"> segment.</w:t>
      </w:r>
    </w:p>
    <w:p>
      <w:pPr>
        <w:spacing w:after="0" w:line="214"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3300" w:type="dxa"/>
            <w:vAlign w:val="bottom"/>
          </w:tcPr>
          <w:p>
            <w:pPr>
              <w:spacing w:after="0"/>
              <w:rPr>
                <w:sz w:val="20"/>
                <w:szCs w:val="20"/>
                <w:color w:val="auto"/>
              </w:rPr>
            </w:pPr>
            <w:r>
              <w:rPr>
                <w:rFonts w:ascii="Arial" w:cs="Arial" w:eastAsia="Arial" w:hAnsi="Arial"/>
                <w:sz w:val="12"/>
                <w:szCs w:val="12"/>
                <w:color w:val="auto"/>
              </w:rPr>
              <w:t>Direct-to-home continuity</w:t>
            </w:r>
          </w:p>
        </w:tc>
        <w:tc>
          <w:tcPr>
            <w:tcW w:w="2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jc w:val="right"/>
              <w:ind w:right="520"/>
              <w:spacing w:after="0"/>
              <w:rPr>
                <w:sz w:val="20"/>
                <w:szCs w:val="20"/>
                <w:color w:val="auto"/>
              </w:rPr>
            </w:pPr>
            <w:r>
              <w:rPr>
                <w:rFonts w:ascii="Arial" w:cs="Arial" w:eastAsia="Arial" w:hAnsi="Arial"/>
                <w:sz w:val="12"/>
                <w:szCs w:val="12"/>
                <w:color w:val="auto"/>
              </w:rPr>
              <w:t>($ amounts in millions)</w:t>
            </w:r>
          </w:p>
        </w:tc>
        <w:tc>
          <w:tcPr>
            <w:tcW w:w="0" w:type="dxa"/>
            <w:vAlign w:val="bottom"/>
          </w:tcPr>
          <w:p>
            <w:pPr>
              <w:spacing w:after="0"/>
              <w:rPr>
                <w:sz w:val="1"/>
                <w:szCs w:val="1"/>
                <w:color w:val="auto"/>
              </w:rPr>
            </w:pPr>
          </w:p>
        </w:tc>
      </w:tr>
      <w:tr>
        <w:trPr>
          <w:trHeight w:val="83"/>
        </w:trPr>
        <w:tc>
          <w:tcPr>
            <w:tcW w:w="330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2006</w:t>
            </w:r>
          </w:p>
        </w:tc>
        <w:tc>
          <w:tcPr>
            <w:tcW w:w="1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2005</w:t>
            </w:r>
          </w:p>
        </w:tc>
        <w:tc>
          <w:tcPr>
            <w:tcW w:w="1120" w:type="dxa"/>
            <w:vAlign w:val="bottom"/>
          </w:tcPr>
          <w:p>
            <w:pPr>
              <w:spacing w:after="0"/>
              <w:rPr>
                <w:sz w:val="24"/>
                <w:szCs w:val="24"/>
                <w:color w:val="auto"/>
              </w:rPr>
            </w:pPr>
          </w:p>
        </w:tc>
        <w:tc>
          <w:tcPr>
            <w:tcW w:w="1840" w:type="dxa"/>
            <w:vAlign w:val="bottom"/>
          </w:tcPr>
          <w:p>
            <w:pPr>
              <w:jc w:val="right"/>
              <w:ind w:right="560"/>
              <w:spacing w:after="0"/>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96"/>
        </w:trPr>
        <w:tc>
          <w:tcPr>
            <w:tcW w:w="330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3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E6E6E6"/>
          </w:tcPr>
          <w:p>
            <w:pPr>
              <w:spacing w:after="0"/>
              <w:rPr>
                <w:sz w:val="20"/>
                <w:szCs w:val="20"/>
                <w:color w:val="auto"/>
              </w:rPr>
            </w:pPr>
            <w:r>
              <w:rPr>
                <w:rFonts w:ascii="Arial" w:cs="Arial" w:eastAsia="Arial" w:hAnsi="Arial"/>
                <w:sz w:val="12"/>
                <w:szCs w:val="12"/>
                <w:color w:val="auto"/>
              </w:rPr>
              <w:t>Revenue</w:t>
            </w:r>
          </w:p>
        </w:tc>
        <w:tc>
          <w:tcPr>
            <w:tcW w:w="2340" w:type="dxa"/>
            <w:vAlign w:val="bottom"/>
            <w:shd w:val="clear" w:color="auto" w:fill="E6E6E6"/>
          </w:tcPr>
          <w:p>
            <w:pPr>
              <w:jc w:val="right"/>
              <w:ind w:right="202"/>
              <w:spacing w:after="0"/>
              <w:rPr>
                <w:sz w:val="20"/>
                <w:szCs w:val="20"/>
                <w:color w:val="auto"/>
              </w:rPr>
            </w:pPr>
            <w:r>
              <w:rPr>
                <w:rFonts w:ascii="Arial" w:cs="Arial" w:eastAsia="Arial" w:hAnsi="Arial"/>
                <w:sz w:val="12"/>
                <w:szCs w:val="12"/>
                <w:color w:val="auto"/>
              </w:rPr>
              <w:t>$</w:t>
            </w:r>
          </w:p>
        </w:tc>
        <w:tc>
          <w:tcPr>
            <w:tcW w:w="5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134.9</w:t>
            </w:r>
          </w:p>
        </w:tc>
        <w:tc>
          <w:tcPr>
            <w:tcW w:w="1620" w:type="dxa"/>
            <w:vAlign w:val="bottom"/>
            <w:shd w:val="clear" w:color="auto" w:fill="E6E6E6"/>
          </w:tcPr>
          <w:p>
            <w:pPr>
              <w:jc w:val="right"/>
              <w:ind w:right="310"/>
              <w:spacing w:after="0"/>
              <w:rPr>
                <w:sz w:val="20"/>
                <w:szCs w:val="20"/>
                <w:color w:val="auto"/>
              </w:rPr>
            </w:pPr>
            <w:r>
              <w:rPr>
                <w:rFonts w:ascii="Arial" w:cs="Arial" w:eastAsia="Arial" w:hAnsi="Arial"/>
                <w:sz w:val="12"/>
                <w:szCs w:val="12"/>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147.5</w:t>
            </w:r>
          </w:p>
        </w:tc>
        <w:tc>
          <w:tcPr>
            <w:tcW w:w="1120" w:type="dxa"/>
            <w:vAlign w:val="bottom"/>
            <w:shd w:val="clear" w:color="auto" w:fill="E6E6E6"/>
          </w:tcPr>
          <w:p>
            <w:pPr>
              <w:jc w:val="right"/>
              <w:ind w:right="49"/>
              <w:spacing w:after="0"/>
              <w:rPr>
                <w:sz w:val="20"/>
                <w:szCs w:val="20"/>
                <w:color w:val="auto"/>
              </w:rPr>
            </w:pPr>
            <w:r>
              <w:rPr>
                <w:rFonts w:ascii="Arial" w:cs="Arial" w:eastAsia="Arial" w:hAnsi="Arial"/>
                <w:sz w:val="12"/>
                <w:szCs w:val="12"/>
                <w:color w:val="auto"/>
              </w:rPr>
              <w:t>$</w:t>
            </w:r>
          </w:p>
        </w:tc>
        <w:tc>
          <w:tcPr>
            <w:tcW w:w="1840" w:type="dxa"/>
            <w:vAlign w:val="bottom"/>
            <w:shd w:val="clear" w:color="auto" w:fill="E6E6E6"/>
          </w:tcPr>
          <w:p>
            <w:pPr>
              <w:jc w:val="right"/>
              <w:ind w:right="560"/>
              <w:spacing w:after="0"/>
              <w:rPr>
                <w:sz w:val="20"/>
                <w:szCs w:val="20"/>
                <w:color w:val="auto"/>
              </w:rPr>
            </w:pPr>
            <w:r>
              <w:rPr>
                <w:rFonts w:ascii="Arial" w:cs="Arial" w:eastAsia="Arial" w:hAnsi="Arial"/>
                <w:sz w:val="12"/>
                <w:szCs w:val="12"/>
                <w:color w:val="auto"/>
              </w:rPr>
              <w:t>203.8</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20"/>
                <w:szCs w:val="20"/>
                <w:color w:val="auto"/>
              </w:rPr>
            </w:pPr>
            <w:r>
              <w:rPr>
                <w:rFonts w:ascii="Arial" w:cs="Arial" w:eastAsia="Arial" w:hAnsi="Arial"/>
                <w:sz w:val="12"/>
                <w:szCs w:val="12"/>
                <w:color w:val="auto"/>
              </w:rPr>
              <w:t>Operating loss</w:t>
            </w:r>
          </w:p>
        </w:tc>
        <w:tc>
          <w:tcPr>
            <w:tcW w:w="23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(13.6</w:t>
            </w:r>
          </w:p>
        </w:tc>
        <w:tc>
          <w:tcPr>
            <w:tcW w:w="1620" w:type="dxa"/>
            <w:vAlign w:val="bottom"/>
          </w:tcPr>
          <w:p>
            <w:pPr>
              <w:jc w:val="right"/>
              <w:ind w:right="1530"/>
              <w:spacing w:after="0"/>
              <w:rPr>
                <w:sz w:val="20"/>
                <w:szCs w:val="20"/>
                <w:color w:val="auto"/>
              </w:rPr>
            </w:pPr>
            <w:r>
              <w:rPr>
                <w:rFonts w:ascii="Arial" w:cs="Arial" w:eastAsia="Arial" w:hAnsi="Arial"/>
                <w:sz w:val="8"/>
                <w:szCs w:val="8"/>
                <w:color w:val="auto"/>
                <w:w w:val="73"/>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1120" w:type="dxa"/>
            <w:vAlign w:val="bottom"/>
          </w:tcPr>
          <w:p>
            <w:pPr>
              <w:jc w:val="right"/>
              <w:ind w:right="909"/>
              <w:spacing w:after="0" w:line="175" w:lineRule="exact"/>
              <w:rPr>
                <w:sz w:val="20"/>
                <w:szCs w:val="20"/>
                <w:color w:val="auto"/>
              </w:rPr>
            </w:pPr>
            <w:r>
              <w:rPr>
                <w:rFonts w:ascii="Arial" w:cs="Arial" w:eastAsia="Arial" w:hAnsi="Arial"/>
                <w:sz w:val="20"/>
                <w:szCs w:val="20"/>
                <w:color w:val="auto"/>
                <w:w w:val="90"/>
                <w:vertAlign w:val="subscript"/>
              </w:rPr>
              <w:t>)</w:t>
            </w:r>
            <w:r>
              <w:rPr>
                <w:rFonts w:ascii="Arial" w:cs="Arial" w:eastAsia="Arial" w:hAnsi="Arial"/>
                <w:sz w:val="9"/>
                <w:szCs w:val="9"/>
                <w:color w:val="auto"/>
                <w:w w:val="90"/>
              </w:rPr>
              <w:t>(1)</w:t>
            </w:r>
          </w:p>
        </w:tc>
        <w:tc>
          <w:tcPr>
            <w:tcW w:w="1840" w:type="dxa"/>
            <w:vAlign w:val="bottom"/>
          </w:tcPr>
          <w:p>
            <w:pPr>
              <w:jc w:val="right"/>
              <w:ind w:right="340"/>
              <w:spacing w:after="0" w:line="175"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3300" w:type="dxa"/>
            <w:vAlign w:val="bottom"/>
            <w:tcBorders>
              <w:bottom w:val="single" w:sz="8" w:color="808080"/>
            </w:tcBorders>
          </w:tcPr>
          <w:p>
            <w:pPr>
              <w:spacing w:after="0"/>
              <w:rPr>
                <w:sz w:val="12"/>
                <w:szCs w:val="12"/>
                <w:color w:val="auto"/>
              </w:rPr>
            </w:pPr>
          </w:p>
        </w:tc>
        <w:tc>
          <w:tcPr>
            <w:tcW w:w="23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vMerge w:val="continue"/>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vMerge w:val="continue"/>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tcBorders>
          </w:tcPr>
          <w:p>
            <w:pPr>
              <w:jc w:val="right"/>
              <w:ind w:right="52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85"/>
        </w:trPr>
        <w:tc>
          <w:tcPr>
            <w:tcW w:w="33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E6E6E6"/>
          </w:tcPr>
          <w:p>
            <w:pPr>
              <w:spacing w:after="0"/>
              <w:rPr>
                <w:sz w:val="20"/>
                <w:szCs w:val="20"/>
                <w:color w:val="auto"/>
              </w:rPr>
            </w:pPr>
            <w:r>
              <w:rPr>
                <w:rFonts w:ascii="Arial" w:cs="Arial" w:eastAsia="Arial" w:hAnsi="Arial"/>
                <w:sz w:val="12"/>
                <w:szCs w:val="12"/>
                <w:color w:val="auto"/>
              </w:rPr>
              <w:t>Operating margin</w:t>
            </w:r>
          </w:p>
        </w:tc>
        <w:tc>
          <w:tcPr>
            <w:tcW w:w="234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w:t>
            </w:r>
          </w:p>
        </w:tc>
        <w:tc>
          <w:tcPr>
            <w:tcW w:w="162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6E6E6"/>
          </w:tcPr>
          <w:p>
            <w:pPr>
              <w:spacing w:after="0"/>
              <w:rPr>
                <w:sz w:val="18"/>
                <w:szCs w:val="18"/>
                <w:color w:val="auto"/>
              </w:rPr>
            </w:pPr>
          </w:p>
        </w:tc>
        <w:tc>
          <w:tcPr>
            <w:tcW w:w="1840" w:type="dxa"/>
            <w:vAlign w:val="bottom"/>
            <w:shd w:val="clear" w:color="auto" w:fill="E6E6E6"/>
          </w:tcPr>
          <w:p>
            <w:pPr>
              <w:jc w:val="right"/>
              <w:ind w:right="5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
        <w:spacing w:after="0"/>
        <w:rPr>
          <w:sz w:val="20"/>
          <w:szCs w:val="20"/>
          <w:color w:val="auto"/>
        </w:rPr>
      </w:pPr>
      <w:r>
        <w:rPr>
          <w:rFonts w:ascii="Arial" w:cs="Arial" w:eastAsia="Arial" w:hAnsi="Arial"/>
          <w:sz w:val="12"/>
          <w:szCs w:val="12"/>
          <w:color w:val="auto"/>
        </w:rPr>
        <w:t>* not meaningful</w:t>
      </w:r>
    </w:p>
    <w:p>
      <w:pPr>
        <w:spacing w:after="0" w:line="13" w:lineRule="exact"/>
        <w:rPr>
          <w:sz w:val="20"/>
          <w:szCs w:val="20"/>
          <w:color w:val="auto"/>
        </w:rPr>
      </w:pPr>
    </w:p>
    <w:p>
      <w:pPr>
        <w:ind w:left="487" w:hanging="487"/>
        <w:spacing w:after="0"/>
        <w:tabs>
          <w:tab w:leader="none" w:pos="48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the direct-to-home portion of the Continuity charges related to this segment of approximately $4 in fiscal 2005 and approximately $15 in fiscal 2004.</w:t>
      </w:r>
    </w:p>
    <w:p>
      <w:pPr>
        <w:spacing w:after="0" w:line="380" w:lineRule="exact"/>
        <w:rPr>
          <w:sz w:val="20"/>
          <w:szCs w:val="20"/>
          <w:color w:val="auto"/>
        </w:rPr>
      </w:pPr>
    </w:p>
    <w:p>
      <w:pPr>
        <w:ind w:left="7" w:right="100"/>
        <w:spacing w:after="0" w:line="285" w:lineRule="auto"/>
        <w:rPr>
          <w:sz w:val="20"/>
          <w:szCs w:val="20"/>
          <w:color w:val="auto"/>
        </w:rPr>
      </w:pPr>
      <w:r>
        <w:rPr>
          <w:rFonts w:ascii="Arial" w:cs="Arial" w:eastAsia="Arial" w:hAnsi="Arial"/>
          <w:sz w:val="15"/>
          <w:szCs w:val="15"/>
          <w:color w:val="auto"/>
        </w:rPr>
        <w:t>In fiscal 2006, revenues from the direct-to-home portion of the Company’s continuity business decreased to $134.9 million from $147.5 million in fiscal 2005, compared to $203.8 million in fiscal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99695</wp:posOffset>
            </wp:positionV>
            <wp:extent cx="1938655" cy="340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8" w:name="page29"/>
    <w:bookmarkEnd w:id="28"/>
    <w:p>
      <w:pPr>
        <w:ind w:left="7" w:right="280"/>
        <w:spacing w:after="0" w:line="300" w:lineRule="auto"/>
        <w:rPr>
          <w:sz w:val="20"/>
          <w:szCs w:val="20"/>
          <w:color w:val="auto"/>
        </w:rPr>
      </w:pPr>
      <w:r>
        <w:rPr>
          <w:rFonts w:ascii="Arial" w:cs="Arial" w:eastAsia="Arial" w:hAnsi="Arial"/>
          <w:sz w:val="14"/>
          <w:szCs w:val="14"/>
          <w:color w:val="auto"/>
        </w:rPr>
        <w:t>The direct-to-home continuity business operating loss was $13.6 million in fiscal 2006 compared to a $2.8 million operating loss in fiscal 2005, due to decreased revenue and higher promotional costs and increased severance costs related to the Company’s decision to outsource the remaining telemarketing operations associated with this business. In fiscal 2004, the $10.4 million operating loss was primarily due to the effect of the Continuity charge of approximately $15 million attributable to this business.</w:t>
      </w:r>
    </w:p>
    <w:p>
      <w:pPr>
        <w:spacing w:after="0" w:line="142" w:lineRule="exact"/>
        <w:rPr>
          <w:sz w:val="20"/>
          <w:szCs w:val="20"/>
          <w:color w:val="auto"/>
        </w:rPr>
      </w:pPr>
    </w:p>
    <w:p>
      <w:pPr>
        <w:ind w:left="7" w:right="340"/>
        <w:spacing w:after="0" w:line="285" w:lineRule="auto"/>
        <w:rPr>
          <w:sz w:val="20"/>
          <w:szCs w:val="20"/>
          <w:color w:val="auto"/>
        </w:rPr>
      </w:pPr>
      <w:r>
        <w:rPr>
          <w:rFonts w:ascii="Arial" w:cs="Arial" w:eastAsia="Arial" w:hAnsi="Arial"/>
          <w:sz w:val="15"/>
          <w:szCs w:val="15"/>
          <w:color w:val="auto"/>
        </w:rPr>
        <w:t>Excluding the direct-to-home continuity business, segment revenues in fiscal 2006 were $1,169.1 million, as compared to $1,005.0 million in fiscal 2005 and $1,154.8 million in fiscal 2004, and segment operating income in fiscal 2006 was $127.8 million, compared to $96.3 million in fiscal 2005 and $115.0 million in fiscal 2004.</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 xml:space="preserve">E </w:t>
      </w:r>
      <w:r>
        <w:rPr>
          <w:rFonts w:ascii="Arial" w:cs="Arial" w:eastAsia="Arial" w:hAnsi="Arial"/>
          <w:sz w:val="11"/>
          <w:szCs w:val="11"/>
          <w:b w:val="1"/>
          <w:bCs w:val="1"/>
          <w:color w:val="auto"/>
        </w:rPr>
        <w:t>D U C A T I O N A L</w:t>
      </w:r>
      <w:r>
        <w:rPr>
          <w:rFonts w:ascii="Arial" w:cs="Arial" w:eastAsia="Arial" w:hAnsi="Arial"/>
          <w:sz w:val="15"/>
          <w:szCs w:val="15"/>
          <w:b w:val="1"/>
          <w:bCs w:val="1"/>
          <w:color w:val="auto"/>
        </w:rPr>
        <w:t xml:space="preserve">  P </w:t>
      </w:r>
      <w:r>
        <w:rPr>
          <w:rFonts w:ascii="Arial" w:cs="Arial" w:eastAsia="Arial" w:hAnsi="Arial"/>
          <w:sz w:val="11"/>
          <w:szCs w:val="11"/>
          <w:b w:val="1"/>
          <w:bCs w:val="1"/>
          <w:color w:val="auto"/>
        </w:rPr>
        <w:t>U B L I S H I N G</w:t>
      </w:r>
    </w:p>
    <w:p>
      <w:pPr>
        <w:spacing w:after="0" w:line="110"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6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gridSpan w:val="2"/>
          </w:tcPr>
          <w:p>
            <w:pPr>
              <w:jc w:val="right"/>
              <w:ind w:right="277"/>
              <w:spacing w:after="0"/>
              <w:rPr>
                <w:sz w:val="20"/>
                <w:szCs w:val="20"/>
                <w:color w:val="auto"/>
              </w:rPr>
            </w:pPr>
            <w:r>
              <w:rPr>
                <w:rFonts w:ascii="Arial" w:cs="Arial" w:eastAsia="Arial" w:hAnsi="Arial"/>
                <w:sz w:val="12"/>
                <w:szCs w:val="12"/>
                <w:color w:val="auto"/>
              </w:rPr>
              <w:t>($ amounts in millions)</w:t>
            </w:r>
          </w:p>
        </w:tc>
      </w:tr>
      <w:tr>
        <w:trPr>
          <w:trHeight w:val="83"/>
        </w:trPr>
        <w:tc>
          <w:tcPr>
            <w:tcW w:w="3640" w:type="dxa"/>
            <w:vAlign w:val="bottom"/>
            <w:tcBorders>
              <w:bottom w:val="single" w:sz="8" w:color="auto"/>
            </w:tcBorders>
          </w:tcPr>
          <w:p>
            <w:pPr>
              <w:spacing w:after="0"/>
              <w:rPr>
                <w:sz w:val="7"/>
                <w:szCs w:val="7"/>
                <w:color w:val="auto"/>
              </w:rPr>
            </w:pPr>
          </w:p>
        </w:tc>
        <w:tc>
          <w:tcPr>
            <w:tcW w:w="3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292"/>
        </w:trPr>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80" w:type="dxa"/>
            <w:vAlign w:val="bottom"/>
          </w:tcPr>
          <w:p>
            <w:pPr>
              <w:jc w:val="right"/>
              <w:ind w:right="437"/>
              <w:spacing w:after="0"/>
              <w:rPr>
                <w:sz w:val="20"/>
                <w:szCs w:val="20"/>
                <w:color w:val="auto"/>
              </w:rPr>
            </w:pPr>
            <w:r>
              <w:rPr>
                <w:rFonts w:ascii="Arial" w:cs="Arial" w:eastAsia="Arial" w:hAnsi="Arial"/>
                <w:sz w:val="15"/>
                <w:szCs w:val="15"/>
                <w:b w:val="1"/>
                <w:bCs w:val="1"/>
                <w:color w:val="auto"/>
              </w:rPr>
              <w:t>2006</w:t>
            </w:r>
          </w:p>
        </w:tc>
        <w:tc>
          <w:tcPr>
            <w:tcW w:w="660" w:type="dxa"/>
            <w:vAlign w:val="bottom"/>
          </w:tcPr>
          <w:p>
            <w:pPr>
              <w:spacing w:after="0"/>
              <w:rPr>
                <w:sz w:val="24"/>
                <w:szCs w:val="24"/>
                <w:color w:val="auto"/>
              </w:rPr>
            </w:pPr>
          </w:p>
        </w:tc>
        <w:tc>
          <w:tcPr>
            <w:tcW w:w="980" w:type="dxa"/>
            <w:vAlign w:val="bottom"/>
          </w:tcPr>
          <w:p>
            <w:pPr>
              <w:jc w:val="right"/>
              <w:ind w:right="357"/>
              <w:spacing w:after="0"/>
              <w:rPr>
                <w:sz w:val="20"/>
                <w:szCs w:val="20"/>
                <w:color w:val="auto"/>
              </w:rPr>
            </w:pPr>
            <w:r>
              <w:rPr>
                <w:rFonts w:ascii="Arial" w:cs="Arial" w:eastAsia="Arial" w:hAnsi="Arial"/>
                <w:sz w:val="15"/>
                <w:szCs w:val="15"/>
                <w:b w:val="1"/>
                <w:bCs w:val="1"/>
                <w:color w:val="auto"/>
              </w:rPr>
              <w:t>2005</w:t>
            </w:r>
          </w:p>
        </w:tc>
        <w:tc>
          <w:tcPr>
            <w:tcW w:w="940" w:type="dxa"/>
            <w:vAlign w:val="bottom"/>
          </w:tcPr>
          <w:p>
            <w:pPr>
              <w:spacing w:after="0"/>
              <w:rPr>
                <w:sz w:val="24"/>
                <w:szCs w:val="24"/>
                <w:color w:val="auto"/>
              </w:rPr>
            </w:pPr>
          </w:p>
        </w:tc>
        <w:tc>
          <w:tcPr>
            <w:tcW w:w="900" w:type="dxa"/>
            <w:vAlign w:val="bottom"/>
          </w:tcPr>
          <w:p>
            <w:pPr>
              <w:jc w:val="right"/>
              <w:ind w:right="277"/>
              <w:spacing w:after="0"/>
              <w:rPr>
                <w:sz w:val="20"/>
                <w:szCs w:val="20"/>
                <w:color w:val="auto"/>
              </w:rPr>
            </w:pPr>
            <w:r>
              <w:rPr>
                <w:rFonts w:ascii="Arial" w:cs="Arial" w:eastAsia="Arial" w:hAnsi="Arial"/>
                <w:sz w:val="15"/>
                <w:szCs w:val="15"/>
                <w:b w:val="1"/>
                <w:bCs w:val="1"/>
                <w:color w:val="auto"/>
              </w:rPr>
              <w:t>2004</w:t>
            </w:r>
          </w:p>
        </w:tc>
      </w:tr>
      <w:tr>
        <w:trPr>
          <w:trHeight w:val="96"/>
        </w:trPr>
        <w:tc>
          <w:tcPr>
            <w:tcW w:w="36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85"/>
        </w:trPr>
        <w:tc>
          <w:tcPr>
            <w:tcW w:w="364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0"/>
        </w:trPr>
        <w:tc>
          <w:tcPr>
            <w:tcW w:w="3640" w:type="dxa"/>
            <w:vAlign w:val="bottom"/>
            <w:shd w:val="clear" w:color="auto" w:fill="E6E6E6"/>
          </w:tcPr>
          <w:p>
            <w:pPr>
              <w:spacing w:after="0"/>
              <w:rPr>
                <w:sz w:val="20"/>
                <w:szCs w:val="20"/>
                <w:color w:val="auto"/>
              </w:rPr>
            </w:pPr>
            <w:r>
              <w:rPr>
                <w:rFonts w:ascii="Arial" w:cs="Arial" w:eastAsia="Arial" w:hAnsi="Arial"/>
                <w:sz w:val="12"/>
                <w:szCs w:val="12"/>
                <w:color w:val="auto"/>
              </w:rPr>
              <w:t>Revenue</w:t>
            </w:r>
          </w:p>
        </w:tc>
        <w:tc>
          <w:tcPr>
            <w:tcW w:w="3140" w:type="dxa"/>
            <w:vAlign w:val="bottom"/>
            <w:shd w:val="clear" w:color="auto" w:fill="E6E6E6"/>
          </w:tcPr>
          <w:p>
            <w:pPr>
              <w:jc w:val="right"/>
              <w:ind w:right="302"/>
              <w:spacing w:after="0"/>
              <w:rPr>
                <w:sz w:val="20"/>
                <w:szCs w:val="20"/>
                <w:color w:val="auto"/>
              </w:rPr>
            </w:pPr>
            <w:r>
              <w:rPr>
                <w:rFonts w:ascii="Arial" w:cs="Arial" w:eastAsia="Arial" w:hAnsi="Arial"/>
                <w:sz w:val="12"/>
                <w:szCs w:val="12"/>
                <w:color w:val="auto"/>
              </w:rPr>
              <w:t>$</w:t>
            </w:r>
          </w:p>
        </w:tc>
        <w:tc>
          <w:tcPr>
            <w:tcW w:w="1180" w:type="dxa"/>
            <w:vAlign w:val="bottom"/>
            <w:shd w:val="clear" w:color="auto" w:fill="E6E6E6"/>
          </w:tcPr>
          <w:p>
            <w:pPr>
              <w:jc w:val="right"/>
              <w:ind w:right="437"/>
              <w:spacing w:after="0"/>
              <w:rPr>
                <w:sz w:val="20"/>
                <w:szCs w:val="20"/>
                <w:color w:val="auto"/>
              </w:rPr>
            </w:pPr>
            <w:r>
              <w:rPr>
                <w:rFonts w:ascii="Arial" w:cs="Arial" w:eastAsia="Arial" w:hAnsi="Arial"/>
                <w:sz w:val="12"/>
                <w:szCs w:val="12"/>
                <w:color w:val="auto"/>
              </w:rPr>
              <w:t>416.1</w:t>
            </w:r>
          </w:p>
        </w:tc>
        <w:tc>
          <w:tcPr>
            <w:tcW w:w="660" w:type="dxa"/>
            <w:vAlign w:val="bottom"/>
            <w:shd w:val="clear" w:color="auto" w:fill="E6E6E6"/>
          </w:tcPr>
          <w:p>
            <w:pPr>
              <w:jc w:val="right"/>
              <w:ind w:right="182"/>
              <w:spacing w:after="0"/>
              <w:rPr>
                <w:sz w:val="20"/>
                <w:szCs w:val="20"/>
                <w:color w:val="auto"/>
              </w:rPr>
            </w:pPr>
            <w:r>
              <w:rPr>
                <w:rFonts w:ascii="Arial" w:cs="Arial" w:eastAsia="Arial" w:hAnsi="Arial"/>
                <w:sz w:val="12"/>
                <w:szCs w:val="12"/>
                <w:color w:val="auto"/>
              </w:rPr>
              <w:t>$</w:t>
            </w:r>
          </w:p>
        </w:tc>
        <w:tc>
          <w:tcPr>
            <w:tcW w:w="980" w:type="dxa"/>
            <w:vAlign w:val="bottom"/>
            <w:shd w:val="clear" w:color="auto" w:fill="E6E6E6"/>
          </w:tcPr>
          <w:p>
            <w:pPr>
              <w:jc w:val="right"/>
              <w:ind w:right="357"/>
              <w:spacing w:after="0"/>
              <w:rPr>
                <w:sz w:val="20"/>
                <w:szCs w:val="20"/>
                <w:color w:val="auto"/>
              </w:rPr>
            </w:pPr>
            <w:r>
              <w:rPr>
                <w:rFonts w:ascii="Arial" w:cs="Arial" w:eastAsia="Arial" w:hAnsi="Arial"/>
                <w:sz w:val="12"/>
                <w:szCs w:val="12"/>
                <w:color w:val="auto"/>
              </w:rPr>
              <w:t>404.6</w:t>
            </w:r>
          </w:p>
        </w:tc>
        <w:tc>
          <w:tcPr>
            <w:tcW w:w="940" w:type="dxa"/>
            <w:vAlign w:val="bottom"/>
            <w:shd w:val="clear" w:color="auto" w:fill="E6E6E6"/>
          </w:tcPr>
          <w:p>
            <w:pPr>
              <w:jc w:val="right"/>
              <w:ind w:right="182"/>
              <w:spacing w:after="0"/>
              <w:rPr>
                <w:sz w:val="20"/>
                <w:szCs w:val="20"/>
                <w:color w:val="auto"/>
              </w:rPr>
            </w:pPr>
            <w:r>
              <w:rPr>
                <w:rFonts w:ascii="Arial" w:cs="Arial" w:eastAsia="Arial" w:hAnsi="Arial"/>
                <w:sz w:val="12"/>
                <w:szCs w:val="12"/>
                <w:color w:val="auto"/>
              </w:rPr>
              <w:t>$</w:t>
            </w:r>
          </w:p>
        </w:tc>
        <w:tc>
          <w:tcPr>
            <w:tcW w:w="900" w:type="dxa"/>
            <w:vAlign w:val="bottom"/>
            <w:shd w:val="clear" w:color="auto" w:fill="E6E6E6"/>
          </w:tcPr>
          <w:p>
            <w:pPr>
              <w:jc w:val="right"/>
              <w:ind w:right="277"/>
              <w:spacing w:after="0"/>
              <w:rPr>
                <w:sz w:val="20"/>
                <w:szCs w:val="20"/>
                <w:color w:val="auto"/>
              </w:rPr>
            </w:pPr>
            <w:r>
              <w:rPr>
                <w:rFonts w:ascii="Arial" w:cs="Arial" w:eastAsia="Arial" w:hAnsi="Arial"/>
                <w:sz w:val="12"/>
                <w:szCs w:val="12"/>
                <w:color w:val="auto"/>
              </w:rPr>
              <w:t>369.1</w:t>
            </w:r>
          </w:p>
        </w:tc>
      </w:tr>
      <w:tr>
        <w:trPr>
          <w:trHeight w:val="306"/>
        </w:trPr>
        <w:tc>
          <w:tcPr>
            <w:tcW w:w="3640" w:type="dxa"/>
            <w:vAlign w:val="bottom"/>
            <w:tcBorders>
              <w:bottom w:val="single" w:sz="8" w:color="808080"/>
            </w:tcBorders>
          </w:tcPr>
          <w:p>
            <w:pPr>
              <w:spacing w:after="0"/>
              <w:rPr>
                <w:sz w:val="20"/>
                <w:szCs w:val="20"/>
                <w:color w:val="auto"/>
              </w:rPr>
            </w:pPr>
            <w:r>
              <w:rPr>
                <w:rFonts w:ascii="Arial" w:cs="Arial" w:eastAsia="Arial" w:hAnsi="Arial"/>
                <w:sz w:val="12"/>
                <w:szCs w:val="12"/>
                <w:color w:val="auto"/>
              </w:rPr>
              <w:t>Operating income</w:t>
            </w:r>
          </w:p>
        </w:tc>
        <w:tc>
          <w:tcPr>
            <w:tcW w:w="31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jc w:val="right"/>
              <w:ind w:right="297"/>
              <w:spacing w:after="0"/>
              <w:rPr>
                <w:sz w:val="20"/>
                <w:szCs w:val="20"/>
                <w:color w:val="auto"/>
              </w:rPr>
            </w:pPr>
            <w:r>
              <w:rPr>
                <w:rFonts w:ascii="Arial" w:cs="Arial" w:eastAsia="Arial" w:hAnsi="Arial"/>
                <w:sz w:val="12"/>
                <w:szCs w:val="12"/>
                <w:color w:val="auto"/>
              </w:rPr>
              <w:t>69.6</w:t>
            </w:r>
            <w:r>
              <w:rPr>
                <w:rFonts w:ascii="Arial" w:cs="Arial" w:eastAsia="Arial" w:hAnsi="Arial"/>
                <w:sz w:val="23"/>
                <w:szCs w:val="23"/>
                <w:color w:val="auto"/>
                <w:vertAlign w:val="superscript"/>
              </w:rPr>
              <w:t>(1)</w:t>
            </w:r>
          </w:p>
        </w:tc>
        <w:tc>
          <w:tcPr>
            <w:tcW w:w="6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ind w:right="357"/>
              <w:spacing w:after="0"/>
              <w:rPr>
                <w:sz w:val="20"/>
                <w:szCs w:val="20"/>
                <w:color w:val="auto"/>
              </w:rPr>
            </w:pPr>
            <w:r>
              <w:rPr>
                <w:rFonts w:ascii="Arial" w:cs="Arial" w:eastAsia="Arial" w:hAnsi="Arial"/>
                <w:sz w:val="12"/>
                <w:szCs w:val="12"/>
                <w:color w:val="auto"/>
              </w:rPr>
              <w:t>78.5</w:t>
            </w:r>
          </w:p>
        </w:tc>
        <w:tc>
          <w:tcPr>
            <w:tcW w:w="9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277"/>
              <w:spacing w:after="0"/>
              <w:rPr>
                <w:sz w:val="20"/>
                <w:szCs w:val="20"/>
                <w:color w:val="auto"/>
              </w:rPr>
            </w:pPr>
            <w:r>
              <w:rPr>
                <w:rFonts w:ascii="Arial" w:cs="Arial" w:eastAsia="Arial" w:hAnsi="Arial"/>
                <w:sz w:val="12"/>
                <w:szCs w:val="12"/>
                <w:color w:val="auto"/>
              </w:rPr>
              <w:t>56.1</w:t>
            </w:r>
          </w:p>
        </w:tc>
      </w:tr>
      <w:tr>
        <w:trPr>
          <w:trHeight w:val="93"/>
        </w:trPr>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0"/>
        </w:trPr>
        <w:tc>
          <w:tcPr>
            <w:tcW w:w="3640" w:type="dxa"/>
            <w:vAlign w:val="bottom"/>
            <w:shd w:val="clear" w:color="auto" w:fill="E6E6E6"/>
          </w:tcPr>
          <w:p>
            <w:pPr>
              <w:spacing w:after="0"/>
              <w:rPr>
                <w:sz w:val="20"/>
                <w:szCs w:val="20"/>
                <w:color w:val="auto"/>
              </w:rPr>
            </w:pPr>
            <w:r>
              <w:rPr>
                <w:rFonts w:ascii="Arial" w:cs="Arial" w:eastAsia="Arial" w:hAnsi="Arial"/>
                <w:sz w:val="12"/>
                <w:szCs w:val="12"/>
                <w:color w:val="auto"/>
              </w:rPr>
              <w:t>Operating margin</w:t>
            </w:r>
          </w:p>
        </w:tc>
        <w:tc>
          <w:tcPr>
            <w:tcW w:w="3140" w:type="dxa"/>
            <w:vAlign w:val="bottom"/>
            <w:shd w:val="clear" w:color="auto" w:fill="E6E6E6"/>
          </w:tcPr>
          <w:p>
            <w:pPr>
              <w:spacing w:after="0"/>
              <w:rPr>
                <w:sz w:val="18"/>
                <w:szCs w:val="18"/>
                <w:color w:val="auto"/>
              </w:rPr>
            </w:pPr>
          </w:p>
        </w:tc>
        <w:tc>
          <w:tcPr>
            <w:tcW w:w="1180" w:type="dxa"/>
            <w:vAlign w:val="bottom"/>
            <w:shd w:val="clear" w:color="auto" w:fill="E6E6E6"/>
          </w:tcPr>
          <w:p>
            <w:pPr>
              <w:jc w:val="right"/>
              <w:ind w:right="337"/>
              <w:spacing w:after="0" w:line="210" w:lineRule="exact"/>
              <w:rPr>
                <w:sz w:val="20"/>
                <w:szCs w:val="20"/>
                <w:color w:val="auto"/>
              </w:rPr>
            </w:pPr>
            <w:r>
              <w:rPr>
                <w:rFonts w:ascii="Arial" w:cs="Arial" w:eastAsia="Arial" w:hAnsi="Arial"/>
                <w:sz w:val="12"/>
                <w:szCs w:val="12"/>
                <w:color w:val="auto"/>
              </w:rPr>
              <w:t>16.7</w:t>
            </w:r>
            <w:r>
              <w:rPr>
                <w:rFonts w:ascii="Arial" w:cs="Arial" w:eastAsia="Arial" w:hAnsi="Arial"/>
                <w:sz w:val="23"/>
                <w:szCs w:val="23"/>
                <w:color w:val="auto"/>
                <w:vertAlign w:val="superscript"/>
              </w:rPr>
              <w:t>%</w:t>
            </w:r>
          </w:p>
        </w:tc>
        <w:tc>
          <w:tcPr>
            <w:tcW w:w="660" w:type="dxa"/>
            <w:vAlign w:val="bottom"/>
            <w:shd w:val="clear" w:color="auto" w:fill="E6E6E6"/>
          </w:tcPr>
          <w:p>
            <w:pPr>
              <w:spacing w:after="0"/>
              <w:rPr>
                <w:sz w:val="18"/>
                <w:szCs w:val="18"/>
                <w:color w:val="auto"/>
              </w:rPr>
            </w:pPr>
          </w:p>
        </w:tc>
        <w:tc>
          <w:tcPr>
            <w:tcW w:w="980" w:type="dxa"/>
            <w:vAlign w:val="bottom"/>
            <w:shd w:val="clear" w:color="auto" w:fill="E6E6E6"/>
          </w:tcPr>
          <w:p>
            <w:pPr>
              <w:jc w:val="right"/>
              <w:ind w:right="257"/>
              <w:spacing w:after="0" w:line="210" w:lineRule="exact"/>
              <w:rPr>
                <w:sz w:val="20"/>
                <w:szCs w:val="20"/>
                <w:color w:val="auto"/>
              </w:rPr>
            </w:pPr>
            <w:r>
              <w:rPr>
                <w:rFonts w:ascii="Arial" w:cs="Arial" w:eastAsia="Arial" w:hAnsi="Arial"/>
                <w:sz w:val="12"/>
                <w:szCs w:val="12"/>
                <w:color w:val="auto"/>
              </w:rPr>
              <w:t>19.4</w:t>
            </w:r>
            <w:r>
              <w:rPr>
                <w:rFonts w:ascii="Arial" w:cs="Arial" w:eastAsia="Arial" w:hAnsi="Arial"/>
                <w:sz w:val="23"/>
                <w:szCs w:val="23"/>
                <w:color w:val="auto"/>
                <w:vertAlign w:val="superscript"/>
              </w:rPr>
              <w:t>%</w:t>
            </w:r>
          </w:p>
        </w:tc>
        <w:tc>
          <w:tcPr>
            <w:tcW w:w="940" w:type="dxa"/>
            <w:vAlign w:val="bottom"/>
            <w:shd w:val="clear" w:color="auto" w:fill="E6E6E6"/>
          </w:tcPr>
          <w:p>
            <w:pPr>
              <w:spacing w:after="0"/>
              <w:rPr>
                <w:sz w:val="18"/>
                <w:szCs w:val="18"/>
                <w:color w:val="auto"/>
              </w:rPr>
            </w:pPr>
          </w:p>
        </w:tc>
        <w:tc>
          <w:tcPr>
            <w:tcW w:w="900" w:type="dxa"/>
            <w:vAlign w:val="bottom"/>
            <w:shd w:val="clear" w:color="auto" w:fill="E6E6E6"/>
          </w:tcPr>
          <w:p>
            <w:pPr>
              <w:jc w:val="right"/>
              <w:ind w:right="177"/>
              <w:spacing w:after="0" w:line="210" w:lineRule="exact"/>
              <w:rPr>
                <w:sz w:val="20"/>
                <w:szCs w:val="20"/>
                <w:color w:val="auto"/>
              </w:rPr>
            </w:pPr>
            <w:r>
              <w:rPr>
                <w:rFonts w:ascii="Arial" w:cs="Arial" w:eastAsia="Arial" w:hAnsi="Arial"/>
                <w:sz w:val="12"/>
                <w:szCs w:val="12"/>
                <w:color w:val="auto"/>
              </w:rPr>
              <w:t>15.2</w:t>
            </w:r>
            <w:r>
              <w:rPr>
                <w:rFonts w:ascii="Arial" w:cs="Arial" w:eastAsia="Arial" w:hAnsi="Arial"/>
                <w:sz w:val="23"/>
                <w:szCs w:val="23"/>
                <w:color w:val="auto"/>
                <w:vertAlign w:val="superscript"/>
              </w:rPr>
              <w:t>%</w:t>
            </w:r>
          </w:p>
        </w:tc>
      </w:tr>
    </w:tbl>
    <w:p>
      <w:pPr>
        <w:spacing w:after="0" w:line="209" w:lineRule="exact"/>
        <w:rPr>
          <w:sz w:val="20"/>
          <w:szCs w:val="20"/>
          <w:color w:val="auto"/>
        </w:rPr>
      </w:pPr>
    </w:p>
    <w:p>
      <w:pPr>
        <w:ind w:left="487" w:hanging="487"/>
        <w:spacing w:after="0"/>
        <w:tabs>
          <w:tab w:leader="none" w:pos="48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$3.2 related to the write-down of certain print reference set assets and bad debt expense of $2.9 related to the bankruptcy of a customer.</w:t>
      </w:r>
    </w:p>
    <w:p>
      <w:pPr>
        <w:spacing w:after="0" w:line="170" w:lineRule="exact"/>
        <w:rPr>
          <w:sz w:val="20"/>
          <w:szCs w:val="20"/>
          <w:color w:val="auto"/>
        </w:rPr>
      </w:pPr>
    </w:p>
    <w:p>
      <w:pPr>
        <w:ind w:left="7" w:right="240"/>
        <w:spacing w:after="0" w:line="265" w:lineRule="auto"/>
        <w:rPr>
          <w:sz w:val="20"/>
          <w:szCs w:val="20"/>
          <w:color w:val="auto"/>
        </w:rPr>
      </w:pPr>
      <w:r>
        <w:rPr>
          <w:rFonts w:ascii="Arial" w:cs="Arial" w:eastAsia="Arial" w:hAnsi="Arial"/>
          <w:sz w:val="15"/>
          <w:szCs w:val="15"/>
          <w:color w:val="auto"/>
        </w:rPr>
        <w:t xml:space="preserve">Segment revenues accounted for 18.2% of the Company’s revenues in fiscal 2006, compared to 19.5% in fiscal 2005 and 16.5% in fiscal 2004. In fiscal 2006,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revenues increased by $11.5 million, or 2.8%, to $416.1 million from $404.6 million in the prior fiscal year. This increase was due to approximately $18 million of higher revenues from sales of educational technology products, which includes the Company’s </w:t>
      </w:r>
      <w:r>
        <w:rPr>
          <w:rFonts w:ascii="Arial" w:cs="Arial" w:eastAsia="Arial" w:hAnsi="Arial"/>
          <w:sz w:val="15"/>
          <w:szCs w:val="15"/>
          <w:i w:val="1"/>
          <w:iCs w:val="1"/>
          <w:color w:val="auto"/>
        </w:rPr>
        <w:t>READ 180</w:t>
      </w:r>
      <w:r>
        <w:rPr>
          <w:rFonts w:ascii="Arial" w:cs="Arial" w:eastAsia="Arial" w:hAnsi="Arial"/>
          <w:sz w:val="15"/>
          <w:szCs w:val="15"/>
          <w:color w:val="auto"/>
        </w:rPr>
        <w:t xml:space="preserve"> reading intervention program and its new </w:t>
      </w:r>
      <w:r>
        <w:rPr>
          <w:rFonts w:ascii="Arial" w:cs="Arial" w:eastAsia="Arial" w:hAnsi="Arial"/>
          <w:sz w:val="15"/>
          <w:szCs w:val="15"/>
          <w:i w:val="1"/>
          <w:iCs w:val="1"/>
          <w:color w:val="auto"/>
        </w:rPr>
        <w:t>FASTT</w:t>
      </w:r>
      <w:r>
        <w:rPr>
          <w:rFonts w:ascii="Arial" w:cs="Arial" w:eastAsia="Arial" w:hAnsi="Arial"/>
          <w:sz w:val="15"/>
          <w:szCs w:val="15"/>
          <w:color w:val="auto"/>
        </w:rPr>
        <w:t xml:space="preserve"> Math program, partially offset by $3.8 million in lower Library Publishing revenue. The $35.5 million increase in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revenues in fiscal 2005 compared to fiscal 2004 was due to higher revenues from sales of educational technology products.</w:t>
      </w:r>
    </w:p>
    <w:p>
      <w:pPr>
        <w:spacing w:after="0" w:line="166" w:lineRule="exact"/>
        <w:rPr>
          <w:sz w:val="20"/>
          <w:szCs w:val="20"/>
          <w:color w:val="auto"/>
        </w:rPr>
      </w:pPr>
    </w:p>
    <w:p>
      <w:pPr>
        <w:ind w:left="7" w:right="20"/>
        <w:spacing w:after="0" w:line="286" w:lineRule="auto"/>
        <w:rPr>
          <w:sz w:val="20"/>
          <w:szCs w:val="20"/>
          <w:color w:val="auto"/>
        </w:rPr>
      </w:pPr>
      <w:r>
        <w:rPr>
          <w:rFonts w:ascii="Arial" w:cs="Arial" w:eastAsia="Arial" w:hAnsi="Arial"/>
          <w:sz w:val="14"/>
          <w:szCs w:val="14"/>
          <w:color w:val="auto"/>
        </w:rPr>
        <w:t xml:space="preserve">Segment operating income in fiscal 2006 decreased by $8.9 million, or 11.3%, to $69.6 million, as compared to $78.5 million in the prior fiscal year, reflecting increased costs related to additional sales and technology support staff in connection with the Company’s educational technology products, particularly the upgraded </w:t>
      </w:r>
      <w:r>
        <w:rPr>
          <w:rFonts w:ascii="Arial" w:cs="Arial" w:eastAsia="Arial" w:hAnsi="Arial"/>
          <w:sz w:val="14"/>
          <w:szCs w:val="14"/>
          <w:i w:val="1"/>
          <w:iCs w:val="1"/>
          <w:color w:val="auto"/>
        </w:rPr>
        <w:t>READ 180 Enterprise Edition.</w:t>
      </w:r>
      <w:r>
        <w:rPr>
          <w:rFonts w:ascii="Arial" w:cs="Arial" w:eastAsia="Arial" w:hAnsi="Arial"/>
          <w:sz w:val="14"/>
          <w:szCs w:val="14"/>
          <w:color w:val="auto"/>
        </w:rPr>
        <w:t xml:space="preserve"> Fiscal 2006 segment results also included $3.2 million of costs primarily due to the accelerated amortization of prepublication costs related to the Company’s decision not to update certain print reference sets in response to increased use of internet-based reference products. In addition, fiscal 2006 segment results included $2.9 million of bad debt expense related to the bankruptcy of a for-profit educational services customer. In fiscal 2005, segment operating income increased by $22.4 million, or 39.9%, from $56.1 million in fiscal 2004, primarily due to the revenue growth from sales of educational technology products, which have relatively higher gross margins.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 xml:space="preserve">M </w:t>
      </w:r>
      <w:r>
        <w:rPr>
          <w:rFonts w:ascii="Arial" w:cs="Arial" w:eastAsia="Arial" w:hAnsi="Arial"/>
          <w:sz w:val="11"/>
          <w:szCs w:val="11"/>
          <w:b w:val="1"/>
          <w:bCs w:val="1"/>
          <w:color w:val="auto"/>
        </w:rPr>
        <w:t>E D I A</w:t>
      </w:r>
      <w:r>
        <w:rPr>
          <w:rFonts w:ascii="Arial" w:cs="Arial" w:eastAsia="Arial" w:hAnsi="Arial"/>
          <w:sz w:val="15"/>
          <w:szCs w:val="15"/>
          <w:b w:val="1"/>
          <w:bCs w:val="1"/>
          <w:color w:val="auto"/>
        </w:rPr>
        <w:t xml:space="preserve"> ,  L </w:t>
      </w:r>
      <w:r>
        <w:rPr>
          <w:rFonts w:ascii="Arial" w:cs="Arial" w:eastAsia="Arial" w:hAnsi="Arial"/>
          <w:sz w:val="11"/>
          <w:szCs w:val="11"/>
          <w:b w:val="1"/>
          <w:bCs w:val="1"/>
          <w:color w:val="auto"/>
        </w:rPr>
        <w:t>I C E N S I N G A N D</w:t>
      </w:r>
      <w:r>
        <w:rPr>
          <w:rFonts w:ascii="Arial" w:cs="Arial" w:eastAsia="Arial" w:hAnsi="Arial"/>
          <w:sz w:val="15"/>
          <w:szCs w:val="15"/>
          <w:b w:val="1"/>
          <w:bCs w:val="1"/>
          <w:color w:val="auto"/>
        </w:rPr>
        <w:t xml:space="preserve">  A </w:t>
      </w:r>
      <w:r>
        <w:rPr>
          <w:rFonts w:ascii="Arial" w:cs="Arial" w:eastAsia="Arial" w:hAnsi="Arial"/>
          <w:sz w:val="11"/>
          <w:szCs w:val="11"/>
          <w:b w:val="1"/>
          <w:bCs w:val="1"/>
          <w:color w:val="auto"/>
        </w:rPr>
        <w:t>D V E R T I S I N G</w:t>
      </w:r>
    </w:p>
    <w:p>
      <w:pPr>
        <w:spacing w:after="0" w:line="110"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4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gridSpan w:val="2"/>
          </w:tcPr>
          <w:p>
            <w:pPr>
              <w:jc w:val="right"/>
              <w:ind w:right="277"/>
              <w:spacing w:after="0"/>
              <w:rPr>
                <w:sz w:val="20"/>
                <w:szCs w:val="20"/>
                <w:color w:val="auto"/>
              </w:rPr>
            </w:pPr>
            <w:r>
              <w:rPr>
                <w:rFonts w:ascii="Arial" w:cs="Arial" w:eastAsia="Arial" w:hAnsi="Arial"/>
                <w:sz w:val="12"/>
                <w:szCs w:val="12"/>
                <w:color w:val="auto"/>
              </w:rPr>
              <w:t>($ amounts in millions)</w:t>
            </w:r>
          </w:p>
        </w:tc>
      </w:tr>
      <w:tr>
        <w:trPr>
          <w:trHeight w:val="83"/>
        </w:trPr>
        <w:tc>
          <w:tcPr>
            <w:tcW w:w="414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r>
      <w:tr>
        <w:trPr>
          <w:trHeight w:val="292"/>
        </w:trPr>
        <w:tc>
          <w:tcPr>
            <w:tcW w:w="4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20" w:type="dxa"/>
            <w:vAlign w:val="bottom"/>
          </w:tcPr>
          <w:p>
            <w:pPr>
              <w:jc w:val="right"/>
              <w:ind w:right="177"/>
              <w:spacing w:after="0"/>
              <w:rPr>
                <w:sz w:val="20"/>
                <w:szCs w:val="20"/>
                <w:color w:val="auto"/>
              </w:rPr>
            </w:pPr>
            <w:r>
              <w:rPr>
                <w:rFonts w:ascii="Arial" w:cs="Arial" w:eastAsia="Arial" w:hAnsi="Arial"/>
                <w:sz w:val="15"/>
                <w:szCs w:val="15"/>
                <w:b w:val="1"/>
                <w:bCs w:val="1"/>
                <w:color w:val="auto"/>
              </w:rPr>
              <w:t>2006</w:t>
            </w:r>
          </w:p>
        </w:tc>
        <w:tc>
          <w:tcPr>
            <w:tcW w:w="520" w:type="dxa"/>
            <w:vAlign w:val="bottom"/>
          </w:tcPr>
          <w:p>
            <w:pPr>
              <w:spacing w:after="0"/>
              <w:rPr>
                <w:sz w:val="24"/>
                <w:szCs w:val="24"/>
                <w:color w:val="auto"/>
              </w:rPr>
            </w:pPr>
          </w:p>
        </w:tc>
        <w:tc>
          <w:tcPr>
            <w:tcW w:w="900" w:type="dxa"/>
            <w:vAlign w:val="bottom"/>
          </w:tcPr>
          <w:p>
            <w:pPr>
              <w:jc w:val="right"/>
              <w:ind w:right="237"/>
              <w:spacing w:after="0"/>
              <w:rPr>
                <w:sz w:val="20"/>
                <w:szCs w:val="20"/>
                <w:color w:val="auto"/>
              </w:rPr>
            </w:pPr>
            <w:r>
              <w:rPr>
                <w:rFonts w:ascii="Arial" w:cs="Arial" w:eastAsia="Arial" w:hAnsi="Arial"/>
                <w:sz w:val="15"/>
                <w:szCs w:val="15"/>
                <w:b w:val="1"/>
                <w:bCs w:val="1"/>
                <w:color w:val="auto"/>
              </w:rPr>
              <w:t>2005</w:t>
            </w:r>
          </w:p>
        </w:tc>
        <w:tc>
          <w:tcPr>
            <w:tcW w:w="700" w:type="dxa"/>
            <w:vAlign w:val="bottom"/>
          </w:tcPr>
          <w:p>
            <w:pPr>
              <w:spacing w:after="0"/>
              <w:rPr>
                <w:sz w:val="24"/>
                <w:szCs w:val="24"/>
                <w:color w:val="auto"/>
              </w:rPr>
            </w:pPr>
          </w:p>
        </w:tc>
        <w:tc>
          <w:tcPr>
            <w:tcW w:w="980" w:type="dxa"/>
            <w:vAlign w:val="bottom"/>
          </w:tcPr>
          <w:p>
            <w:pPr>
              <w:jc w:val="right"/>
              <w:ind w:right="277"/>
              <w:spacing w:after="0"/>
              <w:rPr>
                <w:sz w:val="20"/>
                <w:szCs w:val="20"/>
                <w:color w:val="auto"/>
              </w:rPr>
            </w:pPr>
            <w:r>
              <w:rPr>
                <w:rFonts w:ascii="Arial" w:cs="Arial" w:eastAsia="Arial" w:hAnsi="Arial"/>
                <w:sz w:val="15"/>
                <w:szCs w:val="15"/>
                <w:b w:val="1"/>
                <w:bCs w:val="1"/>
                <w:color w:val="auto"/>
              </w:rPr>
              <w:t>2004</w:t>
            </w:r>
          </w:p>
        </w:tc>
      </w:tr>
      <w:tr>
        <w:trPr>
          <w:trHeight w:val="96"/>
        </w:trPr>
        <w:tc>
          <w:tcPr>
            <w:tcW w:w="414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85"/>
        </w:trPr>
        <w:tc>
          <w:tcPr>
            <w:tcW w:w="41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0"/>
        </w:trPr>
        <w:tc>
          <w:tcPr>
            <w:tcW w:w="4140" w:type="dxa"/>
            <w:vAlign w:val="bottom"/>
            <w:shd w:val="clear" w:color="auto" w:fill="E6E6E6"/>
          </w:tcPr>
          <w:p>
            <w:pPr>
              <w:spacing w:after="0"/>
              <w:rPr>
                <w:sz w:val="20"/>
                <w:szCs w:val="20"/>
                <w:color w:val="auto"/>
              </w:rPr>
            </w:pPr>
            <w:r>
              <w:rPr>
                <w:rFonts w:ascii="Arial" w:cs="Arial" w:eastAsia="Arial" w:hAnsi="Arial"/>
                <w:sz w:val="12"/>
                <w:szCs w:val="12"/>
                <w:color w:val="auto"/>
              </w:rPr>
              <w:t>Revenue</w:t>
            </w:r>
          </w:p>
        </w:tc>
        <w:tc>
          <w:tcPr>
            <w:tcW w:w="3480" w:type="dxa"/>
            <w:vAlign w:val="bottom"/>
            <w:shd w:val="clear" w:color="auto" w:fill="E6E6E6"/>
          </w:tcPr>
          <w:p>
            <w:pPr>
              <w:jc w:val="right"/>
              <w:ind w:right="122"/>
              <w:spacing w:after="0"/>
              <w:rPr>
                <w:sz w:val="20"/>
                <w:szCs w:val="20"/>
                <w:color w:val="auto"/>
              </w:rPr>
            </w:pPr>
            <w:r>
              <w:rPr>
                <w:rFonts w:ascii="Arial" w:cs="Arial" w:eastAsia="Arial" w:hAnsi="Arial"/>
                <w:sz w:val="12"/>
                <w:szCs w:val="12"/>
                <w:color w:val="auto"/>
              </w:rPr>
              <w:t>$</w:t>
            </w:r>
          </w:p>
        </w:tc>
        <w:tc>
          <w:tcPr>
            <w:tcW w:w="720" w:type="dxa"/>
            <w:vAlign w:val="bottom"/>
            <w:shd w:val="clear" w:color="auto" w:fill="E6E6E6"/>
          </w:tcPr>
          <w:p>
            <w:pPr>
              <w:jc w:val="right"/>
              <w:ind w:right="177"/>
              <w:spacing w:after="0"/>
              <w:rPr>
                <w:sz w:val="20"/>
                <w:szCs w:val="20"/>
                <w:color w:val="auto"/>
              </w:rPr>
            </w:pPr>
            <w:r>
              <w:rPr>
                <w:rFonts w:ascii="Arial" w:cs="Arial" w:eastAsia="Arial" w:hAnsi="Arial"/>
                <w:sz w:val="12"/>
                <w:szCs w:val="12"/>
                <w:color w:val="auto"/>
              </w:rPr>
              <w:t>151.6</w:t>
            </w:r>
          </w:p>
        </w:tc>
        <w:tc>
          <w:tcPr>
            <w:tcW w:w="520" w:type="dxa"/>
            <w:vAlign w:val="bottom"/>
            <w:shd w:val="clear" w:color="auto" w:fill="E6E6E6"/>
          </w:tcPr>
          <w:p>
            <w:pPr>
              <w:jc w:val="right"/>
              <w:ind w:right="242"/>
              <w:spacing w:after="0"/>
              <w:rPr>
                <w:sz w:val="20"/>
                <w:szCs w:val="20"/>
                <w:color w:val="auto"/>
              </w:rPr>
            </w:pPr>
            <w:r>
              <w:rPr>
                <w:rFonts w:ascii="Arial" w:cs="Arial" w:eastAsia="Arial" w:hAnsi="Arial"/>
                <w:sz w:val="12"/>
                <w:szCs w:val="12"/>
                <w:color w:val="auto"/>
              </w:rPr>
              <w:t>$</w:t>
            </w:r>
          </w:p>
        </w:tc>
        <w:tc>
          <w:tcPr>
            <w:tcW w:w="900" w:type="dxa"/>
            <w:vAlign w:val="bottom"/>
            <w:shd w:val="clear" w:color="auto" w:fill="E6E6E6"/>
          </w:tcPr>
          <w:p>
            <w:pPr>
              <w:jc w:val="right"/>
              <w:ind w:right="237"/>
              <w:spacing w:after="0"/>
              <w:rPr>
                <w:sz w:val="20"/>
                <w:szCs w:val="20"/>
                <w:color w:val="auto"/>
              </w:rPr>
            </w:pPr>
            <w:r>
              <w:rPr>
                <w:rFonts w:ascii="Arial" w:cs="Arial" w:eastAsia="Arial" w:hAnsi="Arial"/>
                <w:sz w:val="12"/>
                <w:szCs w:val="12"/>
                <w:color w:val="auto"/>
              </w:rPr>
              <w:t>133.1</w:t>
            </w:r>
          </w:p>
        </w:tc>
        <w:tc>
          <w:tcPr>
            <w:tcW w:w="700" w:type="dxa"/>
            <w:vAlign w:val="bottom"/>
            <w:shd w:val="clear" w:color="auto" w:fill="E6E6E6"/>
          </w:tcPr>
          <w:p>
            <w:pPr>
              <w:jc w:val="right"/>
              <w:ind w:right="282"/>
              <w:spacing w:after="0"/>
              <w:rPr>
                <w:sz w:val="20"/>
                <w:szCs w:val="20"/>
                <w:color w:val="auto"/>
              </w:rPr>
            </w:pPr>
            <w:r>
              <w:rPr>
                <w:rFonts w:ascii="Arial" w:cs="Arial" w:eastAsia="Arial" w:hAnsi="Arial"/>
                <w:sz w:val="12"/>
                <w:szCs w:val="12"/>
                <w:color w:val="auto"/>
              </w:rPr>
              <w:t>$</w:t>
            </w:r>
          </w:p>
        </w:tc>
        <w:tc>
          <w:tcPr>
            <w:tcW w:w="980" w:type="dxa"/>
            <w:vAlign w:val="bottom"/>
            <w:shd w:val="clear" w:color="auto" w:fill="E6E6E6"/>
          </w:tcPr>
          <w:p>
            <w:pPr>
              <w:jc w:val="right"/>
              <w:ind w:right="277"/>
              <w:spacing w:after="0"/>
              <w:rPr>
                <w:sz w:val="20"/>
                <w:szCs w:val="20"/>
                <w:color w:val="auto"/>
              </w:rPr>
            </w:pPr>
            <w:r>
              <w:rPr>
                <w:rFonts w:ascii="Arial" w:cs="Arial" w:eastAsia="Arial" w:hAnsi="Arial"/>
                <w:sz w:val="12"/>
                <w:szCs w:val="12"/>
                <w:color w:val="auto"/>
              </w:rPr>
              <w:t>136.4</w:t>
            </w:r>
          </w:p>
        </w:tc>
      </w:tr>
      <w:tr>
        <w:trPr>
          <w:trHeight w:val="220"/>
        </w:trPr>
        <w:tc>
          <w:tcPr>
            <w:tcW w:w="4140" w:type="dxa"/>
            <w:vAlign w:val="bottom"/>
          </w:tcPr>
          <w:p>
            <w:pPr>
              <w:spacing w:after="0"/>
              <w:rPr>
                <w:sz w:val="20"/>
                <w:szCs w:val="20"/>
                <w:color w:val="auto"/>
              </w:rPr>
            </w:pPr>
            <w:r>
              <w:rPr>
                <w:rFonts w:ascii="Arial" w:cs="Arial" w:eastAsia="Arial" w:hAnsi="Arial"/>
                <w:sz w:val="12"/>
                <w:szCs w:val="12"/>
                <w:color w:val="auto"/>
              </w:rPr>
              <w:t>Operating income</w:t>
            </w:r>
          </w:p>
        </w:tc>
        <w:tc>
          <w:tcPr>
            <w:tcW w:w="3480" w:type="dxa"/>
            <w:vAlign w:val="bottom"/>
          </w:tcPr>
          <w:p>
            <w:pPr>
              <w:spacing w:after="0"/>
              <w:rPr>
                <w:sz w:val="19"/>
                <w:szCs w:val="19"/>
                <w:color w:val="auto"/>
              </w:rPr>
            </w:pPr>
          </w:p>
        </w:tc>
        <w:tc>
          <w:tcPr>
            <w:tcW w:w="720" w:type="dxa"/>
            <w:vAlign w:val="bottom"/>
          </w:tcPr>
          <w:p>
            <w:pPr>
              <w:jc w:val="right"/>
              <w:ind w:right="177"/>
              <w:spacing w:after="0"/>
              <w:rPr>
                <w:sz w:val="20"/>
                <w:szCs w:val="20"/>
                <w:color w:val="auto"/>
              </w:rPr>
            </w:pPr>
            <w:r>
              <w:rPr>
                <w:rFonts w:ascii="Arial" w:cs="Arial" w:eastAsia="Arial" w:hAnsi="Arial"/>
                <w:sz w:val="12"/>
                <w:szCs w:val="12"/>
                <w:color w:val="auto"/>
              </w:rPr>
              <w:t>10.3</w:t>
            </w:r>
          </w:p>
        </w:tc>
        <w:tc>
          <w:tcPr>
            <w:tcW w:w="520" w:type="dxa"/>
            <w:vAlign w:val="bottom"/>
          </w:tcPr>
          <w:p>
            <w:pPr>
              <w:spacing w:after="0"/>
              <w:rPr>
                <w:sz w:val="19"/>
                <w:szCs w:val="19"/>
                <w:color w:val="auto"/>
              </w:rPr>
            </w:pPr>
          </w:p>
        </w:tc>
        <w:tc>
          <w:tcPr>
            <w:tcW w:w="900" w:type="dxa"/>
            <w:vAlign w:val="bottom"/>
          </w:tcPr>
          <w:p>
            <w:pPr>
              <w:jc w:val="right"/>
              <w:ind w:right="237"/>
              <w:spacing w:after="0"/>
              <w:rPr>
                <w:sz w:val="20"/>
                <w:szCs w:val="20"/>
                <w:color w:val="auto"/>
              </w:rPr>
            </w:pPr>
            <w:r>
              <w:rPr>
                <w:rFonts w:ascii="Arial" w:cs="Arial" w:eastAsia="Arial" w:hAnsi="Arial"/>
                <w:sz w:val="12"/>
                <w:szCs w:val="12"/>
                <w:color w:val="auto"/>
              </w:rPr>
              <w:t>11.0</w:t>
            </w:r>
          </w:p>
        </w:tc>
        <w:tc>
          <w:tcPr>
            <w:tcW w:w="700" w:type="dxa"/>
            <w:vAlign w:val="bottom"/>
          </w:tcPr>
          <w:p>
            <w:pPr>
              <w:spacing w:after="0"/>
              <w:rPr>
                <w:sz w:val="19"/>
                <w:szCs w:val="19"/>
                <w:color w:val="auto"/>
              </w:rPr>
            </w:pPr>
          </w:p>
        </w:tc>
        <w:tc>
          <w:tcPr>
            <w:tcW w:w="980" w:type="dxa"/>
            <w:vAlign w:val="bottom"/>
          </w:tcPr>
          <w:p>
            <w:pPr>
              <w:jc w:val="right"/>
              <w:ind w:right="277"/>
              <w:spacing w:after="0"/>
              <w:rPr>
                <w:sz w:val="20"/>
                <w:szCs w:val="20"/>
                <w:color w:val="auto"/>
              </w:rPr>
            </w:pPr>
            <w:r>
              <w:rPr>
                <w:rFonts w:ascii="Arial" w:cs="Arial" w:eastAsia="Arial" w:hAnsi="Arial"/>
                <w:sz w:val="12"/>
                <w:szCs w:val="12"/>
                <w:color w:val="auto"/>
              </w:rPr>
              <w:t>10.9</w:t>
            </w:r>
          </w:p>
        </w:tc>
      </w:tr>
      <w:tr>
        <w:trPr>
          <w:trHeight w:val="83"/>
        </w:trPr>
        <w:tc>
          <w:tcPr>
            <w:tcW w:w="4140" w:type="dxa"/>
            <w:vAlign w:val="bottom"/>
            <w:tcBorders>
              <w:bottom w:val="single" w:sz="8" w:color="808080"/>
            </w:tcBorders>
          </w:tcPr>
          <w:p>
            <w:pPr>
              <w:spacing w:after="0"/>
              <w:rPr>
                <w:sz w:val="7"/>
                <w:szCs w:val="7"/>
                <w:color w:val="auto"/>
              </w:rPr>
            </w:pPr>
          </w:p>
        </w:tc>
        <w:tc>
          <w:tcPr>
            <w:tcW w:w="34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r>
      <w:tr>
        <w:trPr>
          <w:trHeight w:val="85"/>
        </w:trPr>
        <w:tc>
          <w:tcPr>
            <w:tcW w:w="41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0"/>
        </w:trPr>
        <w:tc>
          <w:tcPr>
            <w:tcW w:w="4140" w:type="dxa"/>
            <w:vAlign w:val="bottom"/>
            <w:shd w:val="clear" w:color="auto" w:fill="E6E6E6"/>
          </w:tcPr>
          <w:p>
            <w:pPr>
              <w:spacing w:after="0"/>
              <w:rPr>
                <w:sz w:val="20"/>
                <w:szCs w:val="20"/>
                <w:color w:val="auto"/>
              </w:rPr>
            </w:pPr>
            <w:r>
              <w:rPr>
                <w:rFonts w:ascii="Arial" w:cs="Arial" w:eastAsia="Arial" w:hAnsi="Arial"/>
                <w:sz w:val="12"/>
                <w:szCs w:val="12"/>
                <w:color w:val="auto"/>
              </w:rPr>
              <w:t>Operating margin</w:t>
            </w:r>
          </w:p>
        </w:tc>
        <w:tc>
          <w:tcPr>
            <w:tcW w:w="348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77"/>
              <w:spacing w:after="0" w:line="210" w:lineRule="exact"/>
              <w:rPr>
                <w:sz w:val="20"/>
                <w:szCs w:val="20"/>
                <w:color w:val="auto"/>
              </w:rPr>
            </w:pPr>
            <w:r>
              <w:rPr>
                <w:rFonts w:ascii="Arial" w:cs="Arial" w:eastAsia="Arial" w:hAnsi="Arial"/>
                <w:sz w:val="12"/>
                <w:szCs w:val="12"/>
                <w:color w:val="auto"/>
              </w:rPr>
              <w:t>6.8</w:t>
            </w:r>
            <w:r>
              <w:rPr>
                <w:rFonts w:ascii="Arial" w:cs="Arial" w:eastAsia="Arial" w:hAnsi="Arial"/>
                <w:sz w:val="23"/>
                <w:szCs w:val="23"/>
                <w:color w:val="auto"/>
                <w:vertAlign w:val="superscript"/>
              </w:rPr>
              <w:t>%</w:t>
            </w:r>
          </w:p>
        </w:tc>
        <w:tc>
          <w:tcPr>
            <w:tcW w:w="520" w:type="dxa"/>
            <w:vAlign w:val="bottom"/>
            <w:shd w:val="clear" w:color="auto" w:fill="E6E6E6"/>
          </w:tcPr>
          <w:p>
            <w:pPr>
              <w:spacing w:after="0"/>
              <w:rPr>
                <w:sz w:val="18"/>
                <w:szCs w:val="18"/>
                <w:color w:val="auto"/>
              </w:rPr>
            </w:pPr>
          </w:p>
        </w:tc>
        <w:tc>
          <w:tcPr>
            <w:tcW w:w="900" w:type="dxa"/>
            <w:vAlign w:val="bottom"/>
            <w:shd w:val="clear" w:color="auto" w:fill="E6E6E6"/>
          </w:tcPr>
          <w:p>
            <w:pPr>
              <w:jc w:val="right"/>
              <w:ind w:right="137"/>
              <w:spacing w:after="0" w:line="210" w:lineRule="exact"/>
              <w:rPr>
                <w:sz w:val="20"/>
                <w:szCs w:val="20"/>
                <w:color w:val="auto"/>
              </w:rPr>
            </w:pPr>
            <w:r>
              <w:rPr>
                <w:rFonts w:ascii="Arial" w:cs="Arial" w:eastAsia="Arial" w:hAnsi="Arial"/>
                <w:sz w:val="12"/>
                <w:szCs w:val="12"/>
                <w:color w:val="auto"/>
              </w:rPr>
              <w:t>8.3</w:t>
            </w:r>
            <w:r>
              <w:rPr>
                <w:rFonts w:ascii="Arial" w:cs="Arial" w:eastAsia="Arial" w:hAnsi="Arial"/>
                <w:sz w:val="23"/>
                <w:szCs w:val="23"/>
                <w:color w:val="auto"/>
                <w:vertAlign w:val="superscript"/>
              </w:rPr>
              <w:t>%</w:t>
            </w:r>
          </w:p>
        </w:tc>
        <w:tc>
          <w:tcPr>
            <w:tcW w:w="700" w:type="dxa"/>
            <w:vAlign w:val="bottom"/>
            <w:shd w:val="clear" w:color="auto" w:fill="E6E6E6"/>
          </w:tcPr>
          <w:p>
            <w:pPr>
              <w:spacing w:after="0"/>
              <w:rPr>
                <w:sz w:val="18"/>
                <w:szCs w:val="18"/>
                <w:color w:val="auto"/>
              </w:rPr>
            </w:pPr>
          </w:p>
        </w:tc>
        <w:tc>
          <w:tcPr>
            <w:tcW w:w="980" w:type="dxa"/>
            <w:vAlign w:val="bottom"/>
            <w:shd w:val="clear" w:color="auto" w:fill="E6E6E6"/>
          </w:tcPr>
          <w:p>
            <w:pPr>
              <w:jc w:val="right"/>
              <w:ind w:right="177"/>
              <w:spacing w:after="0" w:line="210" w:lineRule="exact"/>
              <w:rPr>
                <w:sz w:val="20"/>
                <w:szCs w:val="20"/>
                <w:color w:val="auto"/>
              </w:rPr>
            </w:pPr>
            <w:r>
              <w:rPr>
                <w:rFonts w:ascii="Arial" w:cs="Arial" w:eastAsia="Arial" w:hAnsi="Arial"/>
                <w:sz w:val="12"/>
                <w:szCs w:val="12"/>
                <w:color w:val="auto"/>
              </w:rPr>
              <w:t>8.0</w:t>
            </w:r>
            <w:r>
              <w:rPr>
                <w:rFonts w:ascii="Arial" w:cs="Arial" w:eastAsia="Arial" w:hAnsi="Arial"/>
                <w:sz w:val="23"/>
                <w:szCs w:val="23"/>
                <w:color w:val="auto"/>
                <w:vertAlign w:val="superscript"/>
              </w:rPr>
              <w:t>%</w:t>
            </w:r>
          </w:p>
        </w:tc>
      </w:tr>
    </w:tbl>
    <w:p>
      <w:pPr>
        <w:spacing w:after="0" w:line="389" w:lineRule="exact"/>
        <w:rPr>
          <w:sz w:val="20"/>
          <w:szCs w:val="20"/>
          <w:color w:val="auto"/>
        </w:rPr>
      </w:pPr>
    </w:p>
    <w:p>
      <w:pPr>
        <w:ind w:left="7" w:right="40"/>
        <w:spacing w:after="0" w:line="264" w:lineRule="auto"/>
        <w:rPr>
          <w:sz w:val="20"/>
          <w:szCs w:val="20"/>
          <w:color w:val="auto"/>
        </w:rPr>
      </w:pPr>
      <w:r>
        <w:rPr>
          <w:rFonts w:ascii="Arial" w:cs="Arial" w:eastAsia="Arial" w:hAnsi="Arial"/>
          <w:sz w:val="15"/>
          <w:szCs w:val="15"/>
          <w:i w:val="1"/>
          <w:iCs w:val="1"/>
          <w:color w:val="auto"/>
        </w:rPr>
        <w:t xml:space="preserve">Media, Licensing and Advertising </w:t>
      </w:r>
      <w:r>
        <w:rPr>
          <w:rFonts w:ascii="Arial" w:cs="Arial" w:eastAsia="Arial" w:hAnsi="Arial"/>
          <w:sz w:val="15"/>
          <w:szCs w:val="15"/>
          <w:color w:val="auto"/>
        </w:rPr>
        <w:t>revenues accounted for 6.7% of the Company’s revenues in fiscal 2006, 6.4% in fiscal 2005 and 6.1% in fiscal 2004. In fiscal 2006, revenues improved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by $18.5 million, or 13.9%, to $151.6 million from $133.1 million in fiscal 2005. This increase was primarily due to a $6.7 million increase in revenues from software and new multimedia products, such as </w:t>
      </w:r>
      <w:r>
        <w:rPr>
          <w:rFonts w:ascii="Arial" w:cs="Arial" w:eastAsia="Arial" w:hAnsi="Arial"/>
          <w:sz w:val="15"/>
          <w:szCs w:val="15"/>
          <w:i w:val="1"/>
          <w:iCs w:val="1"/>
          <w:color w:val="auto"/>
        </w:rPr>
        <w:t>Read With Me DVD!</w:t>
      </w:r>
      <w:r>
        <w:rPr>
          <w:rFonts w:ascii="Arial" w:cs="Arial" w:eastAsia="Arial" w:hAnsi="Arial"/>
          <w:sz w:val="15"/>
          <w:szCs w:val="15"/>
          <w:color w:val="auto"/>
        </w:rPr>
        <w:t xml:space="preserve"> and </w:t>
      </w:r>
      <w:r>
        <w:rPr>
          <w:rFonts w:ascii="Arial" w:cs="Arial" w:eastAsia="Arial" w:hAnsi="Arial"/>
          <w:sz w:val="15"/>
          <w:szCs w:val="15"/>
          <w:i w:val="1"/>
          <w:iCs w:val="1"/>
          <w:color w:val="auto"/>
        </w:rPr>
        <w:t>Leapster,</w:t>
      </w:r>
      <w:r>
        <w:rPr>
          <w:rFonts w:ascii="Arial" w:cs="Arial" w:eastAsia="Arial" w:hAnsi="Arial"/>
          <w:sz w:val="15"/>
          <w:szCs w:val="15"/>
          <w:color w:val="auto"/>
        </w:rPr>
        <w:t xml:space="preserve"> and revenue increases from consumer magazine custom publishing programs, Back to Basics Toys and television programming of $5.0 million, $4.3 million and $3.0 million, respectively. In fiscal 2005, segment revenues decreased by $3.3 million, or 2.4%, from $136.4 million in fiscal 2004, due principally to a decline of $6.8 million in programming revenue, primarily as a result of the fiscal 2004 release of the feature film </w:t>
      </w:r>
      <w:r>
        <w:rPr>
          <w:rFonts w:ascii="Arial" w:cs="Arial" w:eastAsia="Arial" w:hAnsi="Arial"/>
          <w:sz w:val="15"/>
          <w:szCs w:val="15"/>
          <w:i w:val="1"/>
          <w:iCs w:val="1"/>
          <w:color w:val="auto"/>
        </w:rPr>
        <w:t>Clifford’s Really Big Movie</w:t>
      </w:r>
      <w:r>
        <w:rPr>
          <w:rFonts w:ascii="Arial" w:cs="Arial" w:eastAsia="Arial" w:hAnsi="Arial"/>
          <w:sz w:val="15"/>
          <w:szCs w:val="15"/>
          <w:color w:val="auto"/>
        </w:rPr>
        <w:t>, which was partially offset by $2.9 million in higher revenues from Back to Basic Toys.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110490</wp:posOffset>
            </wp:positionV>
            <wp:extent cx="1938655" cy="3403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9" w:name="page30"/>
    <w:bookmarkEnd w:id="29"/>
    <w:p>
      <w:pPr>
        <w:ind w:left="7" w:right="220"/>
        <w:spacing w:after="0" w:line="272" w:lineRule="auto"/>
        <w:rPr>
          <w:sz w:val="20"/>
          <w:szCs w:val="20"/>
          <w:color w:val="auto"/>
        </w:rPr>
      </w:pPr>
      <w:r>
        <w:rPr>
          <w:rFonts w:ascii="Arial" w:cs="Arial" w:eastAsia="Arial" w:hAnsi="Arial"/>
          <w:sz w:val="15"/>
          <w:szCs w:val="15"/>
          <w:i w:val="1"/>
          <w:iCs w:val="1"/>
          <w:color w:val="auto"/>
        </w:rPr>
        <w:t xml:space="preserve">Media, Licensing and Advertising </w:t>
      </w:r>
      <w:r>
        <w:rPr>
          <w:rFonts w:ascii="Arial" w:cs="Arial" w:eastAsia="Arial" w:hAnsi="Arial"/>
          <w:sz w:val="15"/>
          <w:szCs w:val="15"/>
          <w:color w:val="auto"/>
        </w:rPr>
        <w:t>operating income decreased slightly to $10.3 million in fiscal 2006, compared to $11.0 million in fiscal 2005. This decrease occurred despite higher</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due in part to higher production costs associated with the delivery of certain television programming. In fiscal 2005, segment operating income remained relatively flat at $11.0 million, compared to $10.9 million in fiscal 2004.</w:t>
      </w:r>
    </w:p>
    <w:p>
      <w:pPr>
        <w:spacing w:after="0" w:line="191" w:lineRule="exact"/>
        <w:rPr>
          <w:sz w:val="20"/>
          <w:szCs w:val="20"/>
          <w:color w:val="auto"/>
        </w:rPr>
      </w:pPr>
    </w:p>
    <w:p>
      <w:pPr>
        <w:ind w:left="87" w:hanging="87"/>
        <w:spacing w:after="0"/>
        <w:tabs>
          <w:tab w:leader="none" w:pos="87" w:val="left"/>
        </w:tabs>
        <w:numPr>
          <w:ilvl w:val="0"/>
          <w:numId w:val="11"/>
        </w:numPr>
        <w:rPr>
          <w:rFonts w:ascii="Arial" w:cs="Arial" w:eastAsia="Arial" w:hAnsi="Arial"/>
          <w:sz w:val="15"/>
          <w:szCs w:val="15"/>
          <w:b w:val="1"/>
          <w:bCs w:val="1"/>
          <w:color w:val="auto"/>
        </w:rPr>
      </w:pPr>
      <w:r>
        <w:rPr>
          <w:rFonts w:ascii="Arial" w:cs="Arial" w:eastAsia="Arial" w:hAnsi="Arial"/>
          <w:sz w:val="12"/>
          <w:szCs w:val="12"/>
          <w:b w:val="1"/>
          <w:bCs w:val="1"/>
          <w:color w:val="auto"/>
        </w:rPr>
        <w:t>N T E R N A T I O N A L</w:t>
      </w:r>
    </w:p>
    <w:p>
      <w:pPr>
        <w:spacing w:after="0" w:line="303"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gridSpan w:val="2"/>
          </w:tcPr>
          <w:p>
            <w:pPr>
              <w:jc w:val="right"/>
              <w:ind w:right="157"/>
              <w:spacing w:after="0"/>
              <w:rPr>
                <w:sz w:val="20"/>
                <w:szCs w:val="20"/>
                <w:color w:val="auto"/>
              </w:rPr>
            </w:pPr>
            <w:r>
              <w:rPr>
                <w:rFonts w:ascii="Arial" w:cs="Arial" w:eastAsia="Arial" w:hAnsi="Arial"/>
                <w:sz w:val="12"/>
                <w:szCs w:val="12"/>
                <w:color w:val="auto"/>
              </w:rPr>
              <w:t>($ amounts in millions)</w:t>
            </w:r>
          </w:p>
        </w:tc>
      </w:tr>
      <w:tr>
        <w:trPr>
          <w:trHeight w:val="83"/>
        </w:trPr>
        <w:tc>
          <w:tcPr>
            <w:tcW w:w="374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292"/>
        </w:trPr>
        <w:tc>
          <w:tcPr>
            <w:tcW w:w="3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00" w:type="dxa"/>
            <w:vAlign w:val="bottom"/>
          </w:tcPr>
          <w:p>
            <w:pPr>
              <w:jc w:val="right"/>
              <w:ind w:right="417"/>
              <w:spacing w:after="0"/>
              <w:rPr>
                <w:sz w:val="20"/>
                <w:szCs w:val="20"/>
                <w:color w:val="auto"/>
              </w:rPr>
            </w:pPr>
            <w:r>
              <w:rPr>
                <w:rFonts w:ascii="Arial" w:cs="Arial" w:eastAsia="Arial" w:hAnsi="Arial"/>
                <w:sz w:val="15"/>
                <w:szCs w:val="15"/>
                <w:b w:val="1"/>
                <w:bCs w:val="1"/>
                <w:color w:val="auto"/>
              </w:rPr>
              <w:t>2006</w:t>
            </w:r>
          </w:p>
        </w:tc>
        <w:tc>
          <w:tcPr>
            <w:tcW w:w="680" w:type="dxa"/>
            <w:vAlign w:val="bottom"/>
          </w:tcPr>
          <w:p>
            <w:pPr>
              <w:spacing w:after="0"/>
              <w:rPr>
                <w:sz w:val="24"/>
                <w:szCs w:val="24"/>
                <w:color w:val="auto"/>
              </w:rPr>
            </w:pPr>
          </w:p>
        </w:tc>
        <w:tc>
          <w:tcPr>
            <w:tcW w:w="1000" w:type="dxa"/>
            <w:vAlign w:val="bottom"/>
          </w:tcPr>
          <w:p>
            <w:pPr>
              <w:jc w:val="right"/>
              <w:ind w:right="377"/>
              <w:spacing w:after="0"/>
              <w:rPr>
                <w:sz w:val="20"/>
                <w:szCs w:val="20"/>
                <w:color w:val="auto"/>
              </w:rPr>
            </w:pPr>
            <w:r>
              <w:rPr>
                <w:rFonts w:ascii="Arial" w:cs="Arial" w:eastAsia="Arial" w:hAnsi="Arial"/>
                <w:sz w:val="15"/>
                <w:szCs w:val="15"/>
                <w:b w:val="1"/>
                <w:bCs w:val="1"/>
                <w:color w:val="auto"/>
              </w:rPr>
              <w:t>2005</w:t>
            </w:r>
          </w:p>
        </w:tc>
        <w:tc>
          <w:tcPr>
            <w:tcW w:w="820" w:type="dxa"/>
            <w:vAlign w:val="bottom"/>
          </w:tcPr>
          <w:p>
            <w:pPr>
              <w:spacing w:after="0"/>
              <w:rPr>
                <w:sz w:val="24"/>
                <w:szCs w:val="24"/>
                <w:color w:val="auto"/>
              </w:rPr>
            </w:pPr>
          </w:p>
        </w:tc>
        <w:tc>
          <w:tcPr>
            <w:tcW w:w="900" w:type="dxa"/>
            <w:vAlign w:val="bottom"/>
          </w:tcPr>
          <w:p>
            <w:pPr>
              <w:jc w:val="right"/>
              <w:ind w:right="157"/>
              <w:spacing w:after="0"/>
              <w:rPr>
                <w:sz w:val="20"/>
                <w:szCs w:val="20"/>
                <w:color w:val="auto"/>
              </w:rPr>
            </w:pPr>
            <w:r>
              <w:rPr>
                <w:rFonts w:ascii="Arial" w:cs="Arial" w:eastAsia="Arial" w:hAnsi="Arial"/>
                <w:sz w:val="15"/>
                <w:szCs w:val="15"/>
                <w:b w:val="1"/>
                <w:bCs w:val="1"/>
                <w:color w:val="auto"/>
              </w:rPr>
              <w:t>2004</w:t>
            </w:r>
          </w:p>
        </w:tc>
      </w:tr>
      <w:tr>
        <w:trPr>
          <w:trHeight w:val="96"/>
        </w:trPr>
        <w:tc>
          <w:tcPr>
            <w:tcW w:w="37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85"/>
        </w:trPr>
        <w:tc>
          <w:tcPr>
            <w:tcW w:w="37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0"/>
        </w:trPr>
        <w:tc>
          <w:tcPr>
            <w:tcW w:w="3740" w:type="dxa"/>
            <w:vAlign w:val="bottom"/>
            <w:shd w:val="clear" w:color="auto" w:fill="E6E6E6"/>
          </w:tcPr>
          <w:p>
            <w:pPr>
              <w:spacing w:after="0"/>
              <w:rPr>
                <w:sz w:val="20"/>
                <w:szCs w:val="20"/>
                <w:color w:val="auto"/>
              </w:rPr>
            </w:pPr>
            <w:r>
              <w:rPr>
                <w:rFonts w:ascii="Arial" w:cs="Arial" w:eastAsia="Arial" w:hAnsi="Arial"/>
                <w:sz w:val="12"/>
                <w:szCs w:val="12"/>
                <w:color w:val="auto"/>
              </w:rPr>
              <w:t>Revenue</w:t>
            </w:r>
          </w:p>
        </w:tc>
        <w:tc>
          <w:tcPr>
            <w:tcW w:w="3200" w:type="dxa"/>
            <w:vAlign w:val="bottom"/>
            <w:shd w:val="clear" w:color="auto" w:fill="E6E6E6"/>
          </w:tcPr>
          <w:p>
            <w:pPr>
              <w:jc w:val="right"/>
              <w:ind w:right="242"/>
              <w:spacing w:after="0"/>
              <w:rPr>
                <w:sz w:val="20"/>
                <w:szCs w:val="20"/>
                <w:color w:val="auto"/>
              </w:rPr>
            </w:pPr>
            <w:r>
              <w:rPr>
                <w:rFonts w:ascii="Arial" w:cs="Arial" w:eastAsia="Arial" w:hAnsi="Arial"/>
                <w:sz w:val="12"/>
                <w:szCs w:val="12"/>
                <w:color w:val="auto"/>
              </w:rPr>
              <w:t>$</w:t>
            </w:r>
          </w:p>
        </w:tc>
        <w:tc>
          <w:tcPr>
            <w:tcW w:w="1100" w:type="dxa"/>
            <w:vAlign w:val="bottom"/>
            <w:shd w:val="clear" w:color="auto" w:fill="E6E6E6"/>
          </w:tcPr>
          <w:p>
            <w:pPr>
              <w:jc w:val="right"/>
              <w:ind w:right="417"/>
              <w:spacing w:after="0"/>
              <w:rPr>
                <w:sz w:val="20"/>
                <w:szCs w:val="20"/>
                <w:color w:val="auto"/>
              </w:rPr>
            </w:pPr>
            <w:r>
              <w:rPr>
                <w:rFonts w:ascii="Arial" w:cs="Arial" w:eastAsia="Arial" w:hAnsi="Arial"/>
                <w:sz w:val="12"/>
                <w:szCs w:val="12"/>
                <w:color w:val="auto"/>
              </w:rPr>
              <w:t>412.1</w:t>
            </w:r>
          </w:p>
        </w:tc>
        <w:tc>
          <w:tcPr>
            <w:tcW w:w="680" w:type="dxa"/>
            <w:vAlign w:val="bottom"/>
            <w:shd w:val="clear" w:color="auto" w:fill="E6E6E6"/>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E6E6E6"/>
          </w:tcPr>
          <w:p>
            <w:pPr>
              <w:jc w:val="right"/>
              <w:ind w:right="377"/>
              <w:spacing w:after="0"/>
              <w:rPr>
                <w:sz w:val="20"/>
                <w:szCs w:val="20"/>
                <w:color w:val="auto"/>
              </w:rPr>
            </w:pPr>
            <w:r>
              <w:rPr>
                <w:rFonts w:ascii="Arial" w:cs="Arial" w:eastAsia="Arial" w:hAnsi="Arial"/>
                <w:sz w:val="12"/>
                <w:szCs w:val="12"/>
                <w:color w:val="auto"/>
              </w:rPr>
              <w:t>389.7</w:t>
            </w:r>
          </w:p>
        </w:tc>
        <w:tc>
          <w:tcPr>
            <w:tcW w:w="820" w:type="dxa"/>
            <w:vAlign w:val="bottom"/>
            <w:shd w:val="clear" w:color="auto" w:fill="E6E6E6"/>
          </w:tcPr>
          <w:p>
            <w:pPr>
              <w:jc w:val="right"/>
              <w:ind w:right="302"/>
              <w:spacing w:after="0"/>
              <w:rPr>
                <w:sz w:val="20"/>
                <w:szCs w:val="20"/>
                <w:color w:val="auto"/>
              </w:rPr>
            </w:pPr>
            <w:r>
              <w:rPr>
                <w:rFonts w:ascii="Arial" w:cs="Arial" w:eastAsia="Arial" w:hAnsi="Arial"/>
                <w:sz w:val="12"/>
                <w:szCs w:val="12"/>
                <w:color w:val="auto"/>
              </w:rPr>
              <w:t>$</w:t>
            </w:r>
          </w:p>
        </w:tc>
        <w:tc>
          <w:tcPr>
            <w:tcW w:w="900" w:type="dxa"/>
            <w:vAlign w:val="bottom"/>
            <w:shd w:val="clear" w:color="auto" w:fill="E6E6E6"/>
          </w:tcPr>
          <w:p>
            <w:pPr>
              <w:jc w:val="right"/>
              <w:ind w:right="157"/>
              <w:spacing w:after="0"/>
              <w:rPr>
                <w:sz w:val="20"/>
                <w:szCs w:val="20"/>
                <w:color w:val="auto"/>
              </w:rPr>
            </w:pPr>
            <w:r>
              <w:rPr>
                <w:rFonts w:ascii="Arial" w:cs="Arial" w:eastAsia="Arial" w:hAnsi="Arial"/>
                <w:sz w:val="12"/>
                <w:szCs w:val="12"/>
                <w:color w:val="auto"/>
              </w:rPr>
              <w:t>369.7</w:t>
            </w:r>
          </w:p>
        </w:tc>
      </w:tr>
      <w:tr>
        <w:trPr>
          <w:trHeight w:val="306"/>
        </w:trPr>
        <w:tc>
          <w:tcPr>
            <w:tcW w:w="3740" w:type="dxa"/>
            <w:vAlign w:val="bottom"/>
            <w:tcBorders>
              <w:bottom w:val="single" w:sz="8" w:color="808080"/>
            </w:tcBorders>
          </w:tcPr>
          <w:p>
            <w:pPr>
              <w:spacing w:after="0"/>
              <w:rPr>
                <w:sz w:val="20"/>
                <w:szCs w:val="20"/>
                <w:color w:val="auto"/>
              </w:rPr>
            </w:pPr>
            <w:r>
              <w:rPr>
                <w:rFonts w:ascii="Arial" w:cs="Arial" w:eastAsia="Arial" w:hAnsi="Arial"/>
                <w:sz w:val="12"/>
                <w:szCs w:val="12"/>
                <w:color w:val="auto"/>
              </w:rPr>
              <w:t>Operating income</w:t>
            </w:r>
          </w:p>
        </w:tc>
        <w:tc>
          <w:tcPr>
            <w:tcW w:w="3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ind w:right="417"/>
              <w:spacing w:after="0"/>
              <w:rPr>
                <w:sz w:val="20"/>
                <w:szCs w:val="20"/>
                <w:color w:val="auto"/>
              </w:rPr>
            </w:pPr>
            <w:r>
              <w:rPr>
                <w:rFonts w:ascii="Arial" w:cs="Arial" w:eastAsia="Arial" w:hAnsi="Arial"/>
                <w:sz w:val="12"/>
                <w:szCs w:val="12"/>
                <w:color w:val="auto"/>
              </w:rPr>
              <w:t>22.7</w:t>
            </w:r>
          </w:p>
        </w:tc>
        <w:tc>
          <w:tcPr>
            <w:tcW w:w="6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ind w:right="377"/>
              <w:spacing w:after="0"/>
              <w:rPr>
                <w:sz w:val="20"/>
                <w:szCs w:val="20"/>
                <w:color w:val="auto"/>
              </w:rPr>
            </w:pPr>
            <w:r>
              <w:rPr>
                <w:rFonts w:ascii="Arial" w:cs="Arial" w:eastAsia="Arial" w:hAnsi="Arial"/>
                <w:sz w:val="12"/>
                <w:szCs w:val="12"/>
                <w:color w:val="auto"/>
              </w:rPr>
              <w:t>30.3</w:t>
            </w:r>
          </w:p>
        </w:tc>
        <w:tc>
          <w:tcPr>
            <w:tcW w:w="8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17"/>
              <w:spacing w:after="0"/>
              <w:rPr>
                <w:sz w:val="20"/>
                <w:szCs w:val="20"/>
                <w:color w:val="auto"/>
              </w:rPr>
            </w:pPr>
            <w:r>
              <w:rPr>
                <w:rFonts w:ascii="Arial" w:cs="Arial" w:eastAsia="Arial" w:hAnsi="Arial"/>
                <w:sz w:val="12"/>
                <w:szCs w:val="12"/>
                <w:color w:val="auto"/>
              </w:rPr>
              <w:t>23.5</w:t>
            </w:r>
            <w:r>
              <w:rPr>
                <w:rFonts w:ascii="Arial" w:cs="Arial" w:eastAsia="Arial" w:hAnsi="Arial"/>
                <w:sz w:val="23"/>
                <w:szCs w:val="23"/>
                <w:color w:val="auto"/>
                <w:vertAlign w:val="superscript"/>
              </w:rPr>
              <w:t>(1)</w:t>
            </w:r>
          </w:p>
        </w:tc>
      </w:tr>
      <w:tr>
        <w:trPr>
          <w:trHeight w:val="93"/>
        </w:trPr>
        <w:tc>
          <w:tcPr>
            <w:tcW w:w="3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0"/>
        </w:trPr>
        <w:tc>
          <w:tcPr>
            <w:tcW w:w="3740" w:type="dxa"/>
            <w:vAlign w:val="bottom"/>
            <w:shd w:val="clear" w:color="auto" w:fill="E6E6E6"/>
          </w:tcPr>
          <w:p>
            <w:pPr>
              <w:spacing w:after="0"/>
              <w:rPr>
                <w:sz w:val="20"/>
                <w:szCs w:val="20"/>
                <w:color w:val="auto"/>
              </w:rPr>
            </w:pPr>
            <w:r>
              <w:rPr>
                <w:rFonts w:ascii="Arial" w:cs="Arial" w:eastAsia="Arial" w:hAnsi="Arial"/>
                <w:sz w:val="12"/>
                <w:szCs w:val="12"/>
                <w:color w:val="auto"/>
              </w:rPr>
              <w:t>Operating margin</w:t>
            </w:r>
          </w:p>
        </w:tc>
        <w:tc>
          <w:tcPr>
            <w:tcW w:w="3200" w:type="dxa"/>
            <w:vAlign w:val="bottom"/>
            <w:shd w:val="clear" w:color="auto" w:fill="E6E6E6"/>
          </w:tcPr>
          <w:p>
            <w:pPr>
              <w:spacing w:after="0"/>
              <w:rPr>
                <w:sz w:val="18"/>
                <w:szCs w:val="18"/>
                <w:color w:val="auto"/>
              </w:rPr>
            </w:pPr>
          </w:p>
        </w:tc>
        <w:tc>
          <w:tcPr>
            <w:tcW w:w="1100" w:type="dxa"/>
            <w:vAlign w:val="bottom"/>
            <w:shd w:val="clear" w:color="auto" w:fill="E6E6E6"/>
          </w:tcPr>
          <w:p>
            <w:pPr>
              <w:jc w:val="right"/>
              <w:ind w:right="317"/>
              <w:spacing w:after="0" w:line="210" w:lineRule="exact"/>
              <w:rPr>
                <w:sz w:val="20"/>
                <w:szCs w:val="20"/>
                <w:color w:val="auto"/>
              </w:rPr>
            </w:pPr>
            <w:r>
              <w:rPr>
                <w:rFonts w:ascii="Arial" w:cs="Arial" w:eastAsia="Arial" w:hAnsi="Arial"/>
                <w:sz w:val="12"/>
                <w:szCs w:val="12"/>
                <w:color w:val="auto"/>
              </w:rPr>
              <w:t>5.5</w:t>
            </w:r>
            <w:r>
              <w:rPr>
                <w:rFonts w:ascii="Arial" w:cs="Arial" w:eastAsia="Arial" w:hAnsi="Arial"/>
                <w:sz w:val="23"/>
                <w:szCs w:val="23"/>
                <w:color w:val="auto"/>
                <w:vertAlign w:val="superscript"/>
              </w:rPr>
              <w:t>%</w:t>
            </w:r>
          </w:p>
        </w:tc>
        <w:tc>
          <w:tcPr>
            <w:tcW w:w="68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277"/>
              <w:spacing w:after="0" w:line="210" w:lineRule="exact"/>
              <w:rPr>
                <w:sz w:val="20"/>
                <w:szCs w:val="20"/>
                <w:color w:val="auto"/>
              </w:rPr>
            </w:pPr>
            <w:r>
              <w:rPr>
                <w:rFonts w:ascii="Arial" w:cs="Arial" w:eastAsia="Arial" w:hAnsi="Arial"/>
                <w:sz w:val="12"/>
                <w:szCs w:val="12"/>
                <w:color w:val="auto"/>
              </w:rPr>
              <w:t>7.8</w:t>
            </w:r>
            <w:r>
              <w:rPr>
                <w:rFonts w:ascii="Arial" w:cs="Arial" w:eastAsia="Arial" w:hAnsi="Arial"/>
                <w:sz w:val="23"/>
                <w:szCs w:val="23"/>
                <w:color w:val="auto"/>
                <w:vertAlign w:val="superscript"/>
              </w:rPr>
              <w:t>%</w:t>
            </w:r>
          </w:p>
        </w:tc>
        <w:tc>
          <w:tcPr>
            <w:tcW w:w="820" w:type="dxa"/>
            <w:vAlign w:val="bottom"/>
            <w:shd w:val="clear" w:color="auto" w:fill="E6E6E6"/>
          </w:tcPr>
          <w:p>
            <w:pPr>
              <w:spacing w:after="0"/>
              <w:rPr>
                <w:sz w:val="18"/>
                <w:szCs w:val="18"/>
                <w:color w:val="auto"/>
              </w:rPr>
            </w:pPr>
          </w:p>
        </w:tc>
        <w:tc>
          <w:tcPr>
            <w:tcW w:w="900" w:type="dxa"/>
            <w:vAlign w:val="bottom"/>
            <w:shd w:val="clear" w:color="auto" w:fill="E6E6E6"/>
          </w:tcPr>
          <w:p>
            <w:pPr>
              <w:jc w:val="right"/>
              <w:ind w:right="57"/>
              <w:spacing w:after="0" w:line="210" w:lineRule="exact"/>
              <w:rPr>
                <w:sz w:val="20"/>
                <w:szCs w:val="20"/>
                <w:color w:val="auto"/>
              </w:rPr>
            </w:pPr>
            <w:r>
              <w:rPr>
                <w:rFonts w:ascii="Arial" w:cs="Arial" w:eastAsia="Arial" w:hAnsi="Arial"/>
                <w:sz w:val="12"/>
                <w:szCs w:val="12"/>
                <w:color w:val="auto"/>
              </w:rPr>
              <w:t>6.4</w:t>
            </w:r>
            <w:r>
              <w:rPr>
                <w:rFonts w:ascii="Arial" w:cs="Arial" w:eastAsia="Arial" w:hAnsi="Arial"/>
                <w:sz w:val="23"/>
                <w:szCs w:val="23"/>
                <w:color w:val="auto"/>
                <w:vertAlign w:val="superscript"/>
              </w:rPr>
              <w:t>%</w:t>
            </w:r>
          </w:p>
        </w:tc>
      </w:tr>
    </w:tbl>
    <w:p>
      <w:pPr>
        <w:spacing w:after="0" w:line="209" w:lineRule="exact"/>
        <w:rPr>
          <w:sz w:val="20"/>
          <w:szCs w:val="20"/>
          <w:color w:val="auto"/>
        </w:rPr>
      </w:pPr>
    </w:p>
    <w:p>
      <w:pPr>
        <w:ind w:left="487" w:hanging="487"/>
        <w:spacing w:after="0"/>
        <w:tabs>
          <w:tab w:leader="none" w:pos="487"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the portion of the Continuity charges related to this segment of approximately $3.</w:t>
      </w:r>
    </w:p>
    <w:p>
      <w:pPr>
        <w:spacing w:after="0" w:line="170" w:lineRule="exact"/>
        <w:rPr>
          <w:sz w:val="20"/>
          <w:szCs w:val="20"/>
          <w:color w:val="auto"/>
        </w:rPr>
      </w:pPr>
    </w:p>
    <w:p>
      <w:pPr>
        <w:ind w:left="7" w:right="40"/>
        <w:spacing w:after="0" w:line="265" w:lineRule="auto"/>
        <w:rPr>
          <w:sz w:val="20"/>
          <w:szCs w:val="20"/>
          <w:color w:val="auto"/>
        </w:rPr>
      </w:pPr>
      <w:r>
        <w:rPr>
          <w:rFonts w:ascii="Arial" w:cs="Arial" w:eastAsia="Arial" w:hAnsi="Arial"/>
          <w:sz w:val="15"/>
          <w:szCs w:val="15"/>
          <w:i w:val="1"/>
          <w:iCs w:val="1"/>
          <w:color w:val="auto"/>
        </w:rPr>
        <w:t xml:space="preserve">International </w:t>
      </w:r>
      <w:r>
        <w:rPr>
          <w:rFonts w:ascii="Arial" w:cs="Arial" w:eastAsia="Arial" w:hAnsi="Arial"/>
          <w:sz w:val="15"/>
          <w:szCs w:val="15"/>
          <w:color w:val="auto"/>
        </w:rPr>
        <w:t>revenues accounted for 18.0% of the Company’s revenues in fiscal 2006, 18.7% in fiscal 2005 and 16.6% in fiscal 2004. Segment revenues increased by $22.4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5.7%, to $412.1 million in fiscal 2006 from $389.7 million in fiscal 2005. This increase was due to higher local currency revenue growth in Southeast Asia, Australia and Canada equivalent to $9.7 million, $5.3 million and $3.3 million, respectively. In addition, fiscal 2006 segment revenue benefited from favorable changes in foreign currency exchange rates, which increased by $4.7 million compared to the prior year. In fiscal 2005, </w:t>
      </w:r>
      <w:r>
        <w:rPr>
          <w:rFonts w:ascii="Arial" w:cs="Arial" w:eastAsia="Arial" w:hAnsi="Arial"/>
          <w:sz w:val="15"/>
          <w:szCs w:val="15"/>
          <w:i w:val="1"/>
          <w:iCs w:val="1"/>
          <w:color w:val="auto"/>
        </w:rPr>
        <w:t>International</w:t>
      </w:r>
      <w:r>
        <w:rPr>
          <w:rFonts w:ascii="Arial" w:cs="Arial" w:eastAsia="Arial" w:hAnsi="Arial"/>
          <w:sz w:val="15"/>
          <w:szCs w:val="15"/>
          <w:color w:val="auto"/>
        </w:rPr>
        <w:t xml:space="preserve"> revenues increased by $20.0 million, or 5.4%, from $369.7 million in fiscal 2004, primarily due to the favorable impact of foreign currency exchange rates.</w:t>
      </w:r>
    </w:p>
    <w:p>
      <w:pPr>
        <w:spacing w:after="0" w:line="166" w:lineRule="exact"/>
        <w:rPr>
          <w:sz w:val="20"/>
          <w:szCs w:val="20"/>
          <w:color w:val="auto"/>
        </w:rPr>
      </w:pPr>
    </w:p>
    <w:p>
      <w:pPr>
        <w:ind w:left="7" w:right="100"/>
        <w:spacing w:after="0" w:line="272" w:lineRule="auto"/>
        <w:rPr>
          <w:sz w:val="20"/>
          <w:szCs w:val="20"/>
          <w:color w:val="auto"/>
        </w:rPr>
      </w:pPr>
      <w:r>
        <w:rPr>
          <w:rFonts w:ascii="Arial" w:cs="Arial" w:eastAsia="Arial" w:hAnsi="Arial"/>
          <w:sz w:val="15"/>
          <w:szCs w:val="15"/>
          <w:i w:val="1"/>
          <w:iCs w:val="1"/>
          <w:color w:val="auto"/>
        </w:rPr>
        <w:t xml:space="preserve">International </w:t>
      </w:r>
      <w:r>
        <w:rPr>
          <w:rFonts w:ascii="Arial" w:cs="Arial" w:eastAsia="Arial" w:hAnsi="Arial"/>
          <w:sz w:val="15"/>
          <w:szCs w:val="15"/>
          <w:color w:val="auto"/>
        </w:rPr>
        <w:t>operating income decreased by $7.6 million to $22.7 million in fiscal 2006 from $30.3 million in fiscal 2005, substantially due to the lower operating results in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Kingdom. In fiscal 2005, segment operating income increased by $6.8 million, or 28.9%, from $23.5 million in fiscal 2004, primarily due to higher operating profit in Australia. The fiscal 2004 segment operating results included approximately $3 million of Continuity charges.</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Liquidity and Capital Resources</w:t>
      </w:r>
    </w:p>
    <w:p>
      <w:pPr>
        <w:spacing w:after="0" w:line="22" w:lineRule="exact"/>
        <w:rPr>
          <w:sz w:val="20"/>
          <w:szCs w:val="20"/>
          <w:color w:val="auto"/>
        </w:rPr>
      </w:pPr>
    </w:p>
    <w:p>
      <w:pPr>
        <w:ind w:left="7"/>
        <w:spacing w:after="0"/>
        <w:rPr>
          <w:sz w:val="20"/>
          <w:szCs w:val="20"/>
          <w:color w:val="auto"/>
        </w:rPr>
      </w:pPr>
      <w:r>
        <w:rPr>
          <w:rFonts w:ascii="Arial" w:cs="Arial" w:eastAsia="Arial" w:hAnsi="Arial"/>
          <w:sz w:val="15"/>
          <w:szCs w:val="15"/>
          <w:color w:val="auto"/>
        </w:rPr>
        <w:t>Cash and cash equivalents were $205.3 million at May 31, 2006, compared to $110.6 million at May 31, 2005 and $17.8 million at May 31, 2004.</w:t>
      </w:r>
    </w:p>
    <w:p>
      <w:pPr>
        <w:spacing w:after="0" w:line="196" w:lineRule="exact"/>
        <w:rPr>
          <w:sz w:val="20"/>
          <w:szCs w:val="20"/>
          <w:color w:val="auto"/>
        </w:rPr>
      </w:pPr>
    </w:p>
    <w:p>
      <w:pPr>
        <w:ind w:left="7" w:right="100"/>
        <w:spacing w:after="0" w:line="286" w:lineRule="auto"/>
        <w:rPr>
          <w:sz w:val="20"/>
          <w:szCs w:val="20"/>
          <w:color w:val="auto"/>
        </w:rPr>
      </w:pPr>
      <w:r>
        <w:rPr>
          <w:rFonts w:ascii="Arial" w:cs="Arial" w:eastAsia="Arial" w:hAnsi="Arial"/>
          <w:sz w:val="14"/>
          <w:szCs w:val="14"/>
          <w:color w:val="auto"/>
        </w:rPr>
        <w:t xml:space="preserve">Cash provided by operating activities decreased by $10.8 million to $235.8 million in fiscal 2006, compared to $246.6 million in fiscal 2005, primarily as a result of changes in working capital accounts. Changes in working capital that had a negative effect on cash flows included: Inventory, which increased by $21.5 million in fiscal 2006, compared to a decrease of $3.2 million in fiscal 2005, primarily due to growth in inventory levels in the Company’s continuity and trade businesses in fiscal 2006; and Deferred promotion costs, which increased by $9.8 million in fiscal 2006, compared to a decrease of $2.7 million in fiscal 2005, primarily due to increased internet promotional spending in the Company’s continuity business. These factors were offset by favorable changes in Accounts payable and other accrued expenses, which increased by $31.6 million in fiscal 2006, compared to a decrease of $12.8 million in fiscal 2005, primarily due to accrued expenses associated with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in fiscal 2006.</w:t>
      </w:r>
    </w:p>
    <w:p>
      <w:pPr>
        <w:spacing w:after="0" w:line="154" w:lineRule="exact"/>
        <w:rPr>
          <w:sz w:val="20"/>
          <w:szCs w:val="20"/>
          <w:color w:val="auto"/>
        </w:rPr>
      </w:pPr>
    </w:p>
    <w:p>
      <w:pPr>
        <w:ind w:left="7" w:right="20"/>
        <w:spacing w:after="0" w:line="272" w:lineRule="auto"/>
        <w:rPr>
          <w:sz w:val="20"/>
          <w:szCs w:val="20"/>
          <w:color w:val="auto"/>
        </w:rPr>
      </w:pPr>
      <w:r>
        <w:rPr>
          <w:rFonts w:ascii="Arial" w:cs="Arial" w:eastAsia="Arial" w:hAnsi="Arial"/>
          <w:sz w:val="15"/>
          <w:szCs w:val="15"/>
          <w:color w:val="auto"/>
        </w:rPr>
        <w:t xml:space="preserve">Cash used in investing activities totaled $161.2 million and $160.4 million in fiscal 2006 and fiscal 2005, respectively. Prepublication expenditures totaled $49.6 million in fiscal 2006, a decrease of $8.4 million from fiscal 2005, primarily due to the development of the upgraded </w:t>
      </w:r>
      <w:r>
        <w:rPr>
          <w:rFonts w:ascii="Arial" w:cs="Arial" w:eastAsia="Arial" w:hAnsi="Arial"/>
          <w:sz w:val="15"/>
          <w:szCs w:val="15"/>
          <w:i w:val="1"/>
          <w:iCs w:val="1"/>
          <w:color w:val="auto"/>
        </w:rPr>
        <w:t>READ 180 Enterprise Edition</w:t>
      </w:r>
      <w:r>
        <w:rPr>
          <w:rFonts w:ascii="Arial" w:cs="Arial" w:eastAsia="Arial" w:hAnsi="Arial"/>
          <w:sz w:val="15"/>
          <w:szCs w:val="15"/>
          <w:color w:val="auto"/>
        </w:rPr>
        <w:t xml:space="preserve"> in fiscal 2005. Additions to property, plant and equipment totaled $66.1 million in fiscal 2006, an increase of $16.3 million from fiscal 2005, principally due to higher information technology spending.</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Cash provided by financing activities was $19.8 million in fiscal 2006, compared to $6.5 million in fiscal 2005, due to higher net borrowings under various international credit lines.</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seasonality of its businesses, as discussed in Item 1, “Business—Seasonality,” the Company experiences negative cash flow in the June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131445</wp:posOffset>
            </wp:positionV>
            <wp:extent cx="1938655" cy="340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0" w:name="page31"/>
    <w:bookmarkEnd w:id="30"/>
    <w:p>
      <w:pPr>
        <w:ind w:left="20" w:right="260"/>
        <w:spacing w:after="0" w:line="285" w:lineRule="auto"/>
        <w:rPr>
          <w:sz w:val="20"/>
          <w:szCs w:val="20"/>
          <w:color w:val="auto"/>
        </w:rPr>
      </w:pPr>
      <w:r>
        <w:rPr>
          <w:rFonts w:ascii="Arial" w:cs="Arial" w:eastAsia="Arial" w:hAnsi="Arial"/>
          <w:sz w:val="15"/>
          <w:szCs w:val="15"/>
          <w:color w:val="auto"/>
        </w:rPr>
        <w:t>October time period. As a result of the Company’s business cycle, seasonal borrowings have historically increased during June, July and August, have generally peaked in September or October, and have declined to their lowest point in May.</w:t>
      </w:r>
    </w:p>
    <w:p>
      <w:pPr>
        <w:spacing w:after="0" w:line="150" w:lineRule="exact"/>
        <w:rPr>
          <w:sz w:val="20"/>
          <w:szCs w:val="20"/>
          <w:color w:val="auto"/>
        </w:rPr>
      </w:pPr>
    </w:p>
    <w:p>
      <w:pPr>
        <w:ind w:left="20" w:right="80"/>
        <w:spacing w:after="0" w:line="272" w:lineRule="auto"/>
        <w:rPr>
          <w:sz w:val="20"/>
          <w:szCs w:val="20"/>
          <w:color w:val="auto"/>
        </w:rPr>
      </w:pPr>
      <w:r>
        <w:rPr>
          <w:rFonts w:ascii="Arial" w:cs="Arial" w:eastAsia="Arial" w:hAnsi="Arial"/>
          <w:sz w:val="15"/>
          <w:szCs w:val="15"/>
          <w:color w:val="auto"/>
        </w:rPr>
        <w:t>The Company’s operating philosophy is to use cash provided from operating activities to create value by paying down debt, reinvesting in existing businesses and, from time to time, by making acquisitions that will complement its portfolio of businesses. The Company believes that funds generated by its operations and funds available under current credit facilities will be sufficient to finance short- and long-term capital requirements.</w:t>
      </w:r>
    </w:p>
    <w:p>
      <w:pPr>
        <w:spacing w:after="0" w:line="159" w:lineRule="exact"/>
        <w:rPr>
          <w:sz w:val="20"/>
          <w:szCs w:val="20"/>
          <w:color w:val="auto"/>
        </w:rPr>
      </w:pPr>
    </w:p>
    <w:p>
      <w:pPr>
        <w:ind w:left="20" w:right="100"/>
        <w:spacing w:after="0" w:line="267" w:lineRule="auto"/>
        <w:rPr>
          <w:sz w:val="20"/>
          <w:szCs w:val="20"/>
          <w:color w:val="auto"/>
        </w:rPr>
      </w:pPr>
      <w:r>
        <w:rPr>
          <w:rFonts w:ascii="Arial" w:cs="Arial" w:eastAsia="Arial" w:hAnsi="Arial"/>
          <w:sz w:val="15"/>
          <w:szCs w:val="15"/>
          <w:color w:val="auto"/>
        </w:rPr>
        <w:t>The Company believes it has adequate access to capital to finance its ongoing operating needs and to repay its debt obligations as they become due, including its 5.75% Notes due January 15, 2007 (the “5.75% Notes”), as discussed under “Financing” below. The Company’s credit rating was downgraded to BB+ by Standard &amp; Poor’s (“S&amp;P”) on March 23, 2006 and to Ba1 by Moody’s Investors Service (“Moody’s”) on June 20, 2006. S&amp;P further downgraded the Company’s credit rating to BB on July 27, 2006. Under prevailing market conditions, the Company believes that these ratings afford it adequate access to the public and private markets for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360680</wp:posOffset>
            </wp:positionV>
            <wp:extent cx="72656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right="20"/>
        <w:spacing w:after="0" w:line="285" w:lineRule="auto"/>
        <w:rPr>
          <w:sz w:val="20"/>
          <w:szCs w:val="20"/>
          <w:color w:val="auto"/>
        </w:rPr>
      </w:pPr>
      <w:r>
        <w:rPr>
          <w:rFonts w:ascii="Arial" w:cs="Arial" w:eastAsia="Arial" w:hAnsi="Arial"/>
          <w:sz w:val="15"/>
          <w:szCs w:val="15"/>
          <w:color w:val="auto"/>
        </w:rPr>
        <w:t>The following table summarizes, as of May 31, 2006, the Company’s contractual cash obligations by future period (see Notes 3 and 4 of Notes to Consolidated Financial Statements in Item 8, “Consolidated Financial Statements and Supplementary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20" w:type="dxa"/>
            <w:vAlign w:val="bottom"/>
            <w:gridSpan w:val="3"/>
          </w:tcPr>
          <w:p>
            <w:pPr>
              <w:jc w:val="right"/>
              <w:ind w:right="84"/>
              <w:spacing w:after="0"/>
              <w:rPr>
                <w:sz w:val="20"/>
                <w:szCs w:val="20"/>
                <w:color w:val="auto"/>
              </w:rPr>
            </w:pPr>
            <w:r>
              <w:rPr>
                <w:rFonts w:ascii="Arial" w:cs="Arial" w:eastAsia="Arial" w:hAnsi="Arial"/>
                <w:sz w:val="15"/>
                <w:szCs w:val="15"/>
                <w:b w:val="1"/>
                <w:bCs w:val="1"/>
                <w:color w:val="auto"/>
              </w:rPr>
              <w:t>Payments Due by Period</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96"/>
        </w:trPr>
        <w:tc>
          <w:tcPr>
            <w:tcW w:w="2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9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jc w:val="right"/>
              <w:ind w:right="364"/>
              <w:spacing w:after="0"/>
              <w:rPr>
                <w:sz w:val="20"/>
                <w:szCs w:val="20"/>
                <w:color w:val="auto"/>
              </w:rPr>
            </w:pPr>
            <w:r>
              <w:rPr>
                <w:rFonts w:ascii="Arial" w:cs="Arial" w:eastAsia="Arial" w:hAnsi="Arial"/>
                <w:sz w:val="15"/>
                <w:szCs w:val="15"/>
                <w:b w:val="1"/>
                <w:bCs w:val="1"/>
                <w:color w:val="auto"/>
              </w:rPr>
              <w:t>Less than</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64"/>
              <w:spacing w:after="0"/>
              <w:rPr>
                <w:sz w:val="20"/>
                <w:szCs w:val="20"/>
                <w:color w:val="auto"/>
              </w:rPr>
            </w:pPr>
            <w:r>
              <w:rPr>
                <w:rFonts w:ascii="Arial" w:cs="Arial" w:eastAsia="Arial" w:hAnsi="Arial"/>
                <w:sz w:val="15"/>
                <w:szCs w:val="15"/>
                <w:b w:val="1"/>
                <w:bCs w:val="1"/>
                <w:color w:val="auto"/>
              </w:rPr>
              <w:t>After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33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Contractual Obligations</w:t>
            </w:r>
          </w:p>
        </w:tc>
        <w:tc>
          <w:tcPr>
            <w:tcW w:w="1040" w:type="dxa"/>
            <w:vAlign w:val="bottom"/>
          </w:tcPr>
          <w:p>
            <w:pPr>
              <w:spacing w:after="0"/>
              <w:rPr>
                <w:sz w:val="18"/>
                <w:szCs w:val="18"/>
                <w:color w:val="auto"/>
              </w:rPr>
            </w:pPr>
          </w:p>
        </w:tc>
        <w:tc>
          <w:tcPr>
            <w:tcW w:w="1180" w:type="dxa"/>
            <w:vAlign w:val="bottom"/>
          </w:tcPr>
          <w:p>
            <w:pPr>
              <w:jc w:val="right"/>
              <w:ind w:right="464"/>
              <w:spacing w:after="0"/>
              <w:rPr>
                <w:sz w:val="20"/>
                <w:szCs w:val="20"/>
                <w:color w:val="auto"/>
              </w:rPr>
            </w:pPr>
            <w:r>
              <w:rPr>
                <w:rFonts w:ascii="Arial" w:cs="Arial" w:eastAsia="Arial" w:hAnsi="Arial"/>
                <w:sz w:val="15"/>
                <w:szCs w:val="15"/>
                <w:b w:val="1"/>
                <w:bCs w:val="1"/>
                <w:color w:val="auto"/>
              </w:rPr>
              <w:t>1 Year</w:t>
            </w:r>
          </w:p>
        </w:tc>
        <w:tc>
          <w:tcPr>
            <w:tcW w:w="440" w:type="dxa"/>
            <w:vAlign w:val="bottom"/>
          </w:tcPr>
          <w:p>
            <w:pPr>
              <w:spacing w:after="0"/>
              <w:rPr>
                <w:sz w:val="18"/>
                <w:szCs w:val="18"/>
                <w:color w:val="auto"/>
              </w:rPr>
            </w:pPr>
          </w:p>
        </w:tc>
        <w:tc>
          <w:tcPr>
            <w:tcW w:w="1160" w:type="dxa"/>
            <w:vAlign w:val="bottom"/>
          </w:tcPr>
          <w:p>
            <w:pPr>
              <w:jc w:val="right"/>
              <w:ind w:right="384"/>
              <w:spacing w:after="0"/>
              <w:rPr>
                <w:sz w:val="20"/>
                <w:szCs w:val="20"/>
                <w:color w:val="auto"/>
              </w:rPr>
            </w:pPr>
            <w:r>
              <w:rPr>
                <w:rFonts w:ascii="Arial" w:cs="Arial" w:eastAsia="Arial" w:hAnsi="Arial"/>
                <w:sz w:val="15"/>
                <w:szCs w:val="15"/>
                <w:b w:val="1"/>
                <w:bCs w:val="1"/>
                <w:color w:val="auto"/>
              </w:rPr>
              <w:t>1-3 Years</w:t>
            </w:r>
          </w:p>
        </w:tc>
        <w:tc>
          <w:tcPr>
            <w:tcW w:w="420" w:type="dxa"/>
            <w:vAlign w:val="bottom"/>
          </w:tcPr>
          <w:p>
            <w:pPr>
              <w:spacing w:after="0"/>
              <w:rPr>
                <w:sz w:val="18"/>
                <w:szCs w:val="18"/>
                <w:color w:val="auto"/>
              </w:rPr>
            </w:pPr>
          </w:p>
        </w:tc>
        <w:tc>
          <w:tcPr>
            <w:tcW w:w="1240" w:type="dxa"/>
            <w:vAlign w:val="bottom"/>
          </w:tcPr>
          <w:p>
            <w:pPr>
              <w:jc w:val="right"/>
              <w:ind w:right="464"/>
              <w:spacing w:after="0"/>
              <w:rPr>
                <w:sz w:val="20"/>
                <w:szCs w:val="20"/>
                <w:color w:val="auto"/>
              </w:rPr>
            </w:pPr>
            <w:r>
              <w:rPr>
                <w:rFonts w:ascii="Arial" w:cs="Arial" w:eastAsia="Arial" w:hAnsi="Arial"/>
                <w:sz w:val="15"/>
                <w:szCs w:val="15"/>
                <w:b w:val="1"/>
                <w:bCs w:val="1"/>
                <w:color w:val="auto"/>
              </w:rPr>
              <w:t>4-5 Years</w:t>
            </w:r>
          </w:p>
        </w:tc>
        <w:tc>
          <w:tcPr>
            <w:tcW w:w="320" w:type="dxa"/>
            <w:vAlign w:val="bottom"/>
          </w:tcPr>
          <w:p>
            <w:pPr>
              <w:spacing w:after="0"/>
              <w:rPr>
                <w:sz w:val="18"/>
                <w:szCs w:val="18"/>
                <w:color w:val="auto"/>
              </w:rPr>
            </w:pPr>
          </w:p>
        </w:tc>
        <w:tc>
          <w:tcPr>
            <w:tcW w:w="940" w:type="dxa"/>
            <w:vAlign w:val="bottom"/>
          </w:tcPr>
          <w:p>
            <w:pPr>
              <w:jc w:val="right"/>
              <w:ind w:right="304"/>
              <w:spacing w:after="0"/>
              <w:rPr>
                <w:sz w:val="20"/>
                <w:szCs w:val="20"/>
                <w:color w:val="auto"/>
              </w:rPr>
            </w:pPr>
            <w:r>
              <w:rPr>
                <w:rFonts w:ascii="Arial" w:cs="Arial" w:eastAsia="Arial" w:hAnsi="Arial"/>
                <w:sz w:val="15"/>
                <w:szCs w:val="15"/>
                <w:b w:val="1"/>
                <w:bCs w:val="1"/>
                <w:color w:val="auto"/>
              </w:rPr>
              <w:t>5 Years</w:t>
            </w:r>
          </w:p>
        </w:tc>
        <w:tc>
          <w:tcPr>
            <w:tcW w:w="520" w:type="dxa"/>
            <w:vAlign w:val="bottom"/>
          </w:tcPr>
          <w:p>
            <w:pPr>
              <w:spacing w:after="0"/>
              <w:rPr>
                <w:sz w:val="18"/>
                <w:szCs w:val="18"/>
                <w:color w:val="auto"/>
              </w:rPr>
            </w:pPr>
          </w:p>
        </w:tc>
        <w:tc>
          <w:tcPr>
            <w:tcW w:w="860" w:type="dxa"/>
            <w:vAlign w:val="bottom"/>
          </w:tcPr>
          <w:p>
            <w:pPr>
              <w:jc w:val="right"/>
              <w:ind w:right="244"/>
              <w:spacing w:after="0"/>
              <w:rPr>
                <w:sz w:val="20"/>
                <w:szCs w:val="20"/>
                <w:color w:val="auto"/>
              </w:rPr>
            </w:pPr>
            <w:r>
              <w:rPr>
                <w:rFonts w:ascii="Arial" w:cs="Arial" w:eastAsia="Arial" w:hAnsi="Arial"/>
                <w:sz w:val="15"/>
                <w:szCs w:val="15"/>
                <w:b w:val="1"/>
                <w:bCs w:val="1"/>
                <w:color w:val="auto"/>
              </w:rPr>
              <w:t>Total</w:t>
            </w:r>
          </w:p>
        </w:tc>
      </w:tr>
      <w:tr>
        <w:trPr>
          <w:trHeight w:val="96"/>
        </w:trPr>
        <w:tc>
          <w:tcPr>
            <w:tcW w:w="334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33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Long-term debt</w:t>
            </w:r>
            <w:r>
              <w:rPr>
                <w:rFonts w:ascii="Arial" w:cs="Arial" w:eastAsia="Arial" w:hAnsi="Arial"/>
                <w:sz w:val="29"/>
                <w:szCs w:val="29"/>
                <w:color w:val="auto"/>
                <w:vertAlign w:val="superscript"/>
              </w:rPr>
              <w:t>(1)</w:t>
            </w:r>
          </w:p>
        </w:tc>
        <w:tc>
          <w:tcPr>
            <w:tcW w:w="10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312.2</w:t>
            </w:r>
          </w:p>
        </w:tc>
        <w:tc>
          <w:tcPr>
            <w:tcW w:w="4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25.2</w:t>
            </w:r>
          </w:p>
        </w:tc>
        <w:tc>
          <w:tcPr>
            <w:tcW w:w="42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16.8</w:t>
            </w:r>
          </w:p>
        </w:tc>
        <w:tc>
          <w:tcPr>
            <w:tcW w:w="32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182.7</w:t>
            </w:r>
          </w:p>
        </w:tc>
        <w:tc>
          <w:tcPr>
            <w:tcW w:w="5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536.9</w:t>
            </w:r>
          </w:p>
        </w:tc>
      </w:tr>
      <w:tr>
        <w:trPr>
          <w:trHeight w:val="256"/>
        </w:trPr>
        <w:tc>
          <w:tcPr>
            <w:tcW w:w="3340" w:type="dxa"/>
            <w:vAlign w:val="bottom"/>
            <w:gridSpan w:val="2"/>
          </w:tcPr>
          <w:p>
            <w:pPr>
              <w:ind w:left="20"/>
              <w:spacing w:after="0" w:line="256" w:lineRule="exact"/>
              <w:rPr>
                <w:sz w:val="20"/>
                <w:szCs w:val="20"/>
                <w:color w:val="auto"/>
              </w:rPr>
            </w:pPr>
            <w:r>
              <w:rPr>
                <w:rFonts w:ascii="Arial" w:cs="Arial" w:eastAsia="Arial" w:hAnsi="Arial"/>
                <w:sz w:val="15"/>
                <w:szCs w:val="15"/>
                <w:color w:val="auto"/>
              </w:rPr>
              <w:t>Lines of credit and short-term debt</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33.8</w:t>
            </w:r>
          </w:p>
        </w:tc>
        <w:tc>
          <w:tcPr>
            <w:tcW w:w="440" w:type="dxa"/>
            <w:vAlign w:val="bottom"/>
          </w:tcPr>
          <w:p>
            <w:pPr>
              <w:spacing w:after="0"/>
              <w:rPr>
                <w:sz w:val="22"/>
                <w:szCs w:val="22"/>
                <w:color w:val="auto"/>
              </w:rPr>
            </w:pP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2"/>
                <w:szCs w:val="22"/>
                <w:color w:val="auto"/>
              </w:rPr>
            </w:pPr>
          </w:p>
        </w:tc>
        <w:tc>
          <w:tcPr>
            <w:tcW w:w="12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2"/>
                <w:szCs w:val="22"/>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33.8</w:t>
            </w:r>
          </w:p>
        </w:tc>
      </w:tr>
      <w:tr>
        <w:trPr>
          <w:trHeight w:val="256"/>
        </w:trPr>
        <w:tc>
          <w:tcPr>
            <w:tcW w:w="20" w:type="dxa"/>
            <w:vAlign w:val="bottom"/>
          </w:tcPr>
          <w:p>
            <w:pPr>
              <w:spacing w:after="0"/>
              <w:rPr>
                <w:sz w:val="22"/>
                <w:szCs w:val="22"/>
                <w:color w:val="auto"/>
              </w:rPr>
            </w:pPr>
          </w:p>
        </w:tc>
        <w:tc>
          <w:tcPr>
            <w:tcW w:w="332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Capital leases</w:t>
            </w:r>
            <w:r>
              <w:rPr>
                <w:rFonts w:ascii="Arial" w:cs="Arial" w:eastAsia="Arial" w:hAnsi="Arial"/>
                <w:sz w:val="29"/>
                <w:szCs w:val="29"/>
                <w:color w:val="auto"/>
                <w:vertAlign w:val="superscript"/>
              </w:rPr>
              <w:t>(1)</w:t>
            </w:r>
          </w:p>
        </w:tc>
        <w:tc>
          <w:tcPr>
            <w:tcW w:w="1040" w:type="dxa"/>
            <w:vAlign w:val="bottom"/>
            <w:shd w:val="clear" w:color="auto" w:fill="E6E6E6"/>
          </w:tcPr>
          <w:p>
            <w:pPr>
              <w:spacing w:after="0"/>
              <w:rPr>
                <w:sz w:val="22"/>
                <w:szCs w:val="22"/>
                <w:color w:val="auto"/>
              </w:rPr>
            </w:pPr>
          </w:p>
        </w:tc>
        <w:tc>
          <w:tcPr>
            <w:tcW w:w="11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12.8</w:t>
            </w:r>
          </w:p>
        </w:tc>
        <w:tc>
          <w:tcPr>
            <w:tcW w:w="440" w:type="dxa"/>
            <w:vAlign w:val="bottom"/>
            <w:shd w:val="clear" w:color="auto" w:fill="E6E6E6"/>
          </w:tcPr>
          <w:p>
            <w:pPr>
              <w:spacing w:after="0"/>
              <w:rPr>
                <w:sz w:val="22"/>
                <w:szCs w:val="22"/>
                <w:color w:val="auto"/>
              </w:rPr>
            </w:pPr>
          </w:p>
        </w:tc>
        <w:tc>
          <w:tcPr>
            <w:tcW w:w="116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19.4</w:t>
            </w:r>
          </w:p>
        </w:tc>
        <w:tc>
          <w:tcPr>
            <w:tcW w:w="420" w:type="dxa"/>
            <w:vAlign w:val="bottom"/>
            <w:shd w:val="clear" w:color="auto" w:fill="E6E6E6"/>
          </w:tcPr>
          <w:p>
            <w:pPr>
              <w:spacing w:after="0"/>
              <w:rPr>
                <w:sz w:val="22"/>
                <w:szCs w:val="22"/>
                <w:color w:val="auto"/>
              </w:rPr>
            </w:pPr>
          </w:p>
        </w:tc>
        <w:tc>
          <w:tcPr>
            <w:tcW w:w="12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13.4</w:t>
            </w: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218.3</w:t>
            </w:r>
          </w:p>
        </w:tc>
        <w:tc>
          <w:tcPr>
            <w:tcW w:w="52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263.9</w:t>
            </w:r>
          </w:p>
        </w:tc>
      </w:tr>
      <w:tr>
        <w:trPr>
          <w:trHeight w:val="208"/>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Operating leases</w:t>
            </w:r>
          </w:p>
        </w:tc>
        <w:tc>
          <w:tcPr>
            <w:tcW w:w="1040" w:type="dxa"/>
            <w:vAlign w:val="bottom"/>
          </w:tcPr>
          <w:p>
            <w:pPr>
              <w:spacing w:after="0"/>
              <w:rPr>
                <w:sz w:val="18"/>
                <w:szCs w:val="18"/>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36.4</w:t>
            </w:r>
          </w:p>
        </w:tc>
        <w:tc>
          <w:tcPr>
            <w:tcW w:w="440" w:type="dxa"/>
            <w:vAlign w:val="bottom"/>
          </w:tcPr>
          <w:p>
            <w:pPr>
              <w:spacing w:after="0"/>
              <w:rPr>
                <w:sz w:val="18"/>
                <w:szCs w:val="18"/>
                <w:color w:val="auto"/>
              </w:rPr>
            </w:pP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44.6</w:t>
            </w:r>
          </w:p>
        </w:tc>
        <w:tc>
          <w:tcPr>
            <w:tcW w:w="420" w:type="dxa"/>
            <w:vAlign w:val="bottom"/>
          </w:tcPr>
          <w:p>
            <w:pPr>
              <w:spacing w:after="0"/>
              <w:rPr>
                <w:sz w:val="18"/>
                <w:szCs w:val="18"/>
                <w:color w:val="auto"/>
              </w:rPr>
            </w:pPr>
          </w:p>
        </w:tc>
        <w:tc>
          <w:tcPr>
            <w:tcW w:w="1240" w:type="dxa"/>
            <w:vAlign w:val="bottom"/>
          </w:tcPr>
          <w:p>
            <w:pPr>
              <w:jc w:val="right"/>
              <w:ind w:right="244"/>
              <w:spacing w:after="0"/>
              <w:rPr>
                <w:sz w:val="20"/>
                <w:szCs w:val="20"/>
                <w:color w:val="auto"/>
              </w:rPr>
            </w:pPr>
            <w:r>
              <w:rPr>
                <w:rFonts w:ascii="Arial" w:cs="Arial" w:eastAsia="Arial" w:hAnsi="Arial"/>
                <w:sz w:val="15"/>
                <w:szCs w:val="15"/>
                <w:color w:val="auto"/>
              </w:rPr>
              <w:t>28.2</w:t>
            </w:r>
          </w:p>
        </w:tc>
        <w:tc>
          <w:tcPr>
            <w:tcW w:w="3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75.0</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184.2</w:t>
            </w:r>
          </w:p>
        </w:tc>
      </w:tr>
      <w:tr>
        <w:trPr>
          <w:trHeight w:val="211"/>
        </w:trPr>
        <w:tc>
          <w:tcPr>
            <w:tcW w:w="20" w:type="dxa"/>
            <w:vAlign w:val="bottom"/>
          </w:tcPr>
          <w:p>
            <w:pPr>
              <w:spacing w:after="0"/>
              <w:rPr>
                <w:sz w:val="18"/>
                <w:szCs w:val="18"/>
                <w:color w:val="auto"/>
              </w:rPr>
            </w:pPr>
          </w:p>
        </w:tc>
        <w:tc>
          <w:tcPr>
            <w:tcW w:w="3320" w:type="dxa"/>
            <w:vAlign w:val="bottom"/>
            <w:shd w:val="clear" w:color="auto" w:fill="E6E6E6"/>
          </w:tcPr>
          <w:p>
            <w:pPr>
              <w:spacing w:after="0"/>
              <w:rPr>
                <w:sz w:val="20"/>
                <w:szCs w:val="20"/>
                <w:color w:val="auto"/>
              </w:rPr>
            </w:pPr>
            <w:r>
              <w:rPr>
                <w:rFonts w:ascii="Arial" w:cs="Arial" w:eastAsia="Arial" w:hAnsi="Arial"/>
                <w:sz w:val="15"/>
                <w:szCs w:val="15"/>
                <w:color w:val="auto"/>
              </w:rPr>
              <w:t>Royalty advances</w:t>
            </w:r>
          </w:p>
        </w:tc>
        <w:tc>
          <w:tcPr>
            <w:tcW w:w="1040" w:type="dxa"/>
            <w:vAlign w:val="bottom"/>
            <w:shd w:val="clear" w:color="auto" w:fill="E6E6E6"/>
          </w:tcPr>
          <w:p>
            <w:pPr>
              <w:spacing w:after="0"/>
              <w:rPr>
                <w:sz w:val="18"/>
                <w:szCs w:val="18"/>
                <w:color w:val="auto"/>
              </w:rPr>
            </w:pPr>
          </w:p>
        </w:tc>
        <w:tc>
          <w:tcPr>
            <w:tcW w:w="11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6.7</w:t>
            </w:r>
          </w:p>
        </w:tc>
        <w:tc>
          <w:tcPr>
            <w:tcW w:w="440" w:type="dxa"/>
            <w:vAlign w:val="bottom"/>
            <w:shd w:val="clear" w:color="auto" w:fill="E6E6E6"/>
          </w:tcPr>
          <w:p>
            <w:pPr>
              <w:spacing w:after="0"/>
              <w:rPr>
                <w:sz w:val="18"/>
                <w:szCs w:val="18"/>
                <w:color w:val="auto"/>
              </w:rPr>
            </w:pPr>
          </w:p>
        </w:tc>
        <w:tc>
          <w:tcPr>
            <w:tcW w:w="116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1.1</w:t>
            </w:r>
          </w:p>
        </w:tc>
        <w:tc>
          <w:tcPr>
            <w:tcW w:w="420" w:type="dxa"/>
            <w:vAlign w:val="bottom"/>
            <w:shd w:val="clear" w:color="auto" w:fill="E6E6E6"/>
          </w:tcPr>
          <w:p>
            <w:pPr>
              <w:spacing w:after="0"/>
              <w:rPr>
                <w:sz w:val="18"/>
                <w:szCs w:val="18"/>
                <w:color w:val="auto"/>
              </w:rPr>
            </w:pPr>
          </w:p>
        </w:tc>
        <w:tc>
          <w:tcPr>
            <w:tcW w:w="12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0.2</w:t>
            </w:r>
          </w:p>
        </w:tc>
        <w:tc>
          <w:tcPr>
            <w:tcW w:w="320" w:type="dxa"/>
            <w:vAlign w:val="bottom"/>
            <w:shd w:val="clear" w:color="auto" w:fill="E6E6E6"/>
          </w:tcPr>
          <w:p>
            <w:pPr>
              <w:spacing w:after="0"/>
              <w:rPr>
                <w:sz w:val="18"/>
                <w:szCs w:val="18"/>
                <w:color w:val="auto"/>
              </w:rPr>
            </w:pP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w:t>
            </w:r>
          </w:p>
        </w:tc>
        <w:tc>
          <w:tcPr>
            <w:tcW w:w="52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8.0</w:t>
            </w:r>
          </w:p>
        </w:tc>
      </w:tr>
      <w:tr>
        <w:trPr>
          <w:trHeight w:val="207"/>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Pension and Post-Retirement Plans</w:t>
            </w:r>
          </w:p>
        </w:tc>
        <w:tc>
          <w:tcPr>
            <w:tcW w:w="1040" w:type="dxa"/>
            <w:vAlign w:val="bottom"/>
          </w:tcPr>
          <w:p>
            <w:pPr>
              <w:spacing w:after="0"/>
              <w:rPr>
                <w:sz w:val="18"/>
                <w:szCs w:val="18"/>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14.4</w:t>
            </w:r>
          </w:p>
        </w:tc>
        <w:tc>
          <w:tcPr>
            <w:tcW w:w="440" w:type="dxa"/>
            <w:vAlign w:val="bottom"/>
          </w:tcPr>
          <w:p>
            <w:pPr>
              <w:spacing w:after="0"/>
              <w:rPr>
                <w:sz w:val="18"/>
                <w:szCs w:val="18"/>
                <w:color w:val="auto"/>
              </w:rPr>
            </w:pP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28.1</w:t>
            </w:r>
          </w:p>
        </w:tc>
        <w:tc>
          <w:tcPr>
            <w:tcW w:w="420" w:type="dxa"/>
            <w:vAlign w:val="bottom"/>
          </w:tcPr>
          <w:p>
            <w:pPr>
              <w:spacing w:after="0"/>
              <w:rPr>
                <w:sz w:val="18"/>
                <w:szCs w:val="18"/>
                <w:color w:val="auto"/>
              </w:rPr>
            </w:pPr>
          </w:p>
        </w:tc>
        <w:tc>
          <w:tcPr>
            <w:tcW w:w="1240" w:type="dxa"/>
            <w:vAlign w:val="bottom"/>
          </w:tcPr>
          <w:p>
            <w:pPr>
              <w:jc w:val="right"/>
              <w:ind w:right="244"/>
              <w:spacing w:after="0"/>
              <w:rPr>
                <w:sz w:val="20"/>
                <w:szCs w:val="20"/>
                <w:color w:val="auto"/>
              </w:rPr>
            </w:pPr>
            <w:r>
              <w:rPr>
                <w:rFonts w:ascii="Arial" w:cs="Arial" w:eastAsia="Arial" w:hAnsi="Arial"/>
                <w:sz w:val="15"/>
                <w:szCs w:val="15"/>
                <w:color w:val="auto"/>
              </w:rPr>
              <w:t>28.3</w:t>
            </w:r>
          </w:p>
        </w:tc>
        <w:tc>
          <w:tcPr>
            <w:tcW w:w="3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73.2</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144.0</w:t>
            </w:r>
          </w:p>
        </w:tc>
      </w:tr>
      <w:tr>
        <w:trPr>
          <w:trHeight w:val="96"/>
        </w:trPr>
        <w:tc>
          <w:tcPr>
            <w:tcW w:w="334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3320" w:type="dxa"/>
            <w:vAlign w:val="bottom"/>
            <w:tcBorders>
              <w:top w:val="single" w:sz="8" w:color="808080"/>
            </w:tcBorders>
          </w:tcPr>
          <w:p>
            <w:pPr>
              <w:spacing w:after="0"/>
              <w:rPr>
                <w:sz w:val="7"/>
                <w:szCs w:val="7"/>
                <w:color w:val="auto"/>
              </w:rPr>
            </w:pPr>
          </w:p>
        </w:tc>
        <w:tc>
          <w:tcPr>
            <w:tcW w:w="1040" w:type="dxa"/>
            <w:vAlign w:val="bottom"/>
            <w:tcBorders>
              <w:top w:val="single" w:sz="8" w:color="808080"/>
            </w:tcBorders>
          </w:tcPr>
          <w:p>
            <w:pPr>
              <w:spacing w:after="0"/>
              <w:rPr>
                <w:sz w:val="7"/>
                <w:szCs w:val="7"/>
                <w:color w:val="auto"/>
              </w:rPr>
            </w:pPr>
          </w:p>
        </w:tc>
        <w:tc>
          <w:tcPr>
            <w:tcW w:w="1180" w:type="dxa"/>
            <w:vAlign w:val="bottom"/>
            <w:tcBorders>
              <w:top w:val="single" w:sz="8" w:color="808080"/>
            </w:tcBorders>
          </w:tcPr>
          <w:p>
            <w:pPr>
              <w:spacing w:after="0"/>
              <w:rPr>
                <w:sz w:val="7"/>
                <w:szCs w:val="7"/>
                <w:color w:val="auto"/>
              </w:rPr>
            </w:pPr>
          </w:p>
        </w:tc>
        <w:tc>
          <w:tcPr>
            <w:tcW w:w="440" w:type="dxa"/>
            <w:vAlign w:val="bottom"/>
            <w:tcBorders>
              <w:top w:val="single" w:sz="8" w:color="808080"/>
            </w:tcBorders>
          </w:tcPr>
          <w:p>
            <w:pPr>
              <w:spacing w:after="0"/>
              <w:rPr>
                <w:sz w:val="7"/>
                <w:szCs w:val="7"/>
                <w:color w:val="auto"/>
              </w:rPr>
            </w:pPr>
          </w:p>
        </w:tc>
        <w:tc>
          <w:tcPr>
            <w:tcW w:w="116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1240" w:type="dxa"/>
            <w:vAlign w:val="bottom"/>
            <w:tcBorders>
              <w:top w:val="single" w:sz="8" w:color="808080"/>
            </w:tcBorders>
          </w:tcPr>
          <w:p>
            <w:pPr>
              <w:spacing w:after="0"/>
              <w:rPr>
                <w:sz w:val="7"/>
                <w:szCs w:val="7"/>
                <w:color w:val="auto"/>
              </w:rPr>
            </w:pPr>
          </w:p>
        </w:tc>
        <w:tc>
          <w:tcPr>
            <w:tcW w:w="320" w:type="dxa"/>
            <w:vAlign w:val="bottom"/>
            <w:tcBorders>
              <w:top w:val="single" w:sz="8" w:color="808080"/>
            </w:tcBorders>
          </w:tcPr>
          <w:p>
            <w:pPr>
              <w:spacing w:after="0"/>
              <w:rPr>
                <w:sz w:val="7"/>
                <w:szCs w:val="7"/>
                <w:color w:val="auto"/>
              </w:rPr>
            </w:pPr>
          </w:p>
        </w:tc>
        <w:tc>
          <w:tcPr>
            <w:tcW w:w="940" w:type="dxa"/>
            <w:vAlign w:val="bottom"/>
            <w:tcBorders>
              <w:top w:val="single" w:sz="8" w:color="808080"/>
            </w:tcBorders>
          </w:tcPr>
          <w:p>
            <w:pPr>
              <w:spacing w:after="0"/>
              <w:rPr>
                <w:sz w:val="7"/>
                <w:szCs w:val="7"/>
                <w:color w:val="auto"/>
              </w:rPr>
            </w:pPr>
          </w:p>
        </w:tc>
        <w:tc>
          <w:tcPr>
            <w:tcW w:w="520" w:type="dxa"/>
            <w:vAlign w:val="bottom"/>
            <w:tcBorders>
              <w:top w:val="single" w:sz="8" w:color="808080"/>
            </w:tcBorders>
          </w:tcPr>
          <w:p>
            <w:pPr>
              <w:spacing w:after="0"/>
              <w:rPr>
                <w:sz w:val="7"/>
                <w:szCs w:val="7"/>
                <w:color w:val="auto"/>
              </w:rPr>
            </w:pPr>
          </w:p>
        </w:tc>
        <w:tc>
          <w:tcPr>
            <w:tcW w:w="86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Total</w:t>
            </w:r>
          </w:p>
        </w:tc>
        <w:tc>
          <w:tcPr>
            <w:tcW w:w="1040" w:type="dxa"/>
            <w:vAlign w:val="bottom"/>
            <w:shd w:val="clear" w:color="auto" w:fill="E6E6E6"/>
          </w:tcPr>
          <w:p>
            <w:pPr>
              <w:jc w:val="right"/>
              <w:ind w:right="24"/>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416.3</w:t>
            </w:r>
          </w:p>
        </w:tc>
        <w:tc>
          <w:tcPr>
            <w:tcW w:w="440" w:type="dxa"/>
            <w:vAlign w:val="bottom"/>
            <w:shd w:val="clear" w:color="auto" w:fill="E6E6E6"/>
          </w:tcPr>
          <w:p>
            <w:pPr>
              <w:jc w:val="right"/>
              <w:ind w:right="24"/>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118.4</w:t>
            </w:r>
          </w:p>
        </w:tc>
        <w:tc>
          <w:tcPr>
            <w:tcW w:w="420" w:type="dxa"/>
            <w:vAlign w:val="bottom"/>
            <w:shd w:val="clear" w:color="auto" w:fill="E6E6E6"/>
          </w:tcPr>
          <w:p>
            <w:pPr>
              <w:jc w:val="right"/>
              <w:ind w:right="24"/>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E6E6E6"/>
          </w:tcPr>
          <w:p>
            <w:pPr>
              <w:jc w:val="right"/>
              <w:ind w:right="244"/>
              <w:spacing w:after="0"/>
              <w:rPr>
                <w:sz w:val="20"/>
                <w:szCs w:val="20"/>
                <w:color w:val="auto"/>
              </w:rPr>
            </w:pPr>
            <w:r>
              <w:rPr>
                <w:rFonts w:ascii="Arial" w:cs="Arial" w:eastAsia="Arial" w:hAnsi="Arial"/>
                <w:sz w:val="15"/>
                <w:szCs w:val="15"/>
                <w:b w:val="1"/>
                <w:bCs w:val="1"/>
                <w:color w:val="auto"/>
              </w:rPr>
              <w:t>86.9</w:t>
            </w:r>
          </w:p>
        </w:tc>
        <w:tc>
          <w:tcPr>
            <w:tcW w:w="320" w:type="dxa"/>
            <w:vAlign w:val="bottom"/>
            <w:shd w:val="clear" w:color="auto" w:fill="E6E6E6"/>
          </w:tcPr>
          <w:p>
            <w:pPr>
              <w:jc w:val="right"/>
              <w:ind w:right="4"/>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E6E6E6"/>
          </w:tcPr>
          <w:p>
            <w:pPr>
              <w:jc w:val="right"/>
              <w:ind w:right="124"/>
              <w:spacing w:after="0"/>
              <w:rPr>
                <w:sz w:val="20"/>
                <w:szCs w:val="20"/>
                <w:color w:val="auto"/>
              </w:rPr>
            </w:pPr>
            <w:r>
              <w:rPr>
                <w:rFonts w:ascii="Arial" w:cs="Arial" w:eastAsia="Arial" w:hAnsi="Arial"/>
                <w:sz w:val="15"/>
                <w:szCs w:val="15"/>
                <w:b w:val="1"/>
                <w:bCs w:val="1"/>
                <w:color w:val="auto"/>
              </w:rPr>
              <w:t>549.2</w:t>
            </w:r>
          </w:p>
        </w:tc>
        <w:tc>
          <w:tcPr>
            <w:tcW w:w="520" w:type="dxa"/>
            <w:vAlign w:val="bottom"/>
            <w:shd w:val="clear" w:color="auto" w:fill="E6E6E6"/>
          </w:tcPr>
          <w:p>
            <w:pPr>
              <w:jc w:val="right"/>
              <w:ind w:right="14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1,070.8</w:t>
            </w:r>
          </w:p>
        </w:tc>
      </w:tr>
      <w:tr>
        <w:trPr>
          <w:trHeight w:val="112"/>
        </w:trPr>
        <w:tc>
          <w:tcPr>
            <w:tcW w:w="2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55" w:lineRule="exact"/>
        <w:rPr>
          <w:sz w:val="20"/>
          <w:szCs w:val="20"/>
          <w:color w:val="auto"/>
        </w:rPr>
      </w:pPr>
    </w:p>
    <w:p>
      <w:pPr>
        <w:ind w:left="520" w:hanging="507"/>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principal and interest.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Financing</w:t>
      </w:r>
    </w:p>
    <w:p>
      <w:pPr>
        <w:spacing w:after="0" w:line="22" w:lineRule="exact"/>
        <w:rPr>
          <w:sz w:val="20"/>
          <w:szCs w:val="20"/>
          <w:color w:val="auto"/>
        </w:rPr>
      </w:pPr>
    </w:p>
    <w:p>
      <w:pPr>
        <w:ind w:left="20" w:right="60"/>
        <w:spacing w:after="0" w:line="299" w:lineRule="auto"/>
        <w:rPr>
          <w:sz w:val="20"/>
          <w:szCs w:val="20"/>
          <w:color w:val="auto"/>
        </w:rPr>
      </w:pPr>
      <w:r>
        <w:rPr>
          <w:rFonts w:ascii="Arial" w:cs="Arial" w:eastAsia="Arial" w:hAnsi="Arial"/>
          <w:sz w:val="13"/>
          <w:szCs w:val="13"/>
          <w:color w:val="auto"/>
        </w:rPr>
        <w:t>On March 31, 2004, Scholastic Corporation and Scholastic Inc. entered into an unsecured revolving credit agreement with certain banks (the “Credit Agreement”), which replaced a similar loan agreement that was scheduled to expire on August 11, 2004 (the “Loan Agreement”). The Credit Agreement, which expires on March 31, 2009, provides for aggregate borrowings of up to $190.0 million (with a right in certain circumstances to increase borrowings to $250.0 million), including the issuance of up to $10.0 million in letters of credit. Interest under this facility is either at the prime rate or at a rate 0.325% to 0.975% over LIBOR (as defined). There is a facility fee ranging from 0.10% to 0.30% and a utilization fee ranging from 0.05% to</w:t>
      </w:r>
    </w:p>
    <w:p>
      <w:pPr>
        <w:spacing w:after="0" w:line="1" w:lineRule="exact"/>
        <w:rPr>
          <w:sz w:val="20"/>
          <w:szCs w:val="20"/>
          <w:color w:val="auto"/>
        </w:rPr>
      </w:pPr>
    </w:p>
    <w:p>
      <w:pPr>
        <w:ind w:left="20" w:right="100"/>
        <w:spacing w:after="0" w:line="265" w:lineRule="auto"/>
        <w:rPr>
          <w:sz w:val="20"/>
          <w:szCs w:val="20"/>
          <w:color w:val="auto"/>
        </w:rPr>
      </w:pPr>
      <w:r>
        <w:rPr>
          <w:rFonts w:ascii="Arial" w:cs="Arial" w:eastAsia="Arial" w:hAnsi="Arial"/>
          <w:sz w:val="15"/>
          <w:szCs w:val="15"/>
          <w:color w:val="auto"/>
        </w:rPr>
        <w:t>0.25% if borrowings exceed 50% of the total facility. The amounts charged vary based upon the Company’s credit rating. The interest rate, facility fee and utilization fee (when applicable) as of May 31, 2006 were 0.675% over LIBOR, 0.20% and 0.125%, respectively. The Credit Agreement contains certain financial covenants related to debt and interest coverage ratios (as defined) and limits dividends and other distributions. There were no borrowings outstanding under the Credit Agreement at May 31, 2006 or May 31, 2005. As a result of the recent downgrades of the Company’s credit rating noted in “Liquidity and Capital Resources” above, the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109855</wp:posOffset>
            </wp:positionV>
            <wp:extent cx="1938655" cy="3403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728535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t>rate, facility fee and utilization fee, when applicable, are currently 0.975% over LIBOR, 0.30% and 0.25%, respectively.</w:t>
      </w:r>
    </w:p>
    <w:p>
      <w:pPr>
        <w:spacing w:after="0" w:line="200"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Scholastic Corporation and Scholastic Inc. are joint and several borrowers under an unsecured revolving loan agreement with a bank (the “Revolver”). As amended effective April 30, 2004, the Revolver provides for unsecured revolving credit of up to $40.0 million and expires on March 31, 2009. Interest under this facility is either at the prime rate minus 1%, or at a rate 0.375% to 1.025% over LIBOR (as defined). There is a facility fee ranging from 0.10% to 0.30% . The amounts charged vary based upon the Company’s credit rating. The interest rate and facility fee as of May 31, 2006 were 0.725% over LIBOR and 0.20%, respectively. The Revolver contains certain financial covenants related to debt and interest coverage ratios (as defined) and limits dividends and other distributions. There were no borrowings outstanding under the Revolver at May 31, 2006 or May 31, 2005. As a result of the recent downgrades of the Company’s credit rating noted in “Liquidity and Capital Resources” above, the interest rate and facility fee are currently 1.025% over LIBOR and 0.30%, respectively.</w:t>
      </w:r>
    </w:p>
    <w:p>
      <w:pPr>
        <w:spacing w:after="0" w:line="154"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Unsecured lines of credit available in local currencies to certain of Scholastic Corporation’s international subsidiaries were, in the aggregate, equivalent to $67.9 million at May 31, 2006, as compared to $61.8 million at May 31, 2005. These lines are used primarily to fund local working capital needs. There were borrowings outstanding under these lines of credit equivalent to $33.8 million at May 31, 2006, as compared to $24.7 million at May 31, 2005. These lines of credit are considered short-term in nature. The weighted average interest rates on the outstanding amounts were of 6.0% and 5.4% at May 31, 2006 and 2005, respectively.</w:t>
      </w:r>
    </w:p>
    <w:p>
      <w:pPr>
        <w:spacing w:after="0" w:line="165"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Company’s total debt obligations were $502.4 million at May 31, 2006, including approximately $294 million of 5.75% Notes, and $501.4 million at May 31, 2005. During fiscal 2006, the Company repurchased $6.0 million of its 5.75% Notes on the open market. In fiscal 2007 through August 4, 2006, the Company repurchased approximately $35.4 million of the 5.75% Notes on the open market. After giving effect to these repurchases, the outstanding 5.75% Notes, net of premium/discount, totaled approximately $259.5 million. For a complete description of all the Company’s debt obligations, see Note 3 of Notes to Consolidated Financial Statements in Item 8, “Consolidated Financial Statements and Supplementary Data.”</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Acquisitions</w:t>
      </w:r>
    </w:p>
    <w:p>
      <w:pPr>
        <w:spacing w:after="0" w:line="22" w:lineRule="exact"/>
        <w:rPr>
          <w:sz w:val="20"/>
          <w:szCs w:val="20"/>
          <w:color w:val="auto"/>
        </w:rPr>
      </w:pPr>
    </w:p>
    <w:p>
      <w:pPr>
        <w:ind w:right="200"/>
        <w:spacing w:after="0" w:line="315" w:lineRule="auto"/>
        <w:rPr>
          <w:sz w:val="20"/>
          <w:szCs w:val="20"/>
          <w:color w:val="auto"/>
        </w:rPr>
      </w:pPr>
      <w:r>
        <w:rPr>
          <w:rFonts w:ascii="Arial" w:cs="Arial" w:eastAsia="Arial" w:hAnsi="Arial"/>
          <w:sz w:val="14"/>
          <w:szCs w:val="14"/>
          <w:color w:val="auto"/>
        </w:rPr>
        <w:t>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opportunities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 e w  A c c o u n t i n g P r o n o u n c e m e n t s</w:t>
      </w:r>
    </w:p>
    <w:p>
      <w:pPr>
        <w:spacing w:after="0" w:line="22"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 December 2004, the Financial Accounting Standards Board (the “FASB”) issued SFAS No. 123R, which requires companies to expense the fair value of all share-based payments as permitted, but not required, under SFAS No. 123. The Company adoped SFAS No. 123R effective June 1, 2006. Retroactive application of the fair value recognition provisions of SFAS No. 123R was permitted, but not required. Alternatively, a company could use the modified prospective transition method for application of SFAS No. 123R. Under this method, compensation expense is recognized for all share-based payments granted, modified or settled after the date of adoption based on their grant-date fair value. For awards granted prior to the adoption date, the compensation expense of any unvested portion is recognized over the remaining requisite service period. The Company is using the modified prospective transition method to adopt SFAS No. 123R. The Company currently estimates that the adoption of SFAS No. 123R will result in additional fiscal 2007 pre-tax compensation expense of approximately $3.0 million to $5.0 million, or approximately $0.05 to $0.08 per diluted share after tax.</w:t>
      </w:r>
    </w:p>
    <w:p>
      <w:pPr>
        <w:spacing w:after="0" w:line="155"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In May 2005, the FASB issued SFAS No. 154, “Accounting Changes and Error Corrections – a replacement of APB Opinion No. 20 and FASB Statement No. 3” (“SFAS No.154”). Under the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99695</wp:posOffset>
            </wp:positionV>
            <wp:extent cx="1938655" cy="3403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2" w:name="page33"/>
    <w:bookmarkEnd w:id="32"/>
    <w:p>
      <w:pPr>
        <w:ind w:left="7"/>
        <w:spacing w:after="0" w:line="265" w:lineRule="auto"/>
        <w:rPr>
          <w:sz w:val="20"/>
          <w:szCs w:val="20"/>
          <w:color w:val="auto"/>
        </w:rPr>
      </w:pPr>
      <w:r>
        <w:rPr>
          <w:rFonts w:ascii="Arial" w:cs="Arial" w:eastAsia="Arial" w:hAnsi="Arial"/>
          <w:sz w:val="15"/>
          <w:szCs w:val="15"/>
          <w:color w:val="auto"/>
        </w:rPr>
        <w:t>guidance, most voluntary changes in accounting principle were required to be recognized as the cumulative effect of a change in accounting principle within the net income of the periods in which the change is made. SFAS No. 154 requires retrospective application to prior period financial statements of a voluntary change in accounting principle, unless it is impracticable to do so. SFAS No. 154 is effective for accounting changes and corrections of errors made in fiscal years beginning after December 15, 2005. The Company has elected to adopt SFAS No.154 effective June 1, 2006. The adoption of SFAS No.154 is not expected to have any material immediate effect on the Company’s consolidated financial position, results of operations and cash flows.</w:t>
      </w:r>
    </w:p>
    <w:p>
      <w:pPr>
        <w:spacing w:after="0" w:line="158" w:lineRule="exact"/>
        <w:rPr>
          <w:sz w:val="20"/>
          <w:szCs w:val="20"/>
          <w:color w:val="auto"/>
        </w:rPr>
      </w:pPr>
    </w:p>
    <w:p>
      <w:pPr>
        <w:ind w:left="7"/>
        <w:spacing w:after="0"/>
        <w:tabs>
          <w:tab w:leader="none" w:pos="1066" w:val="left"/>
        </w:tabs>
        <w:rPr>
          <w:sz w:val="20"/>
          <w:szCs w:val="20"/>
          <w:color w:val="auto"/>
        </w:rPr>
      </w:pPr>
      <w:r>
        <w:rPr>
          <w:rFonts w:ascii="Arial" w:cs="Arial" w:eastAsia="Arial" w:hAnsi="Arial"/>
          <w:sz w:val="15"/>
          <w:szCs w:val="15"/>
          <w:b w:val="1"/>
          <w:bCs w:val="1"/>
          <w:color w:val="auto"/>
        </w:rPr>
        <w:t>Item 7A |</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97" w:lineRule="exact"/>
        <w:rPr>
          <w:sz w:val="20"/>
          <w:szCs w:val="20"/>
          <w:color w:val="auto"/>
        </w:rPr>
      </w:pPr>
    </w:p>
    <w:p>
      <w:pPr>
        <w:ind w:left="7" w:right="60"/>
        <w:spacing w:after="0" w:line="265" w:lineRule="auto"/>
        <w:rPr>
          <w:sz w:val="20"/>
          <w:szCs w:val="20"/>
          <w:color w:val="auto"/>
        </w:rPr>
      </w:pPr>
      <w:r>
        <w:rPr>
          <w:rFonts w:ascii="Arial" w:cs="Arial" w:eastAsia="Arial" w:hAnsi="Arial"/>
          <w:sz w:val="15"/>
          <w:szCs w:val="15"/>
          <w:color w:val="auto"/>
        </w:rPr>
        <w:t>The Company conducts its business in various foreign countries, and as such, its cash flows and earnings are subject to fluctuations from changes in foreign currency exchange rates. Management believes that the impact of currency fluctuations does not represent a significant risk to the Company given the size and scope of its current international operations. The Company manages its exposures to this market risk through internally established procedures and, when deemed appropriate, through the use of short-term forward exchange contracts. All foreign exchange hedging transactions are supported by an identifiable commitment or a forecasted transaction. The Company does not enter into derivative transactions or use other financial instruments for trading or speculative purposes.</w:t>
      </w:r>
    </w:p>
    <w:p>
      <w:pPr>
        <w:spacing w:after="0" w:line="166" w:lineRule="exact"/>
        <w:rPr>
          <w:sz w:val="20"/>
          <w:szCs w:val="20"/>
          <w:color w:val="auto"/>
        </w:rPr>
      </w:pPr>
    </w:p>
    <w:p>
      <w:pPr>
        <w:ind w:left="7" w:right="80"/>
        <w:spacing w:after="0" w:line="265" w:lineRule="auto"/>
        <w:rPr>
          <w:sz w:val="20"/>
          <w:szCs w:val="20"/>
          <w:color w:val="auto"/>
        </w:rPr>
      </w:pPr>
      <w:r>
        <w:rPr>
          <w:rFonts w:ascii="Arial" w:cs="Arial" w:eastAsia="Arial" w:hAnsi="Arial"/>
          <w:sz w:val="15"/>
          <w:szCs w:val="15"/>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7% of the Company’s debt at May 31, 2006 bore interest at a variable rate and was sensitive to changes in interest rates, compared to approximately 5% at May 31, 2005. The Company is subject to the risk that market interest rates and its cost of borrowing will increase and thereby increase the interest charged under its variable-rate debt, as well as the risk that variable-rate borrowings will represent a larger portion of total debt in the future.</w:t>
      </w:r>
    </w:p>
    <w:p>
      <w:pPr>
        <w:spacing w:after="0" w:line="166" w:lineRule="exact"/>
        <w:rPr>
          <w:sz w:val="20"/>
          <w:szCs w:val="20"/>
          <w:color w:val="auto"/>
        </w:rPr>
      </w:pPr>
    </w:p>
    <w:p>
      <w:pPr>
        <w:ind w:left="7" w:right="220"/>
        <w:spacing w:after="0" w:line="285" w:lineRule="auto"/>
        <w:rPr>
          <w:sz w:val="20"/>
          <w:szCs w:val="20"/>
          <w:color w:val="auto"/>
        </w:rPr>
      </w:pPr>
      <w:r>
        <w:rPr>
          <w:rFonts w:ascii="Arial" w:cs="Arial" w:eastAsia="Arial" w:hAnsi="Arial"/>
          <w:sz w:val="15"/>
          <w:szCs w:val="15"/>
          <w:color w:val="auto"/>
        </w:rPr>
        <w:t>Additional information relating to the Company’s outstanding financial instruments is included in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34"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following table sets forth information about the Company’s debt instruments as of May 31, 2006 (see Note 3 of Notes to Consolidated Financial Statements in Item 8, “Consolidated</w:t>
      </w:r>
    </w:p>
    <w:p>
      <w:pPr>
        <w:spacing w:after="0" w:line="30" w:lineRule="exact"/>
        <w:rPr>
          <w:sz w:val="20"/>
          <w:szCs w:val="20"/>
          <w:color w:val="auto"/>
        </w:rPr>
      </w:pPr>
    </w:p>
    <w:p>
      <w:pPr>
        <w:ind w:left="7"/>
        <w:spacing w:after="0"/>
        <w:rPr>
          <w:sz w:val="20"/>
          <w:szCs w:val="20"/>
          <w:color w:val="auto"/>
        </w:rPr>
      </w:pPr>
      <w:r>
        <w:rPr>
          <w:rFonts w:ascii="Arial" w:cs="Arial" w:eastAsia="Arial" w:hAnsi="Arial"/>
          <w:sz w:val="15"/>
          <w:szCs w:val="15"/>
          <w:color w:val="auto"/>
        </w:rPr>
        <w:t>Financial Statements and Supplementary Data”):</w:t>
      </w:r>
    </w:p>
    <w:p>
      <w:pPr>
        <w:spacing w:after="0" w:line="284"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2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w w:val="96"/>
              </w:rPr>
              <w:t>($ amounts in millions)</w:t>
            </w:r>
          </w:p>
        </w:tc>
        <w:tc>
          <w:tcPr>
            <w:tcW w:w="0" w:type="dxa"/>
            <w:vAlign w:val="bottom"/>
          </w:tcPr>
          <w:p>
            <w:pPr>
              <w:spacing w:after="0"/>
              <w:rPr>
                <w:sz w:val="1"/>
                <w:szCs w:val="1"/>
                <w:color w:val="auto"/>
              </w:rPr>
            </w:pPr>
          </w:p>
        </w:tc>
      </w:tr>
      <w:tr>
        <w:trPr>
          <w:trHeight w:val="106"/>
        </w:trPr>
        <w:tc>
          <w:tcPr>
            <w:tcW w:w="20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w w:val="79"/>
              </w:rPr>
              <w:t>2009</w:t>
            </w:r>
            <w:r>
              <w:rPr>
                <w:rFonts w:ascii="Arial" w:cs="Arial" w:eastAsia="Arial" w:hAnsi="Arial"/>
                <w:sz w:val="30"/>
                <w:szCs w:val="30"/>
                <w:b w:val="1"/>
                <w:bCs w:val="1"/>
                <w:color w:val="auto"/>
                <w:w w:val="79"/>
                <w:vertAlign w:val="superscript"/>
              </w:rPr>
              <w:t>(1)</w:t>
            </w:r>
          </w:p>
        </w:tc>
        <w:tc>
          <w:tcPr>
            <w:tcW w:w="1880" w:type="dxa"/>
            <w:vAlign w:val="bottom"/>
            <w:gridSpan w:val="4"/>
          </w:tcPr>
          <w:p>
            <w:pPr>
              <w:jc w:val="right"/>
              <w:ind w:right="364"/>
              <w:spacing w:after="0"/>
              <w:rPr>
                <w:sz w:val="20"/>
                <w:szCs w:val="20"/>
                <w:color w:val="auto"/>
              </w:rPr>
            </w:pPr>
            <w:r>
              <w:rPr>
                <w:rFonts w:ascii="Arial" w:cs="Arial" w:eastAsia="Arial" w:hAnsi="Arial"/>
                <w:sz w:val="15"/>
                <w:szCs w:val="15"/>
                <w:b w:val="1"/>
                <w:bCs w:val="1"/>
                <w:color w:val="auto"/>
              </w:rPr>
              <w:t>Fiscal Year Maturity</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May 31,</w:t>
            </w:r>
          </w:p>
        </w:tc>
        <w:tc>
          <w:tcPr>
            <w:tcW w:w="0" w:type="dxa"/>
            <w:vAlign w:val="bottom"/>
          </w:tcPr>
          <w:p>
            <w:pPr>
              <w:spacing w:after="0"/>
              <w:rPr>
                <w:sz w:val="1"/>
                <w:szCs w:val="1"/>
                <w:color w:val="auto"/>
              </w:rPr>
            </w:pPr>
          </w:p>
        </w:tc>
      </w:tr>
      <w:tr>
        <w:trPr>
          <w:trHeight w:val="352"/>
        </w:trPr>
        <w:tc>
          <w:tcPr>
            <w:tcW w:w="2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2007</w:t>
            </w:r>
          </w:p>
        </w:tc>
        <w:tc>
          <w:tcPr>
            <w:tcW w:w="86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5"/>
                <w:szCs w:val="15"/>
                <w:b w:val="1"/>
                <w:bCs w:val="1"/>
                <w:color w:val="auto"/>
              </w:rPr>
              <w:t>2008</w:t>
            </w: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w w:val="83"/>
              </w:rPr>
              <w:t>2011</w:t>
            </w:r>
          </w:p>
        </w:tc>
        <w:tc>
          <w:tcPr>
            <w:tcW w:w="154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5"/>
                <w:szCs w:val="15"/>
                <w:b w:val="1"/>
                <w:bCs w:val="1"/>
                <w:color w:val="auto"/>
              </w:rPr>
              <w:t>Thereafter</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2006</w:t>
            </w:r>
          </w:p>
        </w:tc>
        <w:tc>
          <w:tcPr>
            <w:tcW w:w="0" w:type="dxa"/>
            <w:vAlign w:val="bottom"/>
          </w:tcPr>
          <w:p>
            <w:pPr>
              <w:spacing w:after="0"/>
              <w:rPr>
                <w:sz w:val="1"/>
                <w:szCs w:val="1"/>
                <w:color w:val="auto"/>
              </w:rPr>
            </w:pPr>
          </w:p>
        </w:tc>
      </w:tr>
      <w:tr>
        <w:trPr>
          <w:trHeight w:val="293"/>
        </w:trPr>
        <w:tc>
          <w:tcPr>
            <w:tcW w:w="2080" w:type="dxa"/>
            <w:vAlign w:val="bottom"/>
          </w:tcPr>
          <w:p>
            <w:pPr>
              <w:spacing w:after="0"/>
              <w:rPr>
                <w:sz w:val="20"/>
                <w:szCs w:val="20"/>
                <w:color w:val="auto"/>
              </w:rPr>
            </w:pPr>
            <w:r>
              <w:rPr>
                <w:rFonts w:ascii="Arial" w:cs="Arial" w:eastAsia="Arial" w:hAnsi="Arial"/>
                <w:sz w:val="15"/>
                <w:szCs w:val="15"/>
                <w:b w:val="1"/>
                <w:bCs w:val="1"/>
                <w:color w:val="auto"/>
              </w:rPr>
              <w:t>Debt Obligations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80" w:type="dxa"/>
            <w:vAlign w:val="bottom"/>
            <w:shd w:val="clear" w:color="auto" w:fill="E6E6E6"/>
          </w:tcPr>
          <w:p>
            <w:pPr>
              <w:spacing w:after="0"/>
              <w:rPr>
                <w:sz w:val="20"/>
                <w:szCs w:val="20"/>
                <w:color w:val="auto"/>
              </w:rPr>
            </w:pPr>
            <w:r>
              <w:rPr>
                <w:rFonts w:ascii="Arial" w:cs="Arial" w:eastAsia="Arial" w:hAnsi="Arial"/>
                <w:sz w:val="15"/>
                <w:szCs w:val="15"/>
                <w:color w:val="auto"/>
              </w:rPr>
              <w:t>Lines of credit</w:t>
            </w:r>
          </w:p>
        </w:tc>
        <w:tc>
          <w:tcPr>
            <w:tcW w:w="5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6E6"/>
          </w:tcPr>
          <w:p>
            <w:pPr>
              <w:jc w:val="right"/>
              <w:ind w:right="264"/>
              <w:spacing w:after="0"/>
              <w:rPr>
                <w:sz w:val="20"/>
                <w:szCs w:val="20"/>
                <w:color w:val="auto"/>
              </w:rPr>
            </w:pPr>
            <w:r>
              <w:rPr>
                <w:rFonts w:ascii="Arial" w:cs="Arial" w:eastAsia="Arial" w:hAnsi="Arial"/>
                <w:sz w:val="15"/>
                <w:szCs w:val="15"/>
                <w:color w:val="auto"/>
              </w:rPr>
              <w:t>33.8</w:t>
            </w:r>
          </w:p>
        </w:tc>
        <w:tc>
          <w:tcPr>
            <w:tcW w:w="42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w:t>
            </w:r>
          </w:p>
        </w:tc>
        <w:tc>
          <w:tcPr>
            <w:tcW w:w="2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E6E6E6"/>
          </w:tcPr>
          <w:p>
            <w:pPr>
              <w:ind w:left="42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420" w:type="dxa"/>
            <w:vAlign w:val="bottom"/>
            <w:shd w:val="clear" w:color="auto" w:fill="E6E6E6"/>
          </w:tcPr>
          <w:p>
            <w:pPr>
              <w:ind w:left="80"/>
              <w:spacing w:after="0"/>
              <w:rPr>
                <w:sz w:val="20"/>
                <w:szCs w:val="20"/>
                <w:color w:val="auto"/>
              </w:rPr>
            </w:pPr>
            <w:r>
              <w:rPr>
                <w:rFonts w:ascii="Arial" w:cs="Arial" w:eastAsia="Arial" w:hAnsi="Arial"/>
                <w:sz w:val="15"/>
                <w:szCs w:val="15"/>
                <w:color w:val="auto"/>
              </w:rPr>
              <w:t>—</w:t>
            </w:r>
          </w:p>
        </w:tc>
        <w:tc>
          <w:tcPr>
            <w:tcW w:w="2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6E6"/>
          </w:tcPr>
          <w:p>
            <w:pPr>
              <w:jc w:val="right"/>
              <w:ind w:right="324"/>
              <w:spacing w:after="0"/>
              <w:rPr>
                <w:sz w:val="20"/>
                <w:szCs w:val="20"/>
                <w:color w:val="auto"/>
              </w:rPr>
            </w:pPr>
            <w:r>
              <w:rPr>
                <w:rFonts w:ascii="Arial" w:cs="Arial" w:eastAsia="Arial" w:hAnsi="Arial"/>
                <w:sz w:val="15"/>
                <w:szCs w:val="15"/>
                <w:color w:val="auto"/>
              </w:rPr>
              <w:t>—</w:t>
            </w:r>
          </w:p>
        </w:tc>
        <w:tc>
          <w:tcPr>
            <w:tcW w:w="3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33.8</w:t>
            </w:r>
          </w:p>
        </w:tc>
        <w:tc>
          <w:tcPr>
            <w:tcW w:w="3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20"/>
                <w:szCs w:val="20"/>
                <w:color w:val="auto"/>
              </w:rPr>
            </w:pPr>
            <w:r>
              <w:rPr>
                <w:rFonts w:ascii="Arial" w:cs="Arial" w:eastAsia="Arial" w:hAnsi="Arial"/>
                <w:sz w:val="15"/>
                <w:szCs w:val="15"/>
                <w:color w:val="auto"/>
              </w:rPr>
              <w:t>Average interest rate</w:t>
            </w:r>
          </w:p>
        </w:tc>
        <w:tc>
          <w:tcPr>
            <w:tcW w:w="580" w:type="dxa"/>
            <w:vAlign w:val="bottom"/>
          </w:tcPr>
          <w:p>
            <w:pPr>
              <w:spacing w:after="0"/>
              <w:rPr>
                <w:sz w:val="18"/>
                <w:szCs w:val="18"/>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6.0%</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E6E6E6"/>
          </w:tcPr>
          <w:p>
            <w:pPr>
              <w:spacing w:after="0"/>
              <w:rPr>
                <w:sz w:val="20"/>
                <w:szCs w:val="20"/>
                <w:color w:val="auto"/>
              </w:rPr>
            </w:pPr>
            <w:r>
              <w:rPr>
                <w:rFonts w:ascii="Arial" w:cs="Arial" w:eastAsia="Arial" w:hAnsi="Arial"/>
                <w:sz w:val="15"/>
                <w:szCs w:val="15"/>
                <w:color w:val="auto"/>
              </w:rPr>
              <w:t>Long-term debt including</w:t>
            </w:r>
          </w:p>
        </w:tc>
        <w:tc>
          <w:tcPr>
            <w:tcW w:w="5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54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5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2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tcPr>
          <w:p>
            <w:pPr>
              <w:ind w:left="140"/>
              <w:spacing w:after="0"/>
              <w:rPr>
                <w:sz w:val="20"/>
                <w:szCs w:val="20"/>
                <w:color w:val="auto"/>
              </w:rPr>
            </w:pPr>
            <w:r>
              <w:rPr>
                <w:rFonts w:ascii="Arial" w:cs="Arial" w:eastAsia="Arial" w:hAnsi="Arial"/>
                <w:sz w:val="15"/>
                <w:szCs w:val="15"/>
                <w:color w:val="auto"/>
              </w:rPr>
              <w:t>current portion:</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Fixed-rate debt</w:t>
            </w:r>
          </w:p>
        </w:tc>
        <w:tc>
          <w:tcPr>
            <w:tcW w:w="5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6E6"/>
          </w:tcPr>
          <w:p>
            <w:pPr>
              <w:jc w:val="right"/>
              <w:ind w:right="264"/>
              <w:spacing w:after="0"/>
              <w:rPr>
                <w:sz w:val="20"/>
                <w:szCs w:val="20"/>
                <w:color w:val="auto"/>
              </w:rPr>
            </w:pPr>
            <w:r>
              <w:rPr>
                <w:rFonts w:ascii="Arial" w:cs="Arial" w:eastAsia="Arial" w:hAnsi="Arial"/>
                <w:sz w:val="15"/>
                <w:szCs w:val="15"/>
                <w:color w:val="auto"/>
              </w:rPr>
              <w:t>294.1</w:t>
            </w:r>
          </w:p>
        </w:tc>
        <w:tc>
          <w:tcPr>
            <w:tcW w:w="42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w:t>
            </w:r>
          </w:p>
        </w:tc>
        <w:tc>
          <w:tcPr>
            <w:tcW w:w="2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E6E6E6"/>
          </w:tcPr>
          <w:p>
            <w:pPr>
              <w:ind w:left="42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420" w:type="dxa"/>
            <w:vAlign w:val="bottom"/>
            <w:shd w:val="clear" w:color="auto" w:fill="E6E6E6"/>
          </w:tcPr>
          <w:p>
            <w:pPr>
              <w:ind w:left="80"/>
              <w:spacing w:after="0"/>
              <w:rPr>
                <w:sz w:val="20"/>
                <w:szCs w:val="20"/>
                <w:color w:val="auto"/>
              </w:rPr>
            </w:pPr>
            <w:r>
              <w:rPr>
                <w:rFonts w:ascii="Arial" w:cs="Arial" w:eastAsia="Arial" w:hAnsi="Arial"/>
                <w:sz w:val="15"/>
                <w:szCs w:val="15"/>
                <w:color w:val="auto"/>
              </w:rPr>
              <w:t>—</w:t>
            </w:r>
          </w:p>
        </w:tc>
        <w:tc>
          <w:tcPr>
            <w:tcW w:w="2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6E6"/>
          </w:tcPr>
          <w:p>
            <w:pPr>
              <w:jc w:val="right"/>
              <w:ind w:right="324"/>
              <w:spacing w:after="0"/>
              <w:rPr>
                <w:sz w:val="20"/>
                <w:szCs w:val="20"/>
                <w:color w:val="auto"/>
              </w:rPr>
            </w:pPr>
            <w:r>
              <w:rPr>
                <w:rFonts w:ascii="Arial" w:cs="Arial" w:eastAsia="Arial" w:hAnsi="Arial"/>
                <w:sz w:val="15"/>
                <w:szCs w:val="15"/>
                <w:color w:val="auto"/>
              </w:rPr>
              <w:t>175.0</w:t>
            </w:r>
          </w:p>
        </w:tc>
        <w:tc>
          <w:tcPr>
            <w:tcW w:w="3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469.1</w:t>
            </w:r>
          </w:p>
        </w:tc>
        <w:tc>
          <w:tcPr>
            <w:tcW w:w="3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444.1</w:t>
            </w:r>
          </w:p>
        </w:tc>
        <w:tc>
          <w:tcPr>
            <w:tcW w:w="0" w:type="dxa"/>
            <w:vAlign w:val="bottom"/>
          </w:tcPr>
          <w:p>
            <w:pPr>
              <w:spacing w:after="0"/>
              <w:rPr>
                <w:sz w:val="1"/>
                <w:szCs w:val="1"/>
                <w:color w:val="auto"/>
              </w:rPr>
            </w:pPr>
          </w:p>
        </w:tc>
      </w:tr>
      <w:tr>
        <w:trPr>
          <w:trHeight w:val="219"/>
        </w:trPr>
        <w:tc>
          <w:tcPr>
            <w:tcW w:w="2080" w:type="dxa"/>
            <w:vAlign w:val="bottom"/>
          </w:tcPr>
          <w:p>
            <w:pPr>
              <w:ind w:left="140"/>
              <w:spacing w:after="0"/>
              <w:rPr>
                <w:sz w:val="20"/>
                <w:szCs w:val="20"/>
                <w:color w:val="auto"/>
              </w:rPr>
            </w:pPr>
            <w:r>
              <w:rPr>
                <w:rFonts w:ascii="Arial" w:cs="Arial" w:eastAsia="Arial" w:hAnsi="Arial"/>
                <w:sz w:val="15"/>
                <w:szCs w:val="15"/>
                <w:color w:val="auto"/>
              </w:rPr>
              <w:t>Average interest rate</w:t>
            </w:r>
          </w:p>
        </w:tc>
        <w:tc>
          <w:tcPr>
            <w:tcW w:w="580" w:type="dxa"/>
            <w:vAlign w:val="bottom"/>
          </w:tcPr>
          <w:p>
            <w:pPr>
              <w:spacing w:after="0"/>
              <w:rPr>
                <w:sz w:val="19"/>
                <w:szCs w:val="19"/>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5.75%</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204"/>
              <w:spacing w:after="0"/>
              <w:rPr>
                <w:sz w:val="20"/>
                <w:szCs w:val="20"/>
                <w:color w:val="auto"/>
              </w:rPr>
            </w:pPr>
            <w:r>
              <w:rPr>
                <w:rFonts w:ascii="Arial" w:cs="Arial" w:eastAsia="Arial" w:hAnsi="Arial"/>
                <w:sz w:val="15"/>
                <w:szCs w:val="15"/>
                <w:color w:val="auto"/>
              </w:rPr>
              <w:t>5.0%</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656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68" w:lineRule="exact"/>
        <w:rPr>
          <w:sz w:val="20"/>
          <w:szCs w:val="20"/>
          <w:color w:val="auto"/>
        </w:rPr>
      </w:pPr>
    </w:p>
    <w:p>
      <w:pPr>
        <w:ind w:left="487" w:hanging="487"/>
        <w:spacing w:after="0"/>
        <w:tabs>
          <w:tab w:leader="none" w:pos="487" w:val="left"/>
        </w:tabs>
        <w:numPr>
          <w:ilvl w:val="0"/>
          <w:numId w:val="14"/>
        </w:numPr>
        <w:rPr>
          <w:rFonts w:ascii="Arial" w:cs="Arial" w:eastAsia="Arial" w:hAnsi="Arial"/>
          <w:sz w:val="12"/>
          <w:szCs w:val="12"/>
          <w:color w:val="auto"/>
        </w:rPr>
      </w:pPr>
      <w:r>
        <w:rPr>
          <w:rFonts w:ascii="Arial" w:cs="Arial" w:eastAsia="Arial" w:hAnsi="Arial"/>
          <w:sz w:val="12"/>
          <w:szCs w:val="12"/>
          <w:color w:val="auto"/>
        </w:rPr>
        <w:t>At May 31, 2006, no borrowings were outstanding under the Credit Agreement or the Revolver, which have credit lines totaling $230.0 and expire in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245745</wp:posOffset>
            </wp:positionV>
            <wp:extent cx="1938655" cy="3403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9"/>
        </w:trPr>
        <w:tc>
          <w:tcPr>
            <w:tcW w:w="740" w:type="dxa"/>
            <w:vAlign w:val="bottom"/>
          </w:tcPr>
          <w:p>
            <w:pPr>
              <w:spacing w:after="0"/>
              <w:rPr>
                <w:sz w:val="20"/>
                <w:szCs w:val="20"/>
                <w:color w:val="auto"/>
              </w:rPr>
            </w:pPr>
            <w:r>
              <w:rPr>
                <w:rFonts w:ascii="Arial" w:cs="Arial" w:eastAsia="Arial" w:hAnsi="Arial"/>
                <w:sz w:val="15"/>
                <w:szCs w:val="15"/>
                <w:b w:val="1"/>
                <w:bCs w:val="1"/>
                <w:color w:val="auto"/>
              </w:rPr>
              <w:t>Item 8 |</w:t>
            </w:r>
          </w:p>
        </w:tc>
        <w:tc>
          <w:tcPr>
            <w:tcW w:w="7640" w:type="dxa"/>
            <w:vAlign w:val="bottom"/>
          </w:tcPr>
          <w:p>
            <w:pPr>
              <w:ind w:left="240"/>
              <w:spacing w:after="0"/>
              <w:rPr>
                <w:sz w:val="20"/>
                <w:szCs w:val="20"/>
                <w:color w:val="auto"/>
              </w:rPr>
            </w:pPr>
            <w:r>
              <w:rPr>
                <w:rFonts w:ascii="Arial" w:cs="Arial" w:eastAsia="Arial" w:hAnsi="Arial"/>
                <w:sz w:val="15"/>
                <w:szCs w:val="15"/>
                <w:b w:val="1"/>
                <w:bCs w:val="1"/>
                <w:color w:val="auto"/>
              </w:rPr>
              <w:t>Consolidated Financial Statements and Supplementary Data</w:t>
            </w:r>
          </w:p>
        </w:tc>
        <w:tc>
          <w:tcPr>
            <w:tcW w:w="3000" w:type="dxa"/>
            <w:vAlign w:val="bottom"/>
          </w:tcPr>
          <w:p>
            <w:pPr>
              <w:spacing w:after="0"/>
              <w:rPr>
                <w:sz w:val="17"/>
                <w:szCs w:val="17"/>
                <w:color w:val="auto"/>
              </w:rPr>
            </w:pPr>
          </w:p>
        </w:tc>
      </w:tr>
      <w:tr>
        <w:trPr>
          <w:trHeight w:val="210"/>
        </w:trPr>
        <w:tc>
          <w:tcPr>
            <w:tcW w:w="7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5"/>
                <w:szCs w:val="15"/>
                <w:b w:val="1"/>
                <w:bCs w:val="1"/>
                <w:color w:val="auto"/>
              </w:rPr>
              <w:t>Page(s)</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Consolidated Statements of Income for the years ended May 31, 2006, 2005 and 2004</w:t>
            </w:r>
          </w:p>
        </w:tc>
        <w:tc>
          <w:tcPr>
            <w:tcW w:w="30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Consolidated Balance Sheets at May 31, 2006 and 2005</w:t>
            </w:r>
          </w:p>
        </w:tc>
        <w:tc>
          <w:tcPr>
            <w:tcW w:w="3000" w:type="dxa"/>
            <w:vAlign w:val="bottom"/>
          </w:tcPr>
          <w:p>
            <w:pPr>
              <w:jc w:val="right"/>
              <w:spacing w:after="0"/>
              <w:rPr>
                <w:sz w:val="20"/>
                <w:szCs w:val="20"/>
                <w:color w:val="auto"/>
              </w:rPr>
            </w:pPr>
            <w:r>
              <w:rPr>
                <w:rFonts w:ascii="Arial" w:cs="Arial" w:eastAsia="Arial" w:hAnsi="Arial"/>
                <w:sz w:val="15"/>
                <w:szCs w:val="15"/>
                <w:color w:val="auto"/>
              </w:rPr>
              <w:t>34-35</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Consolidated Statements of Changes in Stockholders’ Equity and Comprehensive</w:t>
            </w:r>
          </w:p>
        </w:tc>
        <w:tc>
          <w:tcPr>
            <w:tcW w:w="3000" w:type="dxa"/>
            <w:vAlign w:val="bottom"/>
          </w:tcPr>
          <w:p>
            <w:pPr>
              <w:spacing w:after="0"/>
              <w:rPr>
                <w:sz w:val="24"/>
                <w:szCs w:val="24"/>
                <w:color w:val="auto"/>
              </w:rPr>
            </w:pPr>
          </w:p>
        </w:tc>
      </w:tr>
      <w:tr>
        <w:trPr>
          <w:trHeight w:val="210"/>
        </w:trPr>
        <w:tc>
          <w:tcPr>
            <w:tcW w:w="8380" w:type="dxa"/>
            <w:vAlign w:val="bottom"/>
            <w:gridSpan w:val="2"/>
          </w:tcPr>
          <w:p>
            <w:pPr>
              <w:ind w:left="140"/>
              <w:spacing w:after="0"/>
              <w:rPr>
                <w:sz w:val="20"/>
                <w:szCs w:val="20"/>
                <w:color w:val="auto"/>
              </w:rPr>
            </w:pPr>
            <w:r>
              <w:rPr>
                <w:rFonts w:ascii="Arial" w:cs="Arial" w:eastAsia="Arial" w:hAnsi="Arial"/>
                <w:sz w:val="15"/>
                <w:szCs w:val="15"/>
                <w:color w:val="auto"/>
              </w:rPr>
              <w:t>Income for the years ended May 31, 2006, 2005 and 2004</w:t>
            </w:r>
          </w:p>
        </w:tc>
        <w:tc>
          <w:tcPr>
            <w:tcW w:w="3000" w:type="dxa"/>
            <w:vAlign w:val="bottom"/>
          </w:tcPr>
          <w:p>
            <w:pPr>
              <w:jc w:val="right"/>
              <w:spacing w:after="0"/>
              <w:rPr>
                <w:sz w:val="20"/>
                <w:szCs w:val="20"/>
                <w:color w:val="auto"/>
              </w:rPr>
            </w:pPr>
            <w:r>
              <w:rPr>
                <w:rFonts w:ascii="Arial" w:cs="Arial" w:eastAsia="Arial" w:hAnsi="Arial"/>
                <w:sz w:val="15"/>
                <w:szCs w:val="15"/>
                <w:color w:val="auto"/>
              </w:rPr>
              <w:t>36-37</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Consolidated Statements of Cash Flows for the years ended May 31, 2006, 2005 and 2004</w:t>
            </w:r>
          </w:p>
        </w:tc>
        <w:tc>
          <w:tcPr>
            <w:tcW w:w="300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Notes to Consolidated Financial Statements</w:t>
            </w:r>
          </w:p>
        </w:tc>
        <w:tc>
          <w:tcPr>
            <w:tcW w:w="3000" w:type="dxa"/>
            <w:vAlign w:val="bottom"/>
          </w:tcPr>
          <w:p>
            <w:pPr>
              <w:jc w:val="right"/>
              <w:spacing w:after="0"/>
              <w:rPr>
                <w:sz w:val="20"/>
                <w:szCs w:val="20"/>
                <w:color w:val="auto"/>
              </w:rPr>
            </w:pPr>
            <w:r>
              <w:rPr>
                <w:rFonts w:ascii="Arial" w:cs="Arial" w:eastAsia="Arial" w:hAnsi="Arial"/>
                <w:sz w:val="15"/>
                <w:szCs w:val="15"/>
                <w:color w:val="auto"/>
              </w:rPr>
              <w:t>39-59</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Reports of Independent Registered Public Accounting Firm</w:t>
            </w:r>
          </w:p>
        </w:tc>
        <w:tc>
          <w:tcPr>
            <w:tcW w:w="3000" w:type="dxa"/>
            <w:vAlign w:val="bottom"/>
          </w:tcPr>
          <w:p>
            <w:pPr>
              <w:jc w:val="right"/>
              <w:spacing w:after="0"/>
              <w:rPr>
                <w:sz w:val="20"/>
                <w:szCs w:val="20"/>
                <w:color w:val="auto"/>
              </w:rPr>
            </w:pPr>
            <w:r>
              <w:rPr>
                <w:rFonts w:ascii="Arial" w:cs="Arial" w:eastAsia="Arial" w:hAnsi="Arial"/>
                <w:sz w:val="15"/>
                <w:szCs w:val="15"/>
                <w:color w:val="auto"/>
              </w:rPr>
              <w:t>60-61</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Supplementary Financial Information - Summary of Quarterly Results of Operations (unaudited)</w:t>
            </w:r>
          </w:p>
        </w:tc>
        <w:tc>
          <w:tcPr>
            <w:tcW w:w="300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The following consolidated financial statement schedule for the years</w:t>
            </w:r>
          </w:p>
        </w:tc>
        <w:tc>
          <w:tcPr>
            <w:tcW w:w="3000" w:type="dxa"/>
            <w:vAlign w:val="bottom"/>
          </w:tcPr>
          <w:p>
            <w:pPr>
              <w:spacing w:after="0"/>
              <w:rPr>
                <w:sz w:val="24"/>
                <w:szCs w:val="24"/>
                <w:color w:val="auto"/>
              </w:rPr>
            </w:pPr>
          </w:p>
        </w:tc>
      </w:tr>
      <w:tr>
        <w:trPr>
          <w:trHeight w:val="210"/>
        </w:trPr>
        <w:tc>
          <w:tcPr>
            <w:tcW w:w="8380" w:type="dxa"/>
            <w:vAlign w:val="bottom"/>
            <w:gridSpan w:val="2"/>
          </w:tcPr>
          <w:p>
            <w:pPr>
              <w:ind w:left="140"/>
              <w:spacing w:after="0"/>
              <w:rPr>
                <w:sz w:val="20"/>
                <w:szCs w:val="20"/>
                <w:color w:val="auto"/>
              </w:rPr>
            </w:pPr>
            <w:r>
              <w:rPr>
                <w:rFonts w:ascii="Arial" w:cs="Arial" w:eastAsia="Arial" w:hAnsi="Arial"/>
                <w:sz w:val="15"/>
                <w:szCs w:val="15"/>
                <w:color w:val="auto"/>
              </w:rPr>
              <w:t>ended May 31, 2006, 2005 and 2004 is filed with this annual report on Form 10-K:</w:t>
            </w:r>
          </w:p>
        </w:tc>
        <w:tc>
          <w:tcPr>
            <w:tcW w:w="3000" w:type="dxa"/>
            <w:vAlign w:val="bottom"/>
          </w:tcPr>
          <w:p>
            <w:pPr>
              <w:spacing w:after="0"/>
              <w:rPr>
                <w:sz w:val="18"/>
                <w:szCs w:val="18"/>
                <w:color w:val="auto"/>
              </w:rPr>
            </w:pPr>
          </w:p>
        </w:tc>
      </w:tr>
      <w:tr>
        <w:trPr>
          <w:trHeight w:val="419"/>
        </w:trPr>
        <w:tc>
          <w:tcPr>
            <w:tcW w:w="8380" w:type="dxa"/>
            <w:vAlign w:val="bottom"/>
            <w:gridSpan w:val="2"/>
          </w:tcPr>
          <w:p>
            <w:pPr>
              <w:spacing w:after="0"/>
              <w:rPr>
                <w:sz w:val="20"/>
                <w:szCs w:val="20"/>
                <w:color w:val="auto"/>
              </w:rPr>
            </w:pPr>
            <w:r>
              <w:rPr>
                <w:rFonts w:ascii="Arial" w:cs="Arial" w:eastAsia="Arial" w:hAnsi="Arial"/>
                <w:sz w:val="15"/>
                <w:szCs w:val="15"/>
                <w:color w:val="auto"/>
              </w:rPr>
              <w:t>Schedule II — Valuation and Qualifying Accounts and Reserves</w:t>
            </w:r>
          </w:p>
        </w:tc>
        <w:tc>
          <w:tcPr>
            <w:tcW w:w="3000" w:type="dxa"/>
            <w:vAlign w:val="bottom"/>
          </w:tcPr>
          <w:p>
            <w:pPr>
              <w:jc w:val="right"/>
              <w:spacing w:after="0"/>
              <w:rPr>
                <w:sz w:val="20"/>
                <w:szCs w:val="20"/>
                <w:color w:val="auto"/>
              </w:rPr>
            </w:pPr>
            <w:r>
              <w:rPr>
                <w:rFonts w:ascii="Arial" w:cs="Arial" w:eastAsia="Arial" w:hAnsi="Arial"/>
                <w:sz w:val="15"/>
                <w:szCs w:val="15"/>
                <w:color w:val="auto"/>
              </w:rPr>
              <w:t>S-2</w:t>
            </w:r>
          </w:p>
        </w:tc>
      </w:tr>
    </w:tbl>
    <w:p>
      <w:pPr>
        <w:spacing w:after="0" w:line="392"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99695</wp:posOffset>
            </wp:positionV>
            <wp:extent cx="1938655" cy="340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380"/>
          </w:cols>
          <w:pgMar w:left="240" w:top="148" w:right="279" w:bottom="1440" w:gutter="0" w:footer="0" w:header="0"/>
        </w:sectPr>
      </w:pPr>
    </w:p>
    <w:bookmarkStart w:id="34" w:name="page35"/>
    <w:bookmarkEnd w:id="34"/>
    <w:p>
      <w:pPr>
        <w:ind w:left="20"/>
        <w:spacing w:after="0"/>
        <w:rPr>
          <w:sz w:val="20"/>
          <w:szCs w:val="20"/>
          <w:color w:val="auto"/>
        </w:rPr>
      </w:pPr>
      <w:r>
        <w:rPr>
          <w:rFonts w:ascii="Arial" w:cs="Arial" w:eastAsia="Arial" w:hAnsi="Arial"/>
          <w:sz w:val="15"/>
          <w:szCs w:val="15"/>
          <w:b w:val="1"/>
          <w:bCs w:val="1"/>
          <w:color w:val="auto"/>
        </w:rPr>
        <w:t>Consolidated Statements of Income</w:t>
      </w:r>
    </w:p>
    <w:p>
      <w:pPr>
        <w:spacing w:after="0" w:line="297"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(Amounts in millions, except per share data)</w:t>
      </w:r>
    </w:p>
    <w:p>
      <w:pPr>
        <w:spacing w:after="0" w:line="72"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26567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20" w:type="dxa"/>
            <w:vAlign w:val="bottom"/>
          </w:tcPr>
          <w:p>
            <w:pPr>
              <w:jc w:val="right"/>
              <w:ind w:right="184"/>
              <w:spacing w:after="0"/>
              <w:rPr>
                <w:sz w:val="20"/>
                <w:szCs w:val="20"/>
                <w:color w:val="auto"/>
              </w:rPr>
            </w:pPr>
            <w:r>
              <w:rPr>
                <w:rFonts w:ascii="Arial" w:cs="Arial" w:eastAsia="Arial" w:hAnsi="Arial"/>
                <w:sz w:val="15"/>
                <w:szCs w:val="15"/>
                <w:b w:val="1"/>
                <w:bCs w:val="1"/>
                <w:color w:val="auto"/>
              </w:rPr>
              <w:t>2006</w:t>
            </w:r>
          </w:p>
        </w:tc>
        <w:tc>
          <w:tcPr>
            <w:tcW w:w="640" w:type="dxa"/>
            <w:vAlign w:val="bottom"/>
          </w:tcPr>
          <w:p>
            <w:pPr>
              <w:spacing w:after="0"/>
              <w:rPr>
                <w:sz w:val="16"/>
                <w:szCs w:val="16"/>
                <w:color w:val="auto"/>
              </w:rPr>
            </w:pPr>
          </w:p>
        </w:tc>
        <w:tc>
          <w:tcPr>
            <w:tcW w:w="1140" w:type="dxa"/>
            <w:vAlign w:val="bottom"/>
          </w:tcPr>
          <w:p>
            <w:pPr>
              <w:jc w:val="right"/>
              <w:ind w:right="244"/>
              <w:spacing w:after="0"/>
              <w:rPr>
                <w:sz w:val="20"/>
                <w:szCs w:val="20"/>
                <w:color w:val="auto"/>
              </w:rPr>
            </w:pPr>
            <w:r>
              <w:rPr>
                <w:rFonts w:ascii="Arial" w:cs="Arial" w:eastAsia="Arial" w:hAnsi="Arial"/>
                <w:sz w:val="15"/>
                <w:szCs w:val="15"/>
                <w:b w:val="1"/>
                <w:bCs w:val="1"/>
                <w:color w:val="auto"/>
              </w:rPr>
              <w:t>2005</w:t>
            </w:r>
          </w:p>
        </w:tc>
        <w:tc>
          <w:tcPr>
            <w:tcW w:w="6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2004</w:t>
            </w:r>
          </w:p>
        </w:tc>
      </w:tr>
      <w:tr>
        <w:trPr>
          <w:trHeight w:val="96"/>
        </w:trPr>
        <w:tc>
          <w:tcPr>
            <w:tcW w:w="5520" w:type="dxa"/>
            <w:vAlign w:val="bottom"/>
            <w:gridSpan w:val="2"/>
          </w:tcPr>
          <w:p>
            <w:pPr>
              <w:spacing w:after="0"/>
              <w:rPr>
                <w:sz w:val="8"/>
                <w:szCs w:val="8"/>
                <w:color w:val="auto"/>
              </w:rPr>
            </w:pPr>
          </w:p>
        </w:tc>
        <w:tc>
          <w:tcPr>
            <w:tcW w:w="1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5500" w:type="dxa"/>
            <w:vAlign w:val="bottom"/>
            <w:tcBorders>
              <w:top w:val="single" w:sz="8" w:color="auto"/>
            </w:tcBorders>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Revenues</w:t>
            </w:r>
          </w:p>
        </w:tc>
        <w:tc>
          <w:tcPr>
            <w:tcW w:w="170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2,283.8</w:t>
            </w:r>
          </w:p>
        </w:tc>
        <w:tc>
          <w:tcPr>
            <w:tcW w:w="64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b w:val="1"/>
                <w:bCs w:val="1"/>
                <w:color w:val="auto"/>
              </w:rPr>
              <w:t>2,079.9</w:t>
            </w:r>
          </w:p>
        </w:tc>
        <w:tc>
          <w:tcPr>
            <w:tcW w:w="64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2,233.8</w:t>
            </w:r>
          </w:p>
        </w:tc>
      </w:tr>
      <w:tr>
        <w:trPr>
          <w:trHeight w:val="208"/>
        </w:trPr>
        <w:tc>
          <w:tcPr>
            <w:tcW w:w="5520" w:type="dxa"/>
            <w:vAlign w:val="bottom"/>
            <w:gridSpan w:val="2"/>
          </w:tcPr>
          <w:p>
            <w:pPr>
              <w:ind w:left="20"/>
              <w:spacing w:after="0"/>
              <w:rPr>
                <w:sz w:val="20"/>
                <w:szCs w:val="20"/>
                <w:color w:val="auto"/>
              </w:rPr>
            </w:pPr>
            <w:r>
              <w:rPr>
                <w:rFonts w:ascii="Arial" w:cs="Arial" w:eastAsia="Arial" w:hAnsi="Arial"/>
                <w:sz w:val="15"/>
                <w:szCs w:val="15"/>
                <w:color w:val="auto"/>
              </w:rPr>
              <w:t>Operating costs and expenses:</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ind w:left="140"/>
              <w:spacing w:after="0"/>
              <w:rPr>
                <w:sz w:val="20"/>
                <w:szCs w:val="20"/>
                <w:color w:val="auto"/>
              </w:rPr>
            </w:pPr>
            <w:r>
              <w:rPr>
                <w:rFonts w:ascii="Arial" w:cs="Arial" w:eastAsia="Arial" w:hAnsi="Arial"/>
                <w:sz w:val="15"/>
                <w:szCs w:val="15"/>
                <w:color w:val="auto"/>
              </w:rPr>
              <w:t>Cost of goods sold (exclusive of depreciation)</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1,099.9</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979.0</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1,086.8</w:t>
            </w:r>
          </w:p>
        </w:tc>
      </w:tr>
      <w:tr>
        <w:trPr>
          <w:trHeight w:val="208"/>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5"/>
                <w:szCs w:val="15"/>
                <w:color w:val="auto"/>
              </w:rPr>
              <w:t>Cost of goods sold – Reference sets</w:t>
            </w:r>
          </w:p>
        </w:tc>
        <w:tc>
          <w:tcPr>
            <w:tcW w:w="1700" w:type="dxa"/>
            <w:vAlign w:val="bottom"/>
          </w:tcPr>
          <w:p>
            <w:pPr>
              <w:spacing w:after="0"/>
              <w:rPr>
                <w:sz w:val="18"/>
                <w:szCs w:val="18"/>
                <w:color w:val="auto"/>
              </w:rPr>
            </w:pPr>
          </w:p>
        </w:tc>
        <w:tc>
          <w:tcPr>
            <w:tcW w:w="1020" w:type="dxa"/>
            <w:vAlign w:val="bottom"/>
          </w:tcPr>
          <w:p>
            <w:pPr>
              <w:jc w:val="right"/>
              <w:ind w:right="184"/>
              <w:spacing w:after="0"/>
              <w:rPr>
                <w:sz w:val="20"/>
                <w:szCs w:val="20"/>
                <w:color w:val="auto"/>
              </w:rPr>
            </w:pPr>
            <w:r>
              <w:rPr>
                <w:rFonts w:ascii="Arial" w:cs="Arial" w:eastAsia="Arial" w:hAnsi="Arial"/>
                <w:sz w:val="15"/>
                <w:szCs w:val="15"/>
                <w:color w:val="auto"/>
              </w:rPr>
              <w:t>3.2</w:t>
            </w:r>
          </w:p>
        </w:tc>
        <w:tc>
          <w:tcPr>
            <w:tcW w:w="640" w:type="dxa"/>
            <w:vAlign w:val="bottom"/>
          </w:tcPr>
          <w:p>
            <w:pPr>
              <w:spacing w:after="0"/>
              <w:rPr>
                <w:sz w:val="18"/>
                <w:szCs w:val="18"/>
                <w:color w:val="auto"/>
              </w:rPr>
            </w:pPr>
          </w:p>
        </w:tc>
        <w:tc>
          <w:tcPr>
            <w:tcW w:w="11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color w:val="auto"/>
              </w:rPr>
              <w:t>Selling, general and administrative expenses</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916.5</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840.7</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870.1</w:t>
            </w:r>
          </w:p>
        </w:tc>
      </w:tr>
      <w:tr>
        <w:trPr>
          <w:trHeight w:val="208"/>
        </w:trPr>
        <w:tc>
          <w:tcPr>
            <w:tcW w:w="5520" w:type="dxa"/>
            <w:vAlign w:val="bottom"/>
            <w:gridSpan w:val="2"/>
          </w:tcPr>
          <w:p>
            <w:pPr>
              <w:ind w:left="20"/>
              <w:spacing w:after="0"/>
              <w:rPr>
                <w:sz w:val="20"/>
                <w:szCs w:val="20"/>
                <w:color w:val="auto"/>
              </w:rPr>
            </w:pPr>
            <w:r>
              <w:rPr>
                <w:rFonts w:ascii="Arial" w:cs="Arial" w:eastAsia="Arial" w:hAnsi="Arial"/>
                <w:sz w:val="15"/>
                <w:szCs w:val="15"/>
                <w:color w:val="auto"/>
              </w:rPr>
              <w:t>Bad debt expense</w:t>
            </w:r>
          </w:p>
        </w:tc>
        <w:tc>
          <w:tcPr>
            <w:tcW w:w="1700" w:type="dxa"/>
            <w:vAlign w:val="bottom"/>
          </w:tcPr>
          <w:p>
            <w:pPr>
              <w:spacing w:after="0"/>
              <w:rPr>
                <w:sz w:val="18"/>
                <w:szCs w:val="18"/>
                <w:color w:val="auto"/>
              </w:rPr>
            </w:pPr>
          </w:p>
        </w:tc>
        <w:tc>
          <w:tcPr>
            <w:tcW w:w="1020" w:type="dxa"/>
            <w:vAlign w:val="bottom"/>
          </w:tcPr>
          <w:p>
            <w:pPr>
              <w:jc w:val="right"/>
              <w:ind w:right="184"/>
              <w:spacing w:after="0"/>
              <w:rPr>
                <w:sz w:val="20"/>
                <w:szCs w:val="20"/>
                <w:color w:val="auto"/>
              </w:rPr>
            </w:pPr>
            <w:r>
              <w:rPr>
                <w:rFonts w:ascii="Arial" w:cs="Arial" w:eastAsia="Arial" w:hAnsi="Arial"/>
                <w:sz w:val="15"/>
                <w:szCs w:val="15"/>
                <w:color w:val="auto"/>
              </w:rPr>
              <w:t>56.2</w:t>
            </w:r>
          </w:p>
        </w:tc>
        <w:tc>
          <w:tcPr>
            <w:tcW w:w="640" w:type="dxa"/>
            <w:vAlign w:val="bottom"/>
          </w:tcPr>
          <w:p>
            <w:pPr>
              <w:spacing w:after="0"/>
              <w:rPr>
                <w:sz w:val="18"/>
                <w:szCs w:val="18"/>
                <w:color w:val="auto"/>
              </w:rPr>
            </w:pPr>
          </w:p>
        </w:tc>
        <w:tc>
          <w:tcPr>
            <w:tcW w:w="1140" w:type="dxa"/>
            <w:vAlign w:val="bottom"/>
          </w:tcPr>
          <w:p>
            <w:pPr>
              <w:jc w:val="right"/>
              <w:ind w:right="244"/>
              <w:spacing w:after="0"/>
              <w:rPr>
                <w:sz w:val="20"/>
                <w:szCs w:val="20"/>
                <w:color w:val="auto"/>
              </w:rPr>
            </w:pPr>
            <w:r>
              <w:rPr>
                <w:rFonts w:ascii="Arial" w:cs="Arial" w:eastAsia="Arial" w:hAnsi="Arial"/>
                <w:sz w:val="15"/>
                <w:szCs w:val="15"/>
                <w:color w:val="auto"/>
              </w:rPr>
              <w:t>62.2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90.3</w:t>
            </w: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color w:val="auto"/>
              </w:rPr>
              <w:t>Bad debt expense – Educational Publishing</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2.9</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5520" w:type="dxa"/>
            <w:vAlign w:val="bottom"/>
            <w:gridSpan w:val="2"/>
          </w:tcPr>
          <w:p>
            <w:pPr>
              <w:ind w:left="20"/>
              <w:spacing w:after="0"/>
              <w:rPr>
                <w:sz w:val="20"/>
                <w:szCs w:val="20"/>
                <w:color w:val="auto"/>
              </w:rPr>
            </w:pPr>
            <w:r>
              <w:rPr>
                <w:rFonts w:ascii="Arial" w:cs="Arial" w:eastAsia="Arial" w:hAnsi="Arial"/>
                <w:sz w:val="15"/>
                <w:szCs w:val="15"/>
                <w:color w:val="auto"/>
              </w:rPr>
              <w:t>Other operating costs:</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ind w:left="140"/>
              <w:spacing w:after="0"/>
              <w:rPr>
                <w:sz w:val="20"/>
                <w:szCs w:val="20"/>
                <w:color w:val="auto"/>
              </w:rPr>
            </w:pPr>
            <w:r>
              <w:rPr>
                <w:rFonts w:ascii="Arial" w:cs="Arial" w:eastAsia="Arial" w:hAnsi="Arial"/>
                <w:sz w:val="15"/>
                <w:szCs w:val="15"/>
                <w:color w:val="auto"/>
              </w:rPr>
              <w:t>Depreciation and amortization</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65.8</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63.1</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62.1</w:t>
            </w:r>
          </w:p>
        </w:tc>
      </w:tr>
      <w:tr>
        <w:trPr>
          <w:trHeight w:val="207"/>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5"/>
                <w:szCs w:val="15"/>
                <w:color w:val="auto"/>
              </w:rPr>
              <w:t>Special severance charges</w:t>
            </w:r>
          </w:p>
        </w:tc>
        <w:tc>
          <w:tcPr>
            <w:tcW w:w="1700" w:type="dxa"/>
            <w:vAlign w:val="bottom"/>
          </w:tcPr>
          <w:p>
            <w:pPr>
              <w:spacing w:after="0"/>
              <w:rPr>
                <w:sz w:val="18"/>
                <w:szCs w:val="18"/>
                <w:color w:val="auto"/>
              </w:rPr>
            </w:pPr>
          </w:p>
        </w:tc>
        <w:tc>
          <w:tcPr>
            <w:tcW w:w="102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8"/>
                <w:szCs w:val="18"/>
                <w:color w:val="auto"/>
              </w:rPr>
            </w:pPr>
          </w:p>
        </w:tc>
        <w:tc>
          <w:tcPr>
            <w:tcW w:w="11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96"/>
        </w:trPr>
        <w:tc>
          <w:tcPr>
            <w:tcW w:w="5520" w:type="dxa"/>
            <w:vAlign w:val="bottom"/>
            <w:gridSpan w:val="2"/>
          </w:tcPr>
          <w:p>
            <w:pPr>
              <w:spacing w:after="0"/>
              <w:rPr>
                <w:sz w:val="8"/>
                <w:szCs w:val="8"/>
                <w:color w:val="auto"/>
              </w:rPr>
            </w:pPr>
          </w:p>
        </w:tc>
        <w:tc>
          <w:tcPr>
            <w:tcW w:w="1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5500" w:type="dxa"/>
            <w:vAlign w:val="bottom"/>
            <w:tcBorders>
              <w:top w:val="single" w:sz="8" w:color="808080"/>
            </w:tcBorders>
          </w:tcPr>
          <w:p>
            <w:pPr>
              <w:spacing w:after="0"/>
              <w:rPr>
                <w:sz w:val="7"/>
                <w:szCs w:val="7"/>
                <w:color w:val="auto"/>
              </w:rPr>
            </w:pPr>
          </w:p>
        </w:tc>
        <w:tc>
          <w:tcPr>
            <w:tcW w:w="1700" w:type="dxa"/>
            <w:vAlign w:val="bottom"/>
            <w:tcBorders>
              <w:top w:val="single" w:sz="8" w:color="808080"/>
            </w:tcBorders>
          </w:tcPr>
          <w:p>
            <w:pPr>
              <w:spacing w:after="0"/>
              <w:rPr>
                <w:sz w:val="7"/>
                <w:szCs w:val="7"/>
                <w:color w:val="auto"/>
              </w:rPr>
            </w:pPr>
          </w:p>
        </w:tc>
        <w:tc>
          <w:tcPr>
            <w:tcW w:w="1020" w:type="dxa"/>
            <w:vAlign w:val="bottom"/>
            <w:tcBorders>
              <w:top w:val="single" w:sz="8" w:color="808080"/>
            </w:tcBorders>
          </w:tcPr>
          <w:p>
            <w:pPr>
              <w:spacing w:after="0"/>
              <w:rPr>
                <w:sz w:val="7"/>
                <w:szCs w:val="7"/>
                <w:color w:val="auto"/>
              </w:rPr>
            </w:pPr>
          </w:p>
        </w:tc>
        <w:tc>
          <w:tcPr>
            <w:tcW w:w="640" w:type="dxa"/>
            <w:vAlign w:val="bottom"/>
            <w:tcBorders>
              <w:top w:val="single" w:sz="8" w:color="808080"/>
            </w:tcBorders>
          </w:tcPr>
          <w:p>
            <w:pPr>
              <w:spacing w:after="0"/>
              <w:rPr>
                <w:sz w:val="7"/>
                <w:szCs w:val="7"/>
                <w:color w:val="auto"/>
              </w:rPr>
            </w:pPr>
          </w:p>
        </w:tc>
        <w:tc>
          <w:tcPr>
            <w:tcW w:w="1140" w:type="dxa"/>
            <w:vAlign w:val="bottom"/>
            <w:tcBorders>
              <w:top w:val="single" w:sz="8" w:color="808080"/>
            </w:tcBorders>
          </w:tcPr>
          <w:p>
            <w:pPr>
              <w:spacing w:after="0"/>
              <w:rPr>
                <w:sz w:val="7"/>
                <w:szCs w:val="7"/>
                <w:color w:val="auto"/>
              </w:rPr>
            </w:pPr>
          </w:p>
        </w:tc>
        <w:tc>
          <w:tcPr>
            <w:tcW w:w="640" w:type="dxa"/>
            <w:vAlign w:val="bottom"/>
            <w:tcBorders>
              <w:top w:val="single" w:sz="8" w:color="808080"/>
            </w:tcBorders>
          </w:tcPr>
          <w:p>
            <w:pPr>
              <w:spacing w:after="0"/>
              <w:rPr>
                <w:sz w:val="7"/>
                <w:szCs w:val="7"/>
                <w:color w:val="auto"/>
              </w:rPr>
            </w:pPr>
          </w:p>
        </w:tc>
        <w:tc>
          <w:tcPr>
            <w:tcW w:w="80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color w:val="auto"/>
              </w:rPr>
              <w:t>Total operating costs and expenses</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2,144.5</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1,945.0</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2,112.6</w:t>
            </w:r>
          </w:p>
        </w:tc>
      </w:tr>
      <w:tr>
        <w:trPr>
          <w:trHeight w:val="93"/>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293"/>
        </w:trPr>
        <w:tc>
          <w:tcPr>
            <w:tcW w:w="552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income</w:t>
            </w:r>
          </w:p>
        </w:tc>
        <w:tc>
          <w:tcPr>
            <w:tcW w:w="1700" w:type="dxa"/>
            <w:vAlign w:val="bottom"/>
          </w:tcPr>
          <w:p>
            <w:pPr>
              <w:spacing w:after="0"/>
              <w:rPr>
                <w:sz w:val="24"/>
                <w:szCs w:val="24"/>
                <w:color w:val="auto"/>
              </w:rPr>
            </w:pPr>
          </w:p>
        </w:tc>
        <w:tc>
          <w:tcPr>
            <w:tcW w:w="1020" w:type="dxa"/>
            <w:vAlign w:val="bottom"/>
          </w:tcPr>
          <w:p>
            <w:pPr>
              <w:jc w:val="right"/>
              <w:ind w:right="184"/>
              <w:spacing w:after="0"/>
              <w:rPr>
                <w:sz w:val="20"/>
                <w:szCs w:val="20"/>
                <w:color w:val="auto"/>
              </w:rPr>
            </w:pPr>
            <w:r>
              <w:rPr>
                <w:rFonts w:ascii="Arial" w:cs="Arial" w:eastAsia="Arial" w:hAnsi="Arial"/>
                <w:sz w:val="15"/>
                <w:szCs w:val="15"/>
                <w:b w:val="1"/>
                <w:bCs w:val="1"/>
                <w:color w:val="auto"/>
              </w:rPr>
              <w:t>139.3</w:t>
            </w:r>
          </w:p>
        </w:tc>
        <w:tc>
          <w:tcPr>
            <w:tcW w:w="640" w:type="dxa"/>
            <w:vAlign w:val="bottom"/>
          </w:tcPr>
          <w:p>
            <w:pPr>
              <w:spacing w:after="0"/>
              <w:rPr>
                <w:sz w:val="24"/>
                <w:szCs w:val="24"/>
                <w:color w:val="auto"/>
              </w:rPr>
            </w:pPr>
          </w:p>
        </w:tc>
        <w:tc>
          <w:tcPr>
            <w:tcW w:w="1140" w:type="dxa"/>
            <w:vAlign w:val="bottom"/>
          </w:tcPr>
          <w:p>
            <w:pPr>
              <w:jc w:val="right"/>
              <w:ind w:right="244"/>
              <w:spacing w:after="0"/>
              <w:rPr>
                <w:sz w:val="20"/>
                <w:szCs w:val="20"/>
                <w:color w:val="auto"/>
              </w:rPr>
            </w:pPr>
            <w:r>
              <w:rPr>
                <w:rFonts w:ascii="Arial" w:cs="Arial" w:eastAsia="Arial" w:hAnsi="Arial"/>
                <w:sz w:val="15"/>
                <w:szCs w:val="15"/>
                <w:b w:val="1"/>
                <w:bCs w:val="1"/>
                <w:color w:val="auto"/>
              </w:rPr>
              <w:t>134.9</w:t>
            </w:r>
          </w:p>
        </w:tc>
        <w:tc>
          <w:tcPr>
            <w:tcW w:w="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121.2</w:t>
            </w: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color w:val="auto"/>
              </w:rPr>
              <w:t>Other income</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8.0</w:t>
            </w:r>
          </w:p>
        </w:tc>
      </w:tr>
      <w:tr>
        <w:trPr>
          <w:trHeight w:val="208"/>
        </w:trPr>
        <w:tc>
          <w:tcPr>
            <w:tcW w:w="5520" w:type="dxa"/>
            <w:vAlign w:val="bottom"/>
            <w:gridSpan w:val="2"/>
          </w:tcPr>
          <w:p>
            <w:pPr>
              <w:ind w:left="20"/>
              <w:spacing w:after="0"/>
              <w:rPr>
                <w:sz w:val="20"/>
                <w:szCs w:val="20"/>
                <w:color w:val="auto"/>
              </w:rPr>
            </w:pPr>
            <w:r>
              <w:rPr>
                <w:rFonts w:ascii="Arial" w:cs="Arial" w:eastAsia="Arial" w:hAnsi="Arial"/>
                <w:sz w:val="15"/>
                <w:szCs w:val="15"/>
                <w:color w:val="auto"/>
              </w:rPr>
              <w:t>Interest income</w:t>
            </w:r>
          </w:p>
        </w:tc>
        <w:tc>
          <w:tcPr>
            <w:tcW w:w="1700" w:type="dxa"/>
            <w:vAlign w:val="bottom"/>
          </w:tcPr>
          <w:p>
            <w:pPr>
              <w:spacing w:after="0"/>
              <w:rPr>
                <w:sz w:val="18"/>
                <w:szCs w:val="18"/>
                <w:color w:val="auto"/>
              </w:rPr>
            </w:pPr>
          </w:p>
        </w:tc>
        <w:tc>
          <w:tcPr>
            <w:tcW w:w="1020" w:type="dxa"/>
            <w:vAlign w:val="bottom"/>
          </w:tcPr>
          <w:p>
            <w:pPr>
              <w:jc w:val="right"/>
              <w:ind w:right="184"/>
              <w:spacing w:after="0"/>
              <w:rPr>
                <w:sz w:val="20"/>
                <w:szCs w:val="20"/>
                <w:color w:val="auto"/>
              </w:rPr>
            </w:pPr>
            <w:r>
              <w:rPr>
                <w:rFonts w:ascii="Arial" w:cs="Arial" w:eastAsia="Arial" w:hAnsi="Arial"/>
                <w:sz w:val="15"/>
                <w:szCs w:val="15"/>
                <w:color w:val="auto"/>
              </w:rPr>
              <w:t>3.5</w:t>
            </w:r>
          </w:p>
        </w:tc>
        <w:tc>
          <w:tcPr>
            <w:tcW w:w="640" w:type="dxa"/>
            <w:vAlign w:val="bottom"/>
          </w:tcPr>
          <w:p>
            <w:pPr>
              <w:spacing w:after="0"/>
              <w:rPr>
                <w:sz w:val="18"/>
                <w:szCs w:val="18"/>
                <w:color w:val="auto"/>
              </w:rPr>
            </w:pPr>
          </w:p>
        </w:tc>
        <w:tc>
          <w:tcPr>
            <w:tcW w:w="1140" w:type="dxa"/>
            <w:vAlign w:val="bottom"/>
          </w:tcPr>
          <w:p>
            <w:pPr>
              <w:jc w:val="right"/>
              <w:ind w:right="244"/>
              <w:spacing w:after="0"/>
              <w:rPr>
                <w:sz w:val="20"/>
                <w:szCs w:val="20"/>
                <w:color w:val="auto"/>
              </w:rPr>
            </w:pPr>
            <w:r>
              <w:rPr>
                <w:rFonts w:ascii="Arial" w:cs="Arial" w:eastAsia="Arial" w:hAnsi="Arial"/>
                <w:sz w:val="15"/>
                <w:szCs w:val="15"/>
                <w:color w:val="auto"/>
              </w:rPr>
              <w:t>1.0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color w:val="auto"/>
              </w:rPr>
              <w:t>Interest expense</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35.2</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36.2</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40.0</w:t>
            </w:r>
          </w:p>
        </w:tc>
      </w:tr>
      <w:tr>
        <w:trPr>
          <w:trHeight w:val="93"/>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293"/>
        </w:trPr>
        <w:tc>
          <w:tcPr>
            <w:tcW w:w="5520" w:type="dxa"/>
            <w:vAlign w:val="bottom"/>
            <w:gridSpan w:val="2"/>
          </w:tcPr>
          <w:p>
            <w:pPr>
              <w:ind w:left="20"/>
              <w:spacing w:after="0"/>
              <w:rPr>
                <w:sz w:val="20"/>
                <w:szCs w:val="20"/>
                <w:color w:val="auto"/>
              </w:rPr>
            </w:pPr>
            <w:r>
              <w:rPr>
                <w:rFonts w:ascii="Arial" w:cs="Arial" w:eastAsia="Arial" w:hAnsi="Arial"/>
                <w:sz w:val="15"/>
                <w:szCs w:val="15"/>
                <w:color w:val="auto"/>
              </w:rPr>
              <w:t>Earnings before income taxes</w:t>
            </w:r>
          </w:p>
        </w:tc>
        <w:tc>
          <w:tcPr>
            <w:tcW w:w="1700" w:type="dxa"/>
            <w:vAlign w:val="bottom"/>
          </w:tcPr>
          <w:p>
            <w:pPr>
              <w:spacing w:after="0"/>
              <w:rPr>
                <w:sz w:val="24"/>
                <w:szCs w:val="24"/>
                <w:color w:val="auto"/>
              </w:rPr>
            </w:pPr>
          </w:p>
        </w:tc>
        <w:tc>
          <w:tcPr>
            <w:tcW w:w="1020" w:type="dxa"/>
            <w:vAlign w:val="bottom"/>
          </w:tcPr>
          <w:p>
            <w:pPr>
              <w:jc w:val="right"/>
              <w:ind w:right="184"/>
              <w:spacing w:after="0"/>
              <w:rPr>
                <w:sz w:val="20"/>
                <w:szCs w:val="20"/>
                <w:color w:val="auto"/>
              </w:rPr>
            </w:pPr>
            <w:r>
              <w:rPr>
                <w:rFonts w:ascii="Arial" w:cs="Arial" w:eastAsia="Arial" w:hAnsi="Arial"/>
                <w:sz w:val="15"/>
                <w:szCs w:val="15"/>
                <w:color w:val="auto"/>
              </w:rPr>
              <w:t>107.6</w:t>
            </w:r>
          </w:p>
        </w:tc>
        <w:tc>
          <w:tcPr>
            <w:tcW w:w="640" w:type="dxa"/>
            <w:vAlign w:val="bottom"/>
          </w:tcPr>
          <w:p>
            <w:pPr>
              <w:spacing w:after="0"/>
              <w:rPr>
                <w:sz w:val="24"/>
                <w:szCs w:val="24"/>
                <w:color w:val="auto"/>
              </w:rPr>
            </w:pPr>
          </w:p>
        </w:tc>
        <w:tc>
          <w:tcPr>
            <w:tcW w:w="1140" w:type="dxa"/>
            <w:vAlign w:val="bottom"/>
          </w:tcPr>
          <w:p>
            <w:pPr>
              <w:jc w:val="right"/>
              <w:ind w:right="244"/>
              <w:spacing w:after="0"/>
              <w:rPr>
                <w:sz w:val="20"/>
                <w:szCs w:val="20"/>
                <w:color w:val="auto"/>
              </w:rPr>
            </w:pPr>
            <w:r>
              <w:rPr>
                <w:rFonts w:ascii="Arial" w:cs="Arial" w:eastAsia="Arial" w:hAnsi="Arial"/>
                <w:sz w:val="15"/>
                <w:szCs w:val="15"/>
                <w:color w:val="auto"/>
              </w:rPr>
              <w:t>99.7</w:t>
            </w:r>
          </w:p>
        </w:tc>
        <w:tc>
          <w:tcPr>
            <w:tcW w:w="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89.6</w:t>
            </w: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color w:val="auto"/>
              </w:rPr>
              <w:t>Provision for income taxes</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39.0</w:t>
            </w: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35.4</w:t>
            </w: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31.8</w:t>
            </w:r>
          </w:p>
        </w:tc>
      </w:tr>
      <w:tr>
        <w:trPr>
          <w:trHeight w:val="93"/>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04"/>
        </w:trPr>
        <w:tc>
          <w:tcPr>
            <w:tcW w:w="552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income</w:t>
            </w:r>
          </w:p>
        </w:tc>
        <w:tc>
          <w:tcPr>
            <w:tcW w:w="170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184"/>
              <w:spacing w:after="0"/>
              <w:rPr>
                <w:sz w:val="20"/>
                <w:szCs w:val="20"/>
                <w:color w:val="auto"/>
              </w:rPr>
            </w:pPr>
            <w:r>
              <w:rPr>
                <w:rFonts w:ascii="Arial" w:cs="Arial" w:eastAsia="Arial" w:hAnsi="Arial"/>
                <w:sz w:val="15"/>
                <w:szCs w:val="15"/>
                <w:b w:val="1"/>
                <w:bCs w:val="1"/>
                <w:color w:val="auto"/>
              </w:rPr>
              <w:t>68.6</w:t>
            </w:r>
          </w:p>
        </w:tc>
        <w:tc>
          <w:tcPr>
            <w:tcW w:w="640" w:type="dxa"/>
            <w:vAlign w:val="bottom"/>
          </w:tcPr>
          <w:p>
            <w:pPr>
              <w:jc w:val="right"/>
              <w:ind w:right="224"/>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244"/>
              <w:spacing w:after="0"/>
              <w:rPr>
                <w:sz w:val="20"/>
                <w:szCs w:val="20"/>
                <w:color w:val="auto"/>
              </w:rPr>
            </w:pPr>
            <w:r>
              <w:rPr>
                <w:rFonts w:ascii="Arial" w:cs="Arial" w:eastAsia="Arial" w:hAnsi="Arial"/>
                <w:sz w:val="15"/>
                <w:szCs w:val="15"/>
                <w:b w:val="1"/>
                <w:bCs w:val="1"/>
                <w:color w:val="auto"/>
              </w:rPr>
              <w:t>64.3</w:t>
            </w:r>
          </w:p>
        </w:tc>
        <w:tc>
          <w:tcPr>
            <w:tcW w:w="64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57.8</w:t>
            </w:r>
          </w:p>
        </w:tc>
      </w:tr>
      <w:tr>
        <w:trPr>
          <w:trHeight w:val="103"/>
        </w:trPr>
        <w:tc>
          <w:tcPr>
            <w:tcW w:w="5520" w:type="dxa"/>
            <w:vAlign w:val="bottom"/>
            <w:tcBorders>
              <w:bottom w:val="single" w:sz="8" w:color="808080"/>
            </w:tcBorders>
            <w:gridSpan w:val="2"/>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89"/>
        </w:trPr>
        <w:tc>
          <w:tcPr>
            <w:tcW w:w="20" w:type="dxa"/>
            <w:vAlign w:val="bottom"/>
          </w:tcPr>
          <w:p>
            <w:pPr>
              <w:spacing w:after="0"/>
              <w:rPr>
                <w:sz w:val="7"/>
                <w:szCs w:val="7"/>
                <w:color w:val="auto"/>
              </w:rPr>
            </w:pPr>
          </w:p>
        </w:tc>
        <w:tc>
          <w:tcPr>
            <w:tcW w:w="55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Earnings per Share of Class A Stock and Common Stock:</w:t>
            </w:r>
          </w:p>
        </w:tc>
        <w:tc>
          <w:tcPr>
            <w:tcW w:w="170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r>
      <w:tr>
        <w:trPr>
          <w:trHeight w:val="208"/>
        </w:trPr>
        <w:tc>
          <w:tcPr>
            <w:tcW w:w="552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E6E6E6"/>
          </w:tcPr>
          <w:p>
            <w:pPr>
              <w:ind w:left="140"/>
              <w:spacing w:after="0"/>
              <w:rPr>
                <w:sz w:val="20"/>
                <w:szCs w:val="20"/>
                <w:color w:val="auto"/>
              </w:rPr>
            </w:pPr>
            <w:r>
              <w:rPr>
                <w:rFonts w:ascii="Arial" w:cs="Arial" w:eastAsia="Arial" w:hAnsi="Arial"/>
                <w:sz w:val="15"/>
                <w:szCs w:val="15"/>
                <w:color w:val="auto"/>
              </w:rPr>
              <w:t>Basic</w:t>
            </w:r>
          </w:p>
        </w:tc>
        <w:tc>
          <w:tcPr>
            <w:tcW w:w="17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1.65</w:t>
            </w:r>
          </w:p>
        </w:tc>
        <w:tc>
          <w:tcPr>
            <w:tcW w:w="64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1140" w:type="dxa"/>
            <w:vAlign w:val="bottom"/>
            <w:shd w:val="clear" w:color="auto" w:fill="E6E6E6"/>
          </w:tcPr>
          <w:p>
            <w:pPr>
              <w:jc w:val="right"/>
              <w:ind w:right="244"/>
              <w:spacing w:after="0"/>
              <w:rPr>
                <w:sz w:val="20"/>
                <w:szCs w:val="20"/>
                <w:color w:val="auto"/>
              </w:rPr>
            </w:pPr>
            <w:r>
              <w:rPr>
                <w:rFonts w:ascii="Arial" w:cs="Arial" w:eastAsia="Arial" w:hAnsi="Arial"/>
                <w:sz w:val="15"/>
                <w:szCs w:val="15"/>
                <w:color w:val="auto"/>
              </w:rPr>
              <w:t>1.61</w:t>
            </w:r>
          </w:p>
        </w:tc>
        <w:tc>
          <w:tcPr>
            <w:tcW w:w="64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1.47</w:t>
            </w:r>
          </w:p>
        </w:tc>
      </w:tr>
      <w:tr>
        <w:trPr>
          <w:trHeight w:val="219"/>
        </w:trPr>
        <w:tc>
          <w:tcPr>
            <w:tcW w:w="2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5"/>
                <w:szCs w:val="15"/>
                <w:color w:val="auto"/>
              </w:rPr>
              <w:t>Diluted</w:t>
            </w:r>
          </w:p>
        </w:tc>
        <w:tc>
          <w:tcPr>
            <w:tcW w:w="17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84"/>
              <w:spacing w:after="0"/>
              <w:rPr>
                <w:sz w:val="20"/>
                <w:szCs w:val="20"/>
                <w:color w:val="auto"/>
              </w:rPr>
            </w:pPr>
            <w:r>
              <w:rPr>
                <w:rFonts w:ascii="Arial" w:cs="Arial" w:eastAsia="Arial" w:hAnsi="Arial"/>
                <w:sz w:val="15"/>
                <w:szCs w:val="15"/>
                <w:color w:val="auto"/>
              </w:rPr>
              <w:t>1.63</w:t>
            </w:r>
          </w:p>
        </w:tc>
        <w:tc>
          <w:tcPr>
            <w:tcW w:w="64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44"/>
              <w:spacing w:after="0"/>
              <w:rPr>
                <w:sz w:val="20"/>
                <w:szCs w:val="20"/>
                <w:color w:val="auto"/>
              </w:rPr>
            </w:pPr>
            <w:r>
              <w:rPr>
                <w:rFonts w:ascii="Arial" w:cs="Arial" w:eastAsia="Arial" w:hAnsi="Arial"/>
                <w:sz w:val="15"/>
                <w:szCs w:val="15"/>
                <w:color w:val="auto"/>
              </w:rPr>
              <w:t>1.58</w:t>
            </w:r>
          </w:p>
        </w:tc>
        <w:tc>
          <w:tcPr>
            <w:tcW w:w="64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103"/>
        </w:trPr>
        <w:tc>
          <w:tcPr>
            <w:tcW w:w="20" w:type="dxa"/>
            <w:vAlign w:val="bottom"/>
            <w:tcBorders>
              <w:bottom w:val="single" w:sz="8" w:color="808080"/>
            </w:tcBorders>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-700405</wp:posOffset>
            </wp:positionV>
            <wp:extent cx="12700" cy="27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-700405</wp:posOffset>
            </wp:positionV>
            <wp:extent cx="12700" cy="27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258445</wp:posOffset>
            </wp:positionV>
            <wp:extent cx="1938655" cy="3403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728535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48" w:right="219" w:bottom="1440" w:gutter="0" w:footer="0" w:header="0"/>
        </w:sectPr>
      </w:pPr>
    </w:p>
    <w:bookmarkStart w:id="35" w:name="page36"/>
    <w:bookmarkEnd w:id="35"/>
    <w:p>
      <w:pPr>
        <w:ind w:left="20"/>
        <w:spacing w:after="0"/>
        <w:rPr>
          <w:sz w:val="20"/>
          <w:szCs w:val="20"/>
          <w:color w:val="auto"/>
        </w:rPr>
      </w:pPr>
      <w:r>
        <w:rPr>
          <w:rFonts w:ascii="Arial" w:cs="Arial" w:eastAsia="Arial" w:hAnsi="Arial"/>
          <w:sz w:val="15"/>
          <w:szCs w:val="15"/>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210820</wp:posOffset>
            </wp:positionV>
            <wp:extent cx="72656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00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5340" w:type="dxa"/>
            <w:vAlign w:val="bottom"/>
          </w:tcPr>
          <w:p>
            <w:pPr>
              <w:jc w:val="right"/>
              <w:ind w:right="504"/>
              <w:spacing w:after="0"/>
              <w:rPr>
                <w:sz w:val="20"/>
                <w:szCs w:val="20"/>
                <w:color w:val="auto"/>
              </w:rPr>
            </w:pPr>
            <w:r>
              <w:rPr>
                <w:rFonts w:ascii="Arial" w:cs="Arial" w:eastAsia="Arial" w:hAnsi="Arial"/>
                <w:sz w:val="15"/>
                <w:szCs w:val="15"/>
                <w:b w:val="1"/>
                <w:bCs w:val="1"/>
                <w:color w:val="auto"/>
              </w:rPr>
              <w:t>2006</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127635</wp:posOffset>
            </wp:positionV>
            <wp:extent cx="7265670" cy="133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60960</wp:posOffset>
            </wp:positionV>
            <wp:extent cx="726567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60"/>
          </w:cols>
          <w:pgMar w:left="220" w:top="148" w:right="219" w:bottom="1440" w:gutter="0" w:footer="0" w:header="0"/>
        </w:sect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Assets: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266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5670" cy="266065"/>
                    </a:xfrm>
                    <a:prstGeom prst="rect">
                      <a:avLst/>
                    </a:prstGeom>
                    <a:noFill/>
                  </pic:spPr>
                </pic:pic>
              </a:graphicData>
            </a:graphic>
          </wp:anchor>
        </w:drawing>
      </w:r>
    </w:p>
    <w:p>
      <w:pPr>
        <w:spacing w:after="0" w:line="17" w:lineRule="exact"/>
        <w:rPr>
          <w:sz w:val="20"/>
          <w:szCs w:val="20"/>
          <w:color w:val="auto"/>
        </w:rPr>
      </w:pPr>
    </w:p>
    <w:p>
      <w:pPr>
        <w:ind w:left="440" w:right="2360" w:hanging="279"/>
        <w:spacing w:after="0" w:line="291" w:lineRule="auto"/>
        <w:rPr>
          <w:sz w:val="20"/>
          <w:szCs w:val="20"/>
          <w:color w:val="auto"/>
        </w:rPr>
      </w:pPr>
      <w:r>
        <w:rPr>
          <w:rFonts w:ascii="Arial" w:cs="Arial" w:eastAsia="Arial" w:hAnsi="Arial"/>
          <w:sz w:val="15"/>
          <w:szCs w:val="15"/>
          <w:color w:val="auto"/>
        </w:rPr>
        <w:t>Accounts receivable (less allowance for doubtful accounts of $49.5 at May 31, 2006 and $43.2 at May 31, 2005)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Deferred promotion costs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6567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205.3</w:t>
            </w:r>
          </w:p>
        </w:tc>
        <w:tc>
          <w:tcPr>
            <w:tcW w:w="6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110.6</w:t>
            </w:r>
          </w:p>
        </w:tc>
      </w:tr>
      <w:tr>
        <w:trPr>
          <w:trHeight w:val="201"/>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340" w:type="dxa"/>
            <w:vAlign w:val="bottom"/>
            <w:shd w:val="clear" w:color="auto" w:fill="E6E6E6"/>
          </w:tcPr>
          <w:p>
            <w:pPr>
              <w:spacing w:after="0"/>
              <w:rPr>
                <w:sz w:val="18"/>
                <w:szCs w:val="18"/>
                <w:color w:val="auto"/>
              </w:rPr>
            </w:pPr>
          </w:p>
        </w:tc>
        <w:tc>
          <w:tcPr>
            <w:tcW w:w="8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266.8</w:t>
            </w:r>
          </w:p>
        </w:tc>
        <w:tc>
          <w:tcPr>
            <w:tcW w:w="60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269.6</w:t>
            </w:r>
          </w:p>
        </w:tc>
      </w:tr>
      <w:tr>
        <w:trPr>
          <w:trHeight w:val="219"/>
        </w:trPr>
        <w:tc>
          <w:tcPr>
            <w:tcW w:w="340" w:type="dxa"/>
            <w:vAlign w:val="bottom"/>
          </w:tcPr>
          <w:p>
            <w:pPr>
              <w:spacing w:after="0"/>
              <w:rPr>
                <w:sz w:val="19"/>
                <w:szCs w:val="19"/>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431.5</w:t>
            </w:r>
          </w:p>
        </w:tc>
        <w:tc>
          <w:tcPr>
            <w:tcW w:w="600" w:type="dxa"/>
            <w:vAlign w:val="bottom"/>
          </w:tcPr>
          <w:p>
            <w:pPr>
              <w:spacing w:after="0"/>
              <w:rPr>
                <w:sz w:val="19"/>
                <w:szCs w:val="19"/>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404.9</w:t>
            </w:r>
          </w:p>
        </w:tc>
      </w:tr>
      <w:tr>
        <w:trPr>
          <w:trHeight w:val="210"/>
        </w:trPr>
        <w:tc>
          <w:tcPr>
            <w:tcW w:w="340" w:type="dxa"/>
            <w:vAlign w:val="bottom"/>
          </w:tcPr>
          <w:p>
            <w:pPr>
              <w:spacing w:after="0"/>
              <w:rPr>
                <w:sz w:val="18"/>
                <w:szCs w:val="18"/>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49.8</w:t>
            </w:r>
          </w:p>
        </w:tc>
        <w:tc>
          <w:tcPr>
            <w:tcW w:w="60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38.6</w:t>
            </w:r>
          </w:p>
        </w:tc>
      </w:tr>
      <w:tr>
        <w:trPr>
          <w:trHeight w:val="210"/>
        </w:trPr>
        <w:tc>
          <w:tcPr>
            <w:tcW w:w="340" w:type="dxa"/>
            <w:vAlign w:val="bottom"/>
          </w:tcPr>
          <w:p>
            <w:pPr>
              <w:spacing w:after="0"/>
              <w:rPr>
                <w:sz w:val="18"/>
                <w:szCs w:val="18"/>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73.1</w:t>
            </w:r>
          </w:p>
        </w:tc>
        <w:tc>
          <w:tcPr>
            <w:tcW w:w="60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71.7</w:t>
            </w:r>
          </w:p>
        </w:tc>
      </w:tr>
      <w:tr>
        <w:trPr>
          <w:trHeight w:val="210"/>
        </w:trPr>
        <w:tc>
          <w:tcPr>
            <w:tcW w:w="340" w:type="dxa"/>
            <w:vAlign w:val="bottom"/>
          </w:tcPr>
          <w:p>
            <w:pPr>
              <w:spacing w:after="0"/>
              <w:rPr>
                <w:sz w:val="18"/>
                <w:szCs w:val="18"/>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52.4</w:t>
            </w:r>
          </w:p>
        </w:tc>
        <w:tc>
          <w:tcPr>
            <w:tcW w:w="60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43.9</w:t>
            </w:r>
          </w:p>
        </w:tc>
      </w:tr>
    </w:tbl>
    <w:p>
      <w:pPr>
        <w:spacing w:after="0" w:line="197" w:lineRule="exact"/>
        <w:rPr>
          <w:sz w:val="20"/>
          <w:szCs w:val="20"/>
          <w:color w:val="auto"/>
        </w:rPr>
      </w:pPr>
    </w:p>
    <w:p>
      <w:pPr>
        <w:sectPr>
          <w:pgSz w:w="11900" w:h="16838" w:orient="portrait"/>
          <w:cols w:equalWidth="0" w:num="2">
            <w:col w:w="8120" w:space="720"/>
            <w:col w:w="2620"/>
          </w:cols>
          <w:pgMar w:left="220" w:top="148" w:right="219" w:bottom="1440" w:gutter="0" w:footer="0" w:header="0"/>
          <w:type w:val="continuous"/>
        </w:sectPr>
      </w:pPr>
    </w:p>
    <w:tbl>
      <w:tblPr>
        <w:tblLayout w:type="fixed"/>
        <w:tblInd w:w="20" w:type="dxa"/>
        <w:tblCellMar>
          <w:top w:w="0" w:type="dxa"/>
          <w:left w:w="0" w:type="dxa"/>
          <w:bottom w:w="0" w:type="dxa"/>
          <w:right w:w="0" w:type="dxa"/>
        </w:tblCellMar>
      </w:tblPr>
      <w:tr>
        <w:trPr>
          <w:trHeight w:val="211"/>
        </w:trPr>
        <w:tc>
          <w:tcPr>
            <w:tcW w:w="6340" w:type="dxa"/>
            <w:vAlign w:val="bottom"/>
          </w:tcPr>
          <w:p>
            <w:pPr>
              <w:spacing w:after="0"/>
              <w:rPr>
                <w:sz w:val="20"/>
                <w:szCs w:val="20"/>
                <w:color w:val="auto"/>
              </w:rPr>
            </w:pPr>
            <w:r>
              <w:rPr>
                <w:rFonts w:ascii="Arial" w:cs="Arial" w:eastAsia="Arial" w:hAnsi="Arial"/>
                <w:sz w:val="15"/>
                <w:szCs w:val="15"/>
                <w:b w:val="1"/>
                <w:bCs w:val="1"/>
                <w:color w:val="auto"/>
              </w:rPr>
              <w:t>Total current assets</w:t>
            </w:r>
          </w:p>
        </w:tc>
        <w:tc>
          <w:tcPr>
            <w:tcW w:w="4000" w:type="dxa"/>
            <w:vAlign w:val="bottom"/>
          </w:tcPr>
          <w:p>
            <w:pPr>
              <w:jc w:val="right"/>
              <w:ind w:right="464"/>
              <w:spacing w:after="0"/>
              <w:rPr>
                <w:sz w:val="20"/>
                <w:szCs w:val="20"/>
                <w:color w:val="auto"/>
              </w:rPr>
            </w:pPr>
            <w:r>
              <w:rPr>
                <w:rFonts w:ascii="Arial" w:cs="Arial" w:eastAsia="Arial" w:hAnsi="Arial"/>
                <w:sz w:val="15"/>
                <w:szCs w:val="15"/>
                <w:b w:val="1"/>
                <w:bCs w:val="1"/>
                <w:color w:val="auto"/>
              </w:rPr>
              <w:t>1,078.9</w:t>
            </w:r>
          </w:p>
        </w:tc>
        <w:tc>
          <w:tcPr>
            <w:tcW w:w="1100" w:type="dxa"/>
            <w:vAlign w:val="bottom"/>
          </w:tcPr>
          <w:p>
            <w:pPr>
              <w:jc w:val="right"/>
              <w:ind w:right="84"/>
              <w:spacing w:after="0"/>
              <w:rPr>
                <w:sz w:val="20"/>
                <w:szCs w:val="20"/>
                <w:color w:val="auto"/>
              </w:rPr>
            </w:pPr>
            <w:r>
              <w:rPr>
                <w:rFonts w:ascii="Arial" w:cs="Arial" w:eastAsia="Arial" w:hAnsi="Arial"/>
                <w:sz w:val="15"/>
                <w:szCs w:val="15"/>
                <w:b w:val="1"/>
                <w:bCs w:val="1"/>
                <w:color w:val="auto"/>
              </w:rPr>
              <w:t>939.3</w:t>
            </w:r>
          </w:p>
        </w:tc>
      </w:tr>
      <w:tr>
        <w:trPr>
          <w:trHeight w:val="84"/>
        </w:trPr>
        <w:tc>
          <w:tcPr>
            <w:tcW w:w="6340" w:type="dxa"/>
            <w:vAlign w:val="bottom"/>
            <w:tcBorders>
              <w:bottom w:val="single" w:sz="8" w:color="808080"/>
            </w:tcBorders>
          </w:tcPr>
          <w:p>
            <w:pPr>
              <w:spacing w:after="0"/>
              <w:rPr>
                <w:sz w:val="7"/>
                <w:szCs w:val="7"/>
                <w:color w:val="auto"/>
              </w:rPr>
            </w:pPr>
          </w:p>
        </w:tc>
        <w:tc>
          <w:tcPr>
            <w:tcW w:w="400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r>
      <w:tr>
        <w:trPr>
          <w:trHeight w:val="85"/>
        </w:trPr>
        <w:tc>
          <w:tcPr>
            <w:tcW w:w="634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0"/>
        </w:trPr>
        <w:tc>
          <w:tcPr>
            <w:tcW w:w="634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Property, Plant and Equipment:</w:t>
            </w:r>
          </w:p>
        </w:tc>
        <w:tc>
          <w:tcPr>
            <w:tcW w:w="40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r>
      <w:tr>
        <w:trPr>
          <w:trHeight w:val="210"/>
        </w:trPr>
        <w:tc>
          <w:tcPr>
            <w:tcW w:w="6340" w:type="dxa"/>
            <w:vAlign w:val="bottom"/>
          </w:tcPr>
          <w:p>
            <w:pPr>
              <w:ind w:left="140"/>
              <w:spacing w:after="0"/>
              <w:rPr>
                <w:sz w:val="20"/>
                <w:szCs w:val="20"/>
                <w:color w:val="auto"/>
              </w:rPr>
            </w:pPr>
            <w:r>
              <w:rPr>
                <w:rFonts w:ascii="Arial" w:cs="Arial" w:eastAsia="Arial" w:hAnsi="Arial"/>
                <w:sz w:val="15"/>
                <w:szCs w:val="15"/>
                <w:color w:val="auto"/>
              </w:rPr>
              <w:t>Land</w:t>
            </w:r>
          </w:p>
        </w:tc>
        <w:tc>
          <w:tcPr>
            <w:tcW w:w="4000" w:type="dxa"/>
            <w:vAlign w:val="bottom"/>
          </w:tcPr>
          <w:p>
            <w:pPr>
              <w:jc w:val="right"/>
              <w:ind w:right="464"/>
              <w:spacing w:after="0"/>
              <w:rPr>
                <w:sz w:val="20"/>
                <w:szCs w:val="20"/>
                <w:color w:val="auto"/>
              </w:rPr>
            </w:pPr>
            <w:r>
              <w:rPr>
                <w:rFonts w:ascii="Arial" w:cs="Arial" w:eastAsia="Arial" w:hAnsi="Arial"/>
                <w:sz w:val="15"/>
                <w:szCs w:val="15"/>
                <w:color w:val="auto"/>
              </w:rPr>
              <w:t>13.3</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13.3</w:t>
            </w:r>
          </w:p>
        </w:tc>
      </w:tr>
      <w:tr>
        <w:trPr>
          <w:trHeight w:val="210"/>
        </w:trPr>
        <w:tc>
          <w:tcPr>
            <w:tcW w:w="6340" w:type="dxa"/>
            <w:vAlign w:val="bottom"/>
            <w:shd w:val="clear" w:color="auto" w:fill="E6E6E6"/>
          </w:tcPr>
          <w:p>
            <w:pPr>
              <w:ind w:left="140"/>
              <w:spacing w:after="0"/>
              <w:rPr>
                <w:sz w:val="20"/>
                <w:szCs w:val="20"/>
                <w:color w:val="auto"/>
              </w:rPr>
            </w:pPr>
            <w:r>
              <w:rPr>
                <w:rFonts w:ascii="Arial" w:cs="Arial" w:eastAsia="Arial" w:hAnsi="Arial"/>
                <w:sz w:val="15"/>
                <w:szCs w:val="15"/>
                <w:color w:val="auto"/>
              </w:rPr>
              <w:t>Buildings</w:t>
            </w:r>
          </w:p>
        </w:tc>
        <w:tc>
          <w:tcPr>
            <w:tcW w:w="4000" w:type="dxa"/>
            <w:vAlign w:val="bottom"/>
            <w:shd w:val="clear" w:color="auto" w:fill="E6E6E6"/>
          </w:tcPr>
          <w:p>
            <w:pPr>
              <w:jc w:val="right"/>
              <w:ind w:right="464"/>
              <w:spacing w:after="0"/>
              <w:rPr>
                <w:sz w:val="20"/>
                <w:szCs w:val="20"/>
                <w:color w:val="auto"/>
              </w:rPr>
            </w:pPr>
            <w:r>
              <w:rPr>
                <w:rFonts w:ascii="Arial" w:cs="Arial" w:eastAsia="Arial" w:hAnsi="Arial"/>
                <w:sz w:val="15"/>
                <w:szCs w:val="15"/>
                <w:color w:val="auto"/>
              </w:rPr>
              <w:t>121.4</w:t>
            </w:r>
          </w:p>
        </w:tc>
        <w:tc>
          <w:tcPr>
            <w:tcW w:w="11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120.2</w:t>
            </w:r>
          </w:p>
        </w:tc>
      </w:tr>
      <w:tr>
        <w:trPr>
          <w:trHeight w:val="210"/>
        </w:trPr>
        <w:tc>
          <w:tcPr>
            <w:tcW w:w="6340" w:type="dxa"/>
            <w:vAlign w:val="bottom"/>
          </w:tcPr>
          <w:p>
            <w:pPr>
              <w:ind w:left="140"/>
              <w:spacing w:after="0"/>
              <w:rPr>
                <w:sz w:val="20"/>
                <w:szCs w:val="20"/>
                <w:color w:val="auto"/>
              </w:rPr>
            </w:pPr>
            <w:r>
              <w:rPr>
                <w:rFonts w:ascii="Arial" w:cs="Arial" w:eastAsia="Arial" w:hAnsi="Arial"/>
                <w:sz w:val="15"/>
                <w:szCs w:val="15"/>
                <w:color w:val="auto"/>
              </w:rPr>
              <w:t>Furniture, fixtures and equipment</w:t>
            </w:r>
          </w:p>
        </w:tc>
        <w:tc>
          <w:tcPr>
            <w:tcW w:w="4000" w:type="dxa"/>
            <w:vAlign w:val="bottom"/>
          </w:tcPr>
          <w:p>
            <w:pPr>
              <w:jc w:val="right"/>
              <w:ind w:right="464"/>
              <w:spacing w:after="0"/>
              <w:rPr>
                <w:sz w:val="20"/>
                <w:szCs w:val="20"/>
                <w:color w:val="auto"/>
              </w:rPr>
            </w:pPr>
            <w:r>
              <w:rPr>
                <w:rFonts w:ascii="Arial" w:cs="Arial" w:eastAsia="Arial" w:hAnsi="Arial"/>
                <w:sz w:val="15"/>
                <w:szCs w:val="15"/>
                <w:color w:val="auto"/>
              </w:rPr>
              <w:t>460.4</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414.1</w:t>
            </w:r>
          </w:p>
        </w:tc>
      </w:tr>
      <w:tr>
        <w:trPr>
          <w:trHeight w:val="210"/>
        </w:trPr>
        <w:tc>
          <w:tcPr>
            <w:tcW w:w="6340" w:type="dxa"/>
            <w:vAlign w:val="bottom"/>
            <w:shd w:val="clear" w:color="auto" w:fill="E6E6E6"/>
          </w:tcPr>
          <w:p>
            <w:pPr>
              <w:ind w:left="140"/>
              <w:spacing w:after="0"/>
              <w:rPr>
                <w:sz w:val="20"/>
                <w:szCs w:val="20"/>
                <w:color w:val="auto"/>
              </w:rPr>
            </w:pPr>
            <w:r>
              <w:rPr>
                <w:rFonts w:ascii="Arial" w:cs="Arial" w:eastAsia="Arial" w:hAnsi="Arial"/>
                <w:sz w:val="15"/>
                <w:szCs w:val="15"/>
                <w:color w:val="auto"/>
              </w:rPr>
              <w:t>Leasehold improvements</w:t>
            </w:r>
          </w:p>
        </w:tc>
        <w:tc>
          <w:tcPr>
            <w:tcW w:w="4000" w:type="dxa"/>
            <w:vAlign w:val="bottom"/>
            <w:shd w:val="clear" w:color="auto" w:fill="E6E6E6"/>
          </w:tcPr>
          <w:p>
            <w:pPr>
              <w:jc w:val="right"/>
              <w:ind w:right="464"/>
              <w:spacing w:after="0"/>
              <w:rPr>
                <w:sz w:val="20"/>
                <w:szCs w:val="20"/>
                <w:color w:val="auto"/>
              </w:rPr>
            </w:pPr>
            <w:r>
              <w:rPr>
                <w:rFonts w:ascii="Arial" w:cs="Arial" w:eastAsia="Arial" w:hAnsi="Arial"/>
                <w:sz w:val="15"/>
                <w:szCs w:val="15"/>
                <w:color w:val="auto"/>
              </w:rPr>
              <w:t>173.1</w:t>
            </w:r>
          </w:p>
        </w:tc>
        <w:tc>
          <w:tcPr>
            <w:tcW w:w="11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161.9</w:t>
            </w:r>
          </w:p>
        </w:tc>
      </w:tr>
      <w:tr>
        <w:trPr>
          <w:trHeight w:val="93"/>
        </w:trPr>
        <w:tc>
          <w:tcPr>
            <w:tcW w:w="634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304"/>
        </w:trPr>
        <w:tc>
          <w:tcPr>
            <w:tcW w:w="6340" w:type="dxa"/>
            <w:vAlign w:val="bottom"/>
          </w:tcPr>
          <w:p>
            <w:pPr>
              <w:spacing w:after="0"/>
              <w:rPr>
                <w:sz w:val="24"/>
                <w:szCs w:val="24"/>
                <w:color w:val="auto"/>
              </w:rPr>
            </w:pPr>
          </w:p>
        </w:tc>
        <w:tc>
          <w:tcPr>
            <w:tcW w:w="4000" w:type="dxa"/>
            <w:vAlign w:val="bottom"/>
          </w:tcPr>
          <w:p>
            <w:pPr>
              <w:jc w:val="right"/>
              <w:ind w:right="464"/>
              <w:spacing w:after="0"/>
              <w:rPr>
                <w:sz w:val="20"/>
                <w:szCs w:val="20"/>
                <w:color w:val="auto"/>
              </w:rPr>
            </w:pPr>
            <w:r>
              <w:rPr>
                <w:rFonts w:ascii="Arial" w:cs="Arial" w:eastAsia="Arial" w:hAnsi="Arial"/>
                <w:sz w:val="15"/>
                <w:szCs w:val="15"/>
                <w:color w:val="auto"/>
              </w:rPr>
              <w:t>768.2</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709.5</w:t>
            </w:r>
          </w:p>
        </w:tc>
      </w:tr>
      <w:tr>
        <w:trPr>
          <w:trHeight w:val="84"/>
        </w:trPr>
        <w:tc>
          <w:tcPr>
            <w:tcW w:w="6340" w:type="dxa"/>
            <w:vAlign w:val="bottom"/>
            <w:tcBorders>
              <w:bottom w:val="single" w:sz="8" w:color="808080"/>
            </w:tcBorders>
          </w:tcPr>
          <w:p>
            <w:pPr>
              <w:spacing w:after="0"/>
              <w:rPr>
                <w:sz w:val="7"/>
                <w:szCs w:val="7"/>
                <w:color w:val="auto"/>
              </w:rPr>
            </w:pPr>
          </w:p>
        </w:tc>
        <w:tc>
          <w:tcPr>
            <w:tcW w:w="400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r>
      <w:tr>
        <w:trPr>
          <w:trHeight w:val="85"/>
        </w:trPr>
        <w:tc>
          <w:tcPr>
            <w:tcW w:w="634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0"/>
        </w:trPr>
        <w:tc>
          <w:tcPr>
            <w:tcW w:w="6340" w:type="dxa"/>
            <w:vAlign w:val="bottom"/>
            <w:shd w:val="clear" w:color="auto" w:fill="E6E6E6"/>
          </w:tcPr>
          <w:p>
            <w:pPr>
              <w:ind w:left="140"/>
              <w:spacing w:after="0"/>
              <w:rPr>
                <w:sz w:val="20"/>
                <w:szCs w:val="20"/>
                <w:color w:val="auto"/>
              </w:rPr>
            </w:pPr>
            <w:r>
              <w:rPr>
                <w:rFonts w:ascii="Arial" w:cs="Arial" w:eastAsia="Arial" w:hAnsi="Arial"/>
                <w:sz w:val="15"/>
                <w:szCs w:val="15"/>
                <w:color w:val="auto"/>
              </w:rPr>
              <w:t>Less accumulated depreciation and amortization</w:t>
            </w:r>
          </w:p>
        </w:tc>
        <w:tc>
          <w:tcPr>
            <w:tcW w:w="4000" w:type="dxa"/>
            <w:vAlign w:val="bottom"/>
            <w:shd w:val="clear" w:color="auto" w:fill="E6E6E6"/>
          </w:tcPr>
          <w:p>
            <w:pPr>
              <w:jc w:val="right"/>
              <w:ind w:right="424"/>
              <w:spacing w:after="0"/>
              <w:rPr>
                <w:sz w:val="20"/>
                <w:szCs w:val="20"/>
                <w:color w:val="auto"/>
              </w:rPr>
            </w:pPr>
            <w:r>
              <w:rPr>
                <w:rFonts w:ascii="Arial" w:cs="Arial" w:eastAsia="Arial" w:hAnsi="Arial"/>
                <w:sz w:val="15"/>
                <w:szCs w:val="15"/>
                <w:color w:val="auto"/>
              </w:rPr>
              <w:t>(371.2)</w:t>
            </w:r>
          </w:p>
        </w:tc>
        <w:tc>
          <w:tcPr>
            <w:tcW w:w="110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(316.8)</w:t>
            </w:r>
          </w:p>
        </w:tc>
      </w:tr>
      <w:tr>
        <w:trPr>
          <w:trHeight w:val="93"/>
        </w:trPr>
        <w:tc>
          <w:tcPr>
            <w:tcW w:w="634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304"/>
        </w:trPr>
        <w:tc>
          <w:tcPr>
            <w:tcW w:w="6340" w:type="dxa"/>
            <w:vAlign w:val="bottom"/>
          </w:tcPr>
          <w:p>
            <w:pPr>
              <w:ind w:left="420"/>
              <w:spacing w:after="0"/>
              <w:rPr>
                <w:sz w:val="20"/>
                <w:szCs w:val="20"/>
                <w:color w:val="auto"/>
              </w:rPr>
            </w:pPr>
            <w:r>
              <w:rPr>
                <w:rFonts w:ascii="Arial" w:cs="Arial" w:eastAsia="Arial" w:hAnsi="Arial"/>
                <w:sz w:val="15"/>
                <w:szCs w:val="15"/>
                <w:b w:val="1"/>
                <w:bCs w:val="1"/>
                <w:color w:val="auto"/>
              </w:rPr>
              <w:t>Net property, plant and equipment</w:t>
            </w:r>
          </w:p>
        </w:tc>
        <w:tc>
          <w:tcPr>
            <w:tcW w:w="4000" w:type="dxa"/>
            <w:vAlign w:val="bottom"/>
          </w:tcPr>
          <w:p>
            <w:pPr>
              <w:jc w:val="right"/>
              <w:ind w:right="464"/>
              <w:spacing w:after="0"/>
              <w:rPr>
                <w:sz w:val="20"/>
                <w:szCs w:val="20"/>
                <w:color w:val="auto"/>
              </w:rPr>
            </w:pPr>
            <w:r>
              <w:rPr>
                <w:rFonts w:ascii="Arial" w:cs="Arial" w:eastAsia="Arial" w:hAnsi="Arial"/>
                <w:sz w:val="15"/>
                <w:szCs w:val="15"/>
                <w:b w:val="1"/>
                <w:bCs w:val="1"/>
                <w:color w:val="auto"/>
              </w:rPr>
              <w:t>397.0</w:t>
            </w:r>
          </w:p>
        </w:tc>
        <w:tc>
          <w:tcPr>
            <w:tcW w:w="1100" w:type="dxa"/>
            <w:vAlign w:val="bottom"/>
          </w:tcPr>
          <w:p>
            <w:pPr>
              <w:jc w:val="right"/>
              <w:ind w:right="84"/>
              <w:spacing w:after="0"/>
              <w:rPr>
                <w:sz w:val="20"/>
                <w:szCs w:val="20"/>
                <w:color w:val="auto"/>
              </w:rPr>
            </w:pPr>
            <w:r>
              <w:rPr>
                <w:rFonts w:ascii="Arial" w:cs="Arial" w:eastAsia="Arial" w:hAnsi="Arial"/>
                <w:sz w:val="15"/>
                <w:szCs w:val="15"/>
                <w:b w:val="1"/>
                <w:bCs w:val="1"/>
                <w:color w:val="auto"/>
              </w:rPr>
              <w:t>392.7</w:t>
            </w:r>
          </w:p>
        </w:tc>
      </w:tr>
      <w:tr>
        <w:trPr>
          <w:trHeight w:val="84"/>
        </w:trPr>
        <w:tc>
          <w:tcPr>
            <w:tcW w:w="6340" w:type="dxa"/>
            <w:vAlign w:val="bottom"/>
            <w:tcBorders>
              <w:bottom w:val="single" w:sz="8" w:color="808080"/>
            </w:tcBorders>
          </w:tcPr>
          <w:p>
            <w:pPr>
              <w:spacing w:after="0"/>
              <w:rPr>
                <w:sz w:val="7"/>
                <w:szCs w:val="7"/>
                <w:color w:val="auto"/>
              </w:rPr>
            </w:pPr>
          </w:p>
        </w:tc>
        <w:tc>
          <w:tcPr>
            <w:tcW w:w="400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265670" cy="133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ectPr>
          <w:pgSz w:w="11900" w:h="16838" w:orient="portrait"/>
          <w:cols w:equalWidth="0" w:num="1">
            <w:col w:w="11460"/>
          </w:cols>
          <w:pgMar w:left="220" w:top="148" w:right="219" w:bottom="1440" w:gutter="0" w:footer="0" w:header="0"/>
          <w:type w:val="continuous"/>
        </w:sectPr>
      </w:pPr>
    </w:p>
    <w:p>
      <w:pPr>
        <w:spacing w:after="0" w:line="10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Other Assets and Deferred Charges: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Prepublication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266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5670" cy="266065"/>
                    </a:xfrm>
                    <a:prstGeom prst="rect">
                      <a:avLst/>
                    </a:prstGeom>
                    <a:noFill/>
                  </pic:spPr>
                </pic:pic>
              </a:graphicData>
            </a:graphic>
          </wp:anchor>
        </w:drawing>
      </w:r>
    </w:p>
    <w:p>
      <w:pPr>
        <w:spacing w:after="0" w:line="17" w:lineRule="exact"/>
        <w:rPr>
          <w:sz w:val="20"/>
          <w:szCs w:val="20"/>
          <w:color w:val="auto"/>
        </w:rPr>
      </w:pPr>
    </w:p>
    <w:p>
      <w:pPr>
        <w:ind w:left="340" w:right="2260" w:hanging="185"/>
        <w:spacing w:after="0" w:line="291" w:lineRule="auto"/>
        <w:rPr>
          <w:sz w:val="20"/>
          <w:szCs w:val="20"/>
          <w:color w:val="auto"/>
        </w:rPr>
      </w:pPr>
      <w:r>
        <w:rPr>
          <w:rFonts w:ascii="Arial" w:cs="Arial" w:eastAsia="Arial" w:hAnsi="Arial"/>
          <w:sz w:val="15"/>
          <w:szCs w:val="15"/>
          <w:color w:val="auto"/>
        </w:rPr>
        <w:t>Installment receivables (less allowance for doubtful accounts of $3.3 at May 31, 2006 and $4.1 at May 31, 2005)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Royalty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Production costs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 intangibles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Noncurrent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6567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jc w:val="right"/>
              <w:ind w:right="464"/>
              <w:spacing w:after="0"/>
              <w:rPr>
                <w:sz w:val="20"/>
                <w:szCs w:val="20"/>
                <w:color w:val="auto"/>
              </w:rPr>
            </w:pPr>
            <w:r>
              <w:rPr>
                <w:rFonts w:ascii="Arial" w:cs="Arial" w:eastAsia="Arial" w:hAnsi="Arial"/>
                <w:sz w:val="15"/>
                <w:szCs w:val="15"/>
                <w:color w:val="auto"/>
              </w:rPr>
              <w:t>115.9</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120.2</w:t>
            </w:r>
          </w:p>
        </w:tc>
      </w:tr>
      <w:tr>
        <w:trPr>
          <w:trHeight w:val="201"/>
        </w:trPr>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1520" w:type="dxa"/>
            <w:vAlign w:val="bottom"/>
            <w:shd w:val="clear" w:color="auto" w:fill="E6E6E6"/>
          </w:tcPr>
          <w:p>
            <w:pPr>
              <w:jc w:val="right"/>
              <w:ind w:right="464"/>
              <w:spacing w:after="0"/>
              <w:rPr>
                <w:sz w:val="20"/>
                <w:szCs w:val="20"/>
                <w:color w:val="auto"/>
              </w:rPr>
            </w:pPr>
            <w:r>
              <w:rPr>
                <w:rFonts w:ascii="Arial" w:cs="Arial" w:eastAsia="Arial" w:hAnsi="Arial"/>
                <w:sz w:val="15"/>
                <w:szCs w:val="15"/>
                <w:color w:val="auto"/>
              </w:rPr>
              <w:t>11.2</w:t>
            </w:r>
          </w:p>
        </w:tc>
        <w:tc>
          <w:tcPr>
            <w:tcW w:w="11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10.6</w:t>
            </w:r>
          </w:p>
        </w:tc>
      </w:tr>
      <w:tr>
        <w:trPr>
          <w:trHeight w:val="219"/>
        </w:trPr>
        <w:tc>
          <w:tcPr>
            <w:tcW w:w="1520" w:type="dxa"/>
            <w:vAlign w:val="bottom"/>
          </w:tcPr>
          <w:p>
            <w:pPr>
              <w:jc w:val="right"/>
              <w:ind w:right="464"/>
              <w:spacing w:after="0"/>
              <w:rPr>
                <w:sz w:val="20"/>
                <w:szCs w:val="20"/>
                <w:color w:val="auto"/>
              </w:rPr>
            </w:pPr>
            <w:r>
              <w:rPr>
                <w:rFonts w:ascii="Arial" w:cs="Arial" w:eastAsia="Arial" w:hAnsi="Arial"/>
                <w:sz w:val="15"/>
                <w:szCs w:val="15"/>
                <w:color w:val="auto"/>
              </w:rPr>
              <w:t>46.0</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54.4</w:t>
            </w:r>
          </w:p>
        </w:tc>
      </w:tr>
      <w:tr>
        <w:trPr>
          <w:trHeight w:val="210"/>
        </w:trPr>
        <w:tc>
          <w:tcPr>
            <w:tcW w:w="1520" w:type="dxa"/>
            <w:vAlign w:val="bottom"/>
          </w:tcPr>
          <w:p>
            <w:pPr>
              <w:jc w:val="right"/>
              <w:ind w:right="464"/>
              <w:spacing w:after="0"/>
              <w:rPr>
                <w:sz w:val="20"/>
                <w:szCs w:val="20"/>
                <w:color w:val="auto"/>
              </w:rPr>
            </w:pPr>
            <w:r>
              <w:rPr>
                <w:rFonts w:ascii="Arial" w:cs="Arial" w:eastAsia="Arial" w:hAnsi="Arial"/>
                <w:sz w:val="15"/>
                <w:szCs w:val="15"/>
                <w:color w:val="auto"/>
              </w:rPr>
              <w:t>5.9</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9.7</w:t>
            </w:r>
          </w:p>
        </w:tc>
      </w:tr>
      <w:tr>
        <w:trPr>
          <w:trHeight w:val="210"/>
        </w:trPr>
        <w:tc>
          <w:tcPr>
            <w:tcW w:w="1520" w:type="dxa"/>
            <w:vAlign w:val="bottom"/>
          </w:tcPr>
          <w:p>
            <w:pPr>
              <w:jc w:val="right"/>
              <w:ind w:right="464"/>
              <w:spacing w:after="0"/>
              <w:rPr>
                <w:sz w:val="20"/>
                <w:szCs w:val="20"/>
                <w:color w:val="auto"/>
              </w:rPr>
            </w:pPr>
            <w:r>
              <w:rPr>
                <w:rFonts w:ascii="Arial" w:cs="Arial" w:eastAsia="Arial" w:hAnsi="Arial"/>
                <w:sz w:val="15"/>
                <w:szCs w:val="15"/>
                <w:color w:val="auto"/>
              </w:rPr>
              <w:t>253.1</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254.2</w:t>
            </w:r>
          </w:p>
        </w:tc>
      </w:tr>
      <w:tr>
        <w:trPr>
          <w:trHeight w:val="210"/>
        </w:trPr>
        <w:tc>
          <w:tcPr>
            <w:tcW w:w="1520" w:type="dxa"/>
            <w:vAlign w:val="bottom"/>
          </w:tcPr>
          <w:p>
            <w:pPr>
              <w:jc w:val="right"/>
              <w:ind w:right="464"/>
              <w:spacing w:after="0"/>
              <w:rPr>
                <w:sz w:val="20"/>
                <w:szCs w:val="20"/>
                <w:color w:val="auto"/>
              </w:rPr>
            </w:pPr>
            <w:r>
              <w:rPr>
                <w:rFonts w:ascii="Arial" w:cs="Arial" w:eastAsia="Arial" w:hAnsi="Arial"/>
                <w:sz w:val="15"/>
                <w:szCs w:val="15"/>
                <w:color w:val="auto"/>
              </w:rPr>
              <w:t>78.4</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78.7</w:t>
            </w:r>
          </w:p>
        </w:tc>
      </w:tr>
      <w:tr>
        <w:trPr>
          <w:trHeight w:val="210"/>
        </w:trPr>
        <w:tc>
          <w:tcPr>
            <w:tcW w:w="1520" w:type="dxa"/>
            <w:vAlign w:val="bottom"/>
          </w:tcPr>
          <w:p>
            <w:pPr>
              <w:jc w:val="right"/>
              <w:ind w:right="464"/>
              <w:spacing w:after="0"/>
              <w:rPr>
                <w:sz w:val="20"/>
                <w:szCs w:val="20"/>
                <w:color w:val="auto"/>
              </w:rPr>
            </w:pPr>
            <w:r>
              <w:rPr>
                <w:rFonts w:ascii="Arial" w:cs="Arial" w:eastAsia="Arial" w:hAnsi="Arial"/>
                <w:sz w:val="15"/>
                <w:szCs w:val="15"/>
                <w:color w:val="auto"/>
              </w:rPr>
              <w:t>4.5</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11.4</w:t>
            </w:r>
          </w:p>
        </w:tc>
      </w:tr>
      <w:tr>
        <w:trPr>
          <w:trHeight w:val="210"/>
        </w:trPr>
        <w:tc>
          <w:tcPr>
            <w:tcW w:w="1520" w:type="dxa"/>
            <w:vAlign w:val="bottom"/>
          </w:tcPr>
          <w:p>
            <w:pPr>
              <w:jc w:val="right"/>
              <w:ind w:right="464"/>
              <w:spacing w:after="0"/>
              <w:rPr>
                <w:sz w:val="20"/>
                <w:szCs w:val="20"/>
                <w:color w:val="auto"/>
              </w:rPr>
            </w:pPr>
            <w:r>
              <w:rPr>
                <w:rFonts w:ascii="Arial" w:cs="Arial" w:eastAsia="Arial" w:hAnsi="Arial"/>
                <w:sz w:val="15"/>
                <w:szCs w:val="15"/>
                <w:color w:val="auto"/>
              </w:rPr>
              <w:t>61.3</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60.2</w:t>
            </w:r>
          </w:p>
        </w:tc>
      </w:tr>
    </w:tbl>
    <w:p>
      <w:pPr>
        <w:spacing w:after="0" w:line="197" w:lineRule="exact"/>
        <w:rPr>
          <w:sz w:val="20"/>
          <w:szCs w:val="20"/>
          <w:color w:val="auto"/>
        </w:rPr>
      </w:pPr>
    </w:p>
    <w:p>
      <w:pPr>
        <w:sectPr>
          <w:pgSz w:w="11900" w:h="16838" w:orient="portrait"/>
          <w:cols w:equalWidth="0" w:num="2">
            <w:col w:w="8120" w:space="720"/>
            <w:col w:w="2620"/>
          </w:cols>
          <w:pgMar w:left="220" w:top="148" w:right="21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5"/>
                <w:szCs w:val="15"/>
                <w:b w:val="1"/>
                <w:bCs w:val="1"/>
                <w:color w:val="auto"/>
              </w:rPr>
              <w:t>Total other assets and deferred charges</w:t>
            </w:r>
          </w:p>
        </w:tc>
        <w:tc>
          <w:tcPr>
            <w:tcW w:w="3060" w:type="dxa"/>
            <w:vAlign w:val="bottom"/>
          </w:tcPr>
          <w:p>
            <w:pPr>
              <w:spacing w:after="0"/>
              <w:rPr>
                <w:sz w:val="18"/>
                <w:szCs w:val="18"/>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b w:val="1"/>
                <w:bCs w:val="1"/>
                <w:color w:val="auto"/>
              </w:rPr>
              <w:t>576.3</w:t>
            </w:r>
          </w:p>
        </w:tc>
        <w:tc>
          <w:tcPr>
            <w:tcW w:w="540" w:type="dxa"/>
            <w:vAlign w:val="bottom"/>
          </w:tcPr>
          <w:p>
            <w:pPr>
              <w:spacing w:after="0"/>
              <w:rPr>
                <w:sz w:val="18"/>
                <w:szCs w:val="18"/>
                <w:color w:val="auto"/>
              </w:rPr>
            </w:pPr>
          </w:p>
        </w:tc>
        <w:tc>
          <w:tcPr>
            <w:tcW w:w="860" w:type="dxa"/>
            <w:vAlign w:val="bottom"/>
          </w:tcPr>
          <w:p>
            <w:pPr>
              <w:jc w:val="right"/>
              <w:ind w:right="84"/>
              <w:spacing w:after="0"/>
              <w:rPr>
                <w:sz w:val="20"/>
                <w:szCs w:val="20"/>
                <w:color w:val="auto"/>
              </w:rPr>
            </w:pPr>
            <w:r>
              <w:rPr>
                <w:rFonts w:ascii="Arial" w:cs="Arial" w:eastAsia="Arial" w:hAnsi="Arial"/>
                <w:sz w:val="15"/>
                <w:szCs w:val="15"/>
                <w:b w:val="1"/>
                <w:bCs w:val="1"/>
                <w:color w:val="auto"/>
              </w:rPr>
              <w:t>599.4</w:t>
            </w:r>
          </w:p>
        </w:tc>
      </w:tr>
      <w:tr>
        <w:trPr>
          <w:trHeight w:val="84"/>
        </w:trPr>
        <w:tc>
          <w:tcPr>
            <w:tcW w:w="6060" w:type="dxa"/>
            <w:vAlign w:val="bottom"/>
            <w:gridSpan w:val="2"/>
          </w:tcPr>
          <w:p>
            <w:pPr>
              <w:spacing w:after="0"/>
              <w:rPr>
                <w:sz w:val="7"/>
                <w:szCs w:val="7"/>
                <w:color w:val="auto"/>
              </w:rPr>
            </w:pPr>
          </w:p>
        </w:tc>
        <w:tc>
          <w:tcPr>
            <w:tcW w:w="3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85"/>
        </w:trPr>
        <w:tc>
          <w:tcPr>
            <w:tcW w:w="20" w:type="dxa"/>
            <w:vAlign w:val="bottom"/>
          </w:tcPr>
          <w:p>
            <w:pPr>
              <w:spacing w:after="0"/>
              <w:rPr>
                <w:sz w:val="7"/>
                <w:szCs w:val="7"/>
                <w:color w:val="auto"/>
              </w:rPr>
            </w:pPr>
          </w:p>
        </w:tc>
        <w:tc>
          <w:tcPr>
            <w:tcW w:w="6040" w:type="dxa"/>
            <w:vAlign w:val="bottom"/>
            <w:tcBorders>
              <w:top w:val="single" w:sz="8" w:color="808080"/>
            </w:tcBorders>
          </w:tcPr>
          <w:p>
            <w:pPr>
              <w:spacing w:after="0"/>
              <w:rPr>
                <w:sz w:val="7"/>
                <w:szCs w:val="7"/>
                <w:color w:val="auto"/>
              </w:rPr>
            </w:pPr>
          </w:p>
        </w:tc>
        <w:tc>
          <w:tcPr>
            <w:tcW w:w="3060" w:type="dxa"/>
            <w:vAlign w:val="bottom"/>
            <w:tcBorders>
              <w:top w:val="single" w:sz="8" w:color="808080"/>
            </w:tcBorders>
          </w:tcPr>
          <w:p>
            <w:pPr>
              <w:spacing w:after="0"/>
              <w:rPr>
                <w:sz w:val="7"/>
                <w:szCs w:val="7"/>
                <w:color w:val="auto"/>
              </w:rPr>
            </w:pPr>
          </w:p>
        </w:tc>
        <w:tc>
          <w:tcPr>
            <w:tcW w:w="940" w:type="dxa"/>
            <w:vAlign w:val="bottom"/>
            <w:tcBorders>
              <w:top w:val="single" w:sz="8" w:color="808080"/>
            </w:tcBorders>
          </w:tcPr>
          <w:p>
            <w:pPr>
              <w:spacing w:after="0"/>
              <w:rPr>
                <w:sz w:val="7"/>
                <w:szCs w:val="7"/>
                <w:color w:val="auto"/>
              </w:rPr>
            </w:pPr>
          </w:p>
        </w:tc>
        <w:tc>
          <w:tcPr>
            <w:tcW w:w="540" w:type="dxa"/>
            <w:vAlign w:val="bottom"/>
            <w:tcBorders>
              <w:top w:val="single" w:sz="8" w:color="808080"/>
            </w:tcBorders>
          </w:tcPr>
          <w:p>
            <w:pPr>
              <w:spacing w:after="0"/>
              <w:rPr>
                <w:sz w:val="7"/>
                <w:szCs w:val="7"/>
                <w:color w:val="auto"/>
              </w:rPr>
            </w:pPr>
          </w:p>
        </w:tc>
        <w:tc>
          <w:tcPr>
            <w:tcW w:w="86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Total assets</w:t>
            </w:r>
          </w:p>
        </w:tc>
        <w:tc>
          <w:tcPr>
            <w:tcW w:w="3060" w:type="dxa"/>
            <w:vAlign w:val="bottom"/>
            <w:shd w:val="clear" w:color="auto" w:fill="E6E6E6"/>
          </w:tcPr>
          <w:p>
            <w:pPr>
              <w:jc w:val="right"/>
              <w:ind w:right="124"/>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2,052.2</w:t>
            </w:r>
          </w:p>
        </w:tc>
        <w:tc>
          <w:tcPr>
            <w:tcW w:w="540" w:type="dxa"/>
            <w:vAlign w:val="bottom"/>
            <w:shd w:val="clear" w:color="auto" w:fill="E6E6E6"/>
          </w:tcPr>
          <w:p>
            <w:pPr>
              <w:jc w:val="right"/>
              <w:ind w:right="12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1,931.4</w:t>
            </w:r>
          </w:p>
        </w:tc>
      </w:tr>
      <w:tr>
        <w:trPr>
          <w:trHeight w:val="112"/>
        </w:trPr>
        <w:tc>
          <w:tcPr>
            <w:tcW w:w="20" w:type="dxa"/>
            <w:vAlign w:val="bottom"/>
            <w:tcBorders>
              <w:bottom w:val="single" w:sz="8" w:color="808080"/>
            </w:tcBorders>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125730</wp:posOffset>
            </wp:positionV>
            <wp:extent cx="1938655" cy="3403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728535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48" w:right="219" w:bottom="1440" w:gutter="0" w:footer="0" w:header="0"/>
          <w:type w:val="continuous"/>
        </w:sectPr>
      </w:pPr>
    </w:p>
    <w:bookmarkStart w:id="36" w:name="page37"/>
    <w:bookmarkEnd w:id="36"/>
    <w:p>
      <w:pPr>
        <w:jc w:val="right"/>
        <w:ind w:right="120"/>
        <w:spacing w:after="0"/>
        <w:rPr>
          <w:sz w:val="20"/>
          <w:szCs w:val="20"/>
          <w:color w:val="auto"/>
        </w:rPr>
      </w:pPr>
      <w:r>
        <w:rPr>
          <w:rFonts w:ascii="Arial" w:cs="Arial" w:eastAsia="Arial" w:hAnsi="Arial"/>
          <w:sz w:val="12"/>
          <w:szCs w:val="12"/>
          <w:color w:val="auto"/>
        </w:rPr>
        <w:t>(Amounts in millions, except share data)</w:t>
      </w:r>
    </w:p>
    <w:p>
      <w:pPr>
        <w:spacing w:after="0" w:line="7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53340</wp:posOffset>
            </wp:positionV>
            <wp:extent cx="726567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24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3980" w:type="dxa"/>
            <w:vAlign w:val="bottom"/>
          </w:tcPr>
          <w:p>
            <w:pPr>
              <w:jc w:val="right"/>
              <w:ind w:right="664"/>
              <w:spacing w:after="0"/>
              <w:rPr>
                <w:sz w:val="20"/>
                <w:szCs w:val="20"/>
                <w:color w:val="auto"/>
              </w:rPr>
            </w:pPr>
            <w:r>
              <w:rPr>
                <w:rFonts w:ascii="Arial" w:cs="Arial" w:eastAsia="Arial" w:hAnsi="Arial"/>
                <w:sz w:val="15"/>
                <w:szCs w:val="15"/>
                <w:b w:val="1"/>
                <w:bCs w:val="1"/>
                <w:color w:val="auto"/>
              </w:rPr>
              <w:t>2006</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127635</wp:posOffset>
            </wp:positionV>
            <wp:extent cx="7265670" cy="133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60960</wp:posOffset>
            </wp:positionV>
            <wp:extent cx="726567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60"/>
          </w:cols>
          <w:pgMar w:left="220" w:top="220" w:right="219" w:bottom="1440" w:gutter="0" w:footer="0" w:header="0"/>
        </w:sect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Liabilities: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Current portion of long-term debt, lines of credit and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Capital lease obligations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Accrued royalties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6567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4"/>
              <w:spacing w:after="0"/>
              <w:rPr>
                <w:sz w:val="20"/>
                <w:szCs w:val="20"/>
                <w:color w:val="auto"/>
              </w:rPr>
            </w:pPr>
            <w:r>
              <w:rPr>
                <w:rFonts w:ascii="Arial" w:cs="Arial" w:eastAsia="Arial" w:hAnsi="Arial"/>
                <w:sz w:val="15"/>
                <w:szCs w:val="15"/>
                <w:color w:val="auto"/>
              </w:rPr>
              <w:t>329.2</w:t>
            </w:r>
          </w:p>
        </w:tc>
        <w:tc>
          <w:tcPr>
            <w:tcW w:w="76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24.9</w:t>
            </w:r>
          </w:p>
        </w:tc>
      </w:tr>
      <w:tr>
        <w:trPr>
          <w:trHeight w:val="210"/>
        </w:trPr>
        <w:tc>
          <w:tcPr>
            <w:tcW w:w="380" w:type="dxa"/>
            <w:vAlign w:val="bottom"/>
          </w:tcPr>
          <w:p>
            <w:pPr>
              <w:spacing w:after="0"/>
              <w:rPr>
                <w:sz w:val="18"/>
                <w:szCs w:val="18"/>
                <w:color w:val="auto"/>
              </w:rPr>
            </w:pPr>
          </w:p>
        </w:tc>
        <w:tc>
          <w:tcPr>
            <w:tcW w:w="1080" w:type="dxa"/>
            <w:vAlign w:val="bottom"/>
          </w:tcPr>
          <w:p>
            <w:pPr>
              <w:jc w:val="right"/>
              <w:ind w:right="324"/>
              <w:spacing w:after="0"/>
              <w:rPr>
                <w:sz w:val="20"/>
                <w:szCs w:val="20"/>
                <w:color w:val="auto"/>
              </w:rPr>
            </w:pPr>
            <w:r>
              <w:rPr>
                <w:rFonts w:ascii="Arial" w:cs="Arial" w:eastAsia="Arial" w:hAnsi="Arial"/>
                <w:sz w:val="15"/>
                <w:szCs w:val="15"/>
                <w:color w:val="auto"/>
              </w:rPr>
              <w:t>7.5</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10"/>
        </w:trPr>
        <w:tc>
          <w:tcPr>
            <w:tcW w:w="380" w:type="dxa"/>
            <w:vAlign w:val="bottom"/>
          </w:tcPr>
          <w:p>
            <w:pPr>
              <w:spacing w:after="0"/>
              <w:rPr>
                <w:sz w:val="18"/>
                <w:szCs w:val="18"/>
                <w:color w:val="auto"/>
              </w:rPr>
            </w:pPr>
          </w:p>
        </w:tc>
        <w:tc>
          <w:tcPr>
            <w:tcW w:w="1080" w:type="dxa"/>
            <w:vAlign w:val="bottom"/>
          </w:tcPr>
          <w:p>
            <w:pPr>
              <w:jc w:val="right"/>
              <w:ind w:right="324"/>
              <w:spacing w:after="0"/>
              <w:rPr>
                <w:sz w:val="20"/>
                <w:szCs w:val="20"/>
                <w:color w:val="auto"/>
              </w:rPr>
            </w:pPr>
            <w:r>
              <w:rPr>
                <w:rFonts w:ascii="Arial" w:cs="Arial" w:eastAsia="Arial" w:hAnsi="Arial"/>
                <w:sz w:val="15"/>
                <w:szCs w:val="15"/>
                <w:color w:val="auto"/>
              </w:rPr>
              <w:t>141.7</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141.4</w:t>
            </w:r>
          </w:p>
        </w:tc>
      </w:tr>
      <w:tr>
        <w:trPr>
          <w:trHeight w:val="210"/>
        </w:trPr>
        <w:tc>
          <w:tcPr>
            <w:tcW w:w="380" w:type="dxa"/>
            <w:vAlign w:val="bottom"/>
          </w:tcPr>
          <w:p>
            <w:pPr>
              <w:spacing w:after="0"/>
              <w:rPr>
                <w:sz w:val="18"/>
                <w:szCs w:val="18"/>
                <w:color w:val="auto"/>
              </w:rPr>
            </w:pPr>
          </w:p>
        </w:tc>
        <w:tc>
          <w:tcPr>
            <w:tcW w:w="1080" w:type="dxa"/>
            <w:vAlign w:val="bottom"/>
          </w:tcPr>
          <w:p>
            <w:pPr>
              <w:jc w:val="right"/>
              <w:ind w:right="324"/>
              <w:spacing w:after="0"/>
              <w:rPr>
                <w:sz w:val="20"/>
                <w:szCs w:val="20"/>
                <w:color w:val="auto"/>
              </w:rPr>
            </w:pPr>
            <w:r>
              <w:rPr>
                <w:rFonts w:ascii="Arial" w:cs="Arial" w:eastAsia="Arial" w:hAnsi="Arial"/>
                <w:sz w:val="15"/>
                <w:szCs w:val="15"/>
                <w:color w:val="auto"/>
              </w:rPr>
              <w:t>36.6</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40.1</w:t>
            </w:r>
          </w:p>
        </w:tc>
      </w:tr>
      <w:tr>
        <w:trPr>
          <w:trHeight w:val="210"/>
        </w:trPr>
        <w:tc>
          <w:tcPr>
            <w:tcW w:w="380" w:type="dxa"/>
            <w:vAlign w:val="bottom"/>
          </w:tcPr>
          <w:p>
            <w:pPr>
              <w:spacing w:after="0"/>
              <w:rPr>
                <w:sz w:val="18"/>
                <w:szCs w:val="18"/>
                <w:color w:val="auto"/>
              </w:rPr>
            </w:pPr>
          </w:p>
        </w:tc>
        <w:tc>
          <w:tcPr>
            <w:tcW w:w="1080" w:type="dxa"/>
            <w:vAlign w:val="bottom"/>
          </w:tcPr>
          <w:p>
            <w:pPr>
              <w:jc w:val="right"/>
              <w:ind w:right="324"/>
              <w:spacing w:after="0"/>
              <w:rPr>
                <w:sz w:val="20"/>
                <w:szCs w:val="20"/>
                <w:color w:val="auto"/>
              </w:rPr>
            </w:pPr>
            <w:r>
              <w:rPr>
                <w:rFonts w:ascii="Arial" w:cs="Arial" w:eastAsia="Arial" w:hAnsi="Arial"/>
                <w:sz w:val="15"/>
                <w:szCs w:val="15"/>
                <w:color w:val="auto"/>
              </w:rPr>
              <w:t>19.3</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22.9</w:t>
            </w:r>
          </w:p>
        </w:tc>
      </w:tr>
      <w:tr>
        <w:trPr>
          <w:trHeight w:val="210"/>
        </w:trPr>
        <w:tc>
          <w:tcPr>
            <w:tcW w:w="380" w:type="dxa"/>
            <w:vAlign w:val="bottom"/>
          </w:tcPr>
          <w:p>
            <w:pPr>
              <w:spacing w:after="0"/>
              <w:rPr>
                <w:sz w:val="18"/>
                <w:szCs w:val="18"/>
                <w:color w:val="auto"/>
              </w:rPr>
            </w:pPr>
          </w:p>
        </w:tc>
        <w:tc>
          <w:tcPr>
            <w:tcW w:w="1080" w:type="dxa"/>
            <w:vAlign w:val="bottom"/>
          </w:tcPr>
          <w:p>
            <w:pPr>
              <w:jc w:val="right"/>
              <w:ind w:right="324"/>
              <w:spacing w:after="0"/>
              <w:rPr>
                <w:sz w:val="20"/>
                <w:szCs w:val="20"/>
                <w:color w:val="auto"/>
              </w:rPr>
            </w:pPr>
            <w:r>
              <w:rPr>
                <w:rFonts w:ascii="Arial" w:cs="Arial" w:eastAsia="Arial" w:hAnsi="Arial"/>
                <w:sz w:val="15"/>
                <w:szCs w:val="15"/>
                <w:color w:val="auto"/>
              </w:rPr>
              <w:t>154.7</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134.5</w:t>
            </w:r>
          </w:p>
        </w:tc>
      </w:tr>
    </w:tbl>
    <w:p>
      <w:pPr>
        <w:spacing w:after="0" w:line="197" w:lineRule="exact"/>
        <w:rPr>
          <w:sz w:val="20"/>
          <w:szCs w:val="20"/>
          <w:color w:val="auto"/>
        </w:rPr>
      </w:pPr>
    </w:p>
    <w:p>
      <w:pPr>
        <w:sectPr>
          <w:pgSz w:w="11900" w:h="16838" w:orient="portrait"/>
          <w:cols w:equalWidth="0" w:num="2">
            <w:col w:w="7760" w:space="720"/>
            <w:col w:w="2980"/>
          </w:cols>
          <w:pgMar w:left="220" w:top="220" w:right="219" w:bottom="1440" w:gutter="0" w:footer="0" w:header="0"/>
          <w:type w:val="continuous"/>
        </w:sectPr>
      </w:pPr>
    </w:p>
    <w:tbl>
      <w:tblPr>
        <w:tblLayout w:type="fixed"/>
        <w:tblInd w:w="20" w:type="dxa"/>
        <w:tblCellMar>
          <w:top w:w="0" w:type="dxa"/>
          <w:left w:w="0" w:type="dxa"/>
          <w:bottom w:w="0" w:type="dxa"/>
          <w:right w:w="0" w:type="dxa"/>
        </w:tblCellMar>
      </w:tblPr>
      <w:tr>
        <w:trPr>
          <w:trHeight w:val="211"/>
        </w:trPr>
        <w:tc>
          <w:tcPr>
            <w:tcW w:w="5580" w:type="dxa"/>
            <w:vAlign w:val="bottom"/>
          </w:tcPr>
          <w:p>
            <w:pPr>
              <w:ind w:left="420"/>
              <w:spacing w:after="0"/>
              <w:rPr>
                <w:sz w:val="20"/>
                <w:szCs w:val="20"/>
                <w:color w:val="auto"/>
              </w:rPr>
            </w:pPr>
            <w:r>
              <w:rPr>
                <w:rFonts w:ascii="Arial" w:cs="Arial" w:eastAsia="Arial" w:hAnsi="Arial"/>
                <w:sz w:val="15"/>
                <w:szCs w:val="15"/>
                <w:b w:val="1"/>
                <w:bCs w:val="1"/>
                <w:color w:val="auto"/>
              </w:rPr>
              <w:t>Total current liabilities</w:t>
            </w:r>
          </w:p>
        </w:tc>
        <w:tc>
          <w:tcPr>
            <w:tcW w:w="4660" w:type="dxa"/>
            <w:vAlign w:val="bottom"/>
          </w:tcPr>
          <w:p>
            <w:pPr>
              <w:jc w:val="right"/>
              <w:ind w:right="644"/>
              <w:spacing w:after="0"/>
              <w:rPr>
                <w:sz w:val="20"/>
                <w:szCs w:val="20"/>
                <w:color w:val="auto"/>
              </w:rPr>
            </w:pPr>
            <w:r>
              <w:rPr>
                <w:rFonts w:ascii="Arial" w:cs="Arial" w:eastAsia="Arial" w:hAnsi="Arial"/>
                <w:sz w:val="15"/>
                <w:szCs w:val="15"/>
                <w:b w:val="1"/>
                <w:bCs w:val="1"/>
                <w:color w:val="auto"/>
              </w:rPr>
              <w:t>689.0</w:t>
            </w:r>
          </w:p>
        </w:tc>
        <w:tc>
          <w:tcPr>
            <w:tcW w:w="1200" w:type="dxa"/>
            <w:vAlign w:val="bottom"/>
          </w:tcPr>
          <w:p>
            <w:pPr>
              <w:jc w:val="right"/>
              <w:ind w:right="44"/>
              <w:spacing w:after="0"/>
              <w:rPr>
                <w:sz w:val="20"/>
                <w:szCs w:val="20"/>
                <w:color w:val="auto"/>
              </w:rPr>
            </w:pPr>
            <w:r>
              <w:rPr>
                <w:rFonts w:ascii="Arial" w:cs="Arial" w:eastAsia="Arial" w:hAnsi="Arial"/>
                <w:sz w:val="15"/>
                <w:szCs w:val="15"/>
                <w:b w:val="1"/>
                <w:bCs w:val="1"/>
                <w:color w:val="auto"/>
              </w:rPr>
              <w:t>374.8</w:t>
            </w:r>
          </w:p>
        </w:tc>
      </w:tr>
      <w:tr>
        <w:trPr>
          <w:trHeight w:val="84"/>
        </w:trPr>
        <w:tc>
          <w:tcPr>
            <w:tcW w:w="558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265670" cy="133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ectPr>
          <w:pgSz w:w="11900" w:h="16838" w:orient="portrait"/>
          <w:cols w:equalWidth="0" w:num="1">
            <w:col w:w="11460"/>
          </w:cols>
          <w:pgMar w:left="220" w:top="220" w:right="219" w:bottom="1440" w:gutter="0" w:footer="0" w:header="0"/>
          <w:type w:val="continuous"/>
        </w:sectPr>
      </w:pPr>
    </w:p>
    <w:p>
      <w:pPr>
        <w:spacing w:after="0" w:line="10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Noncurrent Liabilities: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Long-term debt</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Capital lease obligations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 noncurrent liabilities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00" w:type="dxa"/>
            <w:vAlign w:val="bottom"/>
          </w:tcPr>
          <w:p>
            <w:pPr>
              <w:jc w:val="right"/>
              <w:ind w:right="644"/>
              <w:spacing w:after="0"/>
              <w:rPr>
                <w:sz w:val="20"/>
                <w:szCs w:val="20"/>
                <w:color w:val="auto"/>
              </w:rPr>
            </w:pPr>
            <w:r>
              <w:rPr>
                <w:rFonts w:ascii="Arial" w:cs="Arial" w:eastAsia="Arial" w:hAnsi="Arial"/>
                <w:sz w:val="15"/>
                <w:szCs w:val="15"/>
                <w:color w:val="auto"/>
                <w:w w:val="95"/>
              </w:rPr>
              <w:t>173.2</w:t>
            </w:r>
          </w:p>
        </w:tc>
        <w:tc>
          <w:tcPr>
            <w:tcW w:w="1100" w:type="dxa"/>
            <w:vAlign w:val="bottom"/>
          </w:tcPr>
          <w:p>
            <w:pPr>
              <w:jc w:val="right"/>
              <w:spacing w:after="0"/>
              <w:rPr>
                <w:sz w:val="20"/>
                <w:szCs w:val="20"/>
                <w:color w:val="auto"/>
              </w:rPr>
            </w:pPr>
            <w:r>
              <w:rPr>
                <w:rFonts w:ascii="Arial" w:cs="Arial" w:eastAsia="Arial" w:hAnsi="Arial"/>
                <w:sz w:val="15"/>
                <w:szCs w:val="15"/>
                <w:color w:val="auto"/>
              </w:rPr>
              <w:t>476.5</w:t>
            </w:r>
          </w:p>
        </w:tc>
      </w:tr>
      <w:tr>
        <w:trPr>
          <w:trHeight w:val="210"/>
        </w:trPr>
        <w:tc>
          <w:tcPr>
            <w:tcW w:w="1100" w:type="dxa"/>
            <w:vAlign w:val="bottom"/>
          </w:tcPr>
          <w:p>
            <w:pPr>
              <w:jc w:val="right"/>
              <w:ind w:right="644"/>
              <w:spacing w:after="0"/>
              <w:rPr>
                <w:sz w:val="20"/>
                <w:szCs w:val="20"/>
                <w:color w:val="auto"/>
              </w:rPr>
            </w:pPr>
            <w:r>
              <w:rPr>
                <w:rFonts w:ascii="Arial" w:cs="Arial" w:eastAsia="Arial" w:hAnsi="Arial"/>
                <w:sz w:val="15"/>
                <w:szCs w:val="15"/>
                <w:color w:val="auto"/>
              </w:rPr>
              <w:t>61.4</w:t>
            </w:r>
          </w:p>
        </w:tc>
        <w:tc>
          <w:tcPr>
            <w:tcW w:w="1100" w:type="dxa"/>
            <w:vAlign w:val="bottom"/>
          </w:tcPr>
          <w:p>
            <w:pPr>
              <w:jc w:val="right"/>
              <w:spacing w:after="0"/>
              <w:rPr>
                <w:sz w:val="20"/>
                <w:szCs w:val="20"/>
                <w:color w:val="auto"/>
              </w:rPr>
            </w:pPr>
            <w:r>
              <w:rPr>
                <w:rFonts w:ascii="Arial" w:cs="Arial" w:eastAsia="Arial" w:hAnsi="Arial"/>
                <w:sz w:val="15"/>
                <w:szCs w:val="15"/>
                <w:color w:val="auto"/>
              </w:rPr>
              <w:t>63.4</w:t>
            </w:r>
          </w:p>
        </w:tc>
      </w:tr>
      <w:tr>
        <w:trPr>
          <w:trHeight w:val="210"/>
        </w:trPr>
        <w:tc>
          <w:tcPr>
            <w:tcW w:w="1100" w:type="dxa"/>
            <w:vAlign w:val="bottom"/>
          </w:tcPr>
          <w:p>
            <w:pPr>
              <w:jc w:val="right"/>
              <w:ind w:right="644"/>
              <w:spacing w:after="0"/>
              <w:rPr>
                <w:sz w:val="20"/>
                <w:szCs w:val="20"/>
                <w:color w:val="auto"/>
              </w:rPr>
            </w:pPr>
            <w:r>
              <w:rPr>
                <w:rFonts w:ascii="Arial" w:cs="Arial" w:eastAsia="Arial" w:hAnsi="Arial"/>
                <w:sz w:val="15"/>
                <w:szCs w:val="15"/>
                <w:color w:val="auto"/>
              </w:rPr>
              <w:t>79.3</w:t>
            </w:r>
          </w:p>
        </w:tc>
        <w:tc>
          <w:tcPr>
            <w:tcW w:w="1100" w:type="dxa"/>
            <w:vAlign w:val="bottom"/>
          </w:tcPr>
          <w:p>
            <w:pPr>
              <w:jc w:val="right"/>
              <w:spacing w:after="0"/>
              <w:rPr>
                <w:sz w:val="20"/>
                <w:szCs w:val="20"/>
                <w:color w:val="auto"/>
              </w:rPr>
            </w:pPr>
            <w:r>
              <w:rPr>
                <w:rFonts w:ascii="Arial" w:cs="Arial" w:eastAsia="Arial" w:hAnsi="Arial"/>
                <w:sz w:val="15"/>
                <w:szCs w:val="15"/>
                <w:color w:val="auto"/>
              </w:rPr>
              <w:t>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-5807710</wp:posOffset>
            </wp:positionH>
            <wp:positionV relativeFrom="paragraph">
              <wp:posOffset>-271145</wp:posOffset>
            </wp:positionV>
            <wp:extent cx="7265670" cy="133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53340</wp:posOffset>
            </wp:positionV>
            <wp:extent cx="726567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8440" w:space="720"/>
            <w:col w:w="2300"/>
          </w:cols>
          <w:pgMar w:left="220" w:top="220" w:right="21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5760" w:type="dxa"/>
            <w:vAlign w:val="bottom"/>
            <w:shd w:val="clear" w:color="auto" w:fill="E6E6E6"/>
          </w:tcPr>
          <w:p>
            <w:pPr>
              <w:ind w:left="420"/>
              <w:spacing w:after="0"/>
              <w:rPr>
                <w:sz w:val="20"/>
                <w:szCs w:val="20"/>
                <w:color w:val="auto"/>
              </w:rPr>
            </w:pPr>
            <w:r>
              <w:rPr>
                <w:rFonts w:ascii="Arial" w:cs="Arial" w:eastAsia="Arial" w:hAnsi="Arial"/>
                <w:sz w:val="15"/>
                <w:szCs w:val="15"/>
                <w:b w:val="1"/>
                <w:bCs w:val="1"/>
                <w:color w:val="auto"/>
              </w:rPr>
              <w:t>Total noncurrent liabilities</w:t>
            </w:r>
          </w:p>
        </w:tc>
        <w:tc>
          <w:tcPr>
            <w:tcW w:w="4480" w:type="dxa"/>
            <w:vAlign w:val="bottom"/>
            <w:shd w:val="clear" w:color="auto" w:fill="E6E6E6"/>
          </w:tcPr>
          <w:p>
            <w:pPr>
              <w:jc w:val="right"/>
              <w:ind w:right="644"/>
              <w:spacing w:after="0"/>
              <w:rPr>
                <w:sz w:val="20"/>
                <w:szCs w:val="20"/>
                <w:color w:val="auto"/>
              </w:rPr>
            </w:pPr>
            <w:r>
              <w:rPr>
                <w:rFonts w:ascii="Arial" w:cs="Arial" w:eastAsia="Arial" w:hAnsi="Arial"/>
                <w:sz w:val="15"/>
                <w:szCs w:val="15"/>
                <w:b w:val="1"/>
                <w:bCs w:val="1"/>
                <w:color w:val="auto"/>
              </w:rPr>
              <w:t>313.9</w:t>
            </w:r>
          </w:p>
        </w:tc>
        <w:tc>
          <w:tcPr>
            <w:tcW w:w="1200" w:type="dxa"/>
            <w:vAlign w:val="bottom"/>
            <w:shd w:val="clear" w:color="auto" w:fill="E6E6E6"/>
          </w:tcPr>
          <w:p>
            <w:pPr>
              <w:jc w:val="right"/>
              <w:ind w:right="44"/>
              <w:spacing w:after="0"/>
              <w:rPr>
                <w:sz w:val="20"/>
                <w:szCs w:val="20"/>
                <w:color w:val="auto"/>
              </w:rPr>
            </w:pPr>
            <w:r>
              <w:rPr>
                <w:rFonts w:ascii="Arial" w:cs="Arial" w:eastAsia="Arial" w:hAnsi="Arial"/>
                <w:sz w:val="15"/>
                <w:szCs w:val="15"/>
                <w:b w:val="1"/>
                <w:bCs w:val="1"/>
                <w:color w:val="auto"/>
              </w:rPr>
              <w:t>619.5</w:t>
            </w:r>
          </w:p>
        </w:tc>
      </w:tr>
      <w:tr>
        <w:trPr>
          <w:trHeight w:val="93"/>
        </w:trPr>
        <w:tc>
          <w:tcPr>
            <w:tcW w:w="5760" w:type="dxa"/>
            <w:vAlign w:val="bottom"/>
            <w:tcBorders>
              <w:bottom w:val="single" w:sz="8" w:color="808080"/>
            </w:tcBorders>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513"/>
        </w:trPr>
        <w:tc>
          <w:tcPr>
            <w:tcW w:w="576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4480" w:type="dxa"/>
            <w:vAlign w:val="bottom"/>
          </w:tcPr>
          <w:p>
            <w:pPr>
              <w:jc w:val="right"/>
              <w:ind w:right="644"/>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127635</wp:posOffset>
            </wp:positionV>
            <wp:extent cx="7265670" cy="133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ectPr>
          <w:pgSz w:w="11900" w:h="16838" w:orient="portrait"/>
          <w:cols w:equalWidth="0" w:num="1">
            <w:col w:w="11460"/>
          </w:cols>
          <w:pgMar w:left="220" w:top="220" w:right="219" w:bottom="1440" w:gutter="0" w:footer="0" w:header="0"/>
          <w:type w:val="continuous"/>
        </w:sect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Stockholders’ Equity:</w:t>
      </w:r>
    </w:p>
    <w:p>
      <w:pPr>
        <w:spacing w:after="0" w:line="55" w:lineRule="exact"/>
        <w:rPr>
          <w:sz w:val="20"/>
          <w:szCs w:val="20"/>
          <w:color w:val="auto"/>
        </w:rPr>
      </w:pPr>
    </w:p>
    <w:p>
      <w:pPr>
        <w:ind w:left="160" w:right="1920"/>
        <w:spacing w:after="0" w:line="291" w:lineRule="auto"/>
        <w:rPr>
          <w:sz w:val="20"/>
          <w:szCs w:val="20"/>
          <w:color w:val="auto"/>
        </w:rPr>
      </w:pPr>
      <w:r>
        <w:rPr>
          <w:rFonts w:ascii="Arial" w:cs="Arial" w:eastAsia="Arial" w:hAnsi="Arial"/>
          <w:sz w:val="15"/>
          <w:szCs w:val="15"/>
          <w:color w:val="auto"/>
        </w:rPr>
        <w:t>Preferred Stock, $1.00 par value Authorized – 2,000,000 shares; Issued – None Class A Stock, $.01 par value Authorized – 2,500,000 shares;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265670" cy="266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670" cy="26606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5"/>
          <w:szCs w:val="15"/>
          <w:color w:val="auto"/>
        </w:rPr>
        <w:t>outstanding – 1,656,200 shares</w:t>
      </w:r>
    </w:p>
    <w:p>
      <w:pPr>
        <w:spacing w:after="0" w:line="37" w:lineRule="exact"/>
        <w:rPr>
          <w:sz w:val="20"/>
          <w:szCs w:val="20"/>
          <w:color w:val="auto"/>
        </w:rPr>
      </w:pPr>
    </w:p>
    <w:p>
      <w:pPr>
        <w:jc w:val="center"/>
        <w:ind w:right="2020"/>
        <w:spacing w:after="0"/>
        <w:rPr>
          <w:sz w:val="20"/>
          <w:szCs w:val="20"/>
          <w:color w:val="auto"/>
        </w:rPr>
      </w:pPr>
      <w:r>
        <w:rPr>
          <w:rFonts w:ascii="Arial" w:cs="Arial" w:eastAsia="Arial" w:hAnsi="Arial"/>
          <w:sz w:val="15"/>
          <w:szCs w:val="15"/>
          <w:color w:val="auto"/>
        </w:rPr>
        <w:t>Common Stock, $.01 par value Authorized – 70,000,000 shares; Issued and</w:t>
      </w:r>
    </w:p>
    <w:p>
      <w:pPr>
        <w:spacing w:after="0" w:line="37" w:lineRule="exact"/>
        <w:rPr>
          <w:sz w:val="20"/>
          <w:szCs w:val="20"/>
          <w:color w:val="auto"/>
        </w:rPr>
      </w:pPr>
    </w:p>
    <w:p>
      <w:pPr>
        <w:jc w:val="center"/>
        <w:ind w:right="2000"/>
        <w:spacing w:after="0"/>
        <w:rPr>
          <w:sz w:val="20"/>
          <w:szCs w:val="20"/>
          <w:color w:val="auto"/>
        </w:rPr>
      </w:pPr>
      <w:r>
        <w:rPr>
          <w:rFonts w:ascii="Arial" w:cs="Arial" w:eastAsia="Arial" w:hAnsi="Arial"/>
          <w:sz w:val="15"/>
          <w:szCs w:val="15"/>
          <w:color w:val="auto"/>
        </w:rPr>
        <w:t>outstanding – 40,282,246 shares (39,076,544 shares at May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Additional paid-in capital</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Accumulated other comprehensive loss: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Minimum pension liability adjustment</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6567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jc w:val="right"/>
              <w:ind w:right="66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01"/>
        </w:trPr>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140" w:type="dxa"/>
            <w:vAlign w:val="bottom"/>
            <w:shd w:val="clear" w:color="auto" w:fill="E6E6E6"/>
          </w:tcPr>
          <w:p>
            <w:pPr>
              <w:jc w:val="right"/>
              <w:ind w:right="664"/>
              <w:spacing w:after="0"/>
              <w:rPr>
                <w:sz w:val="20"/>
                <w:szCs w:val="20"/>
                <w:color w:val="auto"/>
              </w:rPr>
            </w:pPr>
            <w:r>
              <w:rPr>
                <w:rFonts w:ascii="Arial" w:cs="Arial" w:eastAsia="Arial" w:hAnsi="Arial"/>
                <w:sz w:val="15"/>
                <w:szCs w:val="15"/>
                <w:color w:val="auto"/>
              </w:rPr>
              <w:t>0.0</w:t>
            </w:r>
          </w:p>
        </w:tc>
        <w:tc>
          <w:tcPr>
            <w:tcW w:w="118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0.0</w:t>
            </w:r>
          </w:p>
        </w:tc>
      </w:tr>
      <w:tr>
        <w:trPr>
          <w:trHeight w:val="428"/>
        </w:trPr>
        <w:tc>
          <w:tcPr>
            <w:tcW w:w="2140" w:type="dxa"/>
            <w:vAlign w:val="bottom"/>
          </w:tcPr>
          <w:p>
            <w:pPr>
              <w:jc w:val="right"/>
              <w:ind w:right="664"/>
              <w:spacing w:after="0"/>
              <w:rPr>
                <w:sz w:val="20"/>
                <w:szCs w:val="20"/>
                <w:color w:val="auto"/>
              </w:rPr>
            </w:pPr>
            <w:r>
              <w:rPr>
                <w:rFonts w:ascii="Arial" w:cs="Arial" w:eastAsia="Arial" w:hAnsi="Arial"/>
                <w:sz w:val="15"/>
                <w:szCs w:val="15"/>
                <w:color w:val="auto"/>
              </w:rPr>
              <w:t>0.4</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0.4</w:t>
            </w:r>
          </w:p>
        </w:tc>
      </w:tr>
      <w:tr>
        <w:trPr>
          <w:trHeight w:val="210"/>
        </w:trPr>
        <w:tc>
          <w:tcPr>
            <w:tcW w:w="2140" w:type="dxa"/>
            <w:vAlign w:val="bottom"/>
          </w:tcPr>
          <w:p>
            <w:pPr>
              <w:jc w:val="right"/>
              <w:ind w:right="664"/>
              <w:spacing w:after="0"/>
              <w:rPr>
                <w:sz w:val="20"/>
                <w:szCs w:val="20"/>
                <w:color w:val="auto"/>
              </w:rPr>
            </w:pPr>
            <w:r>
              <w:rPr>
                <w:rFonts w:ascii="Arial" w:cs="Arial" w:eastAsia="Arial" w:hAnsi="Arial"/>
                <w:sz w:val="15"/>
                <w:szCs w:val="15"/>
                <w:color w:val="auto"/>
              </w:rPr>
              <w:t>458.7</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424.0</w:t>
            </w:r>
          </w:p>
        </w:tc>
      </w:tr>
      <w:tr>
        <w:trPr>
          <w:trHeight w:val="210"/>
        </w:trPr>
        <w:tc>
          <w:tcPr>
            <w:tcW w:w="2140" w:type="dxa"/>
            <w:vAlign w:val="bottom"/>
          </w:tcPr>
          <w:p>
            <w:pPr>
              <w:jc w:val="right"/>
              <w:ind w:right="624"/>
              <w:spacing w:after="0"/>
              <w:rPr>
                <w:sz w:val="20"/>
                <w:szCs w:val="20"/>
                <w:color w:val="auto"/>
              </w:rPr>
            </w:pPr>
            <w:r>
              <w:rPr>
                <w:rFonts w:ascii="Arial" w:cs="Arial" w:eastAsia="Arial" w:hAnsi="Arial"/>
                <w:sz w:val="15"/>
                <w:szCs w:val="15"/>
                <w:color w:val="auto"/>
              </w:rPr>
              <w:t>(1.6)</w:t>
            </w:r>
          </w:p>
        </w:tc>
        <w:tc>
          <w:tcPr>
            <w:tcW w:w="11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419"/>
        </w:trPr>
        <w:tc>
          <w:tcPr>
            <w:tcW w:w="2140" w:type="dxa"/>
            <w:vAlign w:val="bottom"/>
          </w:tcPr>
          <w:p>
            <w:pPr>
              <w:jc w:val="right"/>
              <w:ind w:right="624"/>
              <w:spacing w:after="0"/>
              <w:rPr>
                <w:sz w:val="20"/>
                <w:szCs w:val="20"/>
                <w:color w:val="auto"/>
              </w:rPr>
            </w:pPr>
            <w:r>
              <w:rPr>
                <w:rFonts w:ascii="Arial" w:cs="Arial" w:eastAsia="Arial" w:hAnsi="Arial"/>
                <w:sz w:val="15"/>
                <w:szCs w:val="15"/>
                <w:color w:val="auto"/>
              </w:rPr>
              <w:t>(1.4)</w:t>
            </w:r>
          </w:p>
        </w:tc>
        <w:tc>
          <w:tcPr>
            <w:tcW w:w="11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10"/>
        </w:trPr>
        <w:tc>
          <w:tcPr>
            <w:tcW w:w="2140" w:type="dxa"/>
            <w:vAlign w:val="bottom"/>
          </w:tcPr>
          <w:p>
            <w:pPr>
              <w:jc w:val="right"/>
              <w:ind w:right="624"/>
              <w:spacing w:after="0"/>
              <w:rPr>
                <w:sz w:val="20"/>
                <w:szCs w:val="20"/>
                <w:color w:val="auto"/>
              </w:rPr>
            </w:pPr>
            <w:r>
              <w:rPr>
                <w:rFonts w:ascii="Arial" w:cs="Arial" w:eastAsia="Arial" w:hAnsi="Arial"/>
                <w:sz w:val="15"/>
                <w:szCs w:val="15"/>
                <w:color w:val="auto"/>
              </w:rPr>
              <w:t>(18.7)</w:t>
            </w:r>
          </w:p>
        </w:tc>
        <w:tc>
          <w:tcPr>
            <w:tcW w:w="1180" w:type="dxa"/>
            <w:vAlign w:val="bottom"/>
          </w:tcPr>
          <w:p>
            <w:pPr>
              <w:jc w:val="right"/>
              <w:spacing w:after="0"/>
              <w:rPr>
                <w:sz w:val="20"/>
                <w:szCs w:val="20"/>
                <w:color w:val="auto"/>
              </w:rPr>
            </w:pPr>
            <w:r>
              <w:rPr>
                <w:rFonts w:ascii="Arial" w:cs="Arial" w:eastAsia="Arial" w:hAnsi="Arial"/>
                <w:sz w:val="15"/>
                <w:szCs w:val="15"/>
                <w:color w:val="auto"/>
              </w:rPr>
              <w:t>(26.3)</w:t>
            </w:r>
          </w:p>
        </w:tc>
      </w:tr>
      <w:tr>
        <w:trPr>
          <w:trHeight w:val="210"/>
        </w:trPr>
        <w:tc>
          <w:tcPr>
            <w:tcW w:w="2140" w:type="dxa"/>
            <w:vAlign w:val="bottom"/>
          </w:tcPr>
          <w:p>
            <w:pPr>
              <w:jc w:val="right"/>
              <w:ind w:right="664"/>
              <w:spacing w:after="0"/>
              <w:rPr>
                <w:sz w:val="20"/>
                <w:szCs w:val="20"/>
                <w:color w:val="auto"/>
              </w:rPr>
            </w:pPr>
            <w:r>
              <w:rPr>
                <w:rFonts w:ascii="Arial" w:cs="Arial" w:eastAsia="Arial" w:hAnsi="Arial"/>
                <w:sz w:val="15"/>
                <w:szCs w:val="15"/>
                <w:color w:val="auto"/>
              </w:rPr>
              <w:t>611.9</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543.3</w:t>
            </w:r>
          </w:p>
        </w:tc>
      </w:tr>
    </w:tbl>
    <w:p>
      <w:pPr>
        <w:spacing w:after="0" w:line="189" w:lineRule="exact"/>
        <w:rPr>
          <w:sz w:val="20"/>
          <w:szCs w:val="20"/>
          <w:color w:val="auto"/>
        </w:rPr>
      </w:pPr>
    </w:p>
    <w:p>
      <w:pPr>
        <w:sectPr>
          <w:pgSz w:w="11900" w:h="16838" w:orient="portrait"/>
          <w:cols w:equalWidth="0" w:num="2">
            <w:col w:w="7420" w:space="720"/>
            <w:col w:w="3320"/>
          </w:cols>
          <w:pgMar w:left="220" w:top="220"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60" w:type="dxa"/>
            <w:vAlign w:val="bottom"/>
            <w:shd w:val="clear" w:color="auto" w:fill="E6E6E6"/>
          </w:tcPr>
          <w:p>
            <w:pPr>
              <w:ind w:left="420"/>
              <w:spacing w:after="0"/>
              <w:rPr>
                <w:sz w:val="20"/>
                <w:szCs w:val="20"/>
                <w:color w:val="auto"/>
              </w:rPr>
            </w:pPr>
            <w:r>
              <w:rPr>
                <w:rFonts w:ascii="Arial" w:cs="Arial" w:eastAsia="Arial" w:hAnsi="Arial"/>
                <w:sz w:val="15"/>
                <w:szCs w:val="15"/>
                <w:b w:val="1"/>
                <w:bCs w:val="1"/>
                <w:color w:val="auto"/>
              </w:rPr>
              <w:t>Total stockholders’ equity</w:t>
            </w:r>
          </w:p>
        </w:tc>
        <w:tc>
          <w:tcPr>
            <w:tcW w:w="3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ind w:right="324"/>
              <w:spacing w:after="0"/>
              <w:rPr>
                <w:sz w:val="20"/>
                <w:szCs w:val="20"/>
                <w:color w:val="auto"/>
              </w:rPr>
            </w:pPr>
            <w:r>
              <w:rPr>
                <w:rFonts w:ascii="Arial" w:cs="Arial" w:eastAsia="Arial" w:hAnsi="Arial"/>
                <w:sz w:val="15"/>
                <w:szCs w:val="15"/>
                <w:b w:val="1"/>
                <w:bCs w:val="1"/>
                <w:color w:val="auto"/>
              </w:rPr>
              <w:t>1,049.3</w:t>
            </w:r>
          </w:p>
        </w:tc>
        <w:tc>
          <w:tcPr>
            <w:tcW w:w="700" w:type="dxa"/>
            <w:vAlign w:val="bottom"/>
            <w:shd w:val="clear" w:color="auto" w:fill="E6E6E6"/>
          </w:tcPr>
          <w:p>
            <w:pPr>
              <w:spacing w:after="0"/>
              <w:rPr>
                <w:sz w:val="18"/>
                <w:szCs w:val="18"/>
                <w:color w:val="auto"/>
              </w:rPr>
            </w:pPr>
          </w:p>
        </w:tc>
        <w:tc>
          <w:tcPr>
            <w:tcW w:w="820" w:type="dxa"/>
            <w:vAlign w:val="bottom"/>
            <w:shd w:val="clear" w:color="auto" w:fill="E6E6E6"/>
          </w:tcPr>
          <w:p>
            <w:pPr>
              <w:jc w:val="right"/>
              <w:ind w:right="44"/>
              <w:spacing w:after="0"/>
              <w:rPr>
                <w:sz w:val="20"/>
                <w:szCs w:val="20"/>
                <w:color w:val="auto"/>
              </w:rPr>
            </w:pPr>
            <w:r>
              <w:rPr>
                <w:rFonts w:ascii="Arial" w:cs="Arial" w:eastAsia="Arial" w:hAnsi="Arial"/>
                <w:sz w:val="15"/>
                <w:szCs w:val="15"/>
                <w:b w:val="1"/>
                <w:bCs w:val="1"/>
                <w:color w:val="auto"/>
              </w:rPr>
              <w:t>937.1</w:t>
            </w:r>
          </w:p>
        </w:tc>
      </w:tr>
      <w:tr>
        <w:trPr>
          <w:trHeight w:val="9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304"/>
        </w:trPr>
        <w:tc>
          <w:tcPr>
            <w:tcW w:w="56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312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324"/>
              <w:spacing w:after="0"/>
              <w:rPr>
                <w:sz w:val="20"/>
                <w:szCs w:val="20"/>
                <w:color w:val="auto"/>
              </w:rPr>
            </w:pPr>
            <w:r>
              <w:rPr>
                <w:rFonts w:ascii="Arial" w:cs="Arial" w:eastAsia="Arial" w:hAnsi="Arial"/>
                <w:sz w:val="15"/>
                <w:szCs w:val="15"/>
                <w:b w:val="1"/>
                <w:bCs w:val="1"/>
                <w:color w:val="auto"/>
              </w:rPr>
              <w:t>2,052.2</w:t>
            </w:r>
          </w:p>
        </w:tc>
        <w:tc>
          <w:tcPr>
            <w:tcW w:w="700" w:type="dxa"/>
            <w:vAlign w:val="bottom"/>
          </w:tcPr>
          <w:p>
            <w:pPr>
              <w:jc w:val="right"/>
              <w:ind w:right="124"/>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24"/>
              <w:spacing w:after="0"/>
              <w:rPr>
                <w:sz w:val="20"/>
                <w:szCs w:val="20"/>
                <w:color w:val="auto"/>
              </w:rPr>
            </w:pPr>
            <w:r>
              <w:rPr>
                <w:rFonts w:ascii="Arial" w:cs="Arial" w:eastAsia="Arial" w:hAnsi="Arial"/>
                <w:sz w:val="15"/>
                <w:szCs w:val="15"/>
                <w:b w:val="1"/>
                <w:bCs w:val="1"/>
                <w:color w:val="auto"/>
              </w:rPr>
              <w:t>1,931.4</w:t>
            </w:r>
          </w:p>
        </w:tc>
      </w:tr>
      <w:tr>
        <w:trPr>
          <w:trHeight w:val="103"/>
        </w:trPr>
        <w:tc>
          <w:tcPr>
            <w:tcW w:w="20" w:type="dxa"/>
            <w:vAlign w:val="bottom"/>
            <w:tcBorders>
              <w:bottom w:val="single" w:sz="8" w:color="808080"/>
            </w:tcBorders>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307975</wp:posOffset>
            </wp:positionV>
            <wp:extent cx="1938655" cy="3403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728535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220" w:right="219" w:bottom="144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15"/>
          <w:szCs w:val="15"/>
          <w:b w:val="1"/>
          <w:bCs w:val="1"/>
          <w:color w:val="auto"/>
        </w:rPr>
        <w:t>Consolidated Statements of Changes in Stockholders’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191770</wp:posOffset>
            </wp:positionV>
            <wp:extent cx="726567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560" w:type="dxa"/>
            <w:vAlign w:val="bottom"/>
            <w:gridSpan w:val="2"/>
            <w:vMerge w:val="restart"/>
          </w:tcPr>
          <w:p>
            <w:pPr>
              <w:jc w:val="right"/>
              <w:ind w:right="64"/>
              <w:spacing w:after="0"/>
              <w:rPr>
                <w:sz w:val="20"/>
                <w:szCs w:val="20"/>
                <w:color w:val="auto"/>
              </w:rPr>
            </w:pPr>
            <w:r>
              <w:rPr>
                <w:rFonts w:ascii="Arial" w:cs="Arial" w:eastAsia="Arial" w:hAnsi="Arial"/>
                <w:sz w:val="15"/>
                <w:szCs w:val="15"/>
                <w:b w:val="1"/>
                <w:bCs w:val="1"/>
                <w:color w:val="auto"/>
              </w:rPr>
              <w:t>Class A Stock</w:t>
            </w:r>
          </w:p>
        </w:tc>
        <w:tc>
          <w:tcPr>
            <w:tcW w:w="600" w:type="dxa"/>
            <w:vAlign w:val="bottom"/>
          </w:tcPr>
          <w:p>
            <w:pPr>
              <w:spacing w:after="0"/>
              <w:rPr>
                <w:sz w:val="16"/>
                <w:szCs w:val="16"/>
                <w:color w:val="auto"/>
              </w:rPr>
            </w:pPr>
          </w:p>
        </w:tc>
        <w:tc>
          <w:tcPr>
            <w:tcW w:w="1840" w:type="dxa"/>
            <w:vAlign w:val="bottom"/>
            <w:gridSpan w:val="2"/>
            <w:vMerge w:val="restart"/>
          </w:tcPr>
          <w:p>
            <w:pPr>
              <w:jc w:val="right"/>
              <w:ind w:right="64"/>
              <w:spacing w:after="0"/>
              <w:rPr>
                <w:sz w:val="20"/>
                <w:szCs w:val="20"/>
                <w:color w:val="auto"/>
              </w:rPr>
            </w:pPr>
            <w:r>
              <w:rPr>
                <w:rFonts w:ascii="Arial" w:cs="Arial" w:eastAsia="Arial" w:hAnsi="Arial"/>
                <w:sz w:val="15"/>
                <w:szCs w:val="15"/>
                <w:b w:val="1"/>
                <w:bCs w:val="1"/>
                <w:color w:val="auto"/>
              </w:rPr>
              <w:t>Common Stock</w:t>
            </w:r>
          </w:p>
        </w:tc>
        <w:tc>
          <w:tcPr>
            <w:tcW w:w="58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Additional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Paid-in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980" w:type="dxa"/>
            <w:vAlign w:val="bottom"/>
          </w:tcPr>
          <w:p>
            <w:pPr>
              <w:jc w:val="center"/>
              <w:ind w:left="744"/>
              <w:spacing w:after="0"/>
              <w:rPr>
                <w:sz w:val="20"/>
                <w:szCs w:val="20"/>
                <w:color w:val="auto"/>
              </w:rPr>
            </w:pPr>
            <w:r>
              <w:rPr>
                <w:rFonts w:ascii="Arial" w:cs="Arial" w:eastAsia="Arial" w:hAnsi="Arial"/>
                <w:sz w:val="15"/>
                <w:szCs w:val="15"/>
                <w:b w:val="1"/>
                <w:bCs w:val="1"/>
                <w:color w:val="auto"/>
                <w:w w:val="87"/>
              </w:rPr>
              <w:t>Shares</w:t>
            </w:r>
          </w:p>
        </w:tc>
        <w:tc>
          <w:tcPr>
            <w:tcW w:w="1180" w:type="dxa"/>
            <w:vAlign w:val="bottom"/>
            <w:gridSpan w:val="2"/>
          </w:tcPr>
          <w:p>
            <w:pPr>
              <w:jc w:val="right"/>
              <w:ind w:right="244"/>
              <w:spacing w:after="0"/>
              <w:rPr>
                <w:sz w:val="20"/>
                <w:szCs w:val="20"/>
                <w:color w:val="auto"/>
              </w:rPr>
            </w:pPr>
            <w:r>
              <w:rPr>
                <w:rFonts w:ascii="Arial" w:cs="Arial" w:eastAsia="Arial" w:hAnsi="Arial"/>
                <w:sz w:val="15"/>
                <w:szCs w:val="15"/>
                <w:b w:val="1"/>
                <w:bCs w:val="1"/>
                <w:color w:val="auto"/>
              </w:rPr>
              <w:t>Amount</w:t>
            </w:r>
          </w:p>
        </w:tc>
        <w:tc>
          <w:tcPr>
            <w:tcW w:w="1260" w:type="dxa"/>
            <w:vAlign w:val="bottom"/>
          </w:tcPr>
          <w:p>
            <w:pPr>
              <w:jc w:val="right"/>
              <w:ind w:right="344"/>
              <w:spacing w:after="0"/>
              <w:rPr>
                <w:sz w:val="20"/>
                <w:szCs w:val="20"/>
                <w:color w:val="auto"/>
              </w:rPr>
            </w:pPr>
            <w:r>
              <w:rPr>
                <w:rFonts w:ascii="Arial" w:cs="Arial" w:eastAsia="Arial" w:hAnsi="Arial"/>
                <w:sz w:val="15"/>
                <w:szCs w:val="15"/>
                <w:b w:val="1"/>
                <w:bCs w:val="1"/>
                <w:color w:val="auto"/>
              </w:rPr>
              <w:t>Shares</w:t>
            </w:r>
          </w:p>
        </w:tc>
        <w:tc>
          <w:tcPr>
            <w:tcW w:w="1160" w:type="dxa"/>
            <w:vAlign w:val="bottom"/>
            <w:gridSpan w:val="2"/>
          </w:tcPr>
          <w:p>
            <w:pPr>
              <w:jc w:val="right"/>
              <w:ind w:right="224"/>
              <w:spacing w:after="0"/>
              <w:rPr>
                <w:sz w:val="20"/>
                <w:szCs w:val="20"/>
                <w:color w:val="auto"/>
              </w:rPr>
            </w:pPr>
            <w:r>
              <w:rPr>
                <w:rFonts w:ascii="Arial" w:cs="Arial" w:eastAsia="Arial" w:hAnsi="Arial"/>
                <w:sz w:val="15"/>
                <w:szCs w:val="15"/>
                <w:b w:val="1"/>
                <w:bCs w:val="1"/>
                <w:color w:val="auto"/>
              </w:rPr>
              <w:t>Amount</w:t>
            </w:r>
          </w:p>
        </w:tc>
        <w:tc>
          <w:tcPr>
            <w:tcW w:w="11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Capital</w:t>
            </w:r>
          </w:p>
        </w:tc>
        <w:tc>
          <w:tcPr>
            <w:tcW w:w="0" w:type="dxa"/>
            <w:vAlign w:val="bottom"/>
          </w:tcPr>
          <w:p>
            <w:pPr>
              <w:spacing w:after="0"/>
              <w:rPr>
                <w:sz w:val="1"/>
                <w:szCs w:val="1"/>
                <w:color w:val="auto"/>
              </w:rPr>
            </w:pPr>
          </w:p>
        </w:tc>
      </w:tr>
      <w:tr>
        <w:trPr>
          <w:trHeight w:val="96"/>
        </w:trPr>
        <w:tc>
          <w:tcPr>
            <w:tcW w:w="470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68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2003</w:t>
            </w:r>
          </w:p>
        </w:tc>
        <w:tc>
          <w:tcPr>
            <w:tcW w:w="1980" w:type="dxa"/>
            <w:vAlign w:val="bottom"/>
            <w:shd w:val="clear" w:color="auto" w:fill="E6E6E6"/>
          </w:tcPr>
          <w:p>
            <w:pPr>
              <w:jc w:val="center"/>
              <w:ind w:left="744"/>
              <w:spacing w:after="0"/>
              <w:rPr>
                <w:sz w:val="20"/>
                <w:szCs w:val="20"/>
                <w:color w:val="auto"/>
              </w:rPr>
            </w:pPr>
            <w:r>
              <w:rPr>
                <w:rFonts w:ascii="Arial" w:cs="Arial" w:eastAsia="Arial" w:hAnsi="Arial"/>
                <w:sz w:val="15"/>
                <w:szCs w:val="15"/>
                <w:b w:val="1"/>
                <w:bCs w:val="1"/>
                <w:color w:val="auto"/>
              </w:rPr>
              <w:t>1,656,200</w:t>
            </w: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0.0</w:t>
            </w:r>
          </w:p>
        </w:tc>
        <w:tc>
          <w:tcPr>
            <w:tcW w:w="126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37,608,333</w:t>
            </w: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0.4</w:t>
            </w:r>
          </w:p>
        </w:tc>
        <w:tc>
          <w:tcPr>
            <w:tcW w:w="4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379.9</w:t>
            </w:r>
          </w:p>
        </w:tc>
        <w:tc>
          <w:tcPr>
            <w:tcW w:w="0" w:type="dxa"/>
            <w:vAlign w:val="bottom"/>
          </w:tcPr>
          <w:p>
            <w:pPr>
              <w:spacing w:after="0"/>
              <w:rPr>
                <w:sz w:val="1"/>
                <w:szCs w:val="1"/>
                <w:color w:val="auto"/>
              </w:rPr>
            </w:pPr>
          </w:p>
        </w:tc>
      </w:tr>
      <w:tr>
        <w:trPr>
          <w:trHeight w:val="208"/>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Comprehensive income:</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income</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5"/>
                <w:szCs w:val="15"/>
                <w:color w:val="auto"/>
              </w:rPr>
              <w:t>Other comprehensive income, net:</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320"/>
              <w:spacing w:after="0"/>
              <w:rPr>
                <w:sz w:val="20"/>
                <w:szCs w:val="20"/>
                <w:color w:val="auto"/>
              </w:rPr>
            </w:pPr>
            <w:r>
              <w:rPr>
                <w:rFonts w:ascii="Arial" w:cs="Arial" w:eastAsia="Arial" w:hAnsi="Arial"/>
                <w:sz w:val="15"/>
                <w:szCs w:val="15"/>
                <w:color w:val="auto"/>
              </w:rPr>
              <w:t>Foreign currency translation adjustment</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5"/>
                <w:szCs w:val="15"/>
                <w:color w:val="auto"/>
              </w:rPr>
              <w:t>Minimum pension liability adjustment,</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600"/>
              <w:spacing w:after="0"/>
              <w:rPr>
                <w:sz w:val="20"/>
                <w:szCs w:val="20"/>
                <w:color w:val="auto"/>
              </w:rPr>
            </w:pPr>
            <w:r>
              <w:rPr>
                <w:rFonts w:ascii="Arial" w:cs="Arial" w:eastAsia="Arial" w:hAnsi="Arial"/>
                <w:sz w:val="15"/>
                <w:szCs w:val="15"/>
                <w:color w:val="auto"/>
              </w:rPr>
              <w:t>net of tax of $6.2</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Total other comprehensive income</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color w:val="auto"/>
              </w:rPr>
              <w:t>Deferred compensation, net of amortization</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4,102</w:t>
            </w: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0.0</w:t>
            </w: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Proceeds from issuance of common stock</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5"/>
                <w:szCs w:val="15"/>
                <w:color w:val="auto"/>
              </w:rPr>
              <w:t>pursuant to employee stock-based plans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ind w:right="184"/>
              <w:spacing w:after="0"/>
              <w:rPr>
                <w:sz w:val="20"/>
                <w:szCs w:val="20"/>
                <w:color w:val="auto"/>
              </w:rPr>
            </w:pPr>
            <w:r>
              <w:rPr>
                <w:rFonts w:ascii="Arial" w:cs="Arial" w:eastAsia="Arial" w:hAnsi="Arial"/>
                <w:sz w:val="15"/>
                <w:szCs w:val="15"/>
                <w:color w:val="auto"/>
              </w:rPr>
              <w:t>318,551</w:t>
            </w:r>
          </w:p>
        </w:tc>
        <w:tc>
          <w:tcPr>
            <w:tcW w:w="580" w:type="dxa"/>
            <w:vAlign w:val="bottom"/>
          </w:tcPr>
          <w:p>
            <w:pPr>
              <w:spacing w:after="0"/>
              <w:rPr>
                <w:sz w:val="18"/>
                <w:szCs w:val="18"/>
                <w:color w:val="auto"/>
              </w:rPr>
            </w:pPr>
          </w:p>
        </w:tc>
        <w:tc>
          <w:tcPr>
            <w:tcW w:w="580" w:type="dxa"/>
            <w:vAlign w:val="bottom"/>
          </w:tcPr>
          <w:p>
            <w:pPr>
              <w:jc w:val="right"/>
              <w:ind w:right="164"/>
              <w:spacing w:after="0"/>
              <w:rPr>
                <w:sz w:val="20"/>
                <w:szCs w:val="20"/>
                <w:color w:val="auto"/>
              </w:rPr>
            </w:pPr>
            <w:r>
              <w:rPr>
                <w:rFonts w:ascii="Arial" w:cs="Arial" w:eastAsia="Arial" w:hAnsi="Arial"/>
                <w:sz w:val="15"/>
                <w:szCs w:val="15"/>
                <w:color w:val="auto"/>
              </w:rPr>
              <w:t>0.0</w:t>
            </w:r>
          </w:p>
        </w:tc>
        <w:tc>
          <w:tcPr>
            <w:tcW w:w="440" w:type="dxa"/>
            <w:vAlign w:val="bottom"/>
          </w:tcPr>
          <w:p>
            <w:pPr>
              <w:spacing w:after="0"/>
              <w:rPr>
                <w:sz w:val="18"/>
                <w:szCs w:val="18"/>
                <w:color w:val="auto"/>
              </w:rPr>
            </w:pPr>
          </w:p>
        </w:tc>
        <w:tc>
          <w:tcPr>
            <w:tcW w:w="740" w:type="dxa"/>
            <w:vAlign w:val="bottom"/>
          </w:tcPr>
          <w:p>
            <w:pPr>
              <w:jc w:val="right"/>
              <w:ind w:right="20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color w:val="auto"/>
              </w:rPr>
              <w:t>Tax benefit realized from employee stock-based plans</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93"/>
        </w:trPr>
        <w:tc>
          <w:tcPr>
            <w:tcW w:w="470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80" w:type="dxa"/>
            <w:vAlign w:val="bottom"/>
            <w:tcBorders>
              <w:top w:val="single" w:sz="8" w:color="808080"/>
            </w:tcBorders>
          </w:tcPr>
          <w:p>
            <w:pPr>
              <w:spacing w:after="0"/>
              <w:rPr>
                <w:sz w:val="7"/>
                <w:szCs w:val="7"/>
                <w:color w:val="auto"/>
              </w:rPr>
            </w:pPr>
          </w:p>
        </w:tc>
        <w:tc>
          <w:tcPr>
            <w:tcW w:w="198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126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440" w:type="dxa"/>
            <w:vAlign w:val="bottom"/>
            <w:tcBorders>
              <w:top w:val="single" w:sz="8" w:color="808080"/>
            </w:tcBorders>
          </w:tcPr>
          <w:p>
            <w:pPr>
              <w:spacing w:after="0"/>
              <w:rPr>
                <w:sz w:val="7"/>
                <w:szCs w:val="7"/>
                <w:color w:val="auto"/>
              </w:rPr>
            </w:pPr>
          </w:p>
        </w:tc>
        <w:tc>
          <w:tcPr>
            <w:tcW w:w="740" w:type="dxa"/>
            <w:vAlign w:val="bottom"/>
            <w:tcBorders>
              <w:top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2004</w:t>
            </w:r>
          </w:p>
        </w:tc>
        <w:tc>
          <w:tcPr>
            <w:tcW w:w="1980" w:type="dxa"/>
            <w:vAlign w:val="bottom"/>
            <w:shd w:val="clear" w:color="auto" w:fill="E6E6E6"/>
          </w:tcPr>
          <w:p>
            <w:pPr>
              <w:jc w:val="center"/>
              <w:ind w:left="744"/>
              <w:spacing w:after="0"/>
              <w:rPr>
                <w:sz w:val="20"/>
                <w:szCs w:val="20"/>
                <w:color w:val="auto"/>
              </w:rPr>
            </w:pPr>
            <w:r>
              <w:rPr>
                <w:rFonts w:ascii="Arial" w:cs="Arial" w:eastAsia="Arial" w:hAnsi="Arial"/>
                <w:sz w:val="15"/>
                <w:szCs w:val="15"/>
                <w:b w:val="1"/>
                <w:bCs w:val="1"/>
                <w:color w:val="auto"/>
              </w:rPr>
              <w:t>1,656,200</w:t>
            </w: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0.0</w:t>
            </w:r>
          </w:p>
        </w:tc>
        <w:tc>
          <w:tcPr>
            <w:tcW w:w="126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37,930,986</w:t>
            </w: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0.4</w:t>
            </w: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388.1</w:t>
            </w:r>
          </w:p>
        </w:tc>
        <w:tc>
          <w:tcPr>
            <w:tcW w:w="0" w:type="dxa"/>
            <w:vAlign w:val="bottom"/>
          </w:tcPr>
          <w:p>
            <w:pPr>
              <w:spacing w:after="0"/>
              <w:rPr>
                <w:sz w:val="1"/>
                <w:szCs w:val="1"/>
                <w:color w:val="auto"/>
              </w:rPr>
            </w:pPr>
          </w:p>
        </w:tc>
      </w:tr>
      <w:tr>
        <w:trPr>
          <w:trHeight w:val="208"/>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Comprehensive income:</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income</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5"/>
                <w:szCs w:val="15"/>
                <w:color w:val="auto"/>
              </w:rPr>
              <w:t>Other comprehensive income (loss), net:</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320"/>
              <w:spacing w:after="0"/>
              <w:rPr>
                <w:sz w:val="20"/>
                <w:szCs w:val="20"/>
                <w:color w:val="auto"/>
              </w:rPr>
            </w:pPr>
            <w:r>
              <w:rPr>
                <w:rFonts w:ascii="Arial" w:cs="Arial" w:eastAsia="Arial" w:hAnsi="Arial"/>
                <w:sz w:val="15"/>
                <w:szCs w:val="15"/>
                <w:color w:val="auto"/>
              </w:rPr>
              <w:t>Foreign currency translation adjustment</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5"/>
                <w:szCs w:val="15"/>
                <w:color w:val="auto"/>
              </w:rPr>
              <w:t>Minimum pension liability adjustment,</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600"/>
              <w:spacing w:after="0"/>
              <w:rPr>
                <w:sz w:val="20"/>
                <w:szCs w:val="20"/>
                <w:color w:val="auto"/>
              </w:rPr>
            </w:pPr>
            <w:r>
              <w:rPr>
                <w:rFonts w:ascii="Arial" w:cs="Arial" w:eastAsia="Arial" w:hAnsi="Arial"/>
                <w:sz w:val="15"/>
                <w:szCs w:val="15"/>
                <w:color w:val="auto"/>
              </w:rPr>
              <w:t>net of tax of $5.3</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Total other comprehensive loss</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color w:val="auto"/>
              </w:rPr>
              <w:t>Deferred compensation, net of amortization</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8,993</w:t>
            </w: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0.0</w:t>
            </w: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Proceeds from issuance of common stock</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5"/>
                <w:szCs w:val="15"/>
                <w:color w:val="auto"/>
              </w:rPr>
              <w:t>pursuant to employee stock-based plans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ind w:right="184"/>
              <w:spacing w:after="0"/>
              <w:rPr>
                <w:sz w:val="20"/>
                <w:szCs w:val="20"/>
                <w:color w:val="auto"/>
              </w:rPr>
            </w:pPr>
            <w:r>
              <w:rPr>
                <w:rFonts w:ascii="Arial" w:cs="Arial" w:eastAsia="Arial" w:hAnsi="Arial"/>
                <w:sz w:val="15"/>
                <w:szCs w:val="15"/>
                <w:color w:val="auto"/>
              </w:rPr>
              <w:t>1,136,565</w:t>
            </w:r>
          </w:p>
        </w:tc>
        <w:tc>
          <w:tcPr>
            <w:tcW w:w="580" w:type="dxa"/>
            <w:vAlign w:val="bottom"/>
          </w:tcPr>
          <w:p>
            <w:pPr>
              <w:spacing w:after="0"/>
              <w:rPr>
                <w:sz w:val="18"/>
                <w:szCs w:val="18"/>
                <w:color w:val="auto"/>
              </w:rPr>
            </w:pPr>
          </w:p>
        </w:tc>
        <w:tc>
          <w:tcPr>
            <w:tcW w:w="580" w:type="dxa"/>
            <w:vAlign w:val="bottom"/>
          </w:tcPr>
          <w:p>
            <w:pPr>
              <w:jc w:val="right"/>
              <w:ind w:right="164"/>
              <w:spacing w:after="0"/>
              <w:rPr>
                <w:sz w:val="20"/>
                <w:szCs w:val="20"/>
                <w:color w:val="auto"/>
              </w:rPr>
            </w:pPr>
            <w:r>
              <w:rPr>
                <w:rFonts w:ascii="Arial" w:cs="Arial" w:eastAsia="Arial" w:hAnsi="Arial"/>
                <w:sz w:val="15"/>
                <w:szCs w:val="15"/>
                <w:color w:val="auto"/>
              </w:rPr>
              <w:t>0.0</w:t>
            </w:r>
          </w:p>
        </w:tc>
        <w:tc>
          <w:tcPr>
            <w:tcW w:w="440" w:type="dxa"/>
            <w:vAlign w:val="bottom"/>
          </w:tcPr>
          <w:p>
            <w:pPr>
              <w:spacing w:after="0"/>
              <w:rPr>
                <w:sz w:val="18"/>
                <w:szCs w:val="18"/>
                <w:color w:val="auto"/>
              </w:rPr>
            </w:pPr>
          </w:p>
        </w:tc>
        <w:tc>
          <w:tcPr>
            <w:tcW w:w="740" w:type="dxa"/>
            <w:vAlign w:val="bottom"/>
          </w:tcPr>
          <w:p>
            <w:pPr>
              <w:jc w:val="right"/>
              <w:ind w:right="204"/>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color w:val="auto"/>
              </w:rPr>
              <w:t>Tax benefit realized from employee stock-based plans</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93"/>
        </w:trPr>
        <w:tc>
          <w:tcPr>
            <w:tcW w:w="470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80" w:type="dxa"/>
            <w:vAlign w:val="bottom"/>
            <w:tcBorders>
              <w:top w:val="single" w:sz="8" w:color="808080"/>
            </w:tcBorders>
          </w:tcPr>
          <w:p>
            <w:pPr>
              <w:spacing w:after="0"/>
              <w:rPr>
                <w:sz w:val="7"/>
                <w:szCs w:val="7"/>
                <w:color w:val="auto"/>
              </w:rPr>
            </w:pPr>
          </w:p>
        </w:tc>
        <w:tc>
          <w:tcPr>
            <w:tcW w:w="198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126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440" w:type="dxa"/>
            <w:vAlign w:val="bottom"/>
            <w:tcBorders>
              <w:top w:val="single" w:sz="8" w:color="808080"/>
            </w:tcBorders>
          </w:tcPr>
          <w:p>
            <w:pPr>
              <w:spacing w:after="0"/>
              <w:rPr>
                <w:sz w:val="7"/>
                <w:szCs w:val="7"/>
                <w:color w:val="auto"/>
              </w:rPr>
            </w:pPr>
          </w:p>
        </w:tc>
        <w:tc>
          <w:tcPr>
            <w:tcW w:w="740" w:type="dxa"/>
            <w:vAlign w:val="bottom"/>
            <w:tcBorders>
              <w:top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2005</w:t>
            </w:r>
          </w:p>
        </w:tc>
        <w:tc>
          <w:tcPr>
            <w:tcW w:w="1980" w:type="dxa"/>
            <w:vAlign w:val="bottom"/>
            <w:shd w:val="clear" w:color="auto" w:fill="E6E6E6"/>
          </w:tcPr>
          <w:p>
            <w:pPr>
              <w:jc w:val="center"/>
              <w:ind w:left="744"/>
              <w:spacing w:after="0"/>
              <w:rPr>
                <w:sz w:val="20"/>
                <w:szCs w:val="20"/>
                <w:color w:val="auto"/>
              </w:rPr>
            </w:pPr>
            <w:r>
              <w:rPr>
                <w:rFonts w:ascii="Arial" w:cs="Arial" w:eastAsia="Arial" w:hAnsi="Arial"/>
                <w:sz w:val="15"/>
                <w:szCs w:val="15"/>
                <w:b w:val="1"/>
                <w:bCs w:val="1"/>
                <w:color w:val="auto"/>
              </w:rPr>
              <w:t>1,656,200</w:t>
            </w: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0.0</w:t>
            </w:r>
          </w:p>
        </w:tc>
        <w:tc>
          <w:tcPr>
            <w:tcW w:w="126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39,076,544</w:t>
            </w: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0.4</w:t>
            </w: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424.0</w:t>
            </w:r>
          </w:p>
        </w:tc>
        <w:tc>
          <w:tcPr>
            <w:tcW w:w="0" w:type="dxa"/>
            <w:vAlign w:val="bottom"/>
          </w:tcPr>
          <w:p>
            <w:pPr>
              <w:spacing w:after="0"/>
              <w:rPr>
                <w:sz w:val="1"/>
                <w:szCs w:val="1"/>
                <w:color w:val="auto"/>
              </w:rPr>
            </w:pPr>
          </w:p>
        </w:tc>
      </w:tr>
      <w:tr>
        <w:trPr>
          <w:trHeight w:val="208"/>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Comprehensive income:</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income</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5"/>
                <w:szCs w:val="15"/>
                <w:color w:val="auto"/>
              </w:rPr>
              <w:t>Other comprehensive income, net:</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320"/>
              <w:spacing w:after="0"/>
              <w:rPr>
                <w:sz w:val="20"/>
                <w:szCs w:val="20"/>
                <w:color w:val="auto"/>
              </w:rPr>
            </w:pPr>
            <w:r>
              <w:rPr>
                <w:rFonts w:ascii="Arial" w:cs="Arial" w:eastAsia="Arial" w:hAnsi="Arial"/>
                <w:sz w:val="15"/>
                <w:szCs w:val="15"/>
                <w:color w:val="auto"/>
              </w:rPr>
              <w:t>Foreign currency translation adjustment</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5"/>
                <w:szCs w:val="15"/>
                <w:color w:val="auto"/>
              </w:rPr>
              <w:t>Minimum pension liability adjustment,</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600"/>
              <w:spacing w:after="0"/>
              <w:rPr>
                <w:sz w:val="20"/>
                <w:szCs w:val="20"/>
                <w:color w:val="auto"/>
              </w:rPr>
            </w:pPr>
            <w:r>
              <w:rPr>
                <w:rFonts w:ascii="Arial" w:cs="Arial" w:eastAsia="Arial" w:hAnsi="Arial"/>
                <w:sz w:val="15"/>
                <w:szCs w:val="15"/>
                <w:color w:val="auto"/>
              </w:rPr>
              <w:t>net of tax of $4.4</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Total other comprehensive income</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color w:val="auto"/>
              </w:rPr>
              <w:t>Deferred compensation, net of amortization</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26,690</w:t>
            </w: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0.0</w:t>
            </w: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Proceeds from issuance of common stock</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5"/>
                <w:szCs w:val="15"/>
                <w:color w:val="auto"/>
              </w:rPr>
              <w:t>pursuant to employee stock-based plans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ind w:right="184"/>
              <w:spacing w:after="0"/>
              <w:rPr>
                <w:sz w:val="20"/>
                <w:szCs w:val="20"/>
                <w:color w:val="auto"/>
              </w:rPr>
            </w:pPr>
            <w:r>
              <w:rPr>
                <w:rFonts w:ascii="Arial" w:cs="Arial" w:eastAsia="Arial" w:hAnsi="Arial"/>
                <w:sz w:val="15"/>
                <w:szCs w:val="15"/>
                <w:color w:val="auto"/>
              </w:rPr>
              <w:t>1,179,012</w:t>
            </w:r>
          </w:p>
        </w:tc>
        <w:tc>
          <w:tcPr>
            <w:tcW w:w="580" w:type="dxa"/>
            <w:vAlign w:val="bottom"/>
          </w:tcPr>
          <w:p>
            <w:pPr>
              <w:spacing w:after="0"/>
              <w:rPr>
                <w:sz w:val="18"/>
                <w:szCs w:val="18"/>
                <w:color w:val="auto"/>
              </w:rPr>
            </w:pPr>
          </w:p>
        </w:tc>
        <w:tc>
          <w:tcPr>
            <w:tcW w:w="580" w:type="dxa"/>
            <w:vAlign w:val="bottom"/>
          </w:tcPr>
          <w:p>
            <w:pPr>
              <w:jc w:val="right"/>
              <w:ind w:right="164"/>
              <w:spacing w:after="0"/>
              <w:rPr>
                <w:sz w:val="20"/>
                <w:szCs w:val="20"/>
                <w:color w:val="auto"/>
              </w:rPr>
            </w:pPr>
            <w:r>
              <w:rPr>
                <w:rFonts w:ascii="Arial" w:cs="Arial" w:eastAsia="Arial" w:hAnsi="Arial"/>
                <w:sz w:val="15"/>
                <w:szCs w:val="15"/>
                <w:color w:val="auto"/>
              </w:rPr>
              <w:t>0.0</w:t>
            </w:r>
          </w:p>
        </w:tc>
        <w:tc>
          <w:tcPr>
            <w:tcW w:w="440" w:type="dxa"/>
            <w:vAlign w:val="bottom"/>
          </w:tcPr>
          <w:p>
            <w:pPr>
              <w:spacing w:after="0"/>
              <w:rPr>
                <w:sz w:val="18"/>
                <w:szCs w:val="18"/>
                <w:color w:val="auto"/>
              </w:rPr>
            </w:pPr>
          </w:p>
        </w:tc>
        <w:tc>
          <w:tcPr>
            <w:tcW w:w="740" w:type="dxa"/>
            <w:vAlign w:val="bottom"/>
          </w:tcPr>
          <w:p>
            <w:pPr>
              <w:jc w:val="right"/>
              <w:ind w:right="204"/>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color w:val="auto"/>
              </w:rPr>
              <w:t>Tax benefit realized from employee stock-based plans</w:t>
            </w:r>
          </w:p>
        </w:tc>
        <w:tc>
          <w:tcPr>
            <w:tcW w:w="19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93"/>
        </w:trPr>
        <w:tc>
          <w:tcPr>
            <w:tcW w:w="470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80" w:type="dxa"/>
            <w:vAlign w:val="bottom"/>
            <w:tcBorders>
              <w:top w:val="single" w:sz="8" w:color="808080"/>
            </w:tcBorders>
          </w:tcPr>
          <w:p>
            <w:pPr>
              <w:spacing w:after="0"/>
              <w:rPr>
                <w:sz w:val="7"/>
                <w:szCs w:val="7"/>
                <w:color w:val="auto"/>
              </w:rPr>
            </w:pPr>
          </w:p>
        </w:tc>
        <w:tc>
          <w:tcPr>
            <w:tcW w:w="198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126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580" w:type="dxa"/>
            <w:vAlign w:val="bottom"/>
            <w:tcBorders>
              <w:top w:val="single" w:sz="8" w:color="808080"/>
            </w:tcBorders>
          </w:tcPr>
          <w:p>
            <w:pPr>
              <w:spacing w:after="0"/>
              <w:rPr>
                <w:sz w:val="7"/>
                <w:szCs w:val="7"/>
                <w:color w:val="auto"/>
              </w:rPr>
            </w:pPr>
          </w:p>
        </w:tc>
        <w:tc>
          <w:tcPr>
            <w:tcW w:w="440" w:type="dxa"/>
            <w:vAlign w:val="bottom"/>
            <w:tcBorders>
              <w:top w:val="single" w:sz="8" w:color="808080"/>
            </w:tcBorders>
          </w:tcPr>
          <w:p>
            <w:pPr>
              <w:spacing w:after="0"/>
              <w:rPr>
                <w:sz w:val="7"/>
                <w:szCs w:val="7"/>
                <w:color w:val="auto"/>
              </w:rPr>
            </w:pPr>
          </w:p>
        </w:tc>
        <w:tc>
          <w:tcPr>
            <w:tcW w:w="740" w:type="dxa"/>
            <w:vAlign w:val="bottom"/>
            <w:tcBorders>
              <w:top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2006</w:t>
            </w:r>
          </w:p>
        </w:tc>
        <w:tc>
          <w:tcPr>
            <w:tcW w:w="1980" w:type="dxa"/>
            <w:vAlign w:val="bottom"/>
            <w:shd w:val="clear" w:color="auto" w:fill="E6E6E6"/>
          </w:tcPr>
          <w:p>
            <w:pPr>
              <w:jc w:val="center"/>
              <w:ind w:left="744"/>
              <w:spacing w:after="0"/>
              <w:rPr>
                <w:sz w:val="20"/>
                <w:szCs w:val="20"/>
                <w:color w:val="auto"/>
              </w:rPr>
            </w:pPr>
            <w:r>
              <w:rPr>
                <w:rFonts w:ascii="Arial" w:cs="Arial" w:eastAsia="Arial" w:hAnsi="Arial"/>
                <w:sz w:val="15"/>
                <w:szCs w:val="15"/>
                <w:b w:val="1"/>
                <w:bCs w:val="1"/>
                <w:color w:val="auto"/>
              </w:rPr>
              <w:t>1,656,200</w:t>
            </w: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0.0</w:t>
            </w:r>
          </w:p>
        </w:tc>
        <w:tc>
          <w:tcPr>
            <w:tcW w:w="126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40,282,246</w:t>
            </w: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0.4</w:t>
            </w:r>
          </w:p>
        </w:tc>
        <w:tc>
          <w:tcPr>
            <w:tcW w:w="4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458.7</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140335</wp:posOffset>
            </wp:positionV>
            <wp:extent cx="118110" cy="118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728535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38" w:name="page39"/>
    <w:bookmarkEnd w:id="38"/>
    <w:p>
      <w:pPr>
        <w:ind w:left="9340"/>
        <w:spacing w:after="0"/>
        <w:rPr>
          <w:sz w:val="20"/>
          <w:szCs w:val="20"/>
          <w:color w:val="auto"/>
        </w:rPr>
      </w:pPr>
      <w:r>
        <w:rPr>
          <w:rFonts w:ascii="Arial" w:cs="Arial" w:eastAsia="Arial" w:hAnsi="Arial"/>
          <w:sz w:val="10"/>
          <w:szCs w:val="10"/>
          <w:color w:val="auto"/>
        </w:rPr>
        <w:t>(Amounts in millions, except share data)</w:t>
      </w:r>
    </w:p>
    <w:p>
      <w:pPr>
        <w:spacing w:after="0" w:line="36"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Years ended May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201295</wp:posOffset>
            </wp:positionV>
            <wp:extent cx="726567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center"/>
              <w:ind w:right="264"/>
              <w:spacing w:after="0"/>
              <w:rPr>
                <w:sz w:val="20"/>
                <w:szCs w:val="20"/>
                <w:color w:val="auto"/>
              </w:rPr>
            </w:pPr>
            <w:r>
              <w:rPr>
                <w:rFonts w:ascii="Arial" w:cs="Arial" w:eastAsia="Arial" w:hAnsi="Arial"/>
                <w:sz w:val="15"/>
                <w:szCs w:val="15"/>
                <w:b w:val="1"/>
                <w:bCs w:val="1"/>
                <w:color w:val="auto"/>
                <w:w w:val="90"/>
              </w:rPr>
              <w:t>Foreign</w:t>
            </w:r>
          </w:p>
        </w:tc>
        <w:tc>
          <w:tcPr>
            <w:tcW w:w="12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7"/>
              </w:rPr>
              <w:t>Minimum</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4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5"/>
                <w:szCs w:val="15"/>
                <w:b w:val="1"/>
                <w:bCs w:val="1"/>
                <w:color w:val="auto"/>
                <w:w w:val="97"/>
              </w:rPr>
              <w:t>Deferred</w:t>
            </w:r>
          </w:p>
        </w:tc>
        <w:tc>
          <w:tcPr>
            <w:tcW w:w="420" w:type="dxa"/>
            <w:vAlign w:val="bottom"/>
          </w:tcPr>
          <w:p>
            <w:pPr>
              <w:spacing w:after="0"/>
              <w:rPr>
                <w:sz w:val="16"/>
                <w:szCs w:val="16"/>
                <w:color w:val="auto"/>
              </w:rPr>
            </w:pPr>
          </w:p>
        </w:tc>
        <w:tc>
          <w:tcPr>
            <w:tcW w:w="1000" w:type="dxa"/>
            <w:vAlign w:val="bottom"/>
          </w:tcPr>
          <w:p>
            <w:pPr>
              <w:jc w:val="center"/>
              <w:ind w:right="264"/>
              <w:spacing w:after="0"/>
              <w:rPr>
                <w:sz w:val="20"/>
                <w:szCs w:val="20"/>
                <w:color w:val="auto"/>
              </w:rPr>
            </w:pPr>
            <w:r>
              <w:rPr>
                <w:rFonts w:ascii="Arial" w:cs="Arial" w:eastAsia="Arial" w:hAnsi="Arial"/>
                <w:sz w:val="15"/>
                <w:szCs w:val="15"/>
                <w:b w:val="1"/>
                <w:bCs w:val="1"/>
                <w:color w:val="auto"/>
                <w:w w:val="94"/>
              </w:rPr>
              <w:t>Currency</w:t>
            </w:r>
          </w:p>
        </w:tc>
        <w:tc>
          <w:tcPr>
            <w:tcW w:w="400" w:type="dxa"/>
            <w:vAlign w:val="bottom"/>
          </w:tcPr>
          <w:p>
            <w:pPr>
              <w:spacing w:after="0"/>
              <w:rPr>
                <w:sz w:val="16"/>
                <w:szCs w:val="16"/>
                <w:color w:val="auto"/>
              </w:rPr>
            </w:pPr>
          </w:p>
        </w:tc>
        <w:tc>
          <w:tcPr>
            <w:tcW w:w="880" w:type="dxa"/>
            <w:vAlign w:val="bottom"/>
          </w:tcPr>
          <w:p>
            <w:pPr>
              <w:jc w:val="center"/>
              <w:ind w:right="304"/>
              <w:spacing w:after="0"/>
              <w:rPr>
                <w:sz w:val="20"/>
                <w:szCs w:val="20"/>
                <w:color w:val="auto"/>
              </w:rPr>
            </w:pPr>
            <w:r>
              <w:rPr>
                <w:rFonts w:ascii="Arial" w:cs="Arial" w:eastAsia="Arial" w:hAnsi="Arial"/>
                <w:sz w:val="15"/>
                <w:szCs w:val="15"/>
                <w:b w:val="1"/>
                <w:bCs w:val="1"/>
                <w:color w:val="auto"/>
                <w:w w:val="85"/>
              </w:rPr>
              <w:t>Pension</w:t>
            </w:r>
          </w:p>
        </w:tc>
        <w:tc>
          <w:tcPr>
            <w:tcW w:w="1240" w:type="dxa"/>
            <w:vAlign w:val="bottom"/>
            <w:gridSpan w:val="2"/>
          </w:tcPr>
          <w:p>
            <w:pPr>
              <w:jc w:val="right"/>
              <w:ind w:right="264"/>
              <w:spacing w:after="0"/>
              <w:rPr>
                <w:sz w:val="20"/>
                <w:szCs w:val="20"/>
                <w:color w:val="auto"/>
              </w:rPr>
            </w:pPr>
            <w:r>
              <w:rPr>
                <w:rFonts w:ascii="Arial" w:cs="Arial" w:eastAsia="Arial" w:hAnsi="Arial"/>
                <w:sz w:val="15"/>
                <w:szCs w:val="15"/>
                <w:b w:val="1"/>
                <w:bCs w:val="1"/>
                <w:color w:val="auto"/>
              </w:rPr>
              <w:t>Retained</w:t>
            </w:r>
          </w:p>
        </w:tc>
        <w:tc>
          <w:tcPr>
            <w:tcW w:w="1520" w:type="dxa"/>
            <w:vAlign w:val="bottom"/>
            <w:gridSpan w:val="3"/>
          </w:tcPr>
          <w:p>
            <w:pPr>
              <w:jc w:val="center"/>
              <w:spacing w:after="0"/>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0" w:type="dxa"/>
            <w:vAlign w:val="bottom"/>
            <w:gridSpan w:val="2"/>
          </w:tcPr>
          <w:p>
            <w:pPr>
              <w:ind w:left="560"/>
              <w:spacing w:after="0"/>
              <w:rPr>
                <w:sz w:val="20"/>
                <w:szCs w:val="20"/>
                <w:color w:val="auto"/>
              </w:rPr>
            </w:pPr>
            <w:r>
              <w:rPr>
                <w:rFonts w:ascii="Arial" w:cs="Arial" w:eastAsia="Arial" w:hAnsi="Arial"/>
                <w:sz w:val="15"/>
                <w:szCs w:val="15"/>
                <w:b w:val="1"/>
                <w:bCs w:val="1"/>
                <w:color w:val="auto"/>
              </w:rPr>
              <w:t>Compensation</w:t>
            </w:r>
          </w:p>
        </w:tc>
        <w:tc>
          <w:tcPr>
            <w:tcW w:w="14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Translation</w:t>
            </w:r>
          </w:p>
        </w:tc>
        <w:tc>
          <w:tcPr>
            <w:tcW w:w="12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8"/>
              </w:rPr>
              <w:t>Liability</w:t>
            </w:r>
          </w:p>
        </w:tc>
        <w:tc>
          <w:tcPr>
            <w:tcW w:w="1240" w:type="dxa"/>
            <w:vAlign w:val="bottom"/>
            <w:gridSpan w:val="2"/>
          </w:tcPr>
          <w:p>
            <w:pPr>
              <w:jc w:val="right"/>
              <w:ind w:right="244"/>
              <w:spacing w:after="0"/>
              <w:rPr>
                <w:sz w:val="20"/>
                <w:szCs w:val="20"/>
                <w:color w:val="auto"/>
              </w:rPr>
            </w:pPr>
            <w:r>
              <w:rPr>
                <w:rFonts w:ascii="Arial" w:cs="Arial" w:eastAsia="Arial" w:hAnsi="Arial"/>
                <w:sz w:val="15"/>
                <w:szCs w:val="15"/>
                <w:b w:val="1"/>
                <w:bCs w:val="1"/>
                <w:color w:val="auto"/>
              </w:rPr>
              <w:t>Earnings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2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96"/>
        </w:trPr>
        <w:tc>
          <w:tcPr>
            <w:tcW w:w="42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2003</w:t>
            </w:r>
          </w:p>
        </w:tc>
        <w:tc>
          <w:tcPr>
            <w:tcW w:w="700" w:type="dxa"/>
            <w:vAlign w:val="bottom"/>
            <w:shd w:val="clear" w:color="auto" w:fill="E6E6E6"/>
          </w:tcPr>
          <w:p>
            <w:pPr>
              <w:ind w:left="580"/>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(1.1)</w:t>
            </w: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(9.8)</w:t>
            </w:r>
          </w:p>
        </w:tc>
        <w:tc>
          <w:tcPr>
            <w:tcW w:w="4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(28.0)</w:t>
            </w:r>
          </w:p>
        </w:tc>
        <w:tc>
          <w:tcPr>
            <w:tcW w:w="460" w:type="dxa"/>
            <w:vAlign w:val="bottom"/>
            <w:shd w:val="clear" w:color="auto" w:fill="E6E6E6"/>
          </w:tcPr>
          <w:p>
            <w:pPr>
              <w:jc w:val="right"/>
              <w:ind w:right="24"/>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421.2</w:t>
            </w:r>
          </w:p>
        </w:tc>
        <w:tc>
          <w:tcPr>
            <w:tcW w:w="48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b w:val="1"/>
                <w:bCs w:val="1"/>
                <w:color w:val="auto"/>
              </w:rPr>
              <w:t>762.6</w:t>
            </w:r>
          </w:p>
        </w:tc>
        <w:tc>
          <w:tcPr>
            <w:tcW w:w="0" w:type="dxa"/>
            <w:vAlign w:val="bottom"/>
          </w:tcPr>
          <w:p>
            <w:pPr>
              <w:spacing w:after="0"/>
              <w:rPr>
                <w:sz w:val="1"/>
                <w:szCs w:val="1"/>
                <w:color w:val="auto"/>
              </w:rPr>
            </w:pPr>
          </w:p>
        </w:tc>
      </w:tr>
      <w:tr>
        <w:trPr>
          <w:trHeight w:val="208"/>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Comprehensive income:</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57.8</w:t>
            </w: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5"/>
                <w:szCs w:val="15"/>
                <w:color w:val="auto"/>
              </w:rPr>
              <w:t>Other comprehensive income, net:</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E6E6E6"/>
          </w:tcPr>
          <w:p>
            <w:pPr>
              <w:ind w:left="320"/>
              <w:spacing w:after="0"/>
              <w:rPr>
                <w:sz w:val="20"/>
                <w:szCs w:val="20"/>
                <w:color w:val="auto"/>
              </w:rPr>
            </w:pPr>
            <w:r>
              <w:rPr>
                <w:rFonts w:ascii="Arial" w:cs="Arial" w:eastAsia="Arial" w:hAnsi="Arial"/>
                <w:sz w:val="15"/>
                <w:szCs w:val="15"/>
                <w:color w:val="auto"/>
              </w:rPr>
              <w:t>Foreign currency translation adjustment</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324"/>
              <w:spacing w:after="0"/>
              <w:rPr>
                <w:sz w:val="20"/>
                <w:szCs w:val="20"/>
                <w:color w:val="auto"/>
              </w:rPr>
            </w:pPr>
            <w:r>
              <w:rPr>
                <w:rFonts w:ascii="Arial" w:cs="Arial" w:eastAsia="Arial" w:hAnsi="Arial"/>
                <w:sz w:val="15"/>
                <w:szCs w:val="15"/>
                <w:color w:val="auto"/>
              </w:rPr>
              <w:t>5.3</w:t>
            </w: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5"/>
                <w:szCs w:val="15"/>
                <w:color w:val="auto"/>
              </w:rPr>
              <w:t>Minimum pension liability adjustment,</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ind w:left="600"/>
              <w:spacing w:after="0"/>
              <w:rPr>
                <w:sz w:val="20"/>
                <w:szCs w:val="20"/>
                <w:color w:val="auto"/>
              </w:rPr>
            </w:pPr>
            <w:r>
              <w:rPr>
                <w:rFonts w:ascii="Arial" w:cs="Arial" w:eastAsia="Arial" w:hAnsi="Arial"/>
                <w:sz w:val="15"/>
                <w:szCs w:val="15"/>
                <w:color w:val="auto"/>
              </w:rPr>
              <w:t>net of tax of $6.2</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284"/>
              <w:spacing w:after="0"/>
              <w:rPr>
                <w:sz w:val="20"/>
                <w:szCs w:val="20"/>
                <w:color w:val="auto"/>
              </w:rPr>
            </w:pPr>
            <w:r>
              <w:rPr>
                <w:rFonts w:ascii="Arial" w:cs="Arial" w:eastAsia="Arial" w:hAnsi="Arial"/>
                <w:sz w:val="15"/>
                <w:szCs w:val="15"/>
                <w:color w:val="auto"/>
              </w:rPr>
              <w:t>11.0</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Total other comprehensive income</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93"/>
        </w:trPr>
        <w:tc>
          <w:tcPr>
            <w:tcW w:w="4200" w:type="dxa"/>
            <w:vAlign w:val="bottom"/>
            <w:gridSpan w:val="2"/>
            <w:vMerge w:val="restart"/>
          </w:tcPr>
          <w:p>
            <w:pPr>
              <w:ind w:left="20"/>
              <w:spacing w:after="0"/>
              <w:rPr>
                <w:sz w:val="20"/>
                <w:szCs w:val="20"/>
                <w:color w:val="auto"/>
              </w:rPr>
            </w:pPr>
            <w:r>
              <w:rPr>
                <w:rFonts w:ascii="Arial" w:cs="Arial" w:eastAsia="Arial" w:hAnsi="Arial"/>
                <w:sz w:val="15"/>
                <w:szCs w:val="15"/>
                <w:color w:val="auto"/>
              </w:rPr>
              <w:t>Total comprehensive income</w:t>
            </w: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42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74.1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color w:val="auto"/>
              </w:rPr>
              <w:t>Deferred compensation, net of amortization</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0.5</w:t>
            </w: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Proceeds from issuance of common stock</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5"/>
                <w:szCs w:val="15"/>
                <w:color w:val="auto"/>
              </w:rPr>
              <w:t>pursuant to employee stock-based plans</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color w:val="auto"/>
              </w:rPr>
              <w:t>Tax benefit realized from employee stock-based plans</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93"/>
        </w:trPr>
        <w:tc>
          <w:tcPr>
            <w:tcW w:w="42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80" w:type="dxa"/>
            <w:vAlign w:val="bottom"/>
            <w:tcBorders>
              <w:top w:val="single" w:sz="8" w:color="808080"/>
            </w:tcBorders>
          </w:tcPr>
          <w:p>
            <w:pPr>
              <w:spacing w:after="0"/>
              <w:rPr>
                <w:sz w:val="7"/>
                <w:szCs w:val="7"/>
                <w:color w:val="auto"/>
              </w:rPr>
            </w:pPr>
          </w:p>
        </w:tc>
        <w:tc>
          <w:tcPr>
            <w:tcW w:w="700" w:type="dxa"/>
            <w:vAlign w:val="bottom"/>
            <w:tcBorders>
              <w:top w:val="single" w:sz="8" w:color="808080"/>
            </w:tcBorders>
          </w:tcPr>
          <w:p>
            <w:pPr>
              <w:spacing w:after="0"/>
              <w:rPr>
                <w:sz w:val="7"/>
                <w:szCs w:val="7"/>
                <w:color w:val="auto"/>
              </w:rPr>
            </w:pPr>
          </w:p>
        </w:tc>
        <w:tc>
          <w:tcPr>
            <w:tcW w:w="110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1000" w:type="dxa"/>
            <w:vAlign w:val="bottom"/>
            <w:tcBorders>
              <w:top w:val="single" w:sz="8" w:color="808080"/>
            </w:tcBorders>
          </w:tcPr>
          <w:p>
            <w:pPr>
              <w:spacing w:after="0"/>
              <w:rPr>
                <w:sz w:val="7"/>
                <w:szCs w:val="7"/>
                <w:color w:val="auto"/>
              </w:rPr>
            </w:pPr>
          </w:p>
        </w:tc>
        <w:tc>
          <w:tcPr>
            <w:tcW w:w="400" w:type="dxa"/>
            <w:vAlign w:val="bottom"/>
            <w:tcBorders>
              <w:top w:val="single" w:sz="8" w:color="808080"/>
            </w:tcBorders>
          </w:tcPr>
          <w:p>
            <w:pPr>
              <w:spacing w:after="0"/>
              <w:rPr>
                <w:sz w:val="7"/>
                <w:szCs w:val="7"/>
                <w:color w:val="auto"/>
              </w:rPr>
            </w:pPr>
          </w:p>
        </w:tc>
        <w:tc>
          <w:tcPr>
            <w:tcW w:w="880" w:type="dxa"/>
            <w:vAlign w:val="bottom"/>
            <w:tcBorders>
              <w:top w:val="single" w:sz="8" w:color="808080"/>
            </w:tcBorders>
          </w:tcPr>
          <w:p>
            <w:pPr>
              <w:spacing w:after="0"/>
              <w:rPr>
                <w:sz w:val="7"/>
                <w:szCs w:val="7"/>
                <w:color w:val="auto"/>
              </w:rPr>
            </w:pPr>
          </w:p>
        </w:tc>
        <w:tc>
          <w:tcPr>
            <w:tcW w:w="460" w:type="dxa"/>
            <w:vAlign w:val="bottom"/>
            <w:tcBorders>
              <w:top w:val="single" w:sz="8" w:color="808080"/>
            </w:tcBorders>
          </w:tcPr>
          <w:p>
            <w:pPr>
              <w:spacing w:after="0"/>
              <w:rPr>
                <w:sz w:val="7"/>
                <w:szCs w:val="7"/>
                <w:color w:val="auto"/>
              </w:rPr>
            </w:pPr>
          </w:p>
        </w:tc>
        <w:tc>
          <w:tcPr>
            <w:tcW w:w="780" w:type="dxa"/>
            <w:vAlign w:val="bottom"/>
            <w:tcBorders>
              <w:top w:val="single" w:sz="8" w:color="808080"/>
            </w:tcBorders>
          </w:tcPr>
          <w:p>
            <w:pPr>
              <w:spacing w:after="0"/>
              <w:rPr>
                <w:sz w:val="7"/>
                <w:szCs w:val="7"/>
                <w:color w:val="auto"/>
              </w:rPr>
            </w:pPr>
          </w:p>
        </w:tc>
        <w:tc>
          <w:tcPr>
            <w:tcW w:w="380" w:type="dxa"/>
            <w:vAlign w:val="bottom"/>
            <w:tcBorders>
              <w:top w:val="single" w:sz="8" w:color="808080"/>
            </w:tcBorders>
          </w:tcPr>
          <w:p>
            <w:pPr>
              <w:spacing w:after="0"/>
              <w:rPr>
                <w:sz w:val="7"/>
                <w:szCs w:val="7"/>
                <w:color w:val="auto"/>
              </w:rPr>
            </w:pPr>
          </w:p>
        </w:tc>
        <w:tc>
          <w:tcPr>
            <w:tcW w:w="100" w:type="dxa"/>
            <w:vAlign w:val="bottom"/>
            <w:tcBorders>
              <w:top w:val="single" w:sz="8" w:color="808080"/>
            </w:tcBorders>
          </w:tcPr>
          <w:p>
            <w:pPr>
              <w:spacing w:after="0"/>
              <w:rPr>
                <w:sz w:val="7"/>
                <w:szCs w:val="7"/>
                <w:color w:val="auto"/>
              </w:rPr>
            </w:pPr>
          </w:p>
        </w:tc>
        <w:tc>
          <w:tcPr>
            <w:tcW w:w="1040" w:type="dxa"/>
            <w:vAlign w:val="bottom"/>
            <w:tcBorders>
              <w:top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2004</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(0.6)</w:t>
            </w: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(4.5)</w:t>
            </w: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(17.0)</w:t>
            </w: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479.0</w:t>
            </w: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b w:val="1"/>
                <w:bCs w:val="1"/>
                <w:color w:val="auto"/>
              </w:rPr>
              <w:t>845.4</w:t>
            </w:r>
          </w:p>
        </w:tc>
        <w:tc>
          <w:tcPr>
            <w:tcW w:w="0" w:type="dxa"/>
            <w:vAlign w:val="bottom"/>
          </w:tcPr>
          <w:p>
            <w:pPr>
              <w:spacing w:after="0"/>
              <w:rPr>
                <w:sz w:val="1"/>
                <w:szCs w:val="1"/>
                <w:color w:val="auto"/>
              </w:rPr>
            </w:pPr>
          </w:p>
        </w:tc>
      </w:tr>
      <w:tr>
        <w:trPr>
          <w:trHeight w:val="208"/>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Comprehensive income:</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64.3</w:t>
            </w: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64.3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E6E6E6"/>
          </w:tcPr>
          <w:p>
            <w:pPr>
              <w:ind w:left="320"/>
              <w:spacing w:after="0"/>
              <w:rPr>
                <w:sz w:val="20"/>
                <w:szCs w:val="20"/>
                <w:color w:val="auto"/>
              </w:rPr>
            </w:pPr>
            <w:r>
              <w:rPr>
                <w:rFonts w:ascii="Arial" w:cs="Arial" w:eastAsia="Arial" w:hAnsi="Arial"/>
                <w:sz w:val="15"/>
                <w:szCs w:val="15"/>
                <w:color w:val="auto"/>
              </w:rPr>
              <w:t>Foreign currency translation adjustment</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324"/>
              <w:spacing w:after="0"/>
              <w:rPr>
                <w:sz w:val="20"/>
                <w:szCs w:val="20"/>
                <w:color w:val="auto"/>
              </w:rPr>
            </w:pPr>
            <w:r>
              <w:rPr>
                <w:rFonts w:ascii="Arial" w:cs="Arial" w:eastAsia="Arial" w:hAnsi="Arial"/>
                <w:sz w:val="15"/>
                <w:szCs w:val="15"/>
                <w:color w:val="auto"/>
              </w:rPr>
              <w:t>2.3</w:t>
            </w: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5"/>
                <w:szCs w:val="15"/>
                <w:color w:val="auto"/>
              </w:rPr>
              <w:t>Minimum pension liability adjustment,</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ind w:left="600"/>
              <w:spacing w:after="0"/>
              <w:rPr>
                <w:sz w:val="20"/>
                <w:szCs w:val="20"/>
                <w:color w:val="auto"/>
              </w:rPr>
            </w:pPr>
            <w:r>
              <w:rPr>
                <w:rFonts w:ascii="Arial" w:cs="Arial" w:eastAsia="Arial" w:hAnsi="Arial"/>
                <w:sz w:val="15"/>
                <w:szCs w:val="15"/>
                <w:color w:val="auto"/>
              </w:rPr>
              <w:t>net of tax of $5.3</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224"/>
              <w:spacing w:after="0"/>
              <w:rPr>
                <w:sz w:val="20"/>
                <w:szCs w:val="20"/>
                <w:color w:val="auto"/>
              </w:rPr>
            </w:pPr>
            <w:r>
              <w:rPr>
                <w:rFonts w:ascii="Arial" w:cs="Arial" w:eastAsia="Arial" w:hAnsi="Arial"/>
                <w:sz w:val="15"/>
                <w:szCs w:val="15"/>
                <w:color w:val="auto"/>
              </w:rPr>
              <w:t>(9.3)</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Total other comprehensive loss</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93"/>
        </w:trPr>
        <w:tc>
          <w:tcPr>
            <w:tcW w:w="4200" w:type="dxa"/>
            <w:vAlign w:val="bottom"/>
            <w:gridSpan w:val="2"/>
            <w:vMerge w:val="restart"/>
          </w:tcPr>
          <w:p>
            <w:pPr>
              <w:ind w:left="20"/>
              <w:spacing w:after="0"/>
              <w:rPr>
                <w:sz w:val="20"/>
                <w:szCs w:val="20"/>
                <w:color w:val="auto"/>
              </w:rPr>
            </w:pPr>
            <w:r>
              <w:rPr>
                <w:rFonts w:ascii="Arial" w:cs="Arial" w:eastAsia="Arial" w:hAnsi="Arial"/>
                <w:sz w:val="15"/>
                <w:szCs w:val="15"/>
                <w:color w:val="auto"/>
              </w:rPr>
              <w:t>Total comprehensive income</w:t>
            </w: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42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color w:val="auto"/>
              </w:rPr>
              <w:t>Deferred compensation, net of amortization</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jc w:val="right"/>
              <w:ind w:right="264"/>
              <w:spacing w:after="0"/>
              <w:rPr>
                <w:sz w:val="20"/>
                <w:szCs w:val="20"/>
                <w:color w:val="auto"/>
              </w:rPr>
            </w:pPr>
            <w:r>
              <w:rPr>
                <w:rFonts w:ascii="Arial" w:cs="Arial" w:eastAsia="Arial" w:hAnsi="Arial"/>
                <w:sz w:val="15"/>
                <w:szCs w:val="15"/>
                <w:color w:val="auto"/>
              </w:rPr>
              <w:t>(1.5)</w:t>
            </w: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Proceeds from issuance of common stock</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5"/>
                <w:szCs w:val="15"/>
                <w:color w:val="auto"/>
              </w:rPr>
              <w:t>pursuant to employee stock-based plans</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color w:val="auto"/>
              </w:rPr>
              <w:t>Tax benefit realized from employee stock-based plans</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93"/>
        </w:trPr>
        <w:tc>
          <w:tcPr>
            <w:tcW w:w="42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80" w:type="dxa"/>
            <w:vAlign w:val="bottom"/>
            <w:tcBorders>
              <w:top w:val="single" w:sz="8" w:color="808080"/>
            </w:tcBorders>
          </w:tcPr>
          <w:p>
            <w:pPr>
              <w:spacing w:after="0"/>
              <w:rPr>
                <w:sz w:val="7"/>
                <w:szCs w:val="7"/>
                <w:color w:val="auto"/>
              </w:rPr>
            </w:pPr>
          </w:p>
        </w:tc>
        <w:tc>
          <w:tcPr>
            <w:tcW w:w="700" w:type="dxa"/>
            <w:vAlign w:val="bottom"/>
            <w:tcBorders>
              <w:top w:val="single" w:sz="8" w:color="808080"/>
            </w:tcBorders>
          </w:tcPr>
          <w:p>
            <w:pPr>
              <w:spacing w:after="0"/>
              <w:rPr>
                <w:sz w:val="7"/>
                <w:szCs w:val="7"/>
                <w:color w:val="auto"/>
              </w:rPr>
            </w:pPr>
          </w:p>
        </w:tc>
        <w:tc>
          <w:tcPr>
            <w:tcW w:w="110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1000" w:type="dxa"/>
            <w:vAlign w:val="bottom"/>
            <w:tcBorders>
              <w:top w:val="single" w:sz="8" w:color="808080"/>
            </w:tcBorders>
          </w:tcPr>
          <w:p>
            <w:pPr>
              <w:spacing w:after="0"/>
              <w:rPr>
                <w:sz w:val="7"/>
                <w:szCs w:val="7"/>
                <w:color w:val="auto"/>
              </w:rPr>
            </w:pPr>
          </w:p>
        </w:tc>
        <w:tc>
          <w:tcPr>
            <w:tcW w:w="400" w:type="dxa"/>
            <w:vAlign w:val="bottom"/>
            <w:tcBorders>
              <w:top w:val="single" w:sz="8" w:color="808080"/>
            </w:tcBorders>
          </w:tcPr>
          <w:p>
            <w:pPr>
              <w:spacing w:after="0"/>
              <w:rPr>
                <w:sz w:val="7"/>
                <w:szCs w:val="7"/>
                <w:color w:val="auto"/>
              </w:rPr>
            </w:pPr>
          </w:p>
        </w:tc>
        <w:tc>
          <w:tcPr>
            <w:tcW w:w="880" w:type="dxa"/>
            <w:vAlign w:val="bottom"/>
            <w:tcBorders>
              <w:top w:val="single" w:sz="8" w:color="808080"/>
            </w:tcBorders>
          </w:tcPr>
          <w:p>
            <w:pPr>
              <w:spacing w:after="0"/>
              <w:rPr>
                <w:sz w:val="7"/>
                <w:szCs w:val="7"/>
                <w:color w:val="auto"/>
              </w:rPr>
            </w:pPr>
          </w:p>
        </w:tc>
        <w:tc>
          <w:tcPr>
            <w:tcW w:w="460" w:type="dxa"/>
            <w:vAlign w:val="bottom"/>
            <w:tcBorders>
              <w:top w:val="single" w:sz="8" w:color="808080"/>
            </w:tcBorders>
          </w:tcPr>
          <w:p>
            <w:pPr>
              <w:spacing w:after="0"/>
              <w:rPr>
                <w:sz w:val="7"/>
                <w:szCs w:val="7"/>
                <w:color w:val="auto"/>
              </w:rPr>
            </w:pPr>
          </w:p>
        </w:tc>
        <w:tc>
          <w:tcPr>
            <w:tcW w:w="780" w:type="dxa"/>
            <w:vAlign w:val="bottom"/>
            <w:tcBorders>
              <w:top w:val="single" w:sz="8" w:color="808080"/>
            </w:tcBorders>
          </w:tcPr>
          <w:p>
            <w:pPr>
              <w:spacing w:after="0"/>
              <w:rPr>
                <w:sz w:val="7"/>
                <w:szCs w:val="7"/>
                <w:color w:val="auto"/>
              </w:rPr>
            </w:pPr>
          </w:p>
        </w:tc>
        <w:tc>
          <w:tcPr>
            <w:tcW w:w="380" w:type="dxa"/>
            <w:vAlign w:val="bottom"/>
            <w:tcBorders>
              <w:top w:val="single" w:sz="8" w:color="808080"/>
            </w:tcBorders>
          </w:tcPr>
          <w:p>
            <w:pPr>
              <w:spacing w:after="0"/>
              <w:rPr>
                <w:sz w:val="7"/>
                <w:szCs w:val="7"/>
                <w:color w:val="auto"/>
              </w:rPr>
            </w:pPr>
          </w:p>
        </w:tc>
        <w:tc>
          <w:tcPr>
            <w:tcW w:w="100" w:type="dxa"/>
            <w:vAlign w:val="bottom"/>
            <w:tcBorders>
              <w:top w:val="single" w:sz="8" w:color="808080"/>
            </w:tcBorders>
          </w:tcPr>
          <w:p>
            <w:pPr>
              <w:spacing w:after="0"/>
              <w:rPr>
                <w:sz w:val="7"/>
                <w:szCs w:val="7"/>
                <w:color w:val="auto"/>
              </w:rPr>
            </w:pPr>
          </w:p>
        </w:tc>
        <w:tc>
          <w:tcPr>
            <w:tcW w:w="1040" w:type="dxa"/>
            <w:vAlign w:val="bottom"/>
            <w:tcBorders>
              <w:top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2005</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(2.1)</w:t>
            </w: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(2.2)</w:t>
            </w: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(26.3)</w:t>
            </w: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543.3</w:t>
            </w: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b w:val="1"/>
                <w:bCs w:val="1"/>
                <w:color w:val="auto"/>
              </w:rPr>
              <w:t>937.1</w:t>
            </w:r>
          </w:p>
        </w:tc>
        <w:tc>
          <w:tcPr>
            <w:tcW w:w="0" w:type="dxa"/>
            <w:vAlign w:val="bottom"/>
          </w:tcPr>
          <w:p>
            <w:pPr>
              <w:spacing w:after="0"/>
              <w:rPr>
                <w:sz w:val="1"/>
                <w:szCs w:val="1"/>
                <w:color w:val="auto"/>
              </w:rPr>
            </w:pPr>
          </w:p>
        </w:tc>
      </w:tr>
      <w:tr>
        <w:trPr>
          <w:trHeight w:val="208"/>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Comprehensive income:</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68.6</w:t>
            </w: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68.6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5"/>
                <w:szCs w:val="15"/>
                <w:color w:val="auto"/>
              </w:rPr>
              <w:t>Other comprehensive income, net:</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E6E6E6"/>
          </w:tcPr>
          <w:p>
            <w:pPr>
              <w:ind w:left="320"/>
              <w:spacing w:after="0"/>
              <w:rPr>
                <w:sz w:val="20"/>
                <w:szCs w:val="20"/>
                <w:color w:val="auto"/>
              </w:rPr>
            </w:pPr>
            <w:r>
              <w:rPr>
                <w:rFonts w:ascii="Arial" w:cs="Arial" w:eastAsia="Arial" w:hAnsi="Arial"/>
                <w:sz w:val="15"/>
                <w:szCs w:val="15"/>
                <w:color w:val="auto"/>
              </w:rPr>
              <w:t>Foreign currency translation adjustment</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324"/>
              <w:spacing w:after="0"/>
              <w:rPr>
                <w:sz w:val="20"/>
                <w:szCs w:val="20"/>
                <w:color w:val="auto"/>
              </w:rPr>
            </w:pPr>
            <w:r>
              <w:rPr>
                <w:rFonts w:ascii="Arial" w:cs="Arial" w:eastAsia="Arial" w:hAnsi="Arial"/>
                <w:sz w:val="15"/>
                <w:szCs w:val="15"/>
                <w:color w:val="auto"/>
              </w:rPr>
              <w:t>0.8</w:t>
            </w: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5"/>
                <w:szCs w:val="15"/>
                <w:color w:val="auto"/>
              </w:rPr>
              <w:t>Minimum pension liability adjustment,</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ind w:left="600"/>
              <w:spacing w:after="0"/>
              <w:rPr>
                <w:sz w:val="20"/>
                <w:szCs w:val="20"/>
                <w:color w:val="auto"/>
              </w:rPr>
            </w:pPr>
            <w:r>
              <w:rPr>
                <w:rFonts w:ascii="Arial" w:cs="Arial" w:eastAsia="Arial" w:hAnsi="Arial"/>
                <w:sz w:val="15"/>
                <w:szCs w:val="15"/>
                <w:color w:val="auto"/>
              </w:rPr>
              <w:t>net of tax of $4.4</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284"/>
              <w:spacing w:after="0"/>
              <w:rPr>
                <w:sz w:val="20"/>
                <w:szCs w:val="20"/>
                <w:color w:val="auto"/>
              </w:rPr>
            </w:pPr>
            <w:r>
              <w:rPr>
                <w:rFonts w:ascii="Arial" w:cs="Arial" w:eastAsia="Arial" w:hAnsi="Arial"/>
                <w:sz w:val="15"/>
                <w:szCs w:val="15"/>
                <w:color w:val="auto"/>
              </w:rPr>
              <w:t>7.6</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Total other comprehensive income</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93"/>
        </w:trPr>
        <w:tc>
          <w:tcPr>
            <w:tcW w:w="4200" w:type="dxa"/>
            <w:vAlign w:val="bottom"/>
            <w:gridSpan w:val="2"/>
            <w:vMerge w:val="restart"/>
          </w:tcPr>
          <w:p>
            <w:pPr>
              <w:ind w:left="20"/>
              <w:spacing w:after="0"/>
              <w:rPr>
                <w:sz w:val="20"/>
                <w:szCs w:val="20"/>
                <w:color w:val="auto"/>
              </w:rPr>
            </w:pPr>
            <w:r>
              <w:rPr>
                <w:rFonts w:ascii="Arial" w:cs="Arial" w:eastAsia="Arial" w:hAnsi="Arial"/>
                <w:sz w:val="15"/>
                <w:szCs w:val="15"/>
                <w:color w:val="auto"/>
              </w:rPr>
              <w:t>Total comprehensive income</w:t>
            </w: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42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color w:val="auto"/>
              </w:rPr>
              <w:t>Deferred compensation, net of amortization</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0.5</w:t>
            </w: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Proceeds from issuance of common stock</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5"/>
                <w:szCs w:val="15"/>
                <w:color w:val="auto"/>
              </w:rPr>
              <w:t>pursuant to employee stock-based plans</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color w:val="auto"/>
              </w:rPr>
              <w:t>Tax benefit realized from employee stock-based plans</w:t>
            </w:r>
          </w:p>
        </w:tc>
        <w:tc>
          <w:tcPr>
            <w:tcW w:w="70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93"/>
        </w:trPr>
        <w:tc>
          <w:tcPr>
            <w:tcW w:w="42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80" w:type="dxa"/>
            <w:vAlign w:val="bottom"/>
            <w:tcBorders>
              <w:top w:val="single" w:sz="8" w:color="808080"/>
            </w:tcBorders>
          </w:tcPr>
          <w:p>
            <w:pPr>
              <w:spacing w:after="0"/>
              <w:rPr>
                <w:sz w:val="7"/>
                <w:szCs w:val="7"/>
                <w:color w:val="auto"/>
              </w:rPr>
            </w:pPr>
          </w:p>
        </w:tc>
        <w:tc>
          <w:tcPr>
            <w:tcW w:w="700" w:type="dxa"/>
            <w:vAlign w:val="bottom"/>
            <w:tcBorders>
              <w:top w:val="single" w:sz="8" w:color="808080"/>
            </w:tcBorders>
          </w:tcPr>
          <w:p>
            <w:pPr>
              <w:spacing w:after="0"/>
              <w:rPr>
                <w:sz w:val="7"/>
                <w:szCs w:val="7"/>
                <w:color w:val="auto"/>
              </w:rPr>
            </w:pPr>
          </w:p>
        </w:tc>
        <w:tc>
          <w:tcPr>
            <w:tcW w:w="110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1000" w:type="dxa"/>
            <w:vAlign w:val="bottom"/>
            <w:tcBorders>
              <w:top w:val="single" w:sz="8" w:color="808080"/>
            </w:tcBorders>
          </w:tcPr>
          <w:p>
            <w:pPr>
              <w:spacing w:after="0"/>
              <w:rPr>
                <w:sz w:val="7"/>
                <w:szCs w:val="7"/>
                <w:color w:val="auto"/>
              </w:rPr>
            </w:pPr>
          </w:p>
        </w:tc>
        <w:tc>
          <w:tcPr>
            <w:tcW w:w="400" w:type="dxa"/>
            <w:vAlign w:val="bottom"/>
            <w:tcBorders>
              <w:top w:val="single" w:sz="8" w:color="808080"/>
            </w:tcBorders>
          </w:tcPr>
          <w:p>
            <w:pPr>
              <w:spacing w:after="0"/>
              <w:rPr>
                <w:sz w:val="7"/>
                <w:szCs w:val="7"/>
                <w:color w:val="auto"/>
              </w:rPr>
            </w:pPr>
          </w:p>
        </w:tc>
        <w:tc>
          <w:tcPr>
            <w:tcW w:w="880" w:type="dxa"/>
            <w:vAlign w:val="bottom"/>
            <w:tcBorders>
              <w:top w:val="single" w:sz="8" w:color="808080"/>
            </w:tcBorders>
          </w:tcPr>
          <w:p>
            <w:pPr>
              <w:spacing w:after="0"/>
              <w:rPr>
                <w:sz w:val="7"/>
                <w:szCs w:val="7"/>
                <w:color w:val="auto"/>
              </w:rPr>
            </w:pPr>
          </w:p>
        </w:tc>
        <w:tc>
          <w:tcPr>
            <w:tcW w:w="460" w:type="dxa"/>
            <w:vAlign w:val="bottom"/>
            <w:tcBorders>
              <w:top w:val="single" w:sz="8" w:color="808080"/>
            </w:tcBorders>
          </w:tcPr>
          <w:p>
            <w:pPr>
              <w:spacing w:after="0"/>
              <w:rPr>
                <w:sz w:val="7"/>
                <w:szCs w:val="7"/>
                <w:color w:val="auto"/>
              </w:rPr>
            </w:pPr>
          </w:p>
        </w:tc>
        <w:tc>
          <w:tcPr>
            <w:tcW w:w="780" w:type="dxa"/>
            <w:vAlign w:val="bottom"/>
            <w:tcBorders>
              <w:top w:val="single" w:sz="8" w:color="808080"/>
            </w:tcBorders>
          </w:tcPr>
          <w:p>
            <w:pPr>
              <w:spacing w:after="0"/>
              <w:rPr>
                <w:sz w:val="7"/>
                <w:szCs w:val="7"/>
                <w:color w:val="auto"/>
              </w:rPr>
            </w:pPr>
          </w:p>
        </w:tc>
        <w:tc>
          <w:tcPr>
            <w:tcW w:w="380" w:type="dxa"/>
            <w:vAlign w:val="bottom"/>
            <w:tcBorders>
              <w:top w:val="single" w:sz="8" w:color="808080"/>
            </w:tcBorders>
          </w:tcPr>
          <w:p>
            <w:pPr>
              <w:spacing w:after="0"/>
              <w:rPr>
                <w:sz w:val="7"/>
                <w:szCs w:val="7"/>
                <w:color w:val="auto"/>
              </w:rPr>
            </w:pPr>
          </w:p>
        </w:tc>
        <w:tc>
          <w:tcPr>
            <w:tcW w:w="100" w:type="dxa"/>
            <w:vAlign w:val="bottom"/>
            <w:tcBorders>
              <w:top w:val="single" w:sz="8" w:color="808080"/>
            </w:tcBorders>
          </w:tcPr>
          <w:p>
            <w:pPr>
              <w:spacing w:after="0"/>
              <w:rPr>
                <w:sz w:val="7"/>
                <w:szCs w:val="7"/>
                <w:color w:val="auto"/>
              </w:rPr>
            </w:pPr>
          </w:p>
        </w:tc>
        <w:tc>
          <w:tcPr>
            <w:tcW w:w="1040" w:type="dxa"/>
            <w:vAlign w:val="bottom"/>
            <w:tcBorders>
              <w:top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Balance at May 31, 2006</w:t>
            </w:r>
          </w:p>
        </w:tc>
        <w:tc>
          <w:tcPr>
            <w:tcW w:w="700" w:type="dxa"/>
            <w:vAlign w:val="bottom"/>
            <w:shd w:val="clear" w:color="auto" w:fill="E6E6E6"/>
          </w:tcPr>
          <w:p>
            <w:pPr>
              <w:ind w:left="580"/>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(1.6)</w:t>
            </w: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(1.4)</w:t>
            </w:r>
          </w:p>
        </w:tc>
        <w:tc>
          <w:tcPr>
            <w:tcW w:w="4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(18.7)</w:t>
            </w:r>
          </w:p>
        </w:tc>
        <w:tc>
          <w:tcPr>
            <w:tcW w:w="460" w:type="dxa"/>
            <w:vAlign w:val="bottom"/>
            <w:shd w:val="clear" w:color="auto" w:fill="E6E6E6"/>
          </w:tcPr>
          <w:p>
            <w:pPr>
              <w:jc w:val="right"/>
              <w:ind w:right="24"/>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611.9</w:t>
            </w:r>
          </w:p>
        </w:tc>
        <w:tc>
          <w:tcPr>
            <w:tcW w:w="48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b w:val="1"/>
                <w:bCs w:val="1"/>
                <w:color w:val="auto"/>
              </w:rPr>
              <w:t>1,049.3</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322580</wp:posOffset>
            </wp:positionV>
            <wp:extent cx="118110" cy="1181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728535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97" w:right="219" w:bottom="1440" w:gutter="0" w:footer="0" w:header="0"/>
        </w:sectPr>
      </w:pPr>
    </w:p>
    <w:bookmarkStart w:id="39" w:name="page40"/>
    <w:bookmarkEnd w:id="39"/>
    <w:p>
      <w:pPr>
        <w:ind w:lef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0" w:lineRule="exact"/>
        <w:rPr>
          <w:sz w:val="20"/>
          <w:szCs w:val="20"/>
          <w:color w:val="auto"/>
        </w:rPr>
      </w:pPr>
    </w:p>
    <w:p>
      <w:pPr>
        <w:ind w:left="10180"/>
        <w:spacing w:after="0"/>
        <w:rPr>
          <w:sz w:val="20"/>
          <w:szCs w:val="20"/>
          <w:color w:val="auto"/>
        </w:rPr>
      </w:pPr>
      <w:r>
        <w:rPr>
          <w:rFonts w:ascii="Arial" w:cs="Arial" w:eastAsia="Arial" w:hAnsi="Arial"/>
          <w:sz w:val="10"/>
          <w:szCs w:val="10"/>
          <w:color w:val="auto"/>
        </w:rPr>
        <w:t>(Amounts in millions)</w:t>
      </w:r>
    </w:p>
    <w:p>
      <w:pPr>
        <w:spacing w:after="0" w:line="95" w:lineRule="exact"/>
        <w:rPr>
          <w:sz w:val="20"/>
          <w:szCs w:val="20"/>
          <w:color w:val="auto"/>
        </w:rPr>
      </w:pPr>
    </w:p>
    <w:p>
      <w:pPr>
        <w:ind w:left="10180"/>
        <w:spacing w:after="0"/>
        <w:rPr>
          <w:sz w:val="20"/>
          <w:szCs w:val="20"/>
          <w:color w:val="auto"/>
        </w:rPr>
      </w:pPr>
      <w:r>
        <w:rPr>
          <w:rFonts w:ascii="Arial" w:cs="Arial" w:eastAsia="Arial" w:hAnsi="Arial"/>
          <w:sz w:val="10"/>
          <w:szCs w:val="10"/>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26567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4" w:lineRule="exact"/>
        <w:rPr>
          <w:sz w:val="20"/>
          <w:szCs w:val="20"/>
          <w:color w:val="auto"/>
        </w:rPr>
      </w:pPr>
    </w:p>
    <w:p>
      <w:pPr>
        <w:jc w:val="both"/>
        <w:ind w:left="8660"/>
        <w:spacing w:after="0"/>
        <w:tabs>
          <w:tab w:leader="none" w:pos="9780" w:val="left"/>
          <w:tab w:leader="none" w:pos="10940" w:val="left"/>
        </w:tabs>
        <w:rPr>
          <w:sz w:val="20"/>
          <w:szCs w:val="20"/>
          <w:color w:val="auto"/>
        </w:rPr>
      </w:pPr>
      <w:r>
        <w:rPr>
          <w:rFonts w:ascii="Arial" w:cs="Arial" w:eastAsia="Arial" w:hAnsi="Arial"/>
          <w:sz w:val="15"/>
          <w:szCs w:val="15"/>
          <w:b w:val="1"/>
          <w:bCs w:val="1"/>
          <w:color w:val="auto"/>
        </w:rPr>
        <w:t>2006</w:t>
      </w:r>
      <w:r>
        <w:rPr>
          <w:sz w:val="20"/>
          <w:szCs w:val="20"/>
          <w:color w:val="auto"/>
        </w:rPr>
        <w:tab/>
      </w:r>
      <w:r>
        <w:rPr>
          <w:rFonts w:ascii="Arial" w:cs="Arial" w:eastAsia="Arial" w:hAnsi="Arial"/>
          <w:sz w:val="15"/>
          <w:szCs w:val="15"/>
          <w:b w:val="1"/>
          <w:bCs w:val="1"/>
          <w:color w:val="auto"/>
        </w:rPr>
        <w:t>2005</w:t>
      </w:r>
      <w:r>
        <w:rPr>
          <w:sz w:val="20"/>
          <w:szCs w:val="20"/>
          <w:color w:val="auto"/>
        </w:rPr>
        <w:tab/>
      </w:r>
      <w:r>
        <w:rPr>
          <w:rFonts w:ascii="Arial" w:cs="Arial" w:eastAsia="Arial" w:hAnsi="Arial"/>
          <w:sz w:val="13"/>
          <w:szCs w:val="13"/>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265670" cy="133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74930</wp:posOffset>
            </wp:positionV>
            <wp:extent cx="72656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60"/>
          </w:cols>
          <w:pgMar w:left="220" w:top="148" w:right="21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flows provided by operating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Adjustments to reconcile net income to net cash provided</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by operating activities: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Provision for losses on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Amortization of prepublication and production costs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Royalty advances expensed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Non-cash interest expense</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Accounts receivable</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Prepaid expenses and other current assets</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promotion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Accounts payable and other accrued expenses</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revenue</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Tax benefit realized from employee stock-based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6567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68.6</w:t>
            </w:r>
          </w:p>
        </w:tc>
        <w:tc>
          <w:tcPr>
            <w:tcW w:w="4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64.3</w:t>
            </w:r>
          </w:p>
        </w:tc>
        <w:tc>
          <w:tcPr>
            <w:tcW w:w="4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57.8</w:t>
            </w:r>
          </w:p>
        </w:tc>
      </w:tr>
      <w:tr>
        <w:trPr>
          <w:trHeight w:val="629"/>
        </w:trPr>
        <w:tc>
          <w:tcPr>
            <w:tcW w:w="280" w:type="dxa"/>
            <w:vAlign w:val="bottom"/>
          </w:tcPr>
          <w:p>
            <w:pPr>
              <w:spacing w:after="0"/>
              <w:rPr>
                <w:sz w:val="24"/>
                <w:szCs w:val="24"/>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59.1</w:t>
            </w:r>
          </w:p>
        </w:tc>
        <w:tc>
          <w:tcPr>
            <w:tcW w:w="420" w:type="dxa"/>
            <w:vAlign w:val="bottom"/>
          </w:tcPr>
          <w:p>
            <w:pPr>
              <w:spacing w:after="0"/>
              <w:rPr>
                <w:sz w:val="24"/>
                <w:szCs w:val="24"/>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62.2</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90.3</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67.8</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67.7</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79.1</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65.8</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63.1</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62.1</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36.6</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32.8</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20.8</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1.8</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20.4</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1.5</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1.3</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419"/>
        </w:trPr>
        <w:tc>
          <w:tcPr>
            <w:tcW w:w="280" w:type="dxa"/>
            <w:vAlign w:val="bottom"/>
          </w:tcPr>
          <w:p>
            <w:pPr>
              <w:spacing w:after="0"/>
              <w:rPr>
                <w:sz w:val="24"/>
                <w:szCs w:val="24"/>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(53.7)</w:t>
            </w:r>
          </w:p>
        </w:tc>
        <w:tc>
          <w:tcPr>
            <w:tcW w:w="420" w:type="dxa"/>
            <w:vAlign w:val="bottom"/>
          </w:tcPr>
          <w:p>
            <w:pPr>
              <w:spacing w:after="0"/>
              <w:rPr>
                <w:sz w:val="24"/>
                <w:szCs w:val="24"/>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(61.6)</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(99.3)</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(21.5)</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3.2</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(7.2)</w:t>
            </w:r>
          </w:p>
        </w:tc>
        <w:tc>
          <w:tcPr>
            <w:tcW w:w="42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(0.3)</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(9.8)</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2.7</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12.6</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31.6</w:t>
            </w:r>
          </w:p>
        </w:tc>
        <w:tc>
          <w:tcPr>
            <w:tcW w:w="42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(12.8)</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(3.7)</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1.6</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(4.4)</w:t>
            </w:r>
          </w:p>
        </w:tc>
        <w:tc>
          <w:tcPr>
            <w:tcW w:w="42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(1.0)</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5.7</w:t>
            </w:r>
          </w:p>
        </w:tc>
        <w:tc>
          <w:tcPr>
            <w:tcW w:w="42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3.8</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10"/>
        </w:trPr>
        <w:tc>
          <w:tcPr>
            <w:tcW w:w="28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(2.4)</w:t>
            </w:r>
          </w:p>
        </w:tc>
        <w:tc>
          <w:tcPr>
            <w:tcW w:w="42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(0.8)</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(15.8)</w:t>
            </w:r>
          </w:p>
        </w:tc>
      </w:tr>
    </w:tbl>
    <w:p>
      <w:pPr>
        <w:spacing w:after="0" w:line="189" w:lineRule="exact"/>
        <w:rPr>
          <w:sz w:val="20"/>
          <w:szCs w:val="20"/>
          <w:color w:val="auto"/>
        </w:rPr>
      </w:pPr>
    </w:p>
    <w:p>
      <w:pPr>
        <w:sectPr>
          <w:pgSz w:w="11900" w:h="16838" w:orient="portrait"/>
          <w:cols w:equalWidth="0" w:num="2">
            <w:col w:w="7420" w:space="720"/>
            <w:col w:w="3320"/>
          </w:cols>
          <w:pgMar w:left="220" w:top="148" w:right="21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4940" w:type="dxa"/>
            <w:vAlign w:val="bottom"/>
            <w:shd w:val="clear" w:color="auto" w:fill="E6E6E6"/>
          </w:tcPr>
          <w:p>
            <w:pPr>
              <w:ind w:left="140"/>
              <w:spacing w:after="0"/>
              <w:rPr>
                <w:sz w:val="20"/>
                <w:szCs w:val="20"/>
                <w:color w:val="auto"/>
              </w:rPr>
            </w:pPr>
            <w:r>
              <w:rPr>
                <w:rFonts w:ascii="Arial" w:cs="Arial" w:eastAsia="Arial" w:hAnsi="Arial"/>
                <w:sz w:val="15"/>
                <w:szCs w:val="15"/>
                <w:color w:val="auto"/>
              </w:rPr>
              <w:t>Total adjustments</w:t>
            </w:r>
          </w:p>
        </w:tc>
        <w:tc>
          <w:tcPr>
            <w:tcW w:w="438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167.2</w:t>
            </w:r>
          </w:p>
        </w:tc>
        <w:tc>
          <w:tcPr>
            <w:tcW w:w="1160" w:type="dxa"/>
            <w:vAlign w:val="bottom"/>
            <w:shd w:val="clear" w:color="auto" w:fill="E6E6E6"/>
          </w:tcPr>
          <w:p>
            <w:pPr>
              <w:jc w:val="right"/>
              <w:ind w:right="324"/>
              <w:spacing w:after="0"/>
              <w:rPr>
                <w:sz w:val="20"/>
                <w:szCs w:val="20"/>
                <w:color w:val="auto"/>
              </w:rPr>
            </w:pPr>
            <w:r>
              <w:rPr>
                <w:rFonts w:ascii="Arial" w:cs="Arial" w:eastAsia="Arial" w:hAnsi="Arial"/>
                <w:sz w:val="15"/>
                <w:szCs w:val="15"/>
                <w:color w:val="auto"/>
              </w:rPr>
              <w:t>182.3</w:t>
            </w:r>
          </w:p>
        </w:tc>
        <w:tc>
          <w:tcPr>
            <w:tcW w:w="96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163.5</w:t>
            </w:r>
          </w:p>
        </w:tc>
      </w:tr>
      <w:tr>
        <w:trPr>
          <w:trHeight w:val="93"/>
        </w:trPr>
        <w:tc>
          <w:tcPr>
            <w:tcW w:w="494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r>
    </w:tbl>
    <w:p>
      <w:pPr>
        <w:spacing w:after="0" w:line="119" w:lineRule="exact"/>
        <w:rPr>
          <w:sz w:val="20"/>
          <w:szCs w:val="20"/>
          <w:color w:val="auto"/>
        </w:rPr>
      </w:pPr>
    </w:p>
    <w:p>
      <w:pPr>
        <w:sectPr>
          <w:pgSz w:w="11900" w:h="16838" w:orient="portrait"/>
          <w:cols w:equalWidth="0" w:num="1">
            <w:col w:w="11460"/>
          </w:cols>
          <w:pgMar w:left="220" w:top="148" w:right="219" w:bottom="1440" w:gutter="0" w:footer="0" w:header="0"/>
          <w:type w:val="continuous"/>
        </w:sectPr>
      </w:pPr>
    </w:p>
    <w:p>
      <w:pPr>
        <w:ind w:left="160"/>
        <w:spacing w:after="0"/>
        <w:rPr>
          <w:sz w:val="20"/>
          <w:szCs w:val="20"/>
          <w:color w:val="auto"/>
        </w:rPr>
      </w:pPr>
      <w:r>
        <w:rPr>
          <w:rFonts w:ascii="Arial" w:cs="Arial" w:eastAsia="Arial" w:hAnsi="Arial"/>
          <w:sz w:val="15"/>
          <w:szCs w:val="15"/>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Cash flows used in investing activities: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Prepublication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Additions to property, plant and equipment</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Royalty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Production expenditures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Acquisition-related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656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jc w:val="right"/>
              <w:ind w:right="324"/>
              <w:spacing w:after="0"/>
              <w:rPr>
                <w:sz w:val="20"/>
                <w:szCs w:val="20"/>
                <w:color w:val="auto"/>
              </w:rPr>
            </w:pPr>
            <w:r>
              <w:rPr>
                <w:rFonts w:ascii="Arial" w:cs="Arial" w:eastAsia="Arial" w:hAnsi="Arial"/>
                <w:sz w:val="15"/>
                <w:szCs w:val="15"/>
                <w:color w:val="auto"/>
                <w:w w:val="95"/>
              </w:rPr>
              <w:t>235.8</w:t>
            </w:r>
          </w:p>
        </w:tc>
        <w:tc>
          <w:tcPr>
            <w:tcW w:w="1160" w:type="dxa"/>
            <w:vAlign w:val="bottom"/>
          </w:tcPr>
          <w:p>
            <w:pPr>
              <w:jc w:val="right"/>
              <w:ind w:right="344"/>
              <w:spacing w:after="0"/>
              <w:rPr>
                <w:sz w:val="20"/>
                <w:szCs w:val="20"/>
                <w:color w:val="auto"/>
              </w:rPr>
            </w:pPr>
            <w:r>
              <w:rPr>
                <w:rFonts w:ascii="Arial" w:cs="Arial" w:eastAsia="Arial" w:hAnsi="Arial"/>
                <w:sz w:val="15"/>
                <w:szCs w:val="15"/>
                <w:color w:val="auto"/>
              </w:rPr>
              <w:t>246.6</w:t>
            </w:r>
          </w:p>
        </w:tc>
        <w:tc>
          <w:tcPr>
            <w:tcW w:w="800" w:type="dxa"/>
            <w:vAlign w:val="bottom"/>
          </w:tcPr>
          <w:p>
            <w:pPr>
              <w:jc w:val="right"/>
              <w:spacing w:after="0"/>
              <w:rPr>
                <w:sz w:val="20"/>
                <w:szCs w:val="20"/>
                <w:color w:val="auto"/>
              </w:rPr>
            </w:pPr>
            <w:r>
              <w:rPr>
                <w:rFonts w:ascii="Arial" w:cs="Arial" w:eastAsia="Arial" w:hAnsi="Arial"/>
                <w:sz w:val="15"/>
                <w:szCs w:val="15"/>
                <w:color w:val="auto"/>
              </w:rPr>
              <w:t>221.3</w:t>
            </w:r>
          </w:p>
        </w:tc>
      </w:tr>
      <w:tr>
        <w:trPr>
          <w:trHeight w:val="419"/>
        </w:trPr>
        <w:tc>
          <w:tcPr>
            <w:tcW w:w="780" w:type="dxa"/>
            <w:vAlign w:val="bottom"/>
          </w:tcPr>
          <w:p>
            <w:pPr>
              <w:jc w:val="right"/>
              <w:ind w:right="264"/>
              <w:spacing w:after="0"/>
              <w:rPr>
                <w:sz w:val="20"/>
                <w:szCs w:val="20"/>
                <w:color w:val="auto"/>
              </w:rPr>
            </w:pPr>
            <w:r>
              <w:rPr>
                <w:rFonts w:ascii="Arial" w:cs="Arial" w:eastAsia="Arial" w:hAnsi="Arial"/>
                <w:sz w:val="15"/>
                <w:szCs w:val="15"/>
                <w:color w:val="auto"/>
              </w:rPr>
              <w:t>(49.6)</w:t>
            </w:r>
          </w:p>
        </w:tc>
        <w:tc>
          <w:tcPr>
            <w:tcW w:w="1160" w:type="dxa"/>
            <w:vAlign w:val="bottom"/>
          </w:tcPr>
          <w:p>
            <w:pPr>
              <w:jc w:val="right"/>
              <w:ind w:right="284"/>
              <w:spacing w:after="0"/>
              <w:rPr>
                <w:sz w:val="20"/>
                <w:szCs w:val="20"/>
                <w:color w:val="auto"/>
              </w:rPr>
            </w:pPr>
            <w:r>
              <w:rPr>
                <w:rFonts w:ascii="Arial" w:cs="Arial" w:eastAsia="Arial" w:hAnsi="Arial"/>
                <w:sz w:val="15"/>
                <w:szCs w:val="15"/>
                <w:color w:val="auto"/>
              </w:rPr>
              <w:t>(58.0)</w:t>
            </w:r>
          </w:p>
        </w:tc>
        <w:tc>
          <w:tcPr>
            <w:tcW w:w="800" w:type="dxa"/>
            <w:vAlign w:val="bottom"/>
          </w:tcPr>
          <w:p>
            <w:pPr>
              <w:jc w:val="right"/>
              <w:spacing w:after="0"/>
              <w:rPr>
                <w:sz w:val="20"/>
                <w:szCs w:val="20"/>
                <w:color w:val="auto"/>
              </w:rPr>
            </w:pPr>
            <w:r>
              <w:rPr>
                <w:rFonts w:ascii="Arial" w:cs="Arial" w:eastAsia="Arial" w:hAnsi="Arial"/>
                <w:sz w:val="15"/>
                <w:szCs w:val="15"/>
                <w:color w:val="auto"/>
              </w:rPr>
              <w:t>(53.2)</w:t>
            </w:r>
          </w:p>
        </w:tc>
      </w:tr>
      <w:tr>
        <w:trPr>
          <w:trHeight w:val="210"/>
        </w:trPr>
        <w:tc>
          <w:tcPr>
            <w:tcW w:w="780" w:type="dxa"/>
            <w:vAlign w:val="bottom"/>
          </w:tcPr>
          <w:p>
            <w:pPr>
              <w:jc w:val="right"/>
              <w:ind w:right="264"/>
              <w:spacing w:after="0"/>
              <w:rPr>
                <w:sz w:val="20"/>
                <w:szCs w:val="20"/>
                <w:color w:val="auto"/>
              </w:rPr>
            </w:pPr>
            <w:r>
              <w:rPr>
                <w:rFonts w:ascii="Arial" w:cs="Arial" w:eastAsia="Arial" w:hAnsi="Arial"/>
                <w:sz w:val="15"/>
                <w:szCs w:val="15"/>
                <w:color w:val="auto"/>
              </w:rPr>
              <w:t>(66.1)</w:t>
            </w:r>
          </w:p>
        </w:tc>
        <w:tc>
          <w:tcPr>
            <w:tcW w:w="1160" w:type="dxa"/>
            <w:vAlign w:val="bottom"/>
          </w:tcPr>
          <w:p>
            <w:pPr>
              <w:jc w:val="right"/>
              <w:ind w:right="284"/>
              <w:spacing w:after="0"/>
              <w:rPr>
                <w:sz w:val="20"/>
                <w:szCs w:val="20"/>
                <w:color w:val="auto"/>
              </w:rPr>
            </w:pPr>
            <w:r>
              <w:rPr>
                <w:rFonts w:ascii="Arial" w:cs="Arial" w:eastAsia="Arial" w:hAnsi="Arial"/>
                <w:sz w:val="15"/>
                <w:szCs w:val="15"/>
                <w:color w:val="auto"/>
              </w:rPr>
              <w:t>(49.8)</w:t>
            </w:r>
          </w:p>
        </w:tc>
        <w:tc>
          <w:tcPr>
            <w:tcW w:w="800" w:type="dxa"/>
            <w:vAlign w:val="bottom"/>
          </w:tcPr>
          <w:p>
            <w:pPr>
              <w:jc w:val="right"/>
              <w:spacing w:after="0"/>
              <w:rPr>
                <w:sz w:val="20"/>
                <w:szCs w:val="20"/>
                <w:color w:val="auto"/>
              </w:rPr>
            </w:pPr>
            <w:r>
              <w:rPr>
                <w:rFonts w:ascii="Arial" w:cs="Arial" w:eastAsia="Arial" w:hAnsi="Arial"/>
                <w:sz w:val="15"/>
                <w:szCs w:val="15"/>
                <w:color w:val="auto"/>
              </w:rPr>
              <w:t>(43.4)</w:t>
            </w:r>
          </w:p>
        </w:tc>
      </w:tr>
      <w:tr>
        <w:trPr>
          <w:trHeight w:val="210"/>
        </w:trPr>
        <w:tc>
          <w:tcPr>
            <w:tcW w:w="780" w:type="dxa"/>
            <w:vAlign w:val="bottom"/>
          </w:tcPr>
          <w:p>
            <w:pPr>
              <w:jc w:val="right"/>
              <w:ind w:right="264"/>
              <w:spacing w:after="0"/>
              <w:rPr>
                <w:sz w:val="20"/>
                <w:szCs w:val="20"/>
                <w:color w:val="auto"/>
              </w:rPr>
            </w:pPr>
            <w:r>
              <w:rPr>
                <w:rFonts w:ascii="Arial" w:cs="Arial" w:eastAsia="Arial" w:hAnsi="Arial"/>
                <w:sz w:val="15"/>
                <w:szCs w:val="15"/>
                <w:color w:val="auto"/>
              </w:rPr>
              <w:t>(28.1)</w:t>
            </w:r>
          </w:p>
        </w:tc>
        <w:tc>
          <w:tcPr>
            <w:tcW w:w="1160" w:type="dxa"/>
            <w:vAlign w:val="bottom"/>
          </w:tcPr>
          <w:p>
            <w:pPr>
              <w:jc w:val="right"/>
              <w:ind w:right="284"/>
              <w:spacing w:after="0"/>
              <w:rPr>
                <w:sz w:val="20"/>
                <w:szCs w:val="20"/>
                <w:color w:val="auto"/>
              </w:rPr>
            </w:pPr>
            <w:r>
              <w:rPr>
                <w:rFonts w:ascii="Arial" w:cs="Arial" w:eastAsia="Arial" w:hAnsi="Arial"/>
                <w:sz w:val="15"/>
                <w:szCs w:val="15"/>
                <w:color w:val="auto"/>
              </w:rPr>
              <w:t>(30.9)</w:t>
            </w:r>
          </w:p>
        </w:tc>
        <w:tc>
          <w:tcPr>
            <w:tcW w:w="800" w:type="dxa"/>
            <w:vAlign w:val="bottom"/>
          </w:tcPr>
          <w:p>
            <w:pPr>
              <w:jc w:val="right"/>
              <w:spacing w:after="0"/>
              <w:rPr>
                <w:sz w:val="20"/>
                <w:szCs w:val="20"/>
                <w:color w:val="auto"/>
              </w:rPr>
            </w:pPr>
            <w:r>
              <w:rPr>
                <w:rFonts w:ascii="Arial" w:cs="Arial" w:eastAsia="Arial" w:hAnsi="Arial"/>
                <w:sz w:val="15"/>
                <w:szCs w:val="15"/>
                <w:color w:val="auto"/>
              </w:rPr>
              <w:t>(26.1)</w:t>
            </w:r>
          </w:p>
        </w:tc>
      </w:tr>
      <w:tr>
        <w:trPr>
          <w:trHeight w:val="210"/>
        </w:trPr>
        <w:tc>
          <w:tcPr>
            <w:tcW w:w="780" w:type="dxa"/>
            <w:vAlign w:val="bottom"/>
          </w:tcPr>
          <w:p>
            <w:pPr>
              <w:jc w:val="right"/>
              <w:ind w:right="264"/>
              <w:spacing w:after="0"/>
              <w:rPr>
                <w:sz w:val="20"/>
                <w:szCs w:val="20"/>
                <w:color w:val="auto"/>
              </w:rPr>
            </w:pPr>
            <w:r>
              <w:rPr>
                <w:rFonts w:ascii="Arial" w:cs="Arial" w:eastAsia="Arial" w:hAnsi="Arial"/>
                <w:sz w:val="15"/>
                <w:szCs w:val="15"/>
                <w:color w:val="auto"/>
              </w:rPr>
              <w:t>(12.9)</w:t>
            </w:r>
          </w:p>
        </w:tc>
        <w:tc>
          <w:tcPr>
            <w:tcW w:w="1160" w:type="dxa"/>
            <w:vAlign w:val="bottom"/>
          </w:tcPr>
          <w:p>
            <w:pPr>
              <w:jc w:val="right"/>
              <w:ind w:right="284"/>
              <w:spacing w:after="0"/>
              <w:rPr>
                <w:sz w:val="20"/>
                <w:szCs w:val="20"/>
                <w:color w:val="auto"/>
              </w:rPr>
            </w:pPr>
            <w:r>
              <w:rPr>
                <w:rFonts w:ascii="Arial" w:cs="Arial" w:eastAsia="Arial" w:hAnsi="Arial"/>
                <w:sz w:val="15"/>
                <w:szCs w:val="15"/>
                <w:color w:val="auto"/>
              </w:rPr>
              <w:t>(18.0)</w:t>
            </w:r>
          </w:p>
        </w:tc>
        <w:tc>
          <w:tcPr>
            <w:tcW w:w="800" w:type="dxa"/>
            <w:vAlign w:val="bottom"/>
          </w:tcPr>
          <w:p>
            <w:pPr>
              <w:jc w:val="right"/>
              <w:spacing w:after="0"/>
              <w:rPr>
                <w:sz w:val="20"/>
                <w:szCs w:val="20"/>
                <w:color w:val="auto"/>
              </w:rPr>
            </w:pPr>
            <w:r>
              <w:rPr>
                <w:rFonts w:ascii="Arial" w:cs="Arial" w:eastAsia="Arial" w:hAnsi="Arial"/>
                <w:sz w:val="15"/>
                <w:szCs w:val="15"/>
                <w:color w:val="auto"/>
              </w:rPr>
              <w:t>(15.6)</w:t>
            </w:r>
          </w:p>
        </w:tc>
      </w:tr>
      <w:tr>
        <w:trPr>
          <w:trHeight w:val="210"/>
        </w:trPr>
        <w:tc>
          <w:tcPr>
            <w:tcW w:w="780" w:type="dxa"/>
            <w:vAlign w:val="bottom"/>
          </w:tcPr>
          <w:p>
            <w:pPr>
              <w:jc w:val="right"/>
              <w:ind w:right="264"/>
              <w:spacing w:after="0"/>
              <w:rPr>
                <w:sz w:val="20"/>
                <w:szCs w:val="20"/>
                <w:color w:val="auto"/>
              </w:rPr>
            </w:pPr>
            <w:r>
              <w:rPr>
                <w:rFonts w:ascii="Arial" w:cs="Arial" w:eastAsia="Arial" w:hAnsi="Arial"/>
                <w:sz w:val="15"/>
                <w:szCs w:val="15"/>
                <w:color w:val="auto"/>
              </w:rPr>
              <w:t>(3.3)</w:t>
            </w:r>
          </w:p>
        </w:tc>
        <w:tc>
          <w:tcPr>
            <w:tcW w:w="1160" w:type="dxa"/>
            <w:vAlign w:val="bottom"/>
          </w:tcPr>
          <w:p>
            <w:pPr>
              <w:jc w:val="right"/>
              <w:ind w:right="284"/>
              <w:spacing w:after="0"/>
              <w:rPr>
                <w:sz w:val="20"/>
                <w:szCs w:val="20"/>
                <w:color w:val="auto"/>
              </w:rPr>
            </w:pPr>
            <w:r>
              <w:rPr>
                <w:rFonts w:ascii="Arial" w:cs="Arial" w:eastAsia="Arial" w:hAnsi="Arial"/>
                <w:sz w:val="15"/>
                <w:szCs w:val="15"/>
                <w:color w:val="auto"/>
              </w:rPr>
              <w:t>(3.7)</w:t>
            </w:r>
          </w:p>
        </w:tc>
        <w:tc>
          <w:tcPr>
            <w:tcW w:w="80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210"/>
        </w:trPr>
        <w:tc>
          <w:tcPr>
            <w:tcW w:w="780" w:type="dxa"/>
            <w:vAlign w:val="bottom"/>
          </w:tcPr>
          <w:p>
            <w:pPr>
              <w:jc w:val="right"/>
              <w:ind w:right="264"/>
              <w:spacing w:after="0"/>
              <w:rPr>
                <w:sz w:val="20"/>
                <w:szCs w:val="20"/>
                <w:color w:val="auto"/>
              </w:rPr>
            </w:pPr>
            <w:r>
              <w:rPr>
                <w:rFonts w:ascii="Arial" w:cs="Arial" w:eastAsia="Arial" w:hAnsi="Arial"/>
                <w:sz w:val="15"/>
                <w:szCs w:val="15"/>
                <w:color w:val="auto"/>
              </w:rPr>
              <w:t>(1.2)</w:t>
            </w:r>
          </w:p>
        </w:tc>
        <w:tc>
          <w:tcPr>
            <w:tcW w:w="11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(0.5)</w:t>
            </w:r>
          </w:p>
        </w:tc>
      </w:tr>
    </w:tbl>
    <w:p>
      <w:pPr>
        <w:spacing w:after="0" w:line="200" w:lineRule="exact"/>
        <w:rPr>
          <w:sz w:val="20"/>
          <w:szCs w:val="20"/>
          <w:color w:val="auto"/>
        </w:rPr>
      </w:pPr>
    </w:p>
    <w:p>
      <w:pPr>
        <w:sectPr>
          <w:pgSz w:w="11900" w:h="16838" w:orient="portrait"/>
          <w:cols w:equalWidth="0" w:num="2">
            <w:col w:w="7860" w:space="720"/>
            <w:col w:w="2880"/>
          </w:cols>
          <w:pgMar w:left="220" w:top="148" w:right="219" w:bottom="1440" w:gutter="0" w:footer="0" w:header="0"/>
          <w:type w:val="continuous"/>
        </w:sectPr>
      </w:pPr>
    </w:p>
    <w:p>
      <w:pPr>
        <w:spacing w:after="0" w:line="1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Cash flows provided by (used in) financing activities: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Borrowings under Loan Agreement, Revolver 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Repayments of Loan Agreement, Revolver and Credit Agreement</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Repurchase of 5.75%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Repayment of 7% Notes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Borrowings under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Repayments of lines of credit</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Repayment of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265670" cy="133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Proceeds pursuant to employee stock-based plans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656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00" w:type="dxa"/>
            <w:vAlign w:val="bottom"/>
          </w:tcPr>
          <w:p>
            <w:pPr>
              <w:jc w:val="right"/>
              <w:ind w:right="244"/>
              <w:spacing w:after="0"/>
              <w:rPr>
                <w:sz w:val="20"/>
                <w:szCs w:val="20"/>
                <w:color w:val="auto"/>
              </w:rPr>
            </w:pPr>
            <w:r>
              <w:rPr>
                <w:rFonts w:ascii="Arial" w:cs="Arial" w:eastAsia="Arial" w:hAnsi="Arial"/>
                <w:sz w:val="15"/>
                <w:szCs w:val="15"/>
                <w:color w:val="auto"/>
                <w:w w:val="96"/>
              </w:rPr>
              <w:t>(161.2)</w:t>
            </w:r>
          </w:p>
        </w:tc>
        <w:tc>
          <w:tcPr>
            <w:tcW w:w="1160" w:type="dxa"/>
            <w:vAlign w:val="bottom"/>
          </w:tcPr>
          <w:p>
            <w:pPr>
              <w:jc w:val="right"/>
              <w:ind w:right="264"/>
              <w:spacing w:after="0"/>
              <w:rPr>
                <w:sz w:val="20"/>
                <w:szCs w:val="20"/>
                <w:color w:val="auto"/>
              </w:rPr>
            </w:pPr>
            <w:r>
              <w:rPr>
                <w:rFonts w:ascii="Arial" w:cs="Arial" w:eastAsia="Arial" w:hAnsi="Arial"/>
                <w:sz w:val="15"/>
                <w:szCs w:val="15"/>
                <w:color w:val="auto"/>
              </w:rPr>
              <w:t>(160.4)</w:t>
            </w:r>
          </w:p>
        </w:tc>
        <w:tc>
          <w:tcPr>
            <w:tcW w:w="820" w:type="dxa"/>
            <w:vAlign w:val="bottom"/>
          </w:tcPr>
          <w:p>
            <w:pPr>
              <w:jc w:val="right"/>
              <w:spacing w:after="0"/>
              <w:rPr>
                <w:sz w:val="20"/>
                <w:szCs w:val="20"/>
                <w:color w:val="auto"/>
              </w:rPr>
            </w:pPr>
            <w:r>
              <w:rPr>
                <w:rFonts w:ascii="Arial" w:cs="Arial" w:eastAsia="Arial" w:hAnsi="Arial"/>
                <w:sz w:val="15"/>
                <w:szCs w:val="15"/>
                <w:color w:val="auto"/>
              </w:rPr>
              <w:t>(147.6)</w:t>
            </w:r>
          </w:p>
        </w:tc>
      </w:tr>
      <w:tr>
        <w:trPr>
          <w:trHeight w:val="419"/>
        </w:trPr>
        <w:tc>
          <w:tcPr>
            <w:tcW w:w="800" w:type="dxa"/>
            <w:vAlign w:val="bottom"/>
          </w:tcPr>
          <w:p>
            <w:pPr>
              <w:jc w:val="right"/>
              <w:ind w:right="304"/>
              <w:spacing w:after="0"/>
              <w:rPr>
                <w:sz w:val="20"/>
                <w:szCs w:val="20"/>
                <w:color w:val="auto"/>
              </w:rPr>
            </w:pPr>
            <w:r>
              <w:rPr>
                <w:rFonts w:ascii="Arial" w:cs="Arial" w:eastAsia="Arial" w:hAnsi="Arial"/>
                <w:sz w:val="15"/>
                <w:szCs w:val="15"/>
                <w:color w:val="auto"/>
              </w:rPr>
              <w:t>170.3</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342.4</w:t>
            </w:r>
          </w:p>
        </w:tc>
        <w:tc>
          <w:tcPr>
            <w:tcW w:w="820" w:type="dxa"/>
            <w:vAlign w:val="bottom"/>
          </w:tcPr>
          <w:p>
            <w:pPr>
              <w:jc w:val="right"/>
              <w:spacing w:after="0"/>
              <w:rPr>
                <w:sz w:val="20"/>
                <w:szCs w:val="20"/>
                <w:color w:val="auto"/>
              </w:rPr>
            </w:pPr>
            <w:r>
              <w:rPr>
                <w:rFonts w:ascii="Arial" w:cs="Arial" w:eastAsia="Arial" w:hAnsi="Arial"/>
                <w:sz w:val="15"/>
                <w:szCs w:val="15"/>
                <w:color w:val="auto"/>
              </w:rPr>
              <w:t>599.4</w:t>
            </w:r>
          </w:p>
        </w:tc>
      </w:tr>
      <w:tr>
        <w:trPr>
          <w:trHeight w:val="210"/>
        </w:trPr>
        <w:tc>
          <w:tcPr>
            <w:tcW w:w="800" w:type="dxa"/>
            <w:vAlign w:val="bottom"/>
          </w:tcPr>
          <w:p>
            <w:pPr>
              <w:jc w:val="right"/>
              <w:ind w:right="244"/>
              <w:spacing w:after="0"/>
              <w:rPr>
                <w:sz w:val="20"/>
                <w:szCs w:val="20"/>
                <w:color w:val="auto"/>
              </w:rPr>
            </w:pPr>
            <w:r>
              <w:rPr>
                <w:rFonts w:ascii="Arial" w:cs="Arial" w:eastAsia="Arial" w:hAnsi="Arial"/>
                <w:sz w:val="15"/>
                <w:szCs w:val="15"/>
                <w:color w:val="auto"/>
                <w:w w:val="96"/>
              </w:rPr>
              <w:t>(170.3)</w:t>
            </w:r>
          </w:p>
        </w:tc>
        <w:tc>
          <w:tcPr>
            <w:tcW w:w="1160" w:type="dxa"/>
            <w:vAlign w:val="bottom"/>
          </w:tcPr>
          <w:p>
            <w:pPr>
              <w:jc w:val="right"/>
              <w:ind w:right="264"/>
              <w:spacing w:after="0"/>
              <w:rPr>
                <w:sz w:val="20"/>
                <w:szCs w:val="20"/>
                <w:color w:val="auto"/>
              </w:rPr>
            </w:pPr>
            <w:r>
              <w:rPr>
                <w:rFonts w:ascii="Arial" w:cs="Arial" w:eastAsia="Arial" w:hAnsi="Arial"/>
                <w:sz w:val="15"/>
                <w:szCs w:val="15"/>
                <w:color w:val="auto"/>
              </w:rPr>
              <w:t>(356.6)</w:t>
            </w:r>
          </w:p>
        </w:tc>
        <w:tc>
          <w:tcPr>
            <w:tcW w:w="820" w:type="dxa"/>
            <w:vAlign w:val="bottom"/>
          </w:tcPr>
          <w:p>
            <w:pPr>
              <w:jc w:val="right"/>
              <w:spacing w:after="0"/>
              <w:rPr>
                <w:sz w:val="20"/>
                <w:szCs w:val="20"/>
                <w:color w:val="auto"/>
              </w:rPr>
            </w:pPr>
            <w:r>
              <w:rPr>
                <w:rFonts w:ascii="Arial" w:cs="Arial" w:eastAsia="Arial" w:hAnsi="Arial"/>
                <w:sz w:val="15"/>
                <w:szCs w:val="15"/>
                <w:color w:val="auto"/>
              </w:rPr>
              <w:t>(585.2)</w:t>
            </w:r>
          </w:p>
        </w:tc>
      </w:tr>
      <w:tr>
        <w:trPr>
          <w:trHeight w:val="210"/>
        </w:trPr>
        <w:tc>
          <w:tcPr>
            <w:tcW w:w="800" w:type="dxa"/>
            <w:vAlign w:val="bottom"/>
          </w:tcPr>
          <w:p>
            <w:pPr>
              <w:jc w:val="right"/>
              <w:ind w:right="244"/>
              <w:spacing w:after="0"/>
              <w:rPr>
                <w:sz w:val="20"/>
                <w:szCs w:val="20"/>
                <w:color w:val="auto"/>
              </w:rPr>
            </w:pPr>
            <w:r>
              <w:rPr>
                <w:rFonts w:ascii="Arial" w:cs="Arial" w:eastAsia="Arial" w:hAnsi="Arial"/>
                <w:sz w:val="15"/>
                <w:szCs w:val="15"/>
                <w:color w:val="auto"/>
              </w:rPr>
              <w:t>(6.0)</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80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(125.0)</w:t>
            </w:r>
          </w:p>
        </w:tc>
      </w:tr>
      <w:tr>
        <w:trPr>
          <w:trHeight w:val="210"/>
        </w:trPr>
        <w:tc>
          <w:tcPr>
            <w:tcW w:w="800" w:type="dxa"/>
            <w:vAlign w:val="bottom"/>
          </w:tcPr>
          <w:p>
            <w:pPr>
              <w:jc w:val="right"/>
              <w:ind w:right="304"/>
              <w:spacing w:after="0"/>
              <w:rPr>
                <w:sz w:val="20"/>
                <w:szCs w:val="20"/>
                <w:color w:val="auto"/>
              </w:rPr>
            </w:pPr>
            <w:r>
              <w:rPr>
                <w:rFonts w:ascii="Arial" w:cs="Arial" w:eastAsia="Arial" w:hAnsi="Arial"/>
                <w:sz w:val="15"/>
                <w:szCs w:val="15"/>
                <w:color w:val="auto"/>
              </w:rPr>
              <w:t>248.2</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250.6</w:t>
            </w:r>
          </w:p>
        </w:tc>
        <w:tc>
          <w:tcPr>
            <w:tcW w:w="820" w:type="dxa"/>
            <w:vAlign w:val="bottom"/>
          </w:tcPr>
          <w:p>
            <w:pPr>
              <w:jc w:val="right"/>
              <w:spacing w:after="0"/>
              <w:rPr>
                <w:sz w:val="20"/>
                <w:szCs w:val="20"/>
                <w:color w:val="auto"/>
              </w:rPr>
            </w:pPr>
            <w:r>
              <w:rPr>
                <w:rFonts w:ascii="Arial" w:cs="Arial" w:eastAsia="Arial" w:hAnsi="Arial"/>
                <w:sz w:val="15"/>
                <w:szCs w:val="15"/>
                <w:color w:val="auto"/>
              </w:rPr>
              <w:t>294.1</w:t>
            </w:r>
          </w:p>
        </w:tc>
      </w:tr>
      <w:tr>
        <w:trPr>
          <w:trHeight w:val="210"/>
        </w:trPr>
        <w:tc>
          <w:tcPr>
            <w:tcW w:w="800" w:type="dxa"/>
            <w:vAlign w:val="bottom"/>
          </w:tcPr>
          <w:p>
            <w:pPr>
              <w:jc w:val="right"/>
              <w:ind w:right="244"/>
              <w:spacing w:after="0"/>
              <w:rPr>
                <w:sz w:val="20"/>
                <w:szCs w:val="20"/>
                <w:color w:val="auto"/>
              </w:rPr>
            </w:pPr>
            <w:r>
              <w:rPr>
                <w:rFonts w:ascii="Arial" w:cs="Arial" w:eastAsia="Arial" w:hAnsi="Arial"/>
                <w:sz w:val="15"/>
                <w:szCs w:val="15"/>
                <w:color w:val="auto"/>
                <w:w w:val="96"/>
              </w:rPr>
              <w:t>(240.8)</w:t>
            </w:r>
          </w:p>
        </w:tc>
        <w:tc>
          <w:tcPr>
            <w:tcW w:w="1160" w:type="dxa"/>
            <w:vAlign w:val="bottom"/>
          </w:tcPr>
          <w:p>
            <w:pPr>
              <w:jc w:val="right"/>
              <w:ind w:right="264"/>
              <w:spacing w:after="0"/>
              <w:rPr>
                <w:sz w:val="20"/>
                <w:szCs w:val="20"/>
                <w:color w:val="auto"/>
              </w:rPr>
            </w:pPr>
            <w:r>
              <w:rPr>
                <w:rFonts w:ascii="Arial" w:cs="Arial" w:eastAsia="Arial" w:hAnsi="Arial"/>
                <w:sz w:val="15"/>
                <w:szCs w:val="15"/>
                <w:color w:val="auto"/>
              </w:rPr>
              <w:t>(249.3)</w:t>
            </w:r>
          </w:p>
        </w:tc>
        <w:tc>
          <w:tcPr>
            <w:tcW w:w="820" w:type="dxa"/>
            <w:vAlign w:val="bottom"/>
          </w:tcPr>
          <w:p>
            <w:pPr>
              <w:jc w:val="right"/>
              <w:spacing w:after="0"/>
              <w:rPr>
                <w:sz w:val="20"/>
                <w:szCs w:val="20"/>
                <w:color w:val="auto"/>
              </w:rPr>
            </w:pPr>
            <w:r>
              <w:rPr>
                <w:rFonts w:ascii="Arial" w:cs="Arial" w:eastAsia="Arial" w:hAnsi="Arial"/>
                <w:sz w:val="15"/>
                <w:szCs w:val="15"/>
                <w:color w:val="auto"/>
              </w:rPr>
              <w:t>(300.7)</w:t>
            </w:r>
          </w:p>
        </w:tc>
      </w:tr>
      <w:tr>
        <w:trPr>
          <w:trHeight w:val="210"/>
        </w:trPr>
        <w:tc>
          <w:tcPr>
            <w:tcW w:w="800" w:type="dxa"/>
            <w:vAlign w:val="bottom"/>
          </w:tcPr>
          <w:p>
            <w:pPr>
              <w:jc w:val="right"/>
              <w:ind w:right="244"/>
              <w:spacing w:after="0"/>
              <w:rPr>
                <w:sz w:val="20"/>
                <w:szCs w:val="20"/>
                <w:color w:val="auto"/>
              </w:rPr>
            </w:pPr>
            <w:r>
              <w:rPr>
                <w:rFonts w:ascii="Arial" w:cs="Arial" w:eastAsia="Arial" w:hAnsi="Arial"/>
                <w:sz w:val="15"/>
                <w:szCs w:val="15"/>
                <w:color w:val="auto"/>
              </w:rPr>
              <w:t>(10.3)</w:t>
            </w:r>
          </w:p>
        </w:tc>
        <w:tc>
          <w:tcPr>
            <w:tcW w:w="1160" w:type="dxa"/>
            <w:vAlign w:val="bottom"/>
          </w:tcPr>
          <w:p>
            <w:pPr>
              <w:jc w:val="right"/>
              <w:ind w:right="264"/>
              <w:spacing w:after="0"/>
              <w:rPr>
                <w:sz w:val="20"/>
                <w:szCs w:val="20"/>
                <w:color w:val="auto"/>
              </w:rPr>
            </w:pPr>
            <w:r>
              <w:rPr>
                <w:rFonts w:ascii="Arial" w:cs="Arial" w:eastAsia="Arial" w:hAnsi="Arial"/>
                <w:sz w:val="15"/>
                <w:szCs w:val="15"/>
                <w:color w:val="auto"/>
              </w:rPr>
              <w:t>(10.5)</w:t>
            </w:r>
          </w:p>
        </w:tc>
        <w:tc>
          <w:tcPr>
            <w:tcW w:w="8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0"/>
        </w:trPr>
        <w:tc>
          <w:tcPr>
            <w:tcW w:w="800" w:type="dxa"/>
            <w:vAlign w:val="bottom"/>
          </w:tcPr>
          <w:p>
            <w:pPr>
              <w:jc w:val="right"/>
              <w:ind w:right="304"/>
              <w:spacing w:after="0"/>
              <w:rPr>
                <w:sz w:val="20"/>
                <w:szCs w:val="20"/>
                <w:color w:val="auto"/>
              </w:rPr>
            </w:pPr>
            <w:r>
              <w:rPr>
                <w:rFonts w:ascii="Arial" w:cs="Arial" w:eastAsia="Arial" w:hAnsi="Arial"/>
                <w:sz w:val="15"/>
                <w:szCs w:val="15"/>
                <w:color w:val="auto"/>
              </w:rPr>
              <w:t>28.7</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29.9</w:t>
            </w:r>
          </w:p>
        </w:tc>
        <w:tc>
          <w:tcPr>
            <w:tcW w:w="82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10"/>
        </w:trPr>
        <w:tc>
          <w:tcPr>
            <w:tcW w:w="80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3.9</w:t>
            </w:r>
          </w:p>
        </w:tc>
      </w:tr>
    </w:tbl>
    <w:p>
      <w:pPr>
        <w:spacing w:after="0" w:line="189" w:lineRule="exact"/>
        <w:rPr>
          <w:sz w:val="20"/>
          <w:szCs w:val="20"/>
          <w:color w:val="auto"/>
        </w:rPr>
      </w:pPr>
    </w:p>
    <w:p>
      <w:pPr>
        <w:sectPr>
          <w:pgSz w:w="11900" w:h="16838" w:orient="portrait"/>
          <w:cols w:equalWidth="0" w:num="2">
            <w:col w:w="7820" w:space="720"/>
            <w:col w:w="2920"/>
          </w:cols>
          <w:pgMar w:left="220" w:top="148"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cash provided by (used in) financing activities</w:t>
            </w:r>
          </w:p>
        </w:tc>
        <w:tc>
          <w:tcPr>
            <w:tcW w:w="23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19.8</w:t>
            </w:r>
          </w:p>
        </w:tc>
        <w:tc>
          <w:tcPr>
            <w:tcW w:w="42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6.5</w:t>
            </w:r>
          </w:p>
        </w:tc>
        <w:tc>
          <w:tcPr>
            <w:tcW w:w="42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(114.9)</w:t>
            </w:r>
          </w:p>
        </w:tc>
      </w:tr>
      <w:tr>
        <w:trPr>
          <w:trHeight w:val="219"/>
        </w:trPr>
        <w:tc>
          <w:tcPr>
            <w:tcW w:w="2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5"/>
                <w:szCs w:val="15"/>
                <w:color w:val="auto"/>
              </w:rPr>
              <w:t>Effect of exchange rate changes on cash</w:t>
            </w:r>
          </w:p>
        </w:tc>
        <w:tc>
          <w:tcPr>
            <w:tcW w:w="2300" w:type="dxa"/>
            <w:vAlign w:val="bottom"/>
          </w:tcPr>
          <w:p>
            <w:pPr>
              <w:spacing w:after="0"/>
              <w:rPr>
                <w:sz w:val="19"/>
                <w:szCs w:val="19"/>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0.3</w:t>
            </w:r>
          </w:p>
        </w:tc>
        <w:tc>
          <w:tcPr>
            <w:tcW w:w="420" w:type="dxa"/>
            <w:vAlign w:val="bottom"/>
          </w:tcPr>
          <w:p>
            <w:pPr>
              <w:spacing w:after="0"/>
              <w:rPr>
                <w:sz w:val="19"/>
                <w:szCs w:val="19"/>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0.1</w:t>
            </w:r>
          </w:p>
        </w:tc>
        <w:tc>
          <w:tcPr>
            <w:tcW w:w="420" w:type="dxa"/>
            <w:vAlign w:val="bottom"/>
          </w:tcPr>
          <w:p>
            <w:pPr>
              <w:spacing w:after="0"/>
              <w:rPr>
                <w:sz w:val="19"/>
                <w:szCs w:val="19"/>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0.4</w:t>
            </w:r>
          </w:p>
        </w:tc>
      </w:tr>
      <w:tr>
        <w:trPr>
          <w:trHeight w:val="84"/>
        </w:trPr>
        <w:tc>
          <w:tcPr>
            <w:tcW w:w="6100" w:type="dxa"/>
            <w:vAlign w:val="bottom"/>
            <w:gridSpan w:val="2"/>
          </w:tcPr>
          <w:p>
            <w:pPr>
              <w:spacing w:after="0"/>
              <w:rPr>
                <w:sz w:val="7"/>
                <w:szCs w:val="7"/>
                <w:color w:val="auto"/>
              </w:rPr>
            </w:pPr>
          </w:p>
        </w:tc>
        <w:tc>
          <w:tcPr>
            <w:tcW w:w="2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85"/>
        </w:trPr>
        <w:tc>
          <w:tcPr>
            <w:tcW w:w="20" w:type="dxa"/>
            <w:vAlign w:val="bottom"/>
          </w:tcPr>
          <w:p>
            <w:pPr>
              <w:spacing w:after="0"/>
              <w:rPr>
                <w:sz w:val="7"/>
                <w:szCs w:val="7"/>
                <w:color w:val="auto"/>
              </w:rPr>
            </w:pPr>
          </w:p>
        </w:tc>
        <w:tc>
          <w:tcPr>
            <w:tcW w:w="6080" w:type="dxa"/>
            <w:vAlign w:val="bottom"/>
            <w:tcBorders>
              <w:top w:val="single" w:sz="8" w:color="808080"/>
            </w:tcBorders>
          </w:tcPr>
          <w:p>
            <w:pPr>
              <w:spacing w:after="0"/>
              <w:rPr>
                <w:sz w:val="7"/>
                <w:szCs w:val="7"/>
                <w:color w:val="auto"/>
              </w:rPr>
            </w:pPr>
          </w:p>
        </w:tc>
        <w:tc>
          <w:tcPr>
            <w:tcW w:w="2300" w:type="dxa"/>
            <w:vAlign w:val="bottom"/>
            <w:tcBorders>
              <w:top w:val="single" w:sz="8" w:color="808080"/>
            </w:tcBorders>
          </w:tcPr>
          <w:p>
            <w:pPr>
              <w:spacing w:after="0"/>
              <w:rPr>
                <w:sz w:val="7"/>
                <w:szCs w:val="7"/>
                <w:color w:val="auto"/>
              </w:rPr>
            </w:pPr>
          </w:p>
        </w:tc>
        <w:tc>
          <w:tcPr>
            <w:tcW w:w="72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72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78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5"/>
                <w:szCs w:val="15"/>
                <w:color w:val="auto"/>
              </w:rPr>
              <w:t>Net increase (decrease) in cash and cash equivalents</w:t>
            </w:r>
          </w:p>
        </w:tc>
        <w:tc>
          <w:tcPr>
            <w:tcW w:w="23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94.7</w:t>
            </w:r>
          </w:p>
        </w:tc>
        <w:tc>
          <w:tcPr>
            <w:tcW w:w="42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92.8</w:t>
            </w:r>
          </w:p>
        </w:tc>
        <w:tc>
          <w:tcPr>
            <w:tcW w:w="42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(40.8)</w:t>
            </w:r>
          </w:p>
        </w:tc>
      </w:tr>
      <w:tr>
        <w:trPr>
          <w:trHeight w:val="219"/>
        </w:trPr>
        <w:tc>
          <w:tcPr>
            <w:tcW w:w="610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2300" w:type="dxa"/>
            <w:vAlign w:val="bottom"/>
          </w:tcPr>
          <w:p>
            <w:pPr>
              <w:spacing w:after="0"/>
              <w:rPr>
                <w:sz w:val="19"/>
                <w:szCs w:val="19"/>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110.6</w:t>
            </w:r>
          </w:p>
        </w:tc>
        <w:tc>
          <w:tcPr>
            <w:tcW w:w="420" w:type="dxa"/>
            <w:vAlign w:val="bottom"/>
          </w:tcPr>
          <w:p>
            <w:pPr>
              <w:spacing w:after="0"/>
              <w:rPr>
                <w:sz w:val="19"/>
                <w:szCs w:val="19"/>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17.8</w:t>
            </w:r>
          </w:p>
        </w:tc>
        <w:tc>
          <w:tcPr>
            <w:tcW w:w="420" w:type="dxa"/>
            <w:vAlign w:val="bottom"/>
          </w:tcPr>
          <w:p>
            <w:pPr>
              <w:spacing w:after="0"/>
              <w:rPr>
                <w:sz w:val="19"/>
                <w:szCs w:val="19"/>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58.6</w:t>
            </w:r>
          </w:p>
        </w:tc>
      </w:tr>
      <w:tr>
        <w:trPr>
          <w:trHeight w:val="84"/>
        </w:trPr>
        <w:tc>
          <w:tcPr>
            <w:tcW w:w="6100" w:type="dxa"/>
            <w:vAlign w:val="bottom"/>
            <w:gridSpan w:val="2"/>
          </w:tcPr>
          <w:p>
            <w:pPr>
              <w:spacing w:after="0"/>
              <w:rPr>
                <w:sz w:val="7"/>
                <w:szCs w:val="7"/>
                <w:color w:val="auto"/>
              </w:rPr>
            </w:pPr>
          </w:p>
        </w:tc>
        <w:tc>
          <w:tcPr>
            <w:tcW w:w="2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85"/>
        </w:trPr>
        <w:tc>
          <w:tcPr>
            <w:tcW w:w="20" w:type="dxa"/>
            <w:vAlign w:val="bottom"/>
          </w:tcPr>
          <w:p>
            <w:pPr>
              <w:spacing w:after="0"/>
              <w:rPr>
                <w:sz w:val="7"/>
                <w:szCs w:val="7"/>
                <w:color w:val="auto"/>
              </w:rPr>
            </w:pPr>
          </w:p>
        </w:tc>
        <w:tc>
          <w:tcPr>
            <w:tcW w:w="6080" w:type="dxa"/>
            <w:vAlign w:val="bottom"/>
            <w:tcBorders>
              <w:top w:val="single" w:sz="8" w:color="808080"/>
            </w:tcBorders>
          </w:tcPr>
          <w:p>
            <w:pPr>
              <w:spacing w:after="0"/>
              <w:rPr>
                <w:sz w:val="7"/>
                <w:szCs w:val="7"/>
                <w:color w:val="auto"/>
              </w:rPr>
            </w:pPr>
          </w:p>
        </w:tc>
        <w:tc>
          <w:tcPr>
            <w:tcW w:w="2300" w:type="dxa"/>
            <w:vAlign w:val="bottom"/>
            <w:tcBorders>
              <w:top w:val="single" w:sz="8" w:color="808080"/>
            </w:tcBorders>
          </w:tcPr>
          <w:p>
            <w:pPr>
              <w:spacing w:after="0"/>
              <w:rPr>
                <w:sz w:val="7"/>
                <w:szCs w:val="7"/>
                <w:color w:val="auto"/>
              </w:rPr>
            </w:pPr>
          </w:p>
        </w:tc>
        <w:tc>
          <w:tcPr>
            <w:tcW w:w="72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72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78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Cash and cash equivalents at end of year</w:t>
            </w:r>
          </w:p>
        </w:tc>
        <w:tc>
          <w:tcPr>
            <w:tcW w:w="2300" w:type="dxa"/>
            <w:vAlign w:val="bottom"/>
            <w:shd w:val="clear" w:color="auto" w:fill="E6E6E6"/>
          </w:tcPr>
          <w:p>
            <w:pPr>
              <w:jc w:val="right"/>
              <w:ind w:right="104"/>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205.3</w:t>
            </w:r>
          </w:p>
        </w:tc>
        <w:tc>
          <w:tcPr>
            <w:tcW w:w="420" w:type="dxa"/>
            <w:vAlign w:val="bottom"/>
            <w:shd w:val="clear" w:color="auto" w:fill="E6E6E6"/>
          </w:tcPr>
          <w:p>
            <w:pPr>
              <w:jc w:val="right"/>
              <w:ind w:right="104"/>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110.6</w:t>
            </w:r>
          </w:p>
        </w:tc>
        <w:tc>
          <w:tcPr>
            <w:tcW w:w="42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6E6E6"/>
          </w:tcPr>
          <w:p>
            <w:pPr>
              <w:jc w:val="right"/>
              <w:ind w:right="124"/>
              <w:spacing w:after="0"/>
              <w:rPr>
                <w:sz w:val="20"/>
                <w:szCs w:val="20"/>
                <w:color w:val="auto"/>
              </w:rPr>
            </w:pPr>
            <w:r>
              <w:rPr>
                <w:rFonts w:ascii="Arial" w:cs="Arial" w:eastAsia="Arial" w:hAnsi="Arial"/>
                <w:sz w:val="15"/>
                <w:szCs w:val="15"/>
                <w:b w:val="1"/>
                <w:bCs w:val="1"/>
                <w:color w:val="auto"/>
              </w:rPr>
              <w:t>17.8</w:t>
            </w:r>
          </w:p>
        </w:tc>
      </w:tr>
      <w:tr>
        <w:trPr>
          <w:trHeight w:val="112"/>
        </w:trPr>
        <w:tc>
          <w:tcPr>
            <w:tcW w:w="6100" w:type="dxa"/>
            <w:vAlign w:val="bottom"/>
            <w:tcBorders>
              <w:bottom w:val="single" w:sz="8" w:color="808080"/>
            </w:tcBorders>
            <w:gridSpan w:val="2"/>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297"/>
        </w:trPr>
        <w:tc>
          <w:tcPr>
            <w:tcW w:w="6100" w:type="dxa"/>
            <w:vAlign w:val="bottom"/>
            <w:gridSpan w:val="2"/>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Income taxes paid</w:t>
            </w:r>
          </w:p>
        </w:tc>
        <w:tc>
          <w:tcPr>
            <w:tcW w:w="230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35.9</w:t>
            </w:r>
          </w:p>
        </w:tc>
        <w:tc>
          <w:tcPr>
            <w:tcW w:w="42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10.1</w:t>
            </w:r>
          </w:p>
        </w:tc>
        <w:tc>
          <w:tcPr>
            <w:tcW w:w="4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24.5</w:t>
            </w:r>
          </w:p>
        </w:tc>
      </w:tr>
      <w:tr>
        <w:trPr>
          <w:trHeight w:val="210"/>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5"/>
                <w:szCs w:val="15"/>
                <w:color w:val="auto"/>
              </w:rPr>
              <w:t>Interest paid</w:t>
            </w:r>
          </w:p>
        </w:tc>
        <w:tc>
          <w:tcPr>
            <w:tcW w:w="230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27.2</w:t>
            </w:r>
          </w:p>
        </w:tc>
        <w:tc>
          <w:tcPr>
            <w:tcW w:w="4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30.0</w:t>
            </w:r>
          </w:p>
        </w:tc>
        <w:tc>
          <w:tcPr>
            <w:tcW w:w="420" w:type="dxa"/>
            <w:vAlign w:val="bottom"/>
          </w:tcPr>
          <w:p>
            <w:pPr>
              <w:spacing w:after="0"/>
              <w:rPr>
                <w:sz w:val="18"/>
                <w:szCs w:val="18"/>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39.0</w:t>
            </w:r>
          </w:p>
        </w:tc>
      </w:tr>
      <w:tr>
        <w:trPr>
          <w:trHeight w:val="210"/>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Non-cash investing and financing activities: Capital leases</w:t>
            </w:r>
          </w:p>
        </w:tc>
        <w:tc>
          <w:tcPr>
            <w:tcW w:w="23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3.4</w:t>
            </w:r>
          </w:p>
        </w:tc>
        <w:tc>
          <w:tcPr>
            <w:tcW w:w="42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9.5</w:t>
            </w:r>
          </w:p>
        </w:tc>
        <w:tc>
          <w:tcPr>
            <w:tcW w:w="420" w:type="dxa"/>
            <w:vAlign w:val="bottom"/>
            <w:shd w:val="clear" w:color="auto" w:fill="E6E6E6"/>
          </w:tcPr>
          <w:p>
            <w:pPr>
              <w:spacing w:after="0"/>
              <w:rPr>
                <w:sz w:val="18"/>
                <w:szCs w:val="18"/>
                <w:color w:val="auto"/>
              </w:rPr>
            </w:pPr>
          </w:p>
        </w:tc>
        <w:tc>
          <w:tcPr>
            <w:tcW w:w="78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15.1</w:t>
            </w:r>
          </w:p>
        </w:tc>
      </w:tr>
      <w:tr>
        <w:trPr>
          <w:trHeight w:val="93"/>
        </w:trPr>
        <w:tc>
          <w:tcPr>
            <w:tcW w:w="20" w:type="dxa"/>
            <w:vAlign w:val="bottom"/>
          </w:tcPr>
          <w:p>
            <w:pPr>
              <w:spacing w:after="0"/>
              <w:rPr>
                <w:sz w:val="8"/>
                <w:szCs w:val="8"/>
                <w:color w:val="auto"/>
              </w:rPr>
            </w:pPr>
          </w:p>
        </w:tc>
        <w:tc>
          <w:tcPr>
            <w:tcW w:w="608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-682625</wp:posOffset>
            </wp:positionV>
            <wp:extent cx="12700" cy="27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-682625</wp:posOffset>
            </wp:positionV>
            <wp:extent cx="12700" cy="27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273685</wp:posOffset>
            </wp:positionV>
            <wp:extent cx="118110" cy="1181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728535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48" w:right="219" w:bottom="1440" w:gutter="0" w:footer="0" w:header="0"/>
          <w:type w:val="continuous"/>
        </w:sectPr>
      </w:pPr>
    </w:p>
    <w:bookmarkStart w:id="40" w:name="page41"/>
    <w:bookmarkEnd w:id="40"/>
    <w:p>
      <w:pPr>
        <w:ind w:left="312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(Amounts in millions, except share and per share data)</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22"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The consolidated financial statements include the accounts of Scholastic Corporation (the “Corporation”) and all wholly-owned and majority-owned subsidiaries (collectively “Scholastic” or the “Company”). All significant intercompany transactions are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22"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and installment receivables; sales returns; amortization periods; pension and other post-retirement obligations; and recoverability of inventories, deferred promotion costs, deferred income taxes and tax reserves, prepublication costs, royalty advances, goodwill and other intangibles.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Company’s revenue recognition policies for its principal businesses are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School-Based Book Clubs </w:t>
      </w:r>
      <w:r>
        <w:rPr>
          <w:rFonts w:ascii="Arial" w:cs="Arial" w:eastAsia="Arial" w:hAnsi="Arial"/>
          <w:sz w:val="15"/>
          <w:szCs w:val="15"/>
          <w:color w:val="auto"/>
        </w:rPr>
        <w:t>– Revenue from school-based book clubs is recognized upon shipment of the products.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School-Based Book Fairs </w:t>
      </w:r>
      <w:r>
        <w:rPr>
          <w:rFonts w:ascii="Arial" w:cs="Arial" w:eastAsia="Arial" w:hAnsi="Arial"/>
          <w:sz w:val="15"/>
          <w:szCs w:val="15"/>
          <w:color w:val="auto"/>
        </w:rPr>
        <w:t>– Revenue from school-based book fairs, which are generally a week in duration, is recognized ratably as each book fair occurs.</w:t>
      </w:r>
    </w:p>
    <w:p>
      <w:pPr>
        <w:spacing w:after="0" w:line="200" w:lineRule="exact"/>
        <w:rPr>
          <w:sz w:val="20"/>
          <w:szCs w:val="20"/>
          <w:color w:val="auto"/>
        </w:rPr>
      </w:pPr>
    </w:p>
    <w:p>
      <w:pPr>
        <w:spacing w:after="0" w:line="269" w:lineRule="auto"/>
        <w:rPr>
          <w:sz w:val="20"/>
          <w:szCs w:val="20"/>
          <w:color w:val="auto"/>
        </w:rPr>
      </w:pPr>
      <w:r>
        <w:rPr>
          <w:rFonts w:ascii="Arial" w:cs="Arial" w:eastAsia="Arial" w:hAnsi="Arial"/>
          <w:sz w:val="15"/>
          <w:szCs w:val="15"/>
          <w:b w:val="1"/>
          <w:bCs w:val="1"/>
          <w:color w:val="auto"/>
        </w:rPr>
        <w:t xml:space="preserve">Continuity Programs </w:t>
      </w:r>
      <w:r>
        <w:rPr>
          <w:rFonts w:ascii="Arial" w:cs="Arial" w:eastAsia="Arial" w:hAnsi="Arial"/>
          <w:sz w:val="15"/>
          <w:szCs w:val="15"/>
          <w:color w:val="auto"/>
        </w:rPr>
        <w:t>– The Company operates continuity programs whereby customers generally place an order to receive multiple shipments of children’s books and other products over</w:t>
      </w:r>
      <w:r>
        <w:rPr>
          <w:rFonts w:ascii="Arial" w:cs="Arial" w:eastAsia="Arial" w:hAnsi="Arial"/>
          <w:sz w:val="15"/>
          <w:szCs w:val="15"/>
          <w:b w:val="1"/>
          <w:bCs w:val="1"/>
          <w:color w:val="auto"/>
        </w:rPr>
        <w:t xml:space="preserve"> </w:t>
      </w:r>
      <w:r>
        <w:rPr>
          <w:rFonts w:ascii="Arial" w:cs="Arial" w:eastAsia="Arial" w:hAnsi="Arial"/>
          <w:sz w:val="15"/>
          <w:szCs w:val="15"/>
          <w:color w:val="auto"/>
        </w:rPr>
        <w:t>a period of time. Revenue from continuity programs is recognized at the time of shipment or, in applicable cases, upon customer acceptance. Reserves for estimated returns are established at the time of sale and recorded as a reduction to revenue. Actual returns are charged to the reserve as received. The calculation of the reserve for estimated returns is based on historical return rates and sales patterns.</w:t>
      </w:r>
    </w:p>
    <w:p>
      <w:pPr>
        <w:spacing w:after="0" w:line="159" w:lineRule="exact"/>
        <w:rPr>
          <w:sz w:val="20"/>
          <w:szCs w:val="20"/>
          <w:color w:val="auto"/>
        </w:rPr>
      </w:pPr>
    </w:p>
    <w:p>
      <w:pPr>
        <w:ind w:right="80"/>
        <w:spacing w:after="0" w:line="303" w:lineRule="auto"/>
        <w:rPr>
          <w:sz w:val="20"/>
          <w:szCs w:val="20"/>
          <w:color w:val="auto"/>
        </w:rPr>
      </w:pPr>
      <w:r>
        <w:rPr>
          <w:rFonts w:ascii="Arial" w:cs="Arial" w:eastAsia="Arial" w:hAnsi="Arial"/>
          <w:sz w:val="14"/>
          <w:szCs w:val="14"/>
          <w:b w:val="1"/>
          <w:bCs w:val="1"/>
          <w:color w:val="auto"/>
        </w:rPr>
        <w:t xml:space="preserve">Trade </w:t>
      </w:r>
      <w:r>
        <w:rPr>
          <w:rFonts w:ascii="Arial" w:cs="Arial" w:eastAsia="Arial" w:hAnsi="Arial"/>
          <w:sz w:val="14"/>
          <w:szCs w:val="14"/>
          <w:color w:val="auto"/>
        </w:rPr>
        <w:t>– Revenue from the sale of children’s books for distribution in the retail channel is primarily recognized when title transfers to the customer, which generally is at the time of</w:t>
      </w:r>
      <w:r>
        <w:rPr>
          <w:rFonts w:ascii="Arial" w:cs="Arial" w:eastAsia="Arial" w:hAnsi="Arial"/>
          <w:sz w:val="14"/>
          <w:szCs w:val="14"/>
          <w:b w:val="1"/>
          <w:bCs w:val="1"/>
          <w:color w:val="auto"/>
        </w:rPr>
        <w:t xml:space="preserve"> </w:t>
      </w:r>
      <w:r>
        <w:rPr>
          <w:rFonts w:ascii="Arial" w:cs="Arial" w:eastAsia="Arial" w:hAnsi="Arial"/>
          <w:sz w:val="14"/>
          <w:szCs w:val="14"/>
          <w:color w:val="auto"/>
        </w:rPr>
        <w:t>shipment, or when the product is on sale and available to the public. A reserve for estimated returns is established at the time of sale and recorded as a reduction to revenue. Actual returns are charged to the reserve as received. The calculation of the reserve for estimated returns is based on historical return rates and sales patterns.</w:t>
      </w:r>
    </w:p>
    <w:p>
      <w:pPr>
        <w:spacing w:after="0" w:line="136"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b w:val="1"/>
          <w:bCs w:val="1"/>
          <w:color w:val="auto"/>
        </w:rPr>
        <w:t xml:space="preserve">Educational Publishing </w:t>
      </w:r>
      <w:r>
        <w:rPr>
          <w:rFonts w:ascii="Arial" w:cs="Arial" w:eastAsia="Arial" w:hAnsi="Arial"/>
          <w:sz w:val="15"/>
          <w:szCs w:val="15"/>
          <w:color w:val="auto"/>
        </w:rPr>
        <w:t>– For shipments to schools, revenue is recognized on passage of title, which generally occurs upon receipt by the customer. Shipments to depositories are on</w:t>
      </w:r>
      <w:r>
        <w:rPr>
          <w:rFonts w:ascii="Arial" w:cs="Arial" w:eastAsia="Arial" w:hAnsi="Arial"/>
          <w:sz w:val="15"/>
          <w:szCs w:val="15"/>
          <w:b w:val="1"/>
          <w:bCs w:val="1"/>
          <w:color w:val="auto"/>
        </w:rPr>
        <w:t xml:space="preserve"> </w:t>
      </w:r>
      <w:r>
        <w:rPr>
          <w:rFonts w:ascii="Arial" w:cs="Arial" w:eastAsia="Arial" w:hAnsi="Arial"/>
          <w:sz w:val="15"/>
          <w:szCs w:val="15"/>
          <w:color w:val="auto"/>
        </w:rPr>
        <w:t>consignment. Revenue is recognized based on actual shipments from the depositories to the schools. For certain software-based products, the Company offers new customers installation and training. In such cases, revenue is recognized when installation and training are complete.</w:t>
      </w:r>
    </w:p>
    <w:p>
      <w:pPr>
        <w:spacing w:after="0" w:line="153" w:lineRule="exact"/>
        <w:rPr>
          <w:sz w:val="20"/>
          <w:szCs w:val="20"/>
          <w:color w:val="auto"/>
        </w:rPr>
      </w:pPr>
    </w:p>
    <w:p>
      <w:pPr>
        <w:ind w:right="400"/>
        <w:spacing w:after="0" w:line="290" w:lineRule="auto"/>
        <w:rPr>
          <w:sz w:val="20"/>
          <w:szCs w:val="20"/>
          <w:color w:val="auto"/>
        </w:rPr>
      </w:pPr>
      <w:r>
        <w:rPr>
          <w:rFonts w:ascii="Arial" w:cs="Arial" w:eastAsia="Arial" w:hAnsi="Arial"/>
          <w:sz w:val="15"/>
          <w:szCs w:val="15"/>
          <w:b w:val="1"/>
          <w:bCs w:val="1"/>
          <w:color w:val="auto"/>
        </w:rPr>
        <w:t xml:space="preserve">Toy Catalog </w:t>
      </w:r>
      <w:r>
        <w:rPr>
          <w:rFonts w:ascii="Arial" w:cs="Arial" w:eastAsia="Arial" w:hAnsi="Arial"/>
          <w:sz w:val="15"/>
          <w:szCs w:val="15"/>
          <w:color w:val="auto"/>
        </w:rPr>
        <w:t>– Revenue from the sale of children’s toys to the home through catalogs is recognized when title transfers to the customer, which generally is at the time of shipment. A</w:t>
      </w:r>
      <w:r>
        <w:rPr>
          <w:rFonts w:ascii="Arial" w:cs="Arial" w:eastAsia="Arial" w:hAnsi="Arial"/>
          <w:sz w:val="15"/>
          <w:szCs w:val="15"/>
          <w:b w:val="1"/>
          <w:bCs w:val="1"/>
          <w:color w:val="auto"/>
        </w:rPr>
        <w:t xml:space="preserve"> </w:t>
      </w:r>
      <w:r>
        <w:rPr>
          <w:rFonts w:ascii="Arial" w:cs="Arial" w:eastAsia="Arial" w:hAnsi="Arial"/>
          <w:sz w:val="15"/>
          <w:szCs w:val="15"/>
          <w:color w:val="auto"/>
        </w:rPr>
        <w:t>reserve for estimated returns is established at the time of sale and recorded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97790</wp:posOffset>
            </wp:positionV>
            <wp:extent cx="118110" cy="1181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380"/>
          </w:cols>
          <w:pgMar w:left="240" w:top="104" w:right="27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reduction to revenue. Actual returns are charged to the reserve as received. The calculation of the reserve for estimated returns is based on historical return rates and sales patterns.</w:t>
      </w:r>
    </w:p>
    <w:p>
      <w:pPr>
        <w:spacing w:after="0" w:line="208" w:lineRule="exact"/>
        <w:rPr>
          <w:sz w:val="20"/>
          <w:szCs w:val="20"/>
          <w:color w:val="auto"/>
        </w:rPr>
      </w:pPr>
    </w:p>
    <w:p>
      <w:pPr>
        <w:jc w:val="both"/>
        <w:ind w:right="120"/>
        <w:spacing w:after="0" w:line="275" w:lineRule="auto"/>
        <w:rPr>
          <w:sz w:val="20"/>
          <w:szCs w:val="20"/>
          <w:color w:val="auto"/>
        </w:rPr>
      </w:pPr>
      <w:r>
        <w:rPr>
          <w:rFonts w:ascii="Arial" w:cs="Arial" w:eastAsia="Arial" w:hAnsi="Arial"/>
          <w:sz w:val="15"/>
          <w:szCs w:val="15"/>
          <w:b w:val="1"/>
          <w:bCs w:val="1"/>
          <w:color w:val="auto"/>
        </w:rPr>
        <w:t xml:space="preserve">Film Production and Licensing </w:t>
      </w:r>
      <w:r>
        <w:rPr>
          <w:rFonts w:ascii="Arial" w:cs="Arial" w:eastAsia="Arial" w:hAnsi="Arial"/>
          <w:sz w:val="15"/>
          <w:szCs w:val="15"/>
          <w:color w:val="auto"/>
        </w:rPr>
        <w:t>– Revenue from the sale of film rights, principally for the home video and domestic and foreign television markets, is recognized when the film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and is available for showing or exploitation. Licensing revenue is recorded in accordance with royalty agreements at the time the licensed materials are available to the licensee and collections are reasonably assured.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Magazines </w:t>
      </w:r>
      <w:r>
        <w:rPr>
          <w:rFonts w:ascii="Arial" w:cs="Arial" w:eastAsia="Arial" w:hAnsi="Arial"/>
          <w:sz w:val="15"/>
          <w:szCs w:val="15"/>
          <w:color w:val="auto"/>
        </w:rPr>
        <w:t>– Revenue is deferred and recognized ratably over the subscription period, as the magazines are delivered.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Magazine Advertising </w:t>
      </w:r>
      <w:r>
        <w:rPr>
          <w:rFonts w:ascii="Arial" w:cs="Arial" w:eastAsia="Arial" w:hAnsi="Arial"/>
          <w:sz w:val="15"/>
          <w:szCs w:val="15"/>
          <w:color w:val="auto"/>
        </w:rPr>
        <w:t>– Revenue is recognized when the magazine is on sale and available to the subscribers.</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color w:val="auto"/>
        </w:rPr>
        <w:t xml:space="preserve">Scholastic In-School Marketing </w:t>
      </w:r>
      <w:r>
        <w:rPr>
          <w:rFonts w:ascii="Arial" w:cs="Arial" w:eastAsia="Arial" w:hAnsi="Arial"/>
          <w:sz w:val="15"/>
          <w:szCs w:val="15"/>
          <w:color w:val="auto"/>
        </w:rPr>
        <w:t>– Revenue is recognized when the Company has satisfied its obligations under the program and the customer has acknowledged acceptance of the product</w:t>
      </w:r>
      <w:r>
        <w:rPr>
          <w:rFonts w:ascii="Arial" w:cs="Arial" w:eastAsia="Arial" w:hAnsi="Arial"/>
          <w:sz w:val="15"/>
          <w:szCs w:val="15"/>
          <w:b w:val="1"/>
          <w:bCs w:val="1"/>
          <w:color w:val="auto"/>
        </w:rPr>
        <w:t xml:space="preserve"> </w:t>
      </w:r>
      <w:r>
        <w:rPr>
          <w:rFonts w:ascii="Arial" w:cs="Arial" w:eastAsia="Arial" w:hAnsi="Arial"/>
          <w:sz w:val="15"/>
          <w:szCs w:val="15"/>
          <w:color w:val="auto"/>
        </w:rPr>
        <w:t>or service.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Cash equivalents consist of short-term investments with original maturities of three months or less.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 receivable</w:t>
      </w:r>
    </w:p>
    <w:p>
      <w:pPr>
        <w:spacing w:after="0" w:line="22" w:lineRule="exact"/>
        <w:rPr>
          <w:sz w:val="20"/>
          <w:szCs w:val="20"/>
          <w:color w:val="auto"/>
        </w:rPr>
      </w:pPr>
    </w:p>
    <w:p>
      <w:pPr>
        <w:jc w:val="both"/>
        <w:ind w:right="180"/>
        <w:spacing w:after="0" w:line="322" w:lineRule="auto"/>
        <w:rPr>
          <w:sz w:val="20"/>
          <w:szCs w:val="20"/>
          <w:color w:val="auto"/>
        </w:rPr>
      </w:pPr>
      <w:r>
        <w:rPr>
          <w:rFonts w:ascii="Arial" w:cs="Arial" w:eastAsia="Arial" w:hAnsi="Arial"/>
          <w:sz w:val="13"/>
          <w:szCs w:val="13"/>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agings and prior collection experience to estimate the ultimate collectability of these receivables.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Inventories</w:t>
      </w:r>
    </w:p>
    <w:p>
      <w:pPr>
        <w:spacing w:after="0" w:line="22"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promotion costs</w:t>
      </w:r>
    </w:p>
    <w:p>
      <w:pPr>
        <w:spacing w:after="0" w:line="22"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Deferred promotion costs represent direct mail, internet and telemarketing promotion costs incurred to acquire customers in the Company’s continuity and magazine businesses. Promotional costs are deferred when incurred and amortized in the proportion that current revenues bear to estimated total revenues. The Company regularly evaluates the operating performance of the promotions over their life cycle based on historical and forecasted demand and adjusts the carrying value accordingly. Except as discussed above, all other advertising costs are expensed as incurred.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plant and equipment</w:t>
      </w:r>
    </w:p>
    <w:p>
      <w:pPr>
        <w:spacing w:after="0" w:line="22"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Property, plant and equipment are carried at cost. Depreciation and amortization are recorded on a straight-line basis. Buildings have an estimated useful life, for purposes of depreciation, of forty years. Furniture, fixtures and equipment are depreciated over periods not exceeding ten years. Leasehold improvements are amortized over the life of the lease or the life of the assets, whichever is shorter. Interest is capitalized on major construction projects based on the outstanding construction-in-progress balance for the period and the average borrowing rate during the period.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Lease agreements are evaluated to determine whether they are capital or operating leases in accordance with Statement of Financial Accounting Standards (“SFAS”) No. 13, “Accounting For Leases,” as amended (“SFAS No. 13”). When substantially all of the risks and benefits of property ownership have been transferred to the Company, as determined by the test criteria in SFAS No. 13, the lease then qualifies as a capital lease.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Capital leases are capitalized at the lower of the net present value of the total amount of rent payable under the leasing agreement (excluding finance charges)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132080</wp:posOffset>
            </wp:positionV>
            <wp:extent cx="118110" cy="1181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728535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2" w:name="page43"/>
    <w:bookmarkEnd w:id="42"/>
    <w:p>
      <w:pPr>
        <w:ind w:right="260"/>
        <w:spacing w:after="0" w:line="365" w:lineRule="auto"/>
        <w:rPr>
          <w:sz w:val="20"/>
          <w:szCs w:val="20"/>
          <w:color w:val="auto"/>
        </w:rPr>
      </w:pPr>
      <w:r>
        <w:rPr>
          <w:rFonts w:ascii="Arial" w:cs="Arial" w:eastAsia="Arial" w:hAnsi="Arial"/>
          <w:sz w:val="13"/>
          <w:szCs w:val="13"/>
          <w:color w:val="auto"/>
        </w:rPr>
        <w:t>the fair market value of the leased asset. Capital lease assets are depreciated on a straight-line basis, over a period consistent with the Company’s normal depreciation policy for tangible fixed assets, but generally not exceeding the lease term. Interest charges are expensed over the period of the lease in relation to the carrying value of the capital lease obligation.</w:t>
      </w:r>
    </w:p>
    <w:p>
      <w:pPr>
        <w:spacing w:after="0" w:line="105"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auto"/>
        </w:rPr>
        <w:t>Rent expense for operating leases, which may include free rent or fixed escalation amounts in addition to minimum lease payments, is recognized on a straight-line basis over the duration of each lease term.</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Prepublication costs</w:t>
      </w:r>
    </w:p>
    <w:p>
      <w:pPr>
        <w:spacing w:after="0" w:line="22"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Company capitalizes the art, prepress, editorial and other costs incurred in the creation of the master copy of a book or other media (the “prepublication costs”). Prepublication costs are amortized on a straight-line basis over a three to seven year period based on expected future revenues. The Company regularly reviews the recoverability of the capitalized costs.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Royalty advances</w:t>
      </w:r>
    </w:p>
    <w:p>
      <w:pPr>
        <w:spacing w:after="0" w:line="22"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The Company records a reserve for the recoverability of its outstanding advances to authors based primarily upon historical earndown experience. Royalty advances are expensed as related revenues are earned or when future recovery appears doubtful.</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other intangibles</w:t>
      </w:r>
    </w:p>
    <w:p>
      <w:pPr>
        <w:spacing w:after="0" w:line="22"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Goodwill and other intangible assets with indefinite lives are not amortized and are reviewed for impairment annually, or more frequently if impairment indicators arise. With regard to goodwill, these reviews require the Company to estimate the fair value of its identified reporting units. For each of the reporting units, the estimated fair value is determined utilizing the expected present value of the projected future cash flows of the units, which is compared to the carrying value of the net assets of the reporting units. With regard to other intangibles with indefinite lives, the Company determines the fair value by asset, which is then compared to its carrying value.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22" w:lineRule="exact"/>
        <w:rPr>
          <w:sz w:val="20"/>
          <w:szCs w:val="20"/>
          <w:color w:val="auto"/>
        </w:rPr>
      </w:pPr>
    </w:p>
    <w:p>
      <w:pPr>
        <w:ind w:right="540"/>
        <w:spacing w:after="0" w:line="263" w:lineRule="auto"/>
        <w:rPr>
          <w:sz w:val="20"/>
          <w:szCs w:val="20"/>
          <w:color w:val="auto"/>
        </w:rPr>
      </w:pPr>
      <w:r>
        <w:rPr>
          <w:rFonts w:ascii="Arial" w:cs="Arial" w:eastAsia="Arial" w:hAnsi="Arial"/>
          <w:sz w:val="15"/>
          <w:szCs w:val="15"/>
          <w:color w:val="auto"/>
        </w:rPr>
        <w:t>The Company uses the asset and liability method of accounting for income taxes. Under this method, deferred tax assets and liabilities are 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67"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spacing w:after="0" w:line="159"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 which could materially affect the Company’s Consolidated Financial Statements.</w:t>
      </w:r>
    </w:p>
    <w:p>
      <w:pPr>
        <w:spacing w:after="0" w:line="165"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color w:val="auto"/>
        </w:rPr>
        <w:t>It is the Company’s policy to establish reserves for probable exposures as a result of an examination by tax authorities. The Company establishes the reserves based upon management’s assessment of exposure associated with permanent tax differences, tax credits and interest expense applied to temporary difference adjustments. The tax reserves are analyzed periodically and adjustments are made as events occur to warrant adjustment to the reserve.</w:t>
      </w:r>
    </w:p>
    <w:p>
      <w:pPr>
        <w:spacing w:after="0" w:line="159" w:lineRule="exact"/>
        <w:rPr>
          <w:sz w:val="20"/>
          <w:szCs w:val="20"/>
          <w:color w:val="auto"/>
        </w:rPr>
      </w:pPr>
    </w:p>
    <w:p>
      <w:pPr>
        <w:ind w:right="580"/>
        <w:spacing w:after="0" w:line="285" w:lineRule="auto"/>
        <w:rPr>
          <w:sz w:val="20"/>
          <w:szCs w:val="20"/>
          <w:color w:val="auto"/>
        </w:rPr>
      </w:pPr>
      <w:r>
        <w:rPr>
          <w:rFonts w:ascii="Arial" w:cs="Arial" w:eastAsia="Arial" w:hAnsi="Arial"/>
          <w:sz w:val="15"/>
          <w:szCs w:val="15"/>
          <w:color w:val="auto"/>
        </w:rPr>
        <w:t>In calculating the provision for income taxes on an interim basis, the Company uses an estimate of the annual effective tax rate based upon the facts and circumstances known. The Company’s effective tax rate is based on expected income and statutory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99695</wp:posOffset>
            </wp:positionV>
            <wp:extent cx="118110" cy="1181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728535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rates and permanent differences between financial statement and tax return income applicable to the Company in the various jurisdictions in which the Company operates.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noncurrent liabilities</w:t>
      </w:r>
    </w:p>
    <w:p>
      <w:pPr>
        <w:spacing w:after="0" w:line="22" w:lineRule="exact"/>
        <w:rPr>
          <w:sz w:val="20"/>
          <w:szCs w:val="20"/>
          <w:color w:val="auto"/>
        </w:rPr>
      </w:pPr>
    </w:p>
    <w:p>
      <w:pPr>
        <w:ind w:right="640"/>
        <w:spacing w:after="0" w:line="263" w:lineRule="auto"/>
        <w:rPr>
          <w:sz w:val="20"/>
          <w:szCs w:val="20"/>
          <w:color w:val="auto"/>
        </w:rPr>
      </w:pPr>
      <w:r>
        <w:rPr>
          <w:rFonts w:ascii="Arial" w:cs="Arial" w:eastAsia="Arial" w:hAnsi="Arial"/>
          <w:sz w:val="15"/>
          <w:szCs w:val="15"/>
          <w:color w:val="auto"/>
        </w:rPr>
        <w:t>All of the rate assumptions discussed below impact the Company’s calculations of its pension and post-retirement obligations. The rates applied by the Company are based on the portfolios’ past average rates of return and discussions with its actuaries. Any change in market performance, interest rate performance, assumed health care costs trend rate, or compensation rates could result in significant changes in the Company’s pension and post-retirement obligations.</w:t>
      </w:r>
    </w:p>
    <w:p>
      <w:pPr>
        <w:spacing w:after="0" w:line="163" w:lineRule="exact"/>
        <w:rPr>
          <w:sz w:val="20"/>
          <w:szCs w:val="20"/>
          <w:color w:val="auto"/>
        </w:rPr>
      </w:pPr>
    </w:p>
    <w:p>
      <w:pPr>
        <w:ind w:right="180"/>
        <w:spacing w:after="0" w:line="284" w:lineRule="auto"/>
        <w:rPr>
          <w:sz w:val="20"/>
          <w:szCs w:val="20"/>
          <w:color w:val="auto"/>
        </w:rPr>
      </w:pPr>
      <w:r>
        <w:rPr>
          <w:rFonts w:ascii="Arial" w:cs="Arial" w:eastAsia="Arial" w:hAnsi="Arial"/>
          <w:sz w:val="14"/>
          <w:szCs w:val="14"/>
          <w:b w:val="1"/>
          <w:bCs w:val="1"/>
          <w:color w:val="auto"/>
        </w:rPr>
        <w:t xml:space="preserve">Pension obligations </w:t>
      </w:r>
      <w:r>
        <w:rPr>
          <w:rFonts w:ascii="Arial" w:cs="Arial" w:eastAsia="Arial" w:hAnsi="Arial"/>
          <w:sz w:val="14"/>
          <w:szCs w:val="14"/>
          <w:color w:val="auto"/>
        </w:rPr>
        <w:t>– Scholastic Corporation and certain of its subsidiaries have defined benefit pension plans covering the majority of their employees who meet certain eligibility</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requirements. The Company follows SFAS No. 87, “Employers’ Accounting for Pensions,” in calculating the existing benefit obligations and net cost under the plans. These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service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Pension benefits in the cash balance plan for employees located in the United States are based on formulas in which the employees’ balances are credited monthly with interest based on the average rates for one-year United States Treasury Bills plus 1%. Contribution credits are based on employees’ years of service and compensation levels during their employment period.</w:t>
      </w:r>
    </w:p>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4"/>
          <w:szCs w:val="14"/>
          <w:b w:val="1"/>
          <w:bCs w:val="1"/>
          <w:color w:val="auto"/>
        </w:rPr>
        <w:t xml:space="preserve">Other post-retirement benefits </w:t>
      </w:r>
      <w:r>
        <w:rPr>
          <w:rFonts w:ascii="Arial" w:cs="Arial" w:eastAsia="Arial" w:hAnsi="Arial"/>
          <w:sz w:val="14"/>
          <w:szCs w:val="14"/>
          <w:color w:val="auto"/>
        </w:rPr>
        <w:t>– Scholastic Corporation provides post-retirement benefits, consisting of healthcare and life insurance benefits, to retired United States-based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A majority of these employees may become eligible for these benefits if they reach normal retirement age while working for the Company. The post-retirement medical plan benefits are funded on a pay-as-you-go basis, with the Company paying a portion of the premium and the employee paying the remainder. The Company follows SFAS No. 106, “Employers’ Accounting for Post-Retirement Benefits Other than Pensions,” in calculating the existing benefit obligation, which is based on the discount rate and the assumed health care cost trend rate. The discount rate is used in the measurement of the projected and accumulated benefit obligations and the service and interest cost components of net periodic post-retirement benefit cost. The assumed health care cost trend rate is used in the measurement of the long term expected increase in medical claims.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translation</w:t>
      </w:r>
    </w:p>
    <w:p>
      <w:pPr>
        <w:spacing w:after="0" w:line="22" w:lineRule="exact"/>
        <w:rPr>
          <w:sz w:val="20"/>
          <w:szCs w:val="20"/>
          <w:color w:val="auto"/>
        </w:rPr>
      </w:pPr>
    </w:p>
    <w:p>
      <w:pPr>
        <w:ind w:right="120"/>
        <w:spacing w:after="0" w:line="322" w:lineRule="auto"/>
        <w:rPr>
          <w:sz w:val="20"/>
          <w:szCs w:val="20"/>
          <w:color w:val="auto"/>
        </w:rPr>
      </w:pPr>
      <w:r>
        <w:rPr>
          <w:rFonts w:ascii="Arial" w:cs="Arial" w:eastAsia="Arial" w:hAnsi="Arial"/>
          <w:sz w:val="13"/>
          <w:szCs w:val="13"/>
          <w:color w:val="auto"/>
        </w:rPr>
        <w:t>The Company’s non-United States dollar denominated assets and liabilities are translated into United States dollars at prevailing rates at the balance sheet date and the revenues, costs and expenses are translated at the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w:t>
      </w:r>
    </w:p>
    <w:p>
      <w:pPr>
        <w:spacing w:after="0" w:line="22" w:lineRule="exact"/>
        <w:rPr>
          <w:sz w:val="20"/>
          <w:szCs w:val="20"/>
          <w:color w:val="auto"/>
        </w:rPr>
      </w:pPr>
    </w:p>
    <w:p>
      <w:pPr>
        <w:ind w:right="100"/>
        <w:spacing w:after="0" w:line="216" w:lineRule="auto"/>
        <w:rPr>
          <w:sz w:val="20"/>
          <w:szCs w:val="20"/>
          <w:color w:val="auto"/>
        </w:rPr>
      </w:pPr>
      <w:r>
        <w:rPr>
          <w:rFonts w:ascii="Arial" w:cs="Arial" w:eastAsia="Arial" w:hAnsi="Arial"/>
          <w:sz w:val="14"/>
          <w:szCs w:val="14"/>
          <w:color w:val="auto"/>
        </w:rPr>
        <w:t xml:space="preserve">The Company is the United States publisher of books from the </w:t>
      </w:r>
      <w:r>
        <w:rPr>
          <w:rFonts w:ascii="Arial" w:cs="Arial" w:eastAsia="Arial" w:hAnsi="Arial"/>
          <w:sz w:val="14"/>
          <w:szCs w:val="14"/>
          <w:i w:val="1"/>
          <w:iCs w:val="1"/>
          <w:color w:val="auto"/>
        </w:rPr>
        <w:t>Harry Potter</w:t>
      </w:r>
      <w:r>
        <w:rPr>
          <w:rFonts w:ascii="Arial" w:cs="Arial" w:eastAsia="Arial" w:hAnsi="Arial"/>
          <w:sz w:val="28"/>
          <w:szCs w:val="28"/>
          <w:i w:val="1"/>
          <w:iCs w:val="1"/>
          <w:color w:val="auto"/>
          <w:vertAlign w:val="superscript"/>
        </w:rPr>
        <w:t>®</w:t>
      </w:r>
      <w:r>
        <w:rPr>
          <w:rFonts w:ascii="Arial" w:cs="Arial" w:eastAsia="Arial" w:hAnsi="Arial"/>
          <w:sz w:val="14"/>
          <w:szCs w:val="14"/>
          <w:color w:val="auto"/>
        </w:rPr>
        <w:t xml:space="preserve"> series. In fiscal 2006, the Company published </w:t>
      </w:r>
      <w:r>
        <w:rPr>
          <w:rFonts w:ascii="Arial" w:cs="Arial" w:eastAsia="Arial" w:hAnsi="Arial"/>
          <w:sz w:val="14"/>
          <w:szCs w:val="14"/>
          <w:i w:val="1"/>
          <w:iCs w:val="1"/>
          <w:color w:val="auto"/>
        </w:rPr>
        <w:t>Harry Potter and the Half-Blood Prince</w:t>
      </w:r>
      <w:r>
        <w:rPr>
          <w:rFonts w:ascii="Arial" w:cs="Arial" w:eastAsia="Arial" w:hAnsi="Arial"/>
          <w:sz w:val="14"/>
          <w:szCs w:val="14"/>
          <w:color w:val="auto"/>
        </w:rPr>
        <w:t xml:space="preserve">, the sixth book in the planned seven book series. Revenues from the </w:t>
      </w:r>
      <w:r>
        <w:rPr>
          <w:rFonts w:ascii="Arial" w:cs="Arial" w:eastAsia="Arial" w:hAnsi="Arial"/>
          <w:sz w:val="14"/>
          <w:szCs w:val="14"/>
          <w:i w:val="1"/>
          <w:iCs w:val="1"/>
          <w:color w:val="auto"/>
        </w:rPr>
        <w:t>Harry Potter</w:t>
      </w:r>
      <w:r>
        <w:rPr>
          <w:rFonts w:ascii="Arial" w:cs="Arial" w:eastAsia="Arial" w:hAnsi="Arial"/>
          <w:sz w:val="14"/>
          <w:szCs w:val="14"/>
          <w:color w:val="auto"/>
        </w:rPr>
        <w:t xml:space="preserve"> series totaled approximately $195, $20 and $175 for the years ended May 31, 2006, 2005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120650</wp:posOffset>
            </wp:positionV>
            <wp:extent cx="118110" cy="1181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728535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color w:val="auto"/>
        </w:rPr>
        <w:t>Shipping and Handling Costs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Amounts billed to customers for shipping and handling are classified as revenue. Costs incurred in shipping and handling are recognized in cost of goods sold.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Reclassifications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Certain prior year amounts have been reclassified to conform to the current year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Earnings per share</w:t>
      </w:r>
    </w:p>
    <w:p>
      <w:pPr>
        <w:spacing w:after="0" w:line="2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Basic earnings per share is based on the weighted average shares of Class A Stock and Common Stock outstanding. Diluted earnings per share is based on the weighted average shares of Class A Stock and Common Stock outstanding adjusted for the impact of potentially dilutive securities outstanding. The dilutive impact of options outstanding is calculated using the treasury stock method, which treats the options as if they were exercised at the beginning of the period, adjusted for Common Stock assumed to be repurchased with the proceeds and tax benefit realized upon exercise. Any potentially dilutive security is excluded from the computation of diluted earnings per share for any period in which it has an anti-dilutive effect. Options that were not included in the computation of diluted earnings per share because to do so would have been anti-dilutive totaled: 1,934,107 at May 31, 2006, 1,485,110 at May 31, 2005 and 3,123,912 at May 31, 2004.</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The Company applies the intrinsic value-based method of accounting prescribed by Accounting Principles Board (“APB”) Opinion No. 25, “Accounting for Stock Issued to Employees” (“APB No. 25”), and related interpretations in accounting for its stock-based benefit plans. Under this method, no compensation expense was recognized with respect to options granted under the Company’s stock-based benefit plans, as the exercise price of each stock option issued was equal to the market price of the underlying stock on the date of grant and the exercise price and number of shares subject to grant were fixed. Unearned compensation recognized for restricted stock unit awards is shown as a separate component of stockholders’ equity and is amortized to expense overthe vesting period of the stock award using the straight-line method. SFAS No.123, “Accounting for Stock-Based Compensation,” as amended by SFAS No.148, “Accounting for Stock-Based Compensation - Transition and Disclosure” (as amended, “SFAS No. 123”), established accounting and disclosure requirements using a fair value-based method of accounting for stock-based employee compensation plans. As allowed by SFAS No.123, the Company has elected to continue to apply the intrinsic value-based method of accounting described above and has adopted the disclosure requirements of SFAS No.123. The Company will adopt the expense recognition provisions of SFAS No. 123 (Revised 2004), “Share-Based Payment” (“SFAS 123R”), beginning with the first quarter of the fiscal year ending May 31, 2007.</w:t>
      </w:r>
    </w:p>
    <w:p>
      <w:pPr>
        <w:spacing w:after="0" w:line="156"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auto"/>
        </w:rPr>
        <w:t>In May 2006, the Human Resources and Compensation Committee (the “Committee”) of the Board of Directors (the “Board”) of the Corporation, which consists entirely of independent directors, approved the acceleration of the vesting of all of the Company’s unvested options to purchase Class A Stock and Common Stock outstanding as of May 30, 2006 granted to employees (including executive officers) and outside directors of the Corporation, as described below (the “Acceleration”). Except for the Acceleration, all other terms and conditions applicable to such stock options were unchanged. Substantially all of these options had exercise prices in excess of the market value of the underlying Common Stock on May 30, 2006. The primary purpose of the Acceleration was to mitigate the future compensation expense that the Company would have otherwise recognized in its financial statements with respect to these options as a result of the June 1, 2006 adoption of SFAS No. 123R.</w:t>
      </w:r>
    </w:p>
    <w:p>
      <w:pPr>
        <w:spacing w:after="0" w:line="167"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color w:val="auto"/>
        </w:rPr>
        <w:t>The Acceleration will reduce the amounts recognized by the Company as share-based compensation expense, under SFAS 123R, net of income taxes, by approximately $7 in fiscal 2007, $4 in fiscal 2008, $2 in fiscal 2009 and $1 in fiscal 2010. The accelerated options included 1,184,551 options held by certain executive officers, 582,750 of which related to the Class A Shares, 48,000 options held by eight non-employee directors, and 778,532 options held by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105410</wp:posOffset>
            </wp:positionV>
            <wp:extent cx="118110" cy="1181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728535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5" w:name="page46"/>
    <w:bookmarkEnd w:id="45"/>
    <w:p>
      <w:pPr>
        <w:ind w:right="900"/>
        <w:spacing w:after="0" w:line="285" w:lineRule="auto"/>
        <w:rPr>
          <w:sz w:val="20"/>
          <w:szCs w:val="20"/>
          <w:color w:val="auto"/>
        </w:rPr>
      </w:pPr>
      <w:r>
        <w:rPr>
          <w:rFonts w:ascii="Arial" w:cs="Arial" w:eastAsia="Arial" w:hAnsi="Arial"/>
          <w:sz w:val="15"/>
          <w:szCs w:val="15"/>
          <w:color w:val="auto"/>
        </w:rPr>
        <w:t>employees. Based on the closing price of the Common Stock of $26.34 on May 30, 2006, the Company recorded an expense to earnings in the fourth quarter of fiscal 2006 of approximately $0.1 in connection with 194,875 of those options with exercise prices below that closing price.</w:t>
      </w:r>
    </w:p>
    <w:p>
      <w:pPr>
        <w:spacing w:after="0" w:line="150"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color w:val="auto"/>
        </w:rPr>
        <w:t>The following table illustrates the effect on net income and earnings per share if the Company had applied the fair value recognition provisions of SFAS No.123 to stock-based employee compensation for each of the fiscal years ended May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72656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Net income – as reported</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Add: Stock-based employee</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auto"/>
        </w:rPr>
        <w:t>compensation included in</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reported net income, net of tax</w:t>
      </w:r>
    </w:p>
    <w:p>
      <w:pPr>
        <w:spacing w:after="0" w:line="72" w:lineRule="exact"/>
        <w:rPr>
          <w:sz w:val="20"/>
          <w:szCs w:val="20"/>
          <w:color w:val="auto"/>
        </w:rPr>
      </w:pPr>
    </w:p>
    <w:p>
      <w:pPr>
        <w:spacing w:after="0"/>
        <w:rPr>
          <w:sz w:val="20"/>
          <w:szCs w:val="20"/>
          <w:color w:val="auto"/>
        </w:rPr>
      </w:pPr>
      <w:r>
        <w:rPr>
          <w:rFonts w:ascii="Arial" w:cs="Arial" w:eastAsia="Arial" w:hAnsi="Arial"/>
          <w:sz w:val="10"/>
          <w:szCs w:val="10"/>
          <w:color w:val="auto"/>
        </w:rPr>
        <w:t>Deduct: Total stock-based employee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0"/>
          <w:szCs w:val="10"/>
          <w:color w:val="auto"/>
        </w:rPr>
        <w:t>compensation expense determined</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2"/>
          <w:szCs w:val="12"/>
          <w:color w:val="auto"/>
        </w:rPr>
        <w:t>under fair value based method,</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of tax</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both"/>
        <w:ind w:left="300"/>
        <w:spacing w:after="0"/>
        <w:tabs>
          <w:tab w:leader="none" w:pos="1160" w:val="left"/>
          <w:tab w:leader="none" w:pos="2060" w:val="left"/>
        </w:tabs>
        <w:rPr>
          <w:sz w:val="20"/>
          <w:szCs w:val="20"/>
          <w:color w:val="auto"/>
        </w:rPr>
      </w:pPr>
      <w:r>
        <w:rPr>
          <w:rFonts w:ascii="Arial" w:cs="Arial" w:eastAsia="Arial" w:hAnsi="Arial"/>
          <w:sz w:val="15"/>
          <w:szCs w:val="15"/>
          <w:b w:val="1"/>
          <w:bCs w:val="1"/>
          <w:color w:val="auto"/>
        </w:rPr>
        <w:t>2006</w:t>
      </w:r>
      <w:r>
        <w:rPr>
          <w:sz w:val="20"/>
          <w:szCs w:val="20"/>
          <w:color w:val="auto"/>
        </w:rPr>
        <w:tab/>
      </w:r>
      <w:r>
        <w:rPr>
          <w:rFonts w:ascii="Arial" w:cs="Arial" w:eastAsia="Arial" w:hAnsi="Arial"/>
          <w:sz w:val="15"/>
          <w:szCs w:val="15"/>
          <w:b w:val="1"/>
          <w:bCs w:val="1"/>
          <w:color w:val="auto"/>
        </w:rPr>
        <w:t>2005</w:t>
      </w:r>
      <w:r>
        <w:rPr>
          <w:sz w:val="20"/>
          <w:szCs w:val="20"/>
          <w:color w:val="auto"/>
        </w:rPr>
        <w:tab/>
      </w:r>
      <w:r>
        <w:rPr>
          <w:rFonts w:ascii="Arial" w:cs="Arial" w:eastAsia="Arial" w:hAnsi="Arial"/>
          <w:sz w:val="13"/>
          <w:szCs w:val="13"/>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-5718810</wp:posOffset>
            </wp:positionH>
            <wp:positionV relativeFrom="paragraph">
              <wp:posOffset>74930</wp:posOffset>
            </wp:positionV>
            <wp:extent cx="726567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 w:lineRule="exact"/>
        <w:rPr>
          <w:sz w:val="20"/>
          <w:szCs w:val="20"/>
          <w:color w:val="auto"/>
        </w:rPr>
      </w:pPr>
    </w:p>
    <w:p>
      <w:pPr>
        <w:spacing w:after="0"/>
        <w:tabs>
          <w:tab w:leader="none" w:pos="340" w:val="left"/>
          <w:tab w:leader="none" w:pos="880" w:val="left"/>
          <w:tab w:leader="none" w:pos="1240" w:val="left"/>
          <w:tab w:leader="none" w:pos="1780" w:val="left"/>
          <w:tab w:leader="none" w:pos="2140" w:val="left"/>
        </w:tabs>
        <w:rPr>
          <w:sz w:val="20"/>
          <w:szCs w:val="20"/>
          <w:color w:val="auto"/>
        </w:rPr>
      </w:pPr>
      <w:r>
        <w:rPr>
          <w:rFonts w:ascii="Arial" w:cs="Arial" w:eastAsia="Arial" w:hAnsi="Arial"/>
          <w:sz w:val="23"/>
          <w:szCs w:val="23"/>
          <w:color w:val="auto"/>
          <w:vertAlign w:val="subscript"/>
        </w:rPr>
        <w:t>$</w:t>
      </w:r>
      <w:r>
        <w:rPr>
          <w:sz w:val="20"/>
          <w:szCs w:val="20"/>
          <w:color w:val="auto"/>
        </w:rPr>
        <w:tab/>
      </w:r>
      <w:r>
        <w:rPr>
          <w:rFonts w:ascii="Arial" w:cs="Arial" w:eastAsia="Arial" w:hAnsi="Arial"/>
          <w:sz w:val="12"/>
          <w:szCs w:val="12"/>
          <w:color w:val="auto"/>
        </w:rPr>
        <w:t>68.6</w:t>
      </w:r>
      <w:r>
        <w:rPr>
          <w:sz w:val="20"/>
          <w:szCs w:val="20"/>
          <w:color w:val="auto"/>
        </w:rPr>
        <w:tab/>
      </w:r>
      <w:r>
        <w:rPr>
          <w:rFonts w:ascii="Arial" w:cs="Arial" w:eastAsia="Arial" w:hAnsi="Arial"/>
          <w:sz w:val="23"/>
          <w:szCs w:val="23"/>
          <w:color w:val="auto"/>
          <w:vertAlign w:val="subscript"/>
        </w:rPr>
        <w:t>$</w:t>
      </w:r>
      <w:r>
        <w:rPr>
          <w:sz w:val="20"/>
          <w:szCs w:val="20"/>
          <w:color w:val="auto"/>
        </w:rPr>
        <w:tab/>
      </w:r>
      <w:r>
        <w:rPr>
          <w:rFonts w:ascii="Arial" w:cs="Arial" w:eastAsia="Arial" w:hAnsi="Arial"/>
          <w:sz w:val="12"/>
          <w:szCs w:val="12"/>
          <w:color w:val="auto"/>
        </w:rPr>
        <w:t>64.3</w:t>
      </w:r>
      <w:r>
        <w:rPr>
          <w:sz w:val="20"/>
          <w:szCs w:val="20"/>
          <w:color w:val="auto"/>
        </w:rPr>
        <w:tab/>
      </w:r>
      <w:r>
        <w:rPr>
          <w:rFonts w:ascii="Arial" w:cs="Arial" w:eastAsia="Arial" w:hAnsi="Arial"/>
          <w:sz w:val="23"/>
          <w:szCs w:val="23"/>
          <w:color w:val="auto"/>
          <w:vertAlign w:val="subscript"/>
        </w:rPr>
        <w:t>$</w:t>
      </w:r>
      <w:r>
        <w:rPr>
          <w:sz w:val="20"/>
          <w:szCs w:val="20"/>
          <w:color w:val="auto"/>
        </w:rPr>
        <w:tab/>
      </w:r>
      <w:r>
        <w:rPr>
          <w:rFonts w:ascii="Arial" w:cs="Arial" w:eastAsia="Arial" w:hAnsi="Arial"/>
          <w:sz w:val="10"/>
          <w:szCs w:val="10"/>
          <w:color w:val="auto"/>
        </w:rPr>
        <w:t>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-5718810</wp:posOffset>
            </wp:positionH>
            <wp:positionV relativeFrom="paragraph">
              <wp:posOffset>-118110</wp:posOffset>
            </wp:positionV>
            <wp:extent cx="7265670" cy="133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ind w:right="60"/>
        <w:spacing w:after="0"/>
        <w:tabs>
          <w:tab w:leader="none" w:pos="1040" w:val="left"/>
          <w:tab w:leader="none" w:pos="140" w:val="left"/>
        </w:tabs>
        <w:rPr>
          <w:sz w:val="20"/>
          <w:szCs w:val="20"/>
          <w:color w:val="auto"/>
        </w:rPr>
      </w:pPr>
      <w:r>
        <w:rPr>
          <w:rFonts w:ascii="Arial" w:cs="Arial" w:eastAsia="Arial" w:hAnsi="Arial"/>
          <w:sz w:val="12"/>
          <w:szCs w:val="12"/>
          <w:color w:val="auto"/>
        </w:rPr>
        <w:t>0.6</w:t>
      </w:r>
      <w:r>
        <w:rPr>
          <w:sz w:val="20"/>
          <w:szCs w:val="20"/>
          <w:color w:val="auto"/>
        </w:rPr>
        <w:tab/>
      </w:r>
      <w:r>
        <w:rPr>
          <w:rFonts w:ascii="Arial" w:cs="Arial" w:eastAsia="Arial" w:hAnsi="Arial"/>
          <w:sz w:val="12"/>
          <w:szCs w:val="12"/>
          <w:color w:val="auto"/>
        </w:rPr>
        <w:t>0.8</w:t>
      </w:r>
      <w:r>
        <w:rPr>
          <w:sz w:val="20"/>
          <w:szCs w:val="20"/>
          <w:color w:val="auto"/>
        </w:rPr>
        <w:tab/>
      </w:r>
      <w:r>
        <w:rPr>
          <w:rFonts w:ascii="Arial" w:cs="Arial" w:eastAsia="Arial" w:hAnsi="Arial"/>
          <w:sz w:val="10"/>
          <w:szCs w:val="10"/>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-5718810</wp:posOffset>
            </wp:positionH>
            <wp:positionV relativeFrom="paragraph">
              <wp:posOffset>8890</wp:posOffset>
            </wp:positionV>
            <wp:extent cx="7265670" cy="532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5670" cy="53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60"/>
        <w:spacing w:after="0"/>
        <w:tabs>
          <w:tab w:leader="none" w:pos="1100" w:val="left"/>
          <w:tab w:leader="none" w:pos="200" w:val="left"/>
        </w:tabs>
        <w:rPr>
          <w:sz w:val="20"/>
          <w:szCs w:val="20"/>
          <w:color w:val="auto"/>
        </w:rPr>
      </w:pPr>
      <w:r>
        <w:rPr>
          <w:rFonts w:ascii="Arial" w:cs="Arial" w:eastAsia="Arial" w:hAnsi="Arial"/>
          <w:sz w:val="12"/>
          <w:szCs w:val="12"/>
          <w:color w:val="auto"/>
        </w:rPr>
        <w:t>23.8</w:t>
      </w:r>
      <w:r>
        <w:rPr>
          <w:sz w:val="20"/>
          <w:szCs w:val="20"/>
          <w:color w:val="auto"/>
        </w:rPr>
        <w:tab/>
      </w:r>
      <w:r>
        <w:rPr>
          <w:rFonts w:ascii="Arial" w:cs="Arial" w:eastAsia="Arial" w:hAnsi="Arial"/>
          <w:sz w:val="12"/>
          <w:szCs w:val="12"/>
          <w:color w:val="auto"/>
        </w:rPr>
        <w:t>13.0</w:t>
      </w:r>
      <w:r>
        <w:rPr>
          <w:sz w:val="20"/>
          <w:szCs w:val="20"/>
          <w:color w:val="auto"/>
        </w:rPr>
        <w:tab/>
      </w:r>
      <w:r>
        <w:rPr>
          <w:rFonts w:ascii="Arial" w:cs="Arial" w:eastAsia="Arial" w:hAnsi="Arial"/>
          <w:sz w:val="10"/>
          <w:szCs w:val="1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-5718810</wp:posOffset>
            </wp:positionH>
            <wp:positionV relativeFrom="paragraph">
              <wp:posOffset>67945</wp:posOffset>
            </wp:positionV>
            <wp:extent cx="726567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8280" w:space="720"/>
            <w:col w:w="2440"/>
          </w:cols>
          <w:pgMar w:left="240" w:top="132" w:right="219" w:bottom="1440" w:gutter="0" w:footer="0" w:header="0"/>
          <w:type w:val="continuous"/>
        </w:sectPr>
      </w:pPr>
    </w:p>
    <w:p>
      <w:pPr>
        <w:ind w:left="40"/>
        <w:spacing w:after="0"/>
        <w:tabs>
          <w:tab w:leader="none" w:pos="8980" w:val="left"/>
          <w:tab w:leader="none" w:pos="9340" w:val="left"/>
          <w:tab w:leader="none" w:pos="9880" w:val="left"/>
          <w:tab w:leader="none" w:pos="10240" w:val="left"/>
          <w:tab w:leader="none" w:pos="10780" w:val="left"/>
          <w:tab w:leader="none" w:pos="11140" w:val="left"/>
        </w:tabs>
        <w:rPr>
          <w:sz w:val="20"/>
          <w:szCs w:val="20"/>
          <w:color w:val="auto"/>
        </w:rPr>
      </w:pPr>
      <w:r>
        <w:rPr>
          <w:rFonts w:ascii="Arial" w:cs="Arial" w:eastAsia="Arial" w:hAnsi="Arial"/>
          <w:sz w:val="12"/>
          <w:szCs w:val="12"/>
          <w:b w:val="1"/>
          <w:bCs w:val="1"/>
          <w:color w:val="auto"/>
        </w:rPr>
        <w:t>Net income – pro forma</w:t>
      </w:r>
      <w:r>
        <w:rPr>
          <w:sz w:val="20"/>
          <w:szCs w:val="20"/>
          <w:color w:val="auto"/>
        </w:rPr>
        <w:tab/>
      </w:r>
      <w:r>
        <w:rPr>
          <w:rFonts w:ascii="Arial" w:cs="Arial" w:eastAsia="Arial" w:hAnsi="Arial"/>
          <w:sz w:val="23"/>
          <w:szCs w:val="23"/>
          <w:b w:val="1"/>
          <w:bCs w:val="1"/>
          <w:color w:val="auto"/>
          <w:vertAlign w:val="subscript"/>
        </w:rPr>
        <w:t>$</w:t>
      </w:r>
      <w:r>
        <w:rPr>
          <w:sz w:val="20"/>
          <w:szCs w:val="20"/>
          <w:color w:val="auto"/>
        </w:rPr>
        <w:tab/>
      </w:r>
      <w:r>
        <w:rPr>
          <w:rFonts w:ascii="Arial" w:cs="Arial" w:eastAsia="Arial" w:hAnsi="Arial"/>
          <w:sz w:val="12"/>
          <w:szCs w:val="12"/>
          <w:b w:val="1"/>
          <w:bCs w:val="1"/>
          <w:color w:val="auto"/>
        </w:rPr>
        <w:t>45.4</w:t>
      </w:r>
      <w:r>
        <w:rPr>
          <w:sz w:val="20"/>
          <w:szCs w:val="20"/>
          <w:color w:val="auto"/>
        </w:rPr>
        <w:tab/>
      </w:r>
      <w:r>
        <w:rPr>
          <w:rFonts w:ascii="Arial" w:cs="Arial" w:eastAsia="Arial" w:hAnsi="Arial"/>
          <w:sz w:val="23"/>
          <w:szCs w:val="23"/>
          <w:b w:val="1"/>
          <w:bCs w:val="1"/>
          <w:color w:val="auto"/>
          <w:vertAlign w:val="subscript"/>
        </w:rPr>
        <w:t>$</w:t>
      </w:r>
      <w:r>
        <w:rPr>
          <w:sz w:val="20"/>
          <w:szCs w:val="20"/>
          <w:color w:val="auto"/>
        </w:rPr>
        <w:tab/>
      </w:r>
      <w:r>
        <w:rPr>
          <w:rFonts w:ascii="Arial" w:cs="Arial" w:eastAsia="Arial" w:hAnsi="Arial"/>
          <w:sz w:val="12"/>
          <w:szCs w:val="12"/>
          <w:b w:val="1"/>
          <w:bCs w:val="1"/>
          <w:color w:val="auto"/>
        </w:rPr>
        <w:t>52.1</w:t>
      </w:r>
      <w:r>
        <w:rPr>
          <w:sz w:val="20"/>
          <w:szCs w:val="20"/>
          <w:color w:val="auto"/>
        </w:rPr>
        <w:tab/>
      </w:r>
      <w:r>
        <w:rPr>
          <w:rFonts w:ascii="Arial" w:cs="Arial" w:eastAsia="Arial" w:hAnsi="Arial"/>
          <w:sz w:val="23"/>
          <w:szCs w:val="23"/>
          <w:b w:val="1"/>
          <w:bCs w:val="1"/>
          <w:color w:val="auto"/>
          <w:vertAlign w:val="subscript"/>
        </w:rPr>
        <w:t>$</w:t>
      </w:r>
      <w:r>
        <w:rPr>
          <w:sz w:val="20"/>
          <w:szCs w:val="20"/>
          <w:color w:val="auto"/>
        </w:rPr>
        <w:tab/>
      </w:r>
      <w:r>
        <w:rPr>
          <w:rFonts w:ascii="Arial" w:cs="Arial" w:eastAsia="Arial" w:hAnsi="Arial"/>
          <w:sz w:val="10"/>
          <w:szCs w:val="10"/>
          <w:b w:val="1"/>
          <w:bCs w:val="1"/>
          <w:color w:val="auto"/>
        </w:rPr>
        <w:t>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5670" cy="133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79375</wp:posOffset>
            </wp:positionV>
            <wp:extent cx="7270750" cy="27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075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222885</wp:posOffset>
            </wp:positionV>
            <wp:extent cx="726567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60" w:type="dxa"/>
            <w:vAlign w:val="bottom"/>
          </w:tcPr>
          <w:p>
            <w:pPr>
              <w:jc w:val="right"/>
              <w:ind w:right="78"/>
              <w:spacing w:after="0"/>
              <w:rPr>
                <w:sz w:val="20"/>
                <w:szCs w:val="20"/>
                <w:color w:val="auto"/>
              </w:rPr>
            </w:pPr>
            <w:r>
              <w:rPr>
                <w:rFonts w:ascii="Arial" w:cs="Arial" w:eastAsia="Arial" w:hAnsi="Arial"/>
                <w:sz w:val="15"/>
                <w:szCs w:val="15"/>
                <w:b w:val="1"/>
                <w:bCs w:val="1"/>
                <w:color w:val="auto"/>
              </w:rPr>
              <w:t>2006</w:t>
            </w:r>
          </w:p>
        </w:tc>
        <w:tc>
          <w:tcPr>
            <w:tcW w:w="340" w:type="dxa"/>
            <w:vAlign w:val="bottom"/>
          </w:tcPr>
          <w:p>
            <w:pPr>
              <w:spacing w:after="0"/>
              <w:rPr>
                <w:sz w:val="16"/>
                <w:szCs w:val="16"/>
                <w:color w:val="auto"/>
              </w:rPr>
            </w:pPr>
          </w:p>
        </w:tc>
        <w:tc>
          <w:tcPr>
            <w:tcW w:w="560" w:type="dxa"/>
            <w:vAlign w:val="bottom"/>
          </w:tcPr>
          <w:p>
            <w:pPr>
              <w:jc w:val="right"/>
              <w:ind w:right="78"/>
              <w:spacing w:after="0"/>
              <w:rPr>
                <w:sz w:val="20"/>
                <w:szCs w:val="20"/>
                <w:color w:val="auto"/>
              </w:rPr>
            </w:pPr>
            <w:r>
              <w:rPr>
                <w:rFonts w:ascii="Arial" w:cs="Arial" w:eastAsia="Arial" w:hAnsi="Arial"/>
                <w:sz w:val="15"/>
                <w:szCs w:val="15"/>
                <w:b w:val="1"/>
                <w:bCs w:val="1"/>
                <w:color w:val="auto"/>
              </w:rPr>
              <w:t>2005</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2004</w:t>
            </w:r>
          </w:p>
        </w:tc>
      </w:tr>
      <w:tr>
        <w:trPr>
          <w:trHeight w:val="96"/>
        </w:trPr>
        <w:tc>
          <w:tcPr>
            <w:tcW w:w="536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85"/>
        </w:trPr>
        <w:tc>
          <w:tcPr>
            <w:tcW w:w="53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210"/>
        </w:trPr>
        <w:tc>
          <w:tcPr>
            <w:tcW w:w="5360" w:type="dxa"/>
            <w:vAlign w:val="bottom"/>
            <w:shd w:val="clear" w:color="auto" w:fill="E6E6E6"/>
          </w:tcPr>
          <w:p>
            <w:pPr>
              <w:spacing w:after="0"/>
              <w:rPr>
                <w:sz w:val="20"/>
                <w:szCs w:val="20"/>
                <w:color w:val="auto"/>
              </w:rPr>
            </w:pPr>
            <w:r>
              <w:rPr>
                <w:rFonts w:ascii="Arial" w:cs="Arial" w:eastAsia="Arial" w:hAnsi="Arial"/>
                <w:sz w:val="12"/>
                <w:szCs w:val="12"/>
                <w:color w:val="auto"/>
              </w:rPr>
              <w:t>Earnings per share – as reported</w:t>
            </w:r>
          </w:p>
        </w:tc>
        <w:tc>
          <w:tcPr>
            <w:tcW w:w="382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r>
      <w:tr>
        <w:trPr>
          <w:trHeight w:val="210"/>
        </w:trPr>
        <w:tc>
          <w:tcPr>
            <w:tcW w:w="5360" w:type="dxa"/>
            <w:vAlign w:val="bottom"/>
          </w:tcPr>
          <w:p>
            <w:pPr>
              <w:ind w:left="40"/>
              <w:spacing w:after="0"/>
              <w:rPr>
                <w:sz w:val="20"/>
                <w:szCs w:val="20"/>
                <w:color w:val="auto"/>
              </w:rPr>
            </w:pPr>
            <w:r>
              <w:rPr>
                <w:rFonts w:ascii="Arial" w:cs="Arial" w:eastAsia="Arial" w:hAnsi="Arial"/>
                <w:sz w:val="12"/>
                <w:szCs w:val="12"/>
                <w:color w:val="auto"/>
              </w:rPr>
              <w:t>Basic</w:t>
            </w:r>
          </w:p>
        </w:tc>
        <w:tc>
          <w:tcPr>
            <w:tcW w:w="38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78"/>
              <w:spacing w:after="0"/>
              <w:rPr>
                <w:sz w:val="20"/>
                <w:szCs w:val="20"/>
                <w:color w:val="auto"/>
              </w:rPr>
            </w:pPr>
            <w:r>
              <w:rPr>
                <w:rFonts w:ascii="Arial" w:cs="Arial" w:eastAsia="Arial" w:hAnsi="Arial"/>
                <w:sz w:val="12"/>
                <w:szCs w:val="12"/>
                <w:color w:val="auto"/>
              </w:rPr>
              <w:t>1.65</w:t>
            </w:r>
          </w:p>
        </w:tc>
        <w:tc>
          <w:tcPr>
            <w:tcW w:w="3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78"/>
              <w:spacing w:after="0"/>
              <w:rPr>
                <w:sz w:val="20"/>
                <w:szCs w:val="20"/>
                <w:color w:val="auto"/>
              </w:rPr>
            </w:pPr>
            <w:r>
              <w:rPr>
                <w:rFonts w:ascii="Arial" w:cs="Arial" w:eastAsia="Arial" w:hAnsi="Arial"/>
                <w:sz w:val="12"/>
                <w:szCs w:val="12"/>
                <w:color w:val="auto"/>
              </w:rPr>
              <w:t>1.61</w:t>
            </w:r>
          </w:p>
        </w:tc>
        <w:tc>
          <w:tcPr>
            <w:tcW w:w="3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1.47</w:t>
            </w:r>
          </w:p>
        </w:tc>
      </w:tr>
      <w:tr>
        <w:trPr>
          <w:trHeight w:val="210"/>
        </w:trPr>
        <w:tc>
          <w:tcPr>
            <w:tcW w:w="5360" w:type="dxa"/>
            <w:vAlign w:val="bottom"/>
            <w:shd w:val="clear" w:color="auto" w:fill="E6E6E6"/>
          </w:tcPr>
          <w:p>
            <w:pPr>
              <w:ind w:left="40"/>
              <w:spacing w:after="0"/>
              <w:rPr>
                <w:sz w:val="20"/>
                <w:szCs w:val="20"/>
                <w:color w:val="auto"/>
              </w:rPr>
            </w:pPr>
            <w:r>
              <w:rPr>
                <w:rFonts w:ascii="Arial" w:cs="Arial" w:eastAsia="Arial" w:hAnsi="Arial"/>
                <w:sz w:val="12"/>
                <w:szCs w:val="12"/>
                <w:color w:val="auto"/>
              </w:rPr>
              <w:t>Diluted</w:t>
            </w:r>
          </w:p>
        </w:tc>
        <w:tc>
          <w:tcPr>
            <w:tcW w:w="3820" w:type="dxa"/>
            <w:vAlign w:val="bottom"/>
            <w:shd w:val="clear" w:color="auto" w:fill="E6E6E6"/>
          </w:tcPr>
          <w:p>
            <w:pPr>
              <w:spacing w:after="0"/>
              <w:rPr>
                <w:sz w:val="18"/>
                <w:szCs w:val="18"/>
                <w:color w:val="auto"/>
              </w:rPr>
            </w:pPr>
          </w:p>
        </w:tc>
        <w:tc>
          <w:tcPr>
            <w:tcW w:w="560" w:type="dxa"/>
            <w:vAlign w:val="bottom"/>
            <w:shd w:val="clear" w:color="auto" w:fill="E6E6E6"/>
          </w:tcPr>
          <w:p>
            <w:pPr>
              <w:jc w:val="right"/>
              <w:ind w:right="78"/>
              <w:spacing w:after="0"/>
              <w:rPr>
                <w:sz w:val="20"/>
                <w:szCs w:val="20"/>
                <w:color w:val="auto"/>
              </w:rPr>
            </w:pPr>
            <w:r>
              <w:rPr>
                <w:rFonts w:ascii="Arial" w:cs="Arial" w:eastAsia="Arial" w:hAnsi="Arial"/>
                <w:sz w:val="12"/>
                <w:szCs w:val="12"/>
                <w:color w:val="auto"/>
              </w:rPr>
              <w:t>1.63</w:t>
            </w:r>
          </w:p>
        </w:tc>
        <w:tc>
          <w:tcPr>
            <w:tcW w:w="340" w:type="dxa"/>
            <w:vAlign w:val="bottom"/>
            <w:shd w:val="clear" w:color="auto" w:fill="E6E6E6"/>
          </w:tcPr>
          <w:p>
            <w:pPr>
              <w:spacing w:after="0"/>
              <w:rPr>
                <w:sz w:val="18"/>
                <w:szCs w:val="18"/>
                <w:color w:val="auto"/>
              </w:rPr>
            </w:pPr>
          </w:p>
        </w:tc>
        <w:tc>
          <w:tcPr>
            <w:tcW w:w="560" w:type="dxa"/>
            <w:vAlign w:val="bottom"/>
            <w:shd w:val="clear" w:color="auto" w:fill="E6E6E6"/>
          </w:tcPr>
          <w:p>
            <w:pPr>
              <w:jc w:val="right"/>
              <w:ind w:right="78"/>
              <w:spacing w:after="0"/>
              <w:rPr>
                <w:sz w:val="20"/>
                <w:szCs w:val="20"/>
                <w:color w:val="auto"/>
              </w:rPr>
            </w:pPr>
            <w:r>
              <w:rPr>
                <w:rFonts w:ascii="Arial" w:cs="Arial" w:eastAsia="Arial" w:hAnsi="Arial"/>
                <w:sz w:val="12"/>
                <w:szCs w:val="12"/>
                <w:color w:val="auto"/>
              </w:rPr>
              <w:t>1.58</w:t>
            </w:r>
          </w:p>
        </w:tc>
        <w:tc>
          <w:tcPr>
            <w:tcW w:w="340" w:type="dxa"/>
            <w:vAlign w:val="bottom"/>
            <w:shd w:val="clear" w:color="auto" w:fill="E6E6E6"/>
          </w:tcPr>
          <w:p>
            <w:pPr>
              <w:spacing w:after="0"/>
              <w:rPr>
                <w:sz w:val="18"/>
                <w:szCs w:val="18"/>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1.44</w:t>
            </w:r>
          </w:p>
        </w:tc>
      </w:tr>
      <w:tr>
        <w:trPr>
          <w:trHeight w:val="203"/>
        </w:trPr>
        <w:tc>
          <w:tcPr>
            <w:tcW w:w="5360" w:type="dxa"/>
            <w:vAlign w:val="bottom"/>
          </w:tcPr>
          <w:p>
            <w:pPr>
              <w:spacing w:after="0"/>
              <w:rPr>
                <w:sz w:val="20"/>
                <w:szCs w:val="20"/>
                <w:color w:val="auto"/>
              </w:rPr>
            </w:pPr>
            <w:r>
              <w:rPr>
                <w:rFonts w:ascii="Arial" w:cs="Arial" w:eastAsia="Arial" w:hAnsi="Arial"/>
                <w:sz w:val="12"/>
                <w:szCs w:val="12"/>
                <w:color w:val="auto"/>
              </w:rPr>
              <w:t>Earnings per share – pro forma</w:t>
            </w:r>
          </w:p>
        </w:tc>
        <w:tc>
          <w:tcPr>
            <w:tcW w:w="3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5360" w:type="dxa"/>
            <w:vAlign w:val="bottom"/>
            <w:shd w:val="clear" w:color="auto" w:fill="E6E6E6"/>
          </w:tcPr>
          <w:p>
            <w:pPr>
              <w:ind w:left="40"/>
              <w:spacing w:after="0"/>
              <w:rPr>
                <w:sz w:val="20"/>
                <w:szCs w:val="20"/>
                <w:color w:val="auto"/>
              </w:rPr>
            </w:pPr>
            <w:r>
              <w:rPr>
                <w:rFonts w:ascii="Arial" w:cs="Arial" w:eastAsia="Arial" w:hAnsi="Arial"/>
                <w:sz w:val="12"/>
                <w:szCs w:val="12"/>
                <w:color w:val="auto"/>
              </w:rPr>
              <w:t>Basic</w:t>
            </w:r>
          </w:p>
        </w:tc>
        <w:tc>
          <w:tcPr>
            <w:tcW w:w="3820" w:type="dxa"/>
            <w:vAlign w:val="bottom"/>
            <w:shd w:val="clear" w:color="auto" w:fill="E6E6E6"/>
          </w:tcPr>
          <w:p>
            <w:pPr>
              <w:jc w:val="right"/>
              <w:ind w:right="62"/>
              <w:spacing w:after="0"/>
              <w:rPr>
                <w:sz w:val="20"/>
                <w:szCs w:val="20"/>
                <w:color w:val="auto"/>
              </w:rPr>
            </w:pPr>
            <w:r>
              <w:rPr>
                <w:rFonts w:ascii="Arial" w:cs="Arial" w:eastAsia="Arial" w:hAnsi="Arial"/>
                <w:sz w:val="12"/>
                <w:szCs w:val="12"/>
                <w:color w:val="auto"/>
              </w:rPr>
              <w:t>$</w:t>
            </w:r>
          </w:p>
        </w:tc>
        <w:tc>
          <w:tcPr>
            <w:tcW w:w="560" w:type="dxa"/>
            <w:vAlign w:val="bottom"/>
            <w:shd w:val="clear" w:color="auto" w:fill="E6E6E6"/>
          </w:tcPr>
          <w:p>
            <w:pPr>
              <w:jc w:val="right"/>
              <w:ind w:right="78"/>
              <w:spacing w:after="0"/>
              <w:rPr>
                <w:sz w:val="20"/>
                <w:szCs w:val="20"/>
                <w:color w:val="auto"/>
              </w:rPr>
            </w:pPr>
            <w:r>
              <w:rPr>
                <w:rFonts w:ascii="Arial" w:cs="Arial" w:eastAsia="Arial" w:hAnsi="Arial"/>
                <w:sz w:val="12"/>
                <w:szCs w:val="12"/>
                <w:color w:val="auto"/>
              </w:rPr>
              <w:t>1.09</w:t>
            </w:r>
          </w:p>
        </w:tc>
        <w:tc>
          <w:tcPr>
            <w:tcW w:w="340" w:type="dxa"/>
            <w:vAlign w:val="bottom"/>
            <w:shd w:val="clear" w:color="auto" w:fill="E6E6E6"/>
          </w:tcPr>
          <w:p>
            <w:pPr>
              <w:jc w:val="right"/>
              <w:ind w:right="62"/>
              <w:spacing w:after="0"/>
              <w:rPr>
                <w:sz w:val="20"/>
                <w:szCs w:val="20"/>
                <w:color w:val="auto"/>
              </w:rPr>
            </w:pPr>
            <w:r>
              <w:rPr>
                <w:rFonts w:ascii="Arial" w:cs="Arial" w:eastAsia="Arial" w:hAnsi="Arial"/>
                <w:sz w:val="12"/>
                <w:szCs w:val="12"/>
                <w:color w:val="auto"/>
              </w:rPr>
              <w:t>$</w:t>
            </w:r>
          </w:p>
        </w:tc>
        <w:tc>
          <w:tcPr>
            <w:tcW w:w="560" w:type="dxa"/>
            <w:vAlign w:val="bottom"/>
            <w:shd w:val="clear" w:color="auto" w:fill="E6E6E6"/>
          </w:tcPr>
          <w:p>
            <w:pPr>
              <w:jc w:val="right"/>
              <w:ind w:right="78"/>
              <w:spacing w:after="0"/>
              <w:rPr>
                <w:sz w:val="20"/>
                <w:szCs w:val="20"/>
                <w:color w:val="auto"/>
              </w:rPr>
            </w:pPr>
            <w:r>
              <w:rPr>
                <w:rFonts w:ascii="Arial" w:cs="Arial" w:eastAsia="Arial" w:hAnsi="Arial"/>
                <w:sz w:val="12"/>
                <w:szCs w:val="12"/>
                <w:color w:val="auto"/>
              </w:rPr>
              <w:t>1.30</w:t>
            </w:r>
          </w:p>
        </w:tc>
        <w:tc>
          <w:tcPr>
            <w:tcW w:w="340" w:type="dxa"/>
            <w:vAlign w:val="bottom"/>
            <w:shd w:val="clear" w:color="auto" w:fill="E6E6E6"/>
          </w:tcPr>
          <w:p>
            <w:pPr>
              <w:jc w:val="right"/>
              <w:ind w:right="62"/>
              <w:spacing w:after="0"/>
              <w:rPr>
                <w:sz w:val="20"/>
                <w:szCs w:val="20"/>
                <w:color w:val="auto"/>
              </w:rPr>
            </w:pPr>
            <w:r>
              <w:rPr>
                <w:rFonts w:ascii="Arial" w:cs="Arial" w:eastAsia="Arial" w:hAnsi="Arial"/>
                <w:sz w:val="12"/>
                <w:szCs w:val="12"/>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1.13</w:t>
            </w:r>
          </w:p>
        </w:tc>
      </w:tr>
      <w:tr>
        <w:trPr>
          <w:trHeight w:val="197"/>
        </w:trPr>
        <w:tc>
          <w:tcPr>
            <w:tcW w:w="5360" w:type="dxa"/>
            <w:vAlign w:val="bottom"/>
          </w:tcPr>
          <w:p>
            <w:pPr>
              <w:ind w:left="40"/>
              <w:spacing w:after="0"/>
              <w:rPr>
                <w:sz w:val="20"/>
                <w:szCs w:val="20"/>
                <w:color w:val="auto"/>
              </w:rPr>
            </w:pPr>
            <w:r>
              <w:rPr>
                <w:rFonts w:ascii="Arial" w:cs="Arial" w:eastAsia="Arial" w:hAnsi="Arial"/>
                <w:sz w:val="12"/>
                <w:szCs w:val="12"/>
                <w:color w:val="auto"/>
              </w:rPr>
              <w:t>Diluted</w:t>
            </w:r>
          </w:p>
        </w:tc>
        <w:tc>
          <w:tcPr>
            <w:tcW w:w="382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2"/>
                <w:szCs w:val="12"/>
                <w:color w:val="auto"/>
              </w:rPr>
              <w:t>1.08</w:t>
            </w:r>
          </w:p>
        </w:tc>
        <w:tc>
          <w:tcPr>
            <w:tcW w:w="34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2"/>
                <w:szCs w:val="12"/>
                <w:color w:val="auto"/>
              </w:rPr>
              <w:t>1.28</w:t>
            </w: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106"/>
        </w:trPr>
        <w:tc>
          <w:tcPr>
            <w:tcW w:w="536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each option grant is estimated on the date of grant using the Black-Scholes option-pricing model with the weighted average assumptions for the three fiscal years ended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May 31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26567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4460" w:type="dxa"/>
            <w:vAlign w:val="bottom"/>
          </w:tcPr>
          <w:p>
            <w:pPr>
              <w:jc w:val="right"/>
              <w:ind w:right="298"/>
              <w:spacing w:after="0"/>
              <w:rPr>
                <w:sz w:val="20"/>
                <w:szCs w:val="20"/>
                <w:color w:val="auto"/>
              </w:rPr>
            </w:pPr>
            <w:r>
              <w:rPr>
                <w:rFonts w:ascii="Arial" w:cs="Arial" w:eastAsia="Arial" w:hAnsi="Arial"/>
                <w:sz w:val="15"/>
                <w:szCs w:val="15"/>
                <w:b w:val="1"/>
                <w:bCs w:val="1"/>
                <w:color w:val="auto"/>
              </w:rPr>
              <w:t>2006</w:t>
            </w:r>
          </w:p>
        </w:tc>
        <w:tc>
          <w:tcPr>
            <w:tcW w:w="980" w:type="dxa"/>
            <w:vAlign w:val="bottom"/>
          </w:tcPr>
          <w:p>
            <w:pPr>
              <w:jc w:val="right"/>
              <w:ind w:right="298"/>
              <w:spacing w:after="0"/>
              <w:rPr>
                <w:sz w:val="20"/>
                <w:szCs w:val="20"/>
                <w:color w:val="auto"/>
              </w:rPr>
            </w:pPr>
            <w:r>
              <w:rPr>
                <w:rFonts w:ascii="Arial" w:cs="Arial" w:eastAsia="Arial" w:hAnsi="Arial"/>
                <w:sz w:val="15"/>
                <w:szCs w:val="15"/>
                <w:b w:val="1"/>
                <w:bCs w:val="1"/>
                <w:color w:val="auto"/>
              </w:rPr>
              <w:t>2005</w:t>
            </w:r>
          </w:p>
        </w:tc>
        <w:tc>
          <w:tcPr>
            <w:tcW w:w="780" w:type="dxa"/>
            <w:vAlign w:val="bottom"/>
          </w:tcPr>
          <w:p>
            <w:pPr>
              <w:jc w:val="right"/>
              <w:ind w:right="98"/>
              <w:spacing w:after="0"/>
              <w:rPr>
                <w:sz w:val="20"/>
                <w:szCs w:val="20"/>
                <w:color w:val="auto"/>
              </w:rPr>
            </w:pPr>
            <w:r>
              <w:rPr>
                <w:rFonts w:ascii="Arial" w:cs="Arial" w:eastAsia="Arial" w:hAnsi="Arial"/>
                <w:sz w:val="15"/>
                <w:szCs w:val="15"/>
                <w:b w:val="1"/>
                <w:bCs w:val="1"/>
                <w:color w:val="auto"/>
              </w:rPr>
              <w:t>2004</w:t>
            </w:r>
          </w:p>
        </w:tc>
      </w:tr>
      <w:tr>
        <w:trPr>
          <w:trHeight w:val="96"/>
        </w:trPr>
        <w:tc>
          <w:tcPr>
            <w:tcW w:w="522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85"/>
        </w:trPr>
        <w:tc>
          <w:tcPr>
            <w:tcW w:w="52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10"/>
        </w:trPr>
        <w:tc>
          <w:tcPr>
            <w:tcW w:w="5220" w:type="dxa"/>
            <w:vAlign w:val="bottom"/>
            <w:shd w:val="clear" w:color="auto" w:fill="E6E6E6"/>
          </w:tcPr>
          <w:p>
            <w:pPr>
              <w:spacing w:after="0"/>
              <w:rPr>
                <w:sz w:val="20"/>
                <w:szCs w:val="20"/>
                <w:color w:val="auto"/>
              </w:rPr>
            </w:pPr>
            <w:r>
              <w:rPr>
                <w:rFonts w:ascii="Arial" w:cs="Arial" w:eastAsia="Arial" w:hAnsi="Arial"/>
                <w:sz w:val="12"/>
                <w:szCs w:val="12"/>
                <w:color w:val="auto"/>
              </w:rPr>
              <w:t>Expected dividend yield</w:t>
            </w:r>
          </w:p>
        </w:tc>
        <w:tc>
          <w:tcPr>
            <w:tcW w:w="4460" w:type="dxa"/>
            <w:vAlign w:val="bottom"/>
            <w:shd w:val="clear" w:color="auto" w:fill="E6E6E6"/>
          </w:tcPr>
          <w:p>
            <w:pPr>
              <w:jc w:val="right"/>
              <w:ind w:right="198"/>
              <w:spacing w:after="0" w:line="210" w:lineRule="exact"/>
              <w:rPr>
                <w:sz w:val="20"/>
                <w:szCs w:val="20"/>
                <w:color w:val="auto"/>
              </w:rPr>
            </w:pPr>
            <w:r>
              <w:rPr>
                <w:rFonts w:ascii="Arial" w:cs="Arial" w:eastAsia="Arial" w:hAnsi="Arial"/>
                <w:sz w:val="12"/>
                <w:szCs w:val="12"/>
                <w:color w:val="auto"/>
              </w:rPr>
              <w:t>0.0</w:t>
            </w:r>
            <w:r>
              <w:rPr>
                <w:rFonts w:ascii="Arial" w:cs="Arial" w:eastAsia="Arial" w:hAnsi="Arial"/>
                <w:sz w:val="23"/>
                <w:szCs w:val="23"/>
                <w:color w:val="auto"/>
                <w:vertAlign w:val="superscript"/>
              </w:rPr>
              <w:t>%</w:t>
            </w:r>
          </w:p>
        </w:tc>
        <w:tc>
          <w:tcPr>
            <w:tcW w:w="980" w:type="dxa"/>
            <w:vAlign w:val="bottom"/>
            <w:shd w:val="clear" w:color="auto" w:fill="E6E6E6"/>
          </w:tcPr>
          <w:p>
            <w:pPr>
              <w:jc w:val="right"/>
              <w:ind w:right="198"/>
              <w:spacing w:after="0" w:line="210" w:lineRule="exact"/>
              <w:rPr>
                <w:sz w:val="20"/>
                <w:szCs w:val="20"/>
                <w:color w:val="auto"/>
              </w:rPr>
            </w:pPr>
            <w:r>
              <w:rPr>
                <w:rFonts w:ascii="Arial" w:cs="Arial" w:eastAsia="Arial" w:hAnsi="Arial"/>
                <w:sz w:val="12"/>
                <w:szCs w:val="12"/>
                <w:color w:val="auto"/>
              </w:rPr>
              <w:t>0.0</w:t>
            </w:r>
            <w:r>
              <w:rPr>
                <w:rFonts w:ascii="Arial" w:cs="Arial" w:eastAsia="Arial" w:hAnsi="Arial"/>
                <w:sz w:val="23"/>
                <w:szCs w:val="23"/>
                <w:color w:val="auto"/>
                <w:vertAlign w:val="superscript"/>
              </w:rPr>
              <w:t>%</w:t>
            </w:r>
          </w:p>
        </w:tc>
        <w:tc>
          <w:tcPr>
            <w:tcW w:w="780" w:type="dxa"/>
            <w:vAlign w:val="bottom"/>
            <w:shd w:val="clear" w:color="auto" w:fill="E6E6E6"/>
          </w:tcPr>
          <w:p>
            <w:pPr>
              <w:jc w:val="right"/>
              <w:spacing w:after="0" w:line="210" w:lineRule="exact"/>
              <w:rPr>
                <w:sz w:val="20"/>
                <w:szCs w:val="20"/>
                <w:color w:val="auto"/>
              </w:rPr>
            </w:pPr>
            <w:r>
              <w:rPr>
                <w:rFonts w:ascii="Arial" w:cs="Arial" w:eastAsia="Arial" w:hAnsi="Arial"/>
                <w:sz w:val="12"/>
                <w:szCs w:val="12"/>
                <w:color w:val="auto"/>
              </w:rPr>
              <w:t>0.0</w:t>
            </w:r>
            <w:r>
              <w:rPr>
                <w:rFonts w:ascii="Arial" w:cs="Arial" w:eastAsia="Arial" w:hAnsi="Arial"/>
                <w:sz w:val="23"/>
                <w:szCs w:val="23"/>
                <w:color w:val="auto"/>
                <w:vertAlign w:val="superscript"/>
              </w:rPr>
              <w:t>%</w:t>
            </w:r>
          </w:p>
        </w:tc>
      </w:tr>
      <w:tr>
        <w:trPr>
          <w:trHeight w:val="210"/>
        </w:trPr>
        <w:tc>
          <w:tcPr>
            <w:tcW w:w="5220" w:type="dxa"/>
            <w:vAlign w:val="bottom"/>
          </w:tcPr>
          <w:p>
            <w:pPr>
              <w:spacing w:after="0"/>
              <w:rPr>
                <w:sz w:val="20"/>
                <w:szCs w:val="20"/>
                <w:color w:val="auto"/>
              </w:rPr>
            </w:pPr>
            <w:r>
              <w:rPr>
                <w:rFonts w:ascii="Arial" w:cs="Arial" w:eastAsia="Arial" w:hAnsi="Arial"/>
                <w:sz w:val="12"/>
                <w:szCs w:val="12"/>
                <w:color w:val="auto"/>
              </w:rPr>
              <w:t>Expected stock price volatility</w:t>
            </w:r>
          </w:p>
        </w:tc>
        <w:tc>
          <w:tcPr>
            <w:tcW w:w="4460" w:type="dxa"/>
            <w:vAlign w:val="bottom"/>
          </w:tcPr>
          <w:p>
            <w:pPr>
              <w:jc w:val="right"/>
              <w:ind w:right="198"/>
              <w:spacing w:after="0" w:line="210" w:lineRule="exact"/>
              <w:rPr>
                <w:sz w:val="20"/>
                <w:szCs w:val="20"/>
                <w:color w:val="auto"/>
              </w:rPr>
            </w:pPr>
            <w:r>
              <w:rPr>
                <w:rFonts w:ascii="Arial" w:cs="Arial" w:eastAsia="Arial" w:hAnsi="Arial"/>
                <w:sz w:val="12"/>
                <w:szCs w:val="12"/>
                <w:color w:val="auto"/>
              </w:rPr>
              <w:t>37.46</w:t>
            </w:r>
            <w:r>
              <w:rPr>
                <w:rFonts w:ascii="Arial" w:cs="Arial" w:eastAsia="Arial" w:hAnsi="Arial"/>
                <w:sz w:val="23"/>
                <w:szCs w:val="23"/>
                <w:color w:val="auto"/>
                <w:vertAlign w:val="superscript"/>
              </w:rPr>
              <w:t>%</w:t>
            </w:r>
          </w:p>
        </w:tc>
        <w:tc>
          <w:tcPr>
            <w:tcW w:w="980" w:type="dxa"/>
            <w:vAlign w:val="bottom"/>
          </w:tcPr>
          <w:p>
            <w:pPr>
              <w:jc w:val="right"/>
              <w:ind w:right="198"/>
              <w:spacing w:after="0" w:line="210" w:lineRule="exact"/>
              <w:rPr>
                <w:sz w:val="20"/>
                <w:szCs w:val="20"/>
                <w:color w:val="auto"/>
              </w:rPr>
            </w:pPr>
            <w:r>
              <w:rPr>
                <w:rFonts w:ascii="Arial" w:cs="Arial" w:eastAsia="Arial" w:hAnsi="Arial"/>
                <w:sz w:val="12"/>
                <w:szCs w:val="12"/>
                <w:color w:val="auto"/>
              </w:rPr>
              <w:t>55.2</w:t>
            </w:r>
            <w:r>
              <w:rPr>
                <w:rFonts w:ascii="Arial" w:cs="Arial" w:eastAsia="Arial" w:hAnsi="Arial"/>
                <w:sz w:val="23"/>
                <w:szCs w:val="23"/>
                <w:color w:val="auto"/>
                <w:vertAlign w:val="superscript"/>
              </w:rPr>
              <w:t>%</w:t>
            </w:r>
          </w:p>
        </w:tc>
        <w:tc>
          <w:tcPr>
            <w:tcW w:w="780" w:type="dxa"/>
            <w:vAlign w:val="bottom"/>
          </w:tcPr>
          <w:p>
            <w:pPr>
              <w:jc w:val="right"/>
              <w:spacing w:after="0" w:line="210" w:lineRule="exact"/>
              <w:rPr>
                <w:sz w:val="20"/>
                <w:szCs w:val="20"/>
                <w:color w:val="auto"/>
              </w:rPr>
            </w:pPr>
            <w:r>
              <w:rPr>
                <w:rFonts w:ascii="Arial" w:cs="Arial" w:eastAsia="Arial" w:hAnsi="Arial"/>
                <w:sz w:val="12"/>
                <w:szCs w:val="12"/>
                <w:color w:val="auto"/>
              </w:rPr>
              <w:t>60.5</w:t>
            </w:r>
            <w:r>
              <w:rPr>
                <w:rFonts w:ascii="Arial" w:cs="Arial" w:eastAsia="Arial" w:hAnsi="Arial"/>
                <w:sz w:val="23"/>
                <w:szCs w:val="23"/>
                <w:color w:val="auto"/>
                <w:vertAlign w:val="superscript"/>
              </w:rPr>
              <w:t>%</w:t>
            </w:r>
          </w:p>
        </w:tc>
      </w:tr>
      <w:tr>
        <w:trPr>
          <w:trHeight w:val="210"/>
        </w:trPr>
        <w:tc>
          <w:tcPr>
            <w:tcW w:w="5220" w:type="dxa"/>
            <w:vAlign w:val="bottom"/>
            <w:shd w:val="clear" w:color="auto" w:fill="E6E6E6"/>
          </w:tcPr>
          <w:p>
            <w:pPr>
              <w:spacing w:after="0"/>
              <w:rPr>
                <w:sz w:val="20"/>
                <w:szCs w:val="20"/>
                <w:color w:val="auto"/>
              </w:rPr>
            </w:pPr>
            <w:r>
              <w:rPr>
                <w:rFonts w:ascii="Arial" w:cs="Arial" w:eastAsia="Arial" w:hAnsi="Arial"/>
                <w:sz w:val="12"/>
                <w:szCs w:val="12"/>
                <w:color w:val="auto"/>
              </w:rPr>
              <w:t>Risk-free interest rate</w:t>
            </w:r>
          </w:p>
        </w:tc>
        <w:tc>
          <w:tcPr>
            <w:tcW w:w="4460" w:type="dxa"/>
            <w:vAlign w:val="bottom"/>
            <w:shd w:val="clear" w:color="auto" w:fill="E6E6E6"/>
          </w:tcPr>
          <w:p>
            <w:pPr>
              <w:jc w:val="right"/>
              <w:ind w:right="198"/>
              <w:spacing w:after="0" w:line="210" w:lineRule="exact"/>
              <w:rPr>
                <w:sz w:val="20"/>
                <w:szCs w:val="20"/>
                <w:color w:val="auto"/>
              </w:rPr>
            </w:pPr>
            <w:r>
              <w:rPr>
                <w:rFonts w:ascii="Arial" w:cs="Arial" w:eastAsia="Arial" w:hAnsi="Arial"/>
                <w:sz w:val="12"/>
                <w:szCs w:val="12"/>
                <w:color w:val="auto"/>
              </w:rPr>
              <w:t>4.22</w:t>
            </w:r>
            <w:r>
              <w:rPr>
                <w:rFonts w:ascii="Arial" w:cs="Arial" w:eastAsia="Arial" w:hAnsi="Arial"/>
                <w:sz w:val="23"/>
                <w:szCs w:val="23"/>
                <w:color w:val="auto"/>
                <w:vertAlign w:val="superscript"/>
              </w:rPr>
              <w:t>%</w:t>
            </w:r>
          </w:p>
        </w:tc>
        <w:tc>
          <w:tcPr>
            <w:tcW w:w="980" w:type="dxa"/>
            <w:vAlign w:val="bottom"/>
            <w:shd w:val="clear" w:color="auto" w:fill="E6E6E6"/>
          </w:tcPr>
          <w:p>
            <w:pPr>
              <w:jc w:val="right"/>
              <w:ind w:right="198"/>
              <w:spacing w:after="0" w:line="210" w:lineRule="exact"/>
              <w:rPr>
                <w:sz w:val="20"/>
                <w:szCs w:val="20"/>
                <w:color w:val="auto"/>
              </w:rPr>
            </w:pPr>
            <w:r>
              <w:rPr>
                <w:rFonts w:ascii="Arial" w:cs="Arial" w:eastAsia="Arial" w:hAnsi="Arial"/>
                <w:sz w:val="12"/>
                <w:szCs w:val="12"/>
                <w:color w:val="auto"/>
              </w:rPr>
              <w:t>3.46</w:t>
            </w:r>
            <w:r>
              <w:rPr>
                <w:rFonts w:ascii="Arial" w:cs="Arial" w:eastAsia="Arial" w:hAnsi="Arial"/>
                <w:sz w:val="23"/>
                <w:szCs w:val="23"/>
                <w:color w:val="auto"/>
                <w:vertAlign w:val="superscript"/>
              </w:rPr>
              <w:t>%</w:t>
            </w:r>
          </w:p>
        </w:tc>
        <w:tc>
          <w:tcPr>
            <w:tcW w:w="780" w:type="dxa"/>
            <w:vAlign w:val="bottom"/>
            <w:shd w:val="clear" w:color="auto" w:fill="E6E6E6"/>
          </w:tcPr>
          <w:p>
            <w:pPr>
              <w:jc w:val="right"/>
              <w:spacing w:after="0" w:line="210" w:lineRule="exact"/>
              <w:rPr>
                <w:sz w:val="20"/>
                <w:szCs w:val="20"/>
                <w:color w:val="auto"/>
              </w:rPr>
            </w:pPr>
            <w:r>
              <w:rPr>
                <w:rFonts w:ascii="Arial" w:cs="Arial" w:eastAsia="Arial" w:hAnsi="Arial"/>
                <w:sz w:val="12"/>
                <w:szCs w:val="12"/>
                <w:color w:val="auto"/>
              </w:rPr>
              <w:t>2.92</w:t>
            </w:r>
            <w:r>
              <w:rPr>
                <w:rFonts w:ascii="Arial" w:cs="Arial" w:eastAsia="Arial" w:hAnsi="Arial"/>
                <w:sz w:val="23"/>
                <w:szCs w:val="23"/>
                <w:color w:val="auto"/>
                <w:vertAlign w:val="superscript"/>
              </w:rPr>
              <w:t>%</w:t>
            </w:r>
          </w:p>
        </w:tc>
      </w:tr>
      <w:tr>
        <w:trPr>
          <w:trHeight w:val="220"/>
        </w:trPr>
        <w:tc>
          <w:tcPr>
            <w:tcW w:w="5220" w:type="dxa"/>
            <w:vAlign w:val="bottom"/>
          </w:tcPr>
          <w:p>
            <w:pPr>
              <w:spacing w:after="0"/>
              <w:rPr>
                <w:sz w:val="20"/>
                <w:szCs w:val="20"/>
                <w:color w:val="auto"/>
              </w:rPr>
            </w:pPr>
            <w:r>
              <w:rPr>
                <w:rFonts w:ascii="Arial" w:cs="Arial" w:eastAsia="Arial" w:hAnsi="Arial"/>
                <w:sz w:val="12"/>
                <w:szCs w:val="12"/>
                <w:color w:val="auto"/>
              </w:rPr>
              <w:t>Expected life of options</w:t>
            </w:r>
          </w:p>
        </w:tc>
        <w:tc>
          <w:tcPr>
            <w:tcW w:w="4460" w:type="dxa"/>
            <w:vAlign w:val="bottom"/>
          </w:tcPr>
          <w:p>
            <w:pPr>
              <w:jc w:val="right"/>
              <w:ind w:right="298"/>
              <w:spacing w:after="0"/>
              <w:rPr>
                <w:sz w:val="20"/>
                <w:szCs w:val="20"/>
                <w:color w:val="auto"/>
              </w:rPr>
            </w:pPr>
            <w:r>
              <w:rPr>
                <w:rFonts w:ascii="Arial" w:cs="Arial" w:eastAsia="Arial" w:hAnsi="Arial"/>
                <w:sz w:val="12"/>
                <w:szCs w:val="12"/>
                <w:color w:val="auto"/>
              </w:rPr>
              <w:t>5 years</w:t>
            </w:r>
          </w:p>
        </w:tc>
        <w:tc>
          <w:tcPr>
            <w:tcW w:w="980" w:type="dxa"/>
            <w:vAlign w:val="bottom"/>
          </w:tcPr>
          <w:p>
            <w:pPr>
              <w:jc w:val="right"/>
              <w:ind w:right="298"/>
              <w:spacing w:after="0"/>
              <w:rPr>
                <w:sz w:val="20"/>
                <w:szCs w:val="20"/>
                <w:color w:val="auto"/>
              </w:rPr>
            </w:pPr>
            <w:r>
              <w:rPr>
                <w:rFonts w:ascii="Arial" w:cs="Arial" w:eastAsia="Arial" w:hAnsi="Arial"/>
                <w:sz w:val="12"/>
                <w:szCs w:val="12"/>
                <w:color w:val="auto"/>
              </w:rPr>
              <w:t>5 years</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5 years</w:t>
            </w:r>
          </w:p>
        </w:tc>
      </w:tr>
      <w:tr>
        <w:trPr>
          <w:trHeight w:val="83"/>
        </w:trPr>
        <w:tc>
          <w:tcPr>
            <w:tcW w:w="5220" w:type="dxa"/>
            <w:vAlign w:val="bottom"/>
            <w:tcBorders>
              <w:bottom w:val="single" w:sz="8" w:color="808080"/>
            </w:tcBorders>
          </w:tcPr>
          <w:p>
            <w:pPr>
              <w:spacing w:after="0"/>
              <w:rPr>
                <w:sz w:val="7"/>
                <w:szCs w:val="7"/>
                <w:color w:val="auto"/>
              </w:rPr>
            </w:pPr>
          </w:p>
        </w:tc>
        <w:tc>
          <w:tcPr>
            <w:tcW w:w="44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r>
    </w:tbl>
    <w:p>
      <w:pPr>
        <w:spacing w:after="0" w:line="200" w:lineRule="exact"/>
        <w:rPr>
          <w:sz w:val="20"/>
          <w:szCs w:val="20"/>
          <w:color w:val="auto"/>
        </w:rPr>
      </w:pPr>
    </w:p>
    <w:p>
      <w:pPr>
        <w:spacing w:after="0" w:line="282" w:lineRule="exact"/>
        <w:rPr>
          <w:sz w:val="20"/>
          <w:szCs w:val="20"/>
          <w:color w:val="auto"/>
        </w:rPr>
      </w:pPr>
    </w:p>
    <w:p>
      <w:pPr>
        <w:ind w:right="340"/>
        <w:spacing w:after="0" w:line="285" w:lineRule="auto"/>
        <w:rPr>
          <w:sz w:val="20"/>
          <w:szCs w:val="20"/>
          <w:color w:val="auto"/>
        </w:rPr>
      </w:pPr>
      <w:r>
        <w:rPr>
          <w:rFonts w:ascii="Arial" w:cs="Arial" w:eastAsia="Arial" w:hAnsi="Arial"/>
          <w:sz w:val="15"/>
          <w:szCs w:val="15"/>
          <w:color w:val="auto"/>
        </w:rPr>
        <w:t>The weighted average fair value of options granted during fiscal 2006, 2005 and 2004 was $13.68, $16.33 and $15.02 per share, respectively. For purposes of pro forma disclosure, the estimated fair value of the options is amortized over the options’ vesting periods, including the effect of the Acceleration.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accounting pronouncements</w:t>
      </w:r>
    </w:p>
    <w:p>
      <w:pPr>
        <w:spacing w:after="0" w:line="22"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In December 2004, the Financial Accounting Standards Board (the “FASB”) issued SFAS No. 123R, which requires companies to expense the fair value of all share-based payments as permitted, but not required, under SFAS No. 123. The Company adopted SFAS No. 123R effective June 1, 2006. Retroactive application of the fair value recognition provisions of SFAS No. 123R was permitted, but not required. Alternatively, a company could use the modified prospective transition method for application of SFAS No. 123R. Under this method, compensation expense is recognized for all share-based payments granted, modified or settled after the date of adoption based on their grant-date fair value. For awards granted prior to the adoption date, the compensation expense of any unvested portion is recognized over the remaining requisite service period. The Company is using the modified prospective transition method to adopt SFAS No. 123R. The Company currently estimates that the adoption of SFAS No. 123R will result in additional fiscal 2007 pre-tax compensation expense of approximately $3.0 to $5.0, or approximately $0.05 to $0.08 per diluted share after tax.</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In May 2005, the FASB issued SFAS No. 154, “Accounting Changes and Error Corrections - a replacement of APB Opinion No. 20 and FASB Statement No. 3” (“SFAS No.154”). Under the previous guidance, most voluntary changes in accounting principle were required to be recognized as the cumulative effect of a change in accounting principle within the net income of the period in which the change was made. SFAS No. 154 requires retrospective application to prior period financial statements of a voluntary change in accounting principle, unless it is impracticable to do so. SFAS No. 154 is effective for accounting changes and corrections of errors made in fiscal years beginning after December 15, 2005. The Company has elected to adopt SFAS No.154 effective June 1, 2006. The adoption of SFAS No. 154 is not expected to have any material immediate effect on the Company’s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110490</wp:posOffset>
            </wp:positionV>
            <wp:extent cx="118110" cy="1181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728535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46" w:name="page47"/>
    <w:bookmarkEnd w:id="46"/>
    <w:p>
      <w:pPr>
        <w:ind w:left="7"/>
        <w:spacing w:after="0"/>
        <w:rPr>
          <w:sz w:val="20"/>
          <w:szCs w:val="20"/>
          <w:color w:val="auto"/>
        </w:rPr>
      </w:pPr>
      <w:r>
        <w:rPr>
          <w:rFonts w:ascii="Arial" w:cs="Arial" w:eastAsia="Arial" w:hAnsi="Arial"/>
          <w:sz w:val="15"/>
          <w:szCs w:val="15"/>
          <w:b w:val="1"/>
          <w:bCs w:val="1"/>
          <w:color w:val="auto"/>
        </w:rPr>
        <w:t>2. SEGMENT INFORMATION</w:t>
      </w:r>
    </w:p>
    <w:p>
      <w:pPr>
        <w:spacing w:after="0" w:line="204" w:lineRule="exact"/>
        <w:rPr>
          <w:sz w:val="20"/>
          <w:szCs w:val="20"/>
          <w:color w:val="auto"/>
        </w:rPr>
      </w:pPr>
    </w:p>
    <w:p>
      <w:pPr>
        <w:ind w:left="7" w:right="300"/>
        <w:spacing w:after="0" w:line="292" w:lineRule="auto"/>
        <w:rPr>
          <w:sz w:val="20"/>
          <w:szCs w:val="20"/>
          <w:color w:val="auto"/>
        </w:rPr>
      </w:pPr>
      <w:r>
        <w:rPr>
          <w:rFonts w:ascii="Arial" w:cs="Arial" w:eastAsia="Arial" w:hAnsi="Arial"/>
          <w:sz w:val="14"/>
          <w:szCs w:val="14"/>
          <w:color w:val="auto"/>
        </w:rPr>
        <w:t xml:space="preserve">The Company categorizes its businesses into four operating segments: </w:t>
      </w:r>
      <w:r>
        <w:rPr>
          <w:rFonts w:ascii="Arial" w:cs="Arial" w:eastAsia="Arial" w:hAnsi="Arial"/>
          <w:sz w:val="14"/>
          <w:szCs w:val="14"/>
          <w:i w:val="1"/>
          <w:iCs w:val="1"/>
          <w:color w:val="auto"/>
        </w:rPr>
        <w:t>Children’s Book Publishing and Distribution; Educational Publishing; Media, Licensing and Advertising</w:t>
      </w:r>
      <w:r>
        <w:rPr>
          <w:rFonts w:ascii="Arial" w:cs="Arial" w:eastAsia="Arial" w:hAnsi="Arial"/>
          <w:sz w:val="14"/>
          <w:szCs w:val="14"/>
          <w:color w:val="auto"/>
        </w:rPr>
        <w:t xml:space="preserve"> (which collectively represent the Company’s domestic operations); and </w:t>
      </w:r>
      <w:r>
        <w:rPr>
          <w:rFonts w:ascii="Arial" w:cs="Arial" w:eastAsia="Arial" w:hAnsi="Arial"/>
          <w:sz w:val="14"/>
          <w:szCs w:val="14"/>
          <w:i w:val="1"/>
          <w:iCs w:val="1"/>
          <w:color w:val="auto"/>
        </w:rPr>
        <w:t>International</w:t>
      </w:r>
      <w:r>
        <w:rPr>
          <w:rFonts w:ascii="Arial" w:cs="Arial" w:eastAsia="Arial" w:hAnsi="Arial"/>
          <w:sz w:val="14"/>
          <w:szCs w:val="14"/>
          <w:color w:val="auto"/>
        </w:rPr>
        <w:t>. This classification reflects the nature of products and services consistent with the method by which the Company’s chief operating decision-maker assesses operating performance and allocates resources. Revenues and operating margin related to a segment’s products sold or services rendered through another segment’s distribution channel are reallocated to the segment originating the products or services.</w:t>
      </w:r>
    </w:p>
    <w:p>
      <w:pPr>
        <w:spacing w:after="0" w:line="140" w:lineRule="exact"/>
        <w:rPr>
          <w:sz w:val="20"/>
          <w:szCs w:val="20"/>
          <w:color w:val="auto"/>
        </w:rPr>
      </w:pPr>
    </w:p>
    <w:p>
      <w:pPr>
        <w:ind w:left="227" w:right="140" w:hanging="227"/>
        <w:spacing w:after="0" w:line="296" w:lineRule="auto"/>
        <w:tabs>
          <w:tab w:leader="none" w:pos="227"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Children’s Book Publishing and Distribution </w:t>
      </w:r>
      <w:r>
        <w:rPr>
          <w:rFonts w:ascii="Arial" w:cs="Arial" w:eastAsia="Arial" w:hAnsi="Arial"/>
          <w:sz w:val="15"/>
          <w:szCs w:val="15"/>
          <w:color w:val="auto"/>
        </w:rPr>
        <w:t>includes the publication and distribution of children’s books in the United States through school-based book clubs and book fairs,</w:t>
      </w:r>
      <w:r>
        <w:rPr>
          <w:rFonts w:ascii="Arial" w:cs="Arial" w:eastAsia="Arial" w:hAnsi="Arial"/>
          <w:sz w:val="15"/>
          <w:szCs w:val="15"/>
          <w:b w:val="1"/>
          <w:bCs w:val="1"/>
          <w:color w:val="auto"/>
        </w:rPr>
        <w:t xml:space="preserve"> </w:t>
      </w:r>
      <w:r>
        <w:rPr>
          <w:rFonts w:ascii="Arial" w:cs="Arial" w:eastAsia="Arial" w:hAnsi="Arial"/>
          <w:sz w:val="15"/>
          <w:szCs w:val="15"/>
          <w:color w:val="auto"/>
        </w:rPr>
        <w:t>school-based and direct-to-home continuity programs and the trade channel.</w:t>
      </w:r>
    </w:p>
    <w:p>
      <w:pPr>
        <w:spacing w:after="0" w:line="157" w:lineRule="exact"/>
        <w:rPr>
          <w:rFonts w:ascii="Arial" w:cs="Arial" w:eastAsia="Arial" w:hAnsi="Arial"/>
          <w:sz w:val="15"/>
          <w:szCs w:val="15"/>
          <w:b w:val="1"/>
          <w:bCs w:val="1"/>
          <w:color w:val="auto"/>
        </w:rPr>
      </w:pPr>
    </w:p>
    <w:p>
      <w:pPr>
        <w:ind w:left="227" w:right="320" w:hanging="227"/>
        <w:spacing w:after="0" w:line="296" w:lineRule="auto"/>
        <w:tabs>
          <w:tab w:leader="none" w:pos="227"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Educational Publishing </w:t>
      </w:r>
      <w:r>
        <w:rPr>
          <w:rFonts w:ascii="Arial" w:cs="Arial" w:eastAsia="Arial" w:hAnsi="Arial"/>
          <w:sz w:val="15"/>
          <w:szCs w:val="15"/>
          <w:color w:val="auto"/>
        </w:rPr>
        <w:t>includes the production and/or publication and distribution to schools and libraries of educational technology products, curriculum materials, children’s</w:t>
      </w:r>
      <w:r>
        <w:rPr>
          <w:rFonts w:ascii="Arial" w:cs="Arial" w:eastAsia="Arial" w:hAnsi="Arial"/>
          <w:sz w:val="15"/>
          <w:szCs w:val="15"/>
          <w:b w:val="1"/>
          <w:bCs w:val="1"/>
          <w:color w:val="auto"/>
        </w:rPr>
        <w:t xml:space="preserve"> </w:t>
      </w:r>
      <w:r>
        <w:rPr>
          <w:rFonts w:ascii="Arial" w:cs="Arial" w:eastAsia="Arial" w:hAnsi="Arial"/>
          <w:sz w:val="15"/>
          <w:szCs w:val="15"/>
          <w:color w:val="auto"/>
        </w:rPr>
        <w:t>books, classroom magazines and print and on-line reference and non-fiction products for grades pre-kindergarten to 12 in the United States.</w:t>
      </w:r>
    </w:p>
    <w:p>
      <w:pPr>
        <w:spacing w:after="0" w:line="157" w:lineRule="exact"/>
        <w:rPr>
          <w:rFonts w:ascii="Arial" w:cs="Arial" w:eastAsia="Arial" w:hAnsi="Arial"/>
          <w:sz w:val="15"/>
          <w:szCs w:val="15"/>
          <w:b w:val="1"/>
          <w:bCs w:val="1"/>
          <w:color w:val="auto"/>
        </w:rPr>
      </w:pPr>
    </w:p>
    <w:p>
      <w:pPr>
        <w:ind w:left="227" w:hanging="227"/>
        <w:spacing w:after="0" w:line="334" w:lineRule="auto"/>
        <w:tabs>
          <w:tab w:leader="none" w:pos="227"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Media, Licensing and Advertising </w:t>
      </w:r>
      <w:r>
        <w:rPr>
          <w:rFonts w:ascii="Arial" w:cs="Arial" w:eastAsia="Arial" w:hAnsi="Arial"/>
          <w:sz w:val="14"/>
          <w:szCs w:val="14"/>
          <w:color w:val="auto"/>
        </w:rPr>
        <w:t>includes the production and/or distribution of media and electronic products and programs (including children’s television programming, videos,</w:t>
      </w:r>
      <w:r>
        <w:rPr>
          <w:rFonts w:ascii="Arial" w:cs="Arial" w:eastAsia="Arial" w:hAnsi="Arial"/>
          <w:sz w:val="14"/>
          <w:szCs w:val="14"/>
          <w:b w:val="1"/>
          <w:bCs w:val="1"/>
          <w:color w:val="auto"/>
        </w:rPr>
        <w:t xml:space="preserve"> </w:t>
      </w:r>
      <w:r>
        <w:rPr>
          <w:rFonts w:ascii="Arial" w:cs="Arial" w:eastAsia="Arial" w:hAnsi="Arial"/>
          <w:sz w:val="14"/>
          <w:szCs w:val="14"/>
          <w:color w:val="auto"/>
        </w:rPr>
        <w:t>DVD’s, software, feature films, interactive programs, promotional activities and non-book merchandise); and advertising revenue, including sponsorship programs.</w:t>
      </w:r>
    </w:p>
    <w:p>
      <w:pPr>
        <w:spacing w:after="0" w:line="134" w:lineRule="exact"/>
        <w:rPr>
          <w:rFonts w:ascii="Arial" w:cs="Arial" w:eastAsia="Arial" w:hAnsi="Arial"/>
          <w:sz w:val="14"/>
          <w:szCs w:val="14"/>
          <w:b w:val="1"/>
          <w:bCs w:val="1"/>
          <w:color w:val="auto"/>
        </w:rPr>
      </w:pPr>
    </w:p>
    <w:p>
      <w:pPr>
        <w:ind w:left="227" w:right="140" w:hanging="227"/>
        <w:spacing w:after="0" w:line="296" w:lineRule="auto"/>
        <w:tabs>
          <w:tab w:leader="none" w:pos="227"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International </w:t>
      </w:r>
      <w:r>
        <w:rPr>
          <w:rFonts w:ascii="Arial" w:cs="Arial" w:eastAsia="Arial" w:hAnsi="Arial"/>
          <w:sz w:val="15"/>
          <w:szCs w:val="15"/>
          <w:color w:val="auto"/>
        </w:rPr>
        <w:t>includes the publication and distribution of products and services outside the United States by the Company’s international operations, and its export and foreign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94615</wp:posOffset>
            </wp:positionV>
            <wp:extent cx="118110" cy="1181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5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7"/>
          </w:cols>
          <w:pgMar w:left="233" w:top="128" w:right="239" w:bottom="1440" w:gutter="0" w:footer="0" w:header="0"/>
        </w:sectPr>
      </w:pPr>
    </w:p>
    <w:bookmarkStart w:id="47" w:name="page48"/>
    <w:bookmarkEnd w:id="47"/>
    <w:p>
      <w:pPr>
        <w:ind w:left="7" w:right="420"/>
        <w:spacing w:after="0" w:line="285" w:lineRule="auto"/>
        <w:rPr>
          <w:sz w:val="20"/>
          <w:szCs w:val="20"/>
          <w:color w:val="auto"/>
        </w:rPr>
      </w:pPr>
      <w:r>
        <w:rPr>
          <w:rFonts w:ascii="Arial" w:cs="Arial" w:eastAsia="Arial" w:hAnsi="Arial"/>
          <w:sz w:val="15"/>
          <w:szCs w:val="15"/>
          <w:color w:val="auto"/>
        </w:rPr>
        <w:t>The following table sets forth information for the three fiscal years ended May 31 for the Company’s segments. Certain prior year amounts have been reclassified to conform with the present year presentation.</w:t>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153"/>
        </w:trPr>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jc w:val="right"/>
              <w:ind w:right="7"/>
              <w:spacing w:after="0"/>
              <w:rPr>
                <w:sz w:val="20"/>
                <w:szCs w:val="20"/>
                <w:color w:val="auto"/>
              </w:rPr>
            </w:pPr>
            <w:r>
              <w:rPr>
                <w:rFonts w:ascii="Arial" w:cs="Arial" w:eastAsia="Arial" w:hAnsi="Arial"/>
                <w:sz w:val="12"/>
                <w:szCs w:val="12"/>
                <w:b w:val="1"/>
                <w:bCs w:val="1"/>
                <w:color w:val="auto"/>
              </w:rPr>
              <w:t>Children’s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0"/>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2"/>
                <w:szCs w:val="12"/>
                <w:b w:val="1"/>
                <w:bCs w:val="1"/>
                <w:color w:val="auto"/>
              </w:rPr>
              <w:t>Book</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2"/>
                <w:szCs w:val="12"/>
                <w:b w:val="1"/>
                <w:bCs w:val="1"/>
                <w:color w:val="auto"/>
              </w:rPr>
              <w:t>Media,</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2"/>
                <w:szCs w:val="12"/>
                <w:b w:val="1"/>
                <w:bCs w:val="1"/>
                <w:color w:val="auto"/>
              </w:rPr>
              <w:t>Publishing</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2"/>
                <w:szCs w:val="12"/>
                <w:b w:val="1"/>
                <w:bCs w:val="1"/>
                <w:color w:val="auto"/>
              </w:rPr>
              <w:t>Licensing</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2"/>
                <w:szCs w:val="12"/>
                <w:b w:val="1"/>
                <w:bCs w:val="1"/>
                <w:color w:val="auto"/>
              </w:rPr>
              <w:t>and</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2"/>
                <w:szCs w:val="12"/>
                <w:b w:val="1"/>
                <w:bCs w:val="1"/>
                <w:color w:val="auto"/>
              </w:rPr>
              <w:t>Educational</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2"/>
                <w:szCs w:val="12"/>
                <w:b w:val="1"/>
                <w:bCs w:val="1"/>
                <w:color w:val="auto"/>
              </w:rPr>
              <w:t>and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16"/>
        </w:trPr>
        <w:tc>
          <w:tcPr>
            <w:tcW w:w="2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Distribution</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Publishing</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Advertising</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b w:val="1"/>
                <w:bCs w:val="1"/>
                <w:color w:val="auto"/>
              </w:rPr>
              <w:t>Overhead</w:t>
            </w:r>
            <w:r>
              <w:rPr>
                <w:rFonts w:ascii="Arial" w:cs="Arial" w:eastAsia="Arial" w:hAnsi="Arial"/>
                <w:sz w:val="23"/>
                <w:szCs w:val="23"/>
                <w:b w:val="1"/>
                <w:bCs w:val="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Domestic</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International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b w:val="1"/>
                <w:bCs w:val="1"/>
                <w:color w:val="auto"/>
              </w:rPr>
              <w:t>Consolidated</w:t>
            </w:r>
          </w:p>
        </w:tc>
      </w:tr>
      <w:tr>
        <w:trPr>
          <w:trHeight w:val="85"/>
        </w:trPr>
        <w:tc>
          <w:tcPr>
            <w:tcW w:w="2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10"/>
        </w:trPr>
        <w:tc>
          <w:tcPr>
            <w:tcW w:w="2940" w:type="dxa"/>
            <w:vAlign w:val="bottom"/>
            <w:shd w:val="clear" w:color="auto" w:fill="E6E6E6"/>
          </w:tcPr>
          <w:p>
            <w:pPr>
              <w:ind w:left="40"/>
              <w:spacing w:after="0"/>
              <w:rPr>
                <w:sz w:val="20"/>
                <w:szCs w:val="20"/>
                <w:color w:val="auto"/>
              </w:rPr>
            </w:pPr>
            <w:r>
              <w:rPr>
                <w:rFonts w:ascii="Arial" w:cs="Arial" w:eastAsia="Arial" w:hAnsi="Arial"/>
                <w:sz w:val="15"/>
                <w:szCs w:val="15"/>
                <w:b w:val="1"/>
                <w:bCs w:val="1"/>
                <w:color w:val="auto"/>
              </w:rPr>
              <w:t>2006</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r>
      <w:tr>
        <w:trPr>
          <w:trHeight w:val="93"/>
        </w:trPr>
        <w:tc>
          <w:tcPr>
            <w:tcW w:w="2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95"/>
        </w:trPr>
        <w:tc>
          <w:tcPr>
            <w:tcW w:w="2940" w:type="dxa"/>
            <w:vAlign w:val="bottom"/>
          </w:tcPr>
          <w:p>
            <w:pPr>
              <w:spacing w:after="0"/>
              <w:rPr>
                <w:sz w:val="20"/>
                <w:szCs w:val="20"/>
                <w:color w:val="auto"/>
              </w:rPr>
            </w:pPr>
            <w:r>
              <w:rPr>
                <w:rFonts w:ascii="Arial" w:cs="Arial" w:eastAsia="Arial" w:hAnsi="Arial"/>
                <w:sz w:val="15"/>
                <w:szCs w:val="15"/>
                <w:color w:val="auto"/>
              </w:rPr>
              <w:t>Revenues</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1,304.0</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416.1</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151.6</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1,871.7</w:t>
            </w:r>
          </w:p>
        </w:tc>
        <w:tc>
          <w:tcPr>
            <w:tcW w:w="3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412.1</w:t>
            </w:r>
          </w:p>
        </w:tc>
        <w:tc>
          <w:tcPr>
            <w:tcW w:w="3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2,283.8</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Bad debt</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44.8</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4.7</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0.7</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50.2</w:t>
            </w: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8.9</w:t>
            </w: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59.1</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16.5</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1.4</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38.2</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59.9</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5.9</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65.8</w:t>
            </w:r>
          </w:p>
        </w:tc>
      </w:tr>
      <w:tr>
        <w:trPr>
          <w:trHeight w:val="256"/>
        </w:trPr>
        <w:tc>
          <w:tcPr>
            <w:tcW w:w="29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Amortization</w:t>
            </w:r>
            <w:r>
              <w:rPr>
                <w:rFonts w:ascii="Arial" w:cs="Arial" w:eastAsia="Arial" w:hAnsi="Arial"/>
                <w:sz w:val="29"/>
                <w:szCs w:val="29"/>
                <w:color w:val="auto"/>
                <w:vertAlign w:val="superscript"/>
              </w:rPr>
              <w:t>(2)</w:t>
            </w:r>
          </w:p>
        </w:tc>
        <w:tc>
          <w:tcPr>
            <w:tcW w:w="6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16.4</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28.0</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19.4</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63.8</w:t>
            </w:r>
          </w:p>
        </w:tc>
        <w:tc>
          <w:tcPr>
            <w:tcW w:w="30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4.0</w:t>
            </w:r>
          </w:p>
        </w:tc>
        <w:tc>
          <w:tcPr>
            <w:tcW w:w="300" w:type="dxa"/>
            <w:vAlign w:val="bottom"/>
            <w:shd w:val="clear" w:color="auto" w:fill="E6E6E6"/>
          </w:tcPr>
          <w:p>
            <w:pPr>
              <w:spacing w:after="0"/>
              <w:rPr>
                <w:sz w:val="22"/>
                <w:szCs w:val="22"/>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67.8</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Royalty advances expensed</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29.7</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2.2</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2.0</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33.9</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36.6</w:t>
            </w:r>
          </w:p>
        </w:tc>
      </w:tr>
      <w:tr>
        <w:trPr>
          <w:trHeight w:val="256"/>
        </w:trPr>
        <w:tc>
          <w:tcPr>
            <w:tcW w:w="29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Operating income (loss)</w:t>
            </w:r>
            <w:r>
              <w:rPr>
                <w:rFonts w:ascii="Arial" w:cs="Arial" w:eastAsia="Arial" w:hAnsi="Arial"/>
                <w:sz w:val="29"/>
                <w:szCs w:val="29"/>
                <w:color w:val="auto"/>
                <w:vertAlign w:val="superscript"/>
              </w:rPr>
              <w:t>(3)</w:t>
            </w:r>
          </w:p>
        </w:tc>
        <w:tc>
          <w:tcPr>
            <w:tcW w:w="6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114.2</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69.6</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10.3</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(77.5)</w:t>
            </w:r>
          </w:p>
        </w:tc>
        <w:tc>
          <w:tcPr>
            <w:tcW w:w="3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116.6</w:t>
            </w:r>
          </w:p>
        </w:tc>
        <w:tc>
          <w:tcPr>
            <w:tcW w:w="30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22.7</w:t>
            </w:r>
          </w:p>
        </w:tc>
        <w:tc>
          <w:tcPr>
            <w:tcW w:w="300" w:type="dxa"/>
            <w:vAlign w:val="bottom"/>
            <w:shd w:val="clear" w:color="auto" w:fill="E6E6E6"/>
          </w:tcPr>
          <w:p>
            <w:pPr>
              <w:spacing w:after="0"/>
              <w:rPr>
                <w:sz w:val="22"/>
                <w:szCs w:val="22"/>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139.3</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Segment assets</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808.8</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349.4</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70.0</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508.5</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1,736.7</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315.5</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2,052.2</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Goodwill</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130.6</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82.5</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9.8</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222.9</w:t>
            </w: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30.2</w:t>
            </w: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253.1</w:t>
            </w:r>
          </w:p>
        </w:tc>
      </w:tr>
      <w:tr>
        <w:trPr>
          <w:trHeight w:val="256"/>
        </w:trPr>
        <w:tc>
          <w:tcPr>
            <w:tcW w:w="2940" w:type="dxa"/>
            <w:vAlign w:val="bottom"/>
          </w:tcPr>
          <w:p>
            <w:pPr>
              <w:spacing w:after="0" w:line="256" w:lineRule="exact"/>
              <w:rPr>
                <w:sz w:val="20"/>
                <w:szCs w:val="20"/>
                <w:color w:val="auto"/>
              </w:rPr>
            </w:pPr>
            <w:r>
              <w:rPr>
                <w:rFonts w:ascii="Arial" w:cs="Arial" w:eastAsia="Arial" w:hAnsi="Arial"/>
                <w:sz w:val="15"/>
                <w:szCs w:val="15"/>
                <w:color w:val="auto"/>
              </w:rPr>
              <w:t>Expenditures for long-lived assets</w:t>
            </w:r>
            <w:r>
              <w:rPr>
                <w:rFonts w:ascii="Arial" w:cs="Arial" w:eastAsia="Arial" w:hAnsi="Arial"/>
                <w:sz w:val="29"/>
                <w:szCs w:val="29"/>
                <w:color w:val="auto"/>
                <w:vertAlign w:val="superscript"/>
              </w:rPr>
              <w:t>(4)</w:t>
            </w:r>
          </w:p>
        </w:tc>
        <w:tc>
          <w:tcPr>
            <w:tcW w:w="66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65.0</w:t>
            </w:r>
          </w:p>
        </w:tc>
        <w:tc>
          <w:tcPr>
            <w:tcW w:w="260" w:type="dxa"/>
            <w:vAlign w:val="bottom"/>
          </w:tcPr>
          <w:p>
            <w:pPr>
              <w:spacing w:after="0"/>
              <w:rPr>
                <w:sz w:val="22"/>
                <w:szCs w:val="22"/>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28.8</w:t>
            </w:r>
          </w:p>
        </w:tc>
        <w:tc>
          <w:tcPr>
            <w:tcW w:w="26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20.3</w:t>
            </w:r>
          </w:p>
        </w:tc>
        <w:tc>
          <w:tcPr>
            <w:tcW w:w="300" w:type="dxa"/>
            <w:vAlign w:val="bottom"/>
          </w:tcPr>
          <w:p>
            <w:pPr>
              <w:spacing w:after="0"/>
              <w:rPr>
                <w:sz w:val="22"/>
                <w:szCs w:val="22"/>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33.2</w:t>
            </w:r>
          </w:p>
        </w:tc>
        <w:tc>
          <w:tcPr>
            <w:tcW w:w="300" w:type="dxa"/>
            <w:vAlign w:val="bottom"/>
          </w:tcPr>
          <w:p>
            <w:pPr>
              <w:spacing w:after="0"/>
              <w:rPr>
                <w:sz w:val="22"/>
                <w:szCs w:val="22"/>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147.3</w:t>
            </w:r>
          </w:p>
        </w:tc>
        <w:tc>
          <w:tcPr>
            <w:tcW w:w="30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13.9</w:t>
            </w:r>
          </w:p>
        </w:tc>
        <w:tc>
          <w:tcPr>
            <w:tcW w:w="300" w:type="dxa"/>
            <w:vAlign w:val="bottom"/>
          </w:tcPr>
          <w:p>
            <w:pPr>
              <w:spacing w:after="0"/>
              <w:rPr>
                <w:sz w:val="22"/>
                <w:szCs w:val="22"/>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161.2</w:t>
            </w:r>
          </w:p>
        </w:tc>
      </w:tr>
      <w:tr>
        <w:trPr>
          <w:trHeight w:val="256"/>
        </w:trPr>
        <w:tc>
          <w:tcPr>
            <w:tcW w:w="29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Long-lived assets</w:t>
            </w:r>
            <w:r>
              <w:rPr>
                <w:rFonts w:ascii="Arial" w:cs="Arial" w:eastAsia="Arial" w:hAnsi="Arial"/>
                <w:sz w:val="29"/>
                <w:szCs w:val="29"/>
                <w:color w:val="auto"/>
                <w:vertAlign w:val="superscript"/>
              </w:rPr>
              <w:t>(5)</w:t>
            </w:r>
          </w:p>
        </w:tc>
        <w:tc>
          <w:tcPr>
            <w:tcW w:w="6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293.5</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206.9</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33.6</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291.9</w:t>
            </w:r>
          </w:p>
        </w:tc>
        <w:tc>
          <w:tcPr>
            <w:tcW w:w="3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825.9</w:t>
            </w:r>
          </w:p>
        </w:tc>
        <w:tc>
          <w:tcPr>
            <w:tcW w:w="30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109.9</w:t>
            </w:r>
          </w:p>
        </w:tc>
        <w:tc>
          <w:tcPr>
            <w:tcW w:w="300" w:type="dxa"/>
            <w:vAlign w:val="bottom"/>
            <w:shd w:val="clear" w:color="auto" w:fill="E6E6E6"/>
          </w:tcPr>
          <w:p>
            <w:pPr>
              <w:spacing w:after="0"/>
              <w:rPr>
                <w:sz w:val="22"/>
                <w:szCs w:val="22"/>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935.8</w:t>
            </w:r>
          </w:p>
        </w:tc>
      </w:tr>
      <w:tr>
        <w:trPr>
          <w:trHeight w:val="93"/>
        </w:trPr>
        <w:tc>
          <w:tcPr>
            <w:tcW w:w="2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92"/>
        </w:trPr>
        <w:tc>
          <w:tcPr>
            <w:tcW w:w="2940" w:type="dxa"/>
            <w:vAlign w:val="bottom"/>
          </w:tcPr>
          <w:p>
            <w:pPr>
              <w:ind w:left="40"/>
              <w:spacing w:after="0"/>
              <w:rPr>
                <w:sz w:val="20"/>
                <w:szCs w:val="20"/>
                <w:color w:val="auto"/>
              </w:rPr>
            </w:pPr>
            <w:r>
              <w:rPr>
                <w:rFonts w:ascii="Arial" w:cs="Arial" w:eastAsia="Arial" w:hAnsi="Arial"/>
                <w:sz w:val="15"/>
                <w:szCs w:val="15"/>
                <w:b w:val="1"/>
                <w:bCs w:val="1"/>
                <w:color w:val="auto"/>
              </w:rPr>
              <w:t>2005</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6"/>
        </w:trPr>
        <w:tc>
          <w:tcPr>
            <w:tcW w:w="2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85"/>
        </w:trPr>
        <w:tc>
          <w:tcPr>
            <w:tcW w:w="2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Revenues</w:t>
            </w:r>
          </w:p>
        </w:tc>
        <w:tc>
          <w:tcPr>
            <w:tcW w:w="6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1,152.5</w:t>
            </w:r>
          </w:p>
        </w:tc>
        <w:tc>
          <w:tcPr>
            <w:tcW w:w="26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404.6</w:t>
            </w:r>
          </w:p>
        </w:tc>
        <w:tc>
          <w:tcPr>
            <w:tcW w:w="26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133.1</w:t>
            </w:r>
          </w:p>
        </w:tc>
        <w:tc>
          <w:tcPr>
            <w:tcW w:w="30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1,690.2</w:t>
            </w:r>
          </w:p>
        </w:tc>
        <w:tc>
          <w:tcPr>
            <w:tcW w:w="3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389.7</w:t>
            </w:r>
          </w:p>
        </w:tc>
        <w:tc>
          <w:tcPr>
            <w:tcW w:w="3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2,079.9</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Bad debt</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51.1</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0.3</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52.7</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9.5</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62.2</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Depreciation and amortization</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13.5</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3.4</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1.7</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38.5</w:t>
            </w: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57.1</w:t>
            </w: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6.0</w:t>
            </w: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63.1</w:t>
            </w:r>
          </w:p>
        </w:tc>
      </w:tr>
      <w:tr>
        <w:trPr>
          <w:trHeight w:val="256"/>
        </w:trPr>
        <w:tc>
          <w:tcPr>
            <w:tcW w:w="2940" w:type="dxa"/>
            <w:vAlign w:val="bottom"/>
          </w:tcPr>
          <w:p>
            <w:pPr>
              <w:spacing w:after="0" w:line="256" w:lineRule="exact"/>
              <w:rPr>
                <w:sz w:val="20"/>
                <w:szCs w:val="20"/>
                <w:color w:val="auto"/>
              </w:rPr>
            </w:pPr>
            <w:r>
              <w:rPr>
                <w:rFonts w:ascii="Arial" w:cs="Arial" w:eastAsia="Arial" w:hAnsi="Arial"/>
                <w:sz w:val="15"/>
                <w:szCs w:val="15"/>
                <w:color w:val="auto"/>
              </w:rPr>
              <w:t>Amortization</w:t>
            </w:r>
            <w:r>
              <w:rPr>
                <w:rFonts w:ascii="Arial" w:cs="Arial" w:eastAsia="Arial" w:hAnsi="Arial"/>
                <w:sz w:val="29"/>
                <w:szCs w:val="29"/>
                <w:color w:val="auto"/>
                <w:vertAlign w:val="superscript"/>
              </w:rPr>
              <w:t>(2)</w:t>
            </w:r>
          </w:p>
        </w:tc>
        <w:tc>
          <w:tcPr>
            <w:tcW w:w="66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16.1</w:t>
            </w:r>
          </w:p>
        </w:tc>
        <w:tc>
          <w:tcPr>
            <w:tcW w:w="260" w:type="dxa"/>
            <w:vAlign w:val="bottom"/>
          </w:tcPr>
          <w:p>
            <w:pPr>
              <w:spacing w:after="0"/>
              <w:rPr>
                <w:sz w:val="22"/>
                <w:szCs w:val="22"/>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32.3</w:t>
            </w:r>
          </w:p>
        </w:tc>
        <w:tc>
          <w:tcPr>
            <w:tcW w:w="26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17.3</w:t>
            </w:r>
          </w:p>
        </w:tc>
        <w:tc>
          <w:tcPr>
            <w:tcW w:w="300" w:type="dxa"/>
            <w:vAlign w:val="bottom"/>
          </w:tcPr>
          <w:p>
            <w:pPr>
              <w:spacing w:after="0"/>
              <w:rPr>
                <w:sz w:val="22"/>
                <w:szCs w:val="22"/>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tcPr>
          <w:p>
            <w:pPr>
              <w:spacing w:after="0"/>
              <w:rPr>
                <w:sz w:val="22"/>
                <w:szCs w:val="22"/>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65.7</w:t>
            </w:r>
          </w:p>
        </w:tc>
        <w:tc>
          <w:tcPr>
            <w:tcW w:w="30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2.0</w:t>
            </w:r>
          </w:p>
        </w:tc>
        <w:tc>
          <w:tcPr>
            <w:tcW w:w="300" w:type="dxa"/>
            <w:vAlign w:val="bottom"/>
          </w:tcPr>
          <w:p>
            <w:pPr>
              <w:spacing w:after="0"/>
              <w:rPr>
                <w:sz w:val="22"/>
                <w:szCs w:val="22"/>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67.7</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Royalty advances expensed</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27.3</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2.4</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1.1</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30.8</w:t>
            </w: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2.0</w:t>
            </w: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32.8</w:t>
            </w:r>
          </w:p>
        </w:tc>
      </w:tr>
      <w:tr>
        <w:trPr>
          <w:trHeight w:val="256"/>
        </w:trPr>
        <w:tc>
          <w:tcPr>
            <w:tcW w:w="2940" w:type="dxa"/>
            <w:vAlign w:val="bottom"/>
          </w:tcPr>
          <w:p>
            <w:pPr>
              <w:spacing w:after="0" w:line="256" w:lineRule="exact"/>
              <w:rPr>
                <w:sz w:val="20"/>
                <w:szCs w:val="20"/>
                <w:color w:val="auto"/>
              </w:rPr>
            </w:pPr>
            <w:r>
              <w:rPr>
                <w:rFonts w:ascii="Arial" w:cs="Arial" w:eastAsia="Arial" w:hAnsi="Arial"/>
                <w:sz w:val="15"/>
                <w:szCs w:val="15"/>
                <w:color w:val="auto"/>
              </w:rPr>
              <w:t>Operating income (loss)</w:t>
            </w:r>
            <w:r>
              <w:rPr>
                <w:rFonts w:ascii="Arial" w:cs="Arial" w:eastAsia="Arial" w:hAnsi="Arial"/>
                <w:sz w:val="29"/>
                <w:szCs w:val="29"/>
                <w:color w:val="auto"/>
                <w:vertAlign w:val="superscript"/>
              </w:rPr>
              <w:t>(3)</w:t>
            </w:r>
          </w:p>
        </w:tc>
        <w:tc>
          <w:tcPr>
            <w:tcW w:w="66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93.5</w:t>
            </w:r>
          </w:p>
        </w:tc>
        <w:tc>
          <w:tcPr>
            <w:tcW w:w="260" w:type="dxa"/>
            <w:vAlign w:val="bottom"/>
          </w:tcPr>
          <w:p>
            <w:pPr>
              <w:spacing w:after="0"/>
              <w:rPr>
                <w:sz w:val="22"/>
                <w:szCs w:val="22"/>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78.5</w:t>
            </w:r>
          </w:p>
        </w:tc>
        <w:tc>
          <w:tcPr>
            <w:tcW w:w="26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11.0</w:t>
            </w:r>
          </w:p>
        </w:tc>
        <w:tc>
          <w:tcPr>
            <w:tcW w:w="30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(78.4)</w:t>
            </w:r>
          </w:p>
        </w:tc>
        <w:tc>
          <w:tcPr>
            <w:tcW w:w="300" w:type="dxa"/>
            <w:vAlign w:val="bottom"/>
          </w:tcPr>
          <w:p>
            <w:pPr>
              <w:spacing w:after="0"/>
              <w:rPr>
                <w:sz w:val="22"/>
                <w:szCs w:val="22"/>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104.6</w:t>
            </w:r>
          </w:p>
        </w:tc>
        <w:tc>
          <w:tcPr>
            <w:tcW w:w="30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30.3</w:t>
            </w:r>
          </w:p>
        </w:tc>
        <w:tc>
          <w:tcPr>
            <w:tcW w:w="300" w:type="dxa"/>
            <w:vAlign w:val="bottom"/>
          </w:tcPr>
          <w:p>
            <w:pPr>
              <w:spacing w:after="0"/>
              <w:rPr>
                <w:sz w:val="22"/>
                <w:szCs w:val="22"/>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134.9</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Segment assets</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733.3</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347.3</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63.1</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484.7</w:t>
            </w: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1,628.4</w:t>
            </w: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303.0</w:t>
            </w: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1,931.4</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Goodwill</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130.6</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82.5</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9.8</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222.9</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31.3</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254.2</w:t>
            </w:r>
          </w:p>
        </w:tc>
      </w:tr>
      <w:tr>
        <w:trPr>
          <w:trHeight w:val="245"/>
        </w:trPr>
        <w:tc>
          <w:tcPr>
            <w:tcW w:w="2940" w:type="dxa"/>
            <w:vAlign w:val="bottom"/>
            <w:shd w:val="clear" w:color="auto" w:fill="E6E6E6"/>
          </w:tcPr>
          <w:p>
            <w:pPr>
              <w:spacing w:after="0" w:line="245" w:lineRule="exact"/>
              <w:rPr>
                <w:sz w:val="20"/>
                <w:szCs w:val="20"/>
                <w:color w:val="auto"/>
              </w:rPr>
            </w:pPr>
            <w:r>
              <w:rPr>
                <w:rFonts w:ascii="Arial" w:cs="Arial" w:eastAsia="Arial" w:hAnsi="Arial"/>
                <w:sz w:val="14"/>
                <w:szCs w:val="14"/>
                <w:color w:val="auto"/>
              </w:rPr>
              <w:t>Expenditures for long-lived assets</w:t>
            </w:r>
            <w:r>
              <w:rPr>
                <w:rFonts w:ascii="Arial" w:cs="Arial" w:eastAsia="Arial" w:hAnsi="Arial"/>
                <w:sz w:val="28"/>
                <w:szCs w:val="28"/>
                <w:color w:val="auto"/>
                <w:vertAlign w:val="superscript"/>
              </w:rPr>
              <w:t>(4)</w:t>
            </w:r>
          </w:p>
        </w:tc>
        <w:tc>
          <w:tcPr>
            <w:tcW w:w="6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64.6</w:t>
            </w:r>
          </w:p>
        </w:tc>
        <w:tc>
          <w:tcPr>
            <w:tcW w:w="260" w:type="dxa"/>
            <w:vAlign w:val="bottom"/>
            <w:shd w:val="clear" w:color="auto" w:fill="E6E6E6"/>
          </w:tcPr>
          <w:p>
            <w:pPr>
              <w:spacing w:after="0"/>
              <w:rPr>
                <w:sz w:val="21"/>
                <w:szCs w:val="21"/>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38.7</w:t>
            </w:r>
          </w:p>
        </w:tc>
        <w:tc>
          <w:tcPr>
            <w:tcW w:w="260" w:type="dxa"/>
            <w:vAlign w:val="bottom"/>
            <w:shd w:val="clear" w:color="auto" w:fill="E6E6E6"/>
          </w:tcPr>
          <w:p>
            <w:pPr>
              <w:spacing w:after="0"/>
              <w:rPr>
                <w:sz w:val="21"/>
                <w:szCs w:val="21"/>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22.1</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22.8</w:t>
            </w:r>
          </w:p>
        </w:tc>
        <w:tc>
          <w:tcPr>
            <w:tcW w:w="300" w:type="dxa"/>
            <w:vAlign w:val="bottom"/>
            <w:shd w:val="clear" w:color="auto" w:fill="E6E6E6"/>
          </w:tcPr>
          <w:p>
            <w:pPr>
              <w:spacing w:after="0"/>
              <w:rPr>
                <w:sz w:val="21"/>
                <w:szCs w:val="21"/>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148.2</w:t>
            </w:r>
          </w:p>
        </w:tc>
        <w:tc>
          <w:tcPr>
            <w:tcW w:w="30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12.2</w:t>
            </w: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160.4</w:t>
            </w:r>
          </w:p>
        </w:tc>
      </w:tr>
      <w:tr>
        <w:trPr>
          <w:trHeight w:val="350"/>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Long-lived assets</w:t>
            </w:r>
            <w:r>
              <w:rPr>
                <w:rFonts w:ascii="Arial" w:cs="Arial" w:eastAsia="Arial" w:hAnsi="Arial"/>
                <w:sz w:val="30"/>
                <w:szCs w:val="30"/>
                <w:color w:val="auto"/>
                <w:vertAlign w:val="superscript"/>
              </w:rPr>
              <w:t>(5)</w:t>
            </w: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289.5</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215.8</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37.1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298.0</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840.4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107.0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947.4</w:t>
            </w:r>
          </w:p>
        </w:tc>
      </w:tr>
      <w:tr>
        <w:trPr>
          <w:trHeight w:val="85"/>
        </w:trPr>
        <w:tc>
          <w:tcPr>
            <w:tcW w:w="2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10"/>
        </w:trPr>
        <w:tc>
          <w:tcPr>
            <w:tcW w:w="2940" w:type="dxa"/>
            <w:vAlign w:val="bottom"/>
            <w:shd w:val="clear" w:color="auto" w:fill="E6E6E6"/>
          </w:tcPr>
          <w:p>
            <w:pPr>
              <w:ind w:left="40"/>
              <w:spacing w:after="0"/>
              <w:rPr>
                <w:sz w:val="20"/>
                <w:szCs w:val="20"/>
                <w:color w:val="auto"/>
              </w:rPr>
            </w:pPr>
            <w:r>
              <w:rPr>
                <w:rFonts w:ascii="Arial" w:cs="Arial" w:eastAsia="Arial" w:hAnsi="Arial"/>
                <w:sz w:val="15"/>
                <w:szCs w:val="15"/>
                <w:b w:val="1"/>
                <w:bCs w:val="1"/>
                <w:color w:val="auto"/>
              </w:rPr>
              <w:t>2004</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r>
      <w:tr>
        <w:trPr>
          <w:trHeight w:val="93"/>
        </w:trPr>
        <w:tc>
          <w:tcPr>
            <w:tcW w:w="2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95"/>
        </w:trPr>
        <w:tc>
          <w:tcPr>
            <w:tcW w:w="2940" w:type="dxa"/>
            <w:vAlign w:val="bottom"/>
          </w:tcPr>
          <w:p>
            <w:pPr>
              <w:spacing w:after="0"/>
              <w:rPr>
                <w:sz w:val="20"/>
                <w:szCs w:val="20"/>
                <w:color w:val="auto"/>
              </w:rPr>
            </w:pPr>
            <w:r>
              <w:rPr>
                <w:rFonts w:ascii="Arial" w:cs="Arial" w:eastAsia="Arial" w:hAnsi="Arial"/>
                <w:sz w:val="15"/>
                <w:szCs w:val="15"/>
                <w:color w:val="auto"/>
              </w:rPr>
              <w:t>Revenues</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1,358.6</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369.1</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136.4</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1,864.1</w:t>
            </w:r>
          </w:p>
        </w:tc>
        <w:tc>
          <w:tcPr>
            <w:tcW w:w="3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369.7</w:t>
            </w:r>
          </w:p>
        </w:tc>
        <w:tc>
          <w:tcPr>
            <w:tcW w:w="3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2,233.8</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Bad debt</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78.6</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1.0</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1.2</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80.8</w:t>
            </w: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9.5</w:t>
            </w: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90.3</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12.6</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1.8</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38.0</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55.6</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6.5</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62.1</w:t>
            </w:r>
          </w:p>
        </w:tc>
      </w:tr>
      <w:tr>
        <w:trPr>
          <w:trHeight w:val="256"/>
        </w:trPr>
        <w:tc>
          <w:tcPr>
            <w:tcW w:w="29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Amortization</w:t>
            </w:r>
            <w:r>
              <w:rPr>
                <w:rFonts w:ascii="Arial" w:cs="Arial" w:eastAsia="Arial" w:hAnsi="Arial"/>
                <w:sz w:val="29"/>
                <w:szCs w:val="29"/>
                <w:color w:val="auto"/>
                <w:vertAlign w:val="superscript"/>
              </w:rPr>
              <w:t>(2)</w:t>
            </w:r>
          </w:p>
        </w:tc>
        <w:tc>
          <w:tcPr>
            <w:tcW w:w="6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15.7</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36.3</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24.6</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76.6</w:t>
            </w:r>
          </w:p>
        </w:tc>
        <w:tc>
          <w:tcPr>
            <w:tcW w:w="30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2.5</w:t>
            </w:r>
          </w:p>
        </w:tc>
        <w:tc>
          <w:tcPr>
            <w:tcW w:w="300" w:type="dxa"/>
            <w:vAlign w:val="bottom"/>
            <w:shd w:val="clear" w:color="auto" w:fill="E6E6E6"/>
          </w:tcPr>
          <w:p>
            <w:pPr>
              <w:spacing w:after="0"/>
              <w:rPr>
                <w:sz w:val="22"/>
                <w:szCs w:val="22"/>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79.1</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Royalty advances expensed</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16.3</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18.6</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2.2</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20.8</w:t>
            </w:r>
          </w:p>
        </w:tc>
      </w:tr>
      <w:tr>
        <w:trPr>
          <w:trHeight w:val="256"/>
        </w:trPr>
        <w:tc>
          <w:tcPr>
            <w:tcW w:w="29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Operating income (loss)</w:t>
            </w:r>
            <w:r>
              <w:rPr>
                <w:rFonts w:ascii="Arial" w:cs="Arial" w:eastAsia="Arial" w:hAnsi="Arial"/>
                <w:sz w:val="29"/>
                <w:szCs w:val="29"/>
                <w:color w:val="auto"/>
                <w:vertAlign w:val="superscript"/>
              </w:rPr>
              <w:t>(3)</w:t>
            </w:r>
          </w:p>
        </w:tc>
        <w:tc>
          <w:tcPr>
            <w:tcW w:w="6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104.6</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56.1</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10.9</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(73.9)</w:t>
            </w:r>
          </w:p>
        </w:tc>
        <w:tc>
          <w:tcPr>
            <w:tcW w:w="3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97.7</w:t>
            </w:r>
          </w:p>
        </w:tc>
        <w:tc>
          <w:tcPr>
            <w:tcW w:w="30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23.5</w:t>
            </w:r>
          </w:p>
        </w:tc>
        <w:tc>
          <w:tcPr>
            <w:tcW w:w="300" w:type="dxa"/>
            <w:vAlign w:val="bottom"/>
            <w:shd w:val="clear" w:color="auto" w:fill="E6E6E6"/>
          </w:tcPr>
          <w:p>
            <w:pPr>
              <w:spacing w:after="0"/>
              <w:rPr>
                <w:sz w:val="22"/>
                <w:szCs w:val="22"/>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121.2</w:t>
            </w:r>
          </w:p>
        </w:tc>
      </w:tr>
      <w:tr>
        <w:trPr>
          <w:trHeight w:val="210"/>
        </w:trPr>
        <w:tc>
          <w:tcPr>
            <w:tcW w:w="2940" w:type="dxa"/>
            <w:vAlign w:val="bottom"/>
          </w:tcPr>
          <w:p>
            <w:pPr>
              <w:spacing w:after="0"/>
              <w:rPr>
                <w:sz w:val="20"/>
                <w:szCs w:val="20"/>
                <w:color w:val="auto"/>
              </w:rPr>
            </w:pPr>
            <w:r>
              <w:rPr>
                <w:rFonts w:ascii="Arial" w:cs="Arial" w:eastAsia="Arial" w:hAnsi="Arial"/>
                <w:sz w:val="15"/>
                <w:szCs w:val="15"/>
                <w:color w:val="auto"/>
              </w:rPr>
              <w:t>Segment assets</w:t>
            </w:r>
          </w:p>
        </w:tc>
        <w:tc>
          <w:tcPr>
            <w:tcW w:w="66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713.3</w:t>
            </w:r>
          </w:p>
        </w:tc>
        <w:tc>
          <w:tcPr>
            <w:tcW w:w="2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338.5</w:t>
            </w:r>
          </w:p>
        </w:tc>
        <w:tc>
          <w:tcPr>
            <w:tcW w:w="2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59.6</w:t>
            </w:r>
          </w:p>
        </w:tc>
        <w:tc>
          <w:tcPr>
            <w:tcW w:w="30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418.2</w:t>
            </w:r>
          </w:p>
        </w:tc>
        <w:tc>
          <w:tcPr>
            <w:tcW w:w="30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1,529.6</w:t>
            </w:r>
          </w:p>
        </w:tc>
        <w:tc>
          <w:tcPr>
            <w:tcW w:w="30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302.2</w:t>
            </w:r>
          </w:p>
        </w:tc>
        <w:tc>
          <w:tcPr>
            <w:tcW w:w="30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1,831.8</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Goodwill</w:t>
            </w:r>
          </w:p>
        </w:tc>
        <w:tc>
          <w:tcPr>
            <w:tcW w:w="66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127.9</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82.5</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10.7</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0.0</w:t>
            </w:r>
          </w:p>
        </w:tc>
        <w:tc>
          <w:tcPr>
            <w:tcW w:w="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221.1</w:t>
            </w:r>
          </w:p>
        </w:tc>
        <w:tc>
          <w:tcPr>
            <w:tcW w:w="30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28.6</w:t>
            </w:r>
          </w:p>
        </w:tc>
        <w:tc>
          <w:tcPr>
            <w:tcW w:w="300" w:type="dxa"/>
            <w:vAlign w:val="bottom"/>
            <w:shd w:val="clear" w:color="auto" w:fill="E6E6E6"/>
          </w:tcPr>
          <w:p>
            <w:pPr>
              <w:spacing w:after="0"/>
              <w:rPr>
                <w:sz w:val="18"/>
                <w:szCs w:val="18"/>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249.7</w:t>
            </w:r>
          </w:p>
        </w:tc>
      </w:tr>
      <w:tr>
        <w:trPr>
          <w:trHeight w:val="245"/>
        </w:trPr>
        <w:tc>
          <w:tcPr>
            <w:tcW w:w="2940" w:type="dxa"/>
            <w:vAlign w:val="bottom"/>
          </w:tcPr>
          <w:p>
            <w:pPr>
              <w:spacing w:after="0" w:line="245" w:lineRule="exact"/>
              <w:rPr>
                <w:sz w:val="20"/>
                <w:szCs w:val="20"/>
                <w:color w:val="auto"/>
              </w:rPr>
            </w:pPr>
            <w:r>
              <w:rPr>
                <w:rFonts w:ascii="Arial" w:cs="Arial" w:eastAsia="Arial" w:hAnsi="Arial"/>
                <w:sz w:val="14"/>
                <w:szCs w:val="14"/>
                <w:color w:val="auto"/>
              </w:rPr>
              <w:t>Expenditures for long-lived assets</w:t>
            </w:r>
            <w:r>
              <w:rPr>
                <w:rFonts w:ascii="Arial" w:cs="Arial" w:eastAsia="Arial" w:hAnsi="Arial"/>
                <w:sz w:val="28"/>
                <w:szCs w:val="28"/>
                <w:color w:val="auto"/>
                <w:vertAlign w:val="superscript"/>
              </w:rPr>
              <w:t>(4)</w:t>
            </w:r>
          </w:p>
        </w:tc>
        <w:tc>
          <w:tcPr>
            <w:tcW w:w="66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53.3</w:t>
            </w:r>
          </w:p>
        </w:tc>
        <w:tc>
          <w:tcPr>
            <w:tcW w:w="260" w:type="dxa"/>
            <w:vAlign w:val="bottom"/>
          </w:tcPr>
          <w:p>
            <w:pPr>
              <w:spacing w:after="0"/>
              <w:rPr>
                <w:sz w:val="21"/>
                <w:szCs w:val="21"/>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35.5</w:t>
            </w:r>
          </w:p>
        </w:tc>
        <w:tc>
          <w:tcPr>
            <w:tcW w:w="26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27.6</w:t>
            </w:r>
          </w:p>
        </w:tc>
        <w:tc>
          <w:tcPr>
            <w:tcW w:w="300" w:type="dxa"/>
            <w:vAlign w:val="bottom"/>
          </w:tcPr>
          <w:p>
            <w:pPr>
              <w:spacing w:after="0"/>
              <w:rPr>
                <w:sz w:val="21"/>
                <w:szCs w:val="21"/>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21.5</w:t>
            </w:r>
          </w:p>
        </w:tc>
        <w:tc>
          <w:tcPr>
            <w:tcW w:w="300" w:type="dxa"/>
            <w:vAlign w:val="bottom"/>
          </w:tcPr>
          <w:p>
            <w:pPr>
              <w:spacing w:after="0"/>
              <w:rPr>
                <w:sz w:val="21"/>
                <w:szCs w:val="21"/>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137.9</w:t>
            </w:r>
          </w:p>
        </w:tc>
        <w:tc>
          <w:tcPr>
            <w:tcW w:w="300" w:type="dxa"/>
            <w:vAlign w:val="bottom"/>
          </w:tcPr>
          <w:p>
            <w:pPr>
              <w:spacing w:after="0"/>
              <w:rPr>
                <w:sz w:val="21"/>
                <w:szCs w:val="21"/>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9.2</w:t>
            </w:r>
          </w:p>
        </w:tc>
        <w:tc>
          <w:tcPr>
            <w:tcW w:w="300" w:type="dxa"/>
            <w:vAlign w:val="bottom"/>
          </w:tcPr>
          <w:p>
            <w:pPr>
              <w:spacing w:after="0"/>
              <w:rPr>
                <w:sz w:val="21"/>
                <w:szCs w:val="21"/>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147.1</w:t>
            </w:r>
          </w:p>
        </w:tc>
      </w:tr>
      <w:tr>
        <w:trPr>
          <w:trHeight w:val="256"/>
        </w:trPr>
        <w:tc>
          <w:tcPr>
            <w:tcW w:w="2940" w:type="dxa"/>
            <w:vAlign w:val="bottom"/>
            <w:shd w:val="clear" w:color="auto" w:fill="E6E6E6"/>
          </w:tcPr>
          <w:p>
            <w:pPr>
              <w:spacing w:after="0" w:line="256" w:lineRule="exact"/>
              <w:rPr>
                <w:sz w:val="20"/>
                <w:szCs w:val="20"/>
                <w:color w:val="auto"/>
              </w:rPr>
            </w:pPr>
            <w:r>
              <w:rPr>
                <w:rFonts w:ascii="Arial" w:cs="Arial" w:eastAsia="Arial" w:hAnsi="Arial"/>
                <w:sz w:val="15"/>
                <w:szCs w:val="15"/>
                <w:color w:val="auto"/>
              </w:rPr>
              <w:t>Long-lived assets</w:t>
            </w:r>
            <w:r>
              <w:rPr>
                <w:rFonts w:ascii="Arial" w:cs="Arial" w:eastAsia="Arial" w:hAnsi="Arial"/>
                <w:sz w:val="29"/>
                <w:szCs w:val="29"/>
                <w:color w:val="auto"/>
                <w:vertAlign w:val="superscript"/>
              </w:rPr>
              <w:t>(5)</w:t>
            </w:r>
          </w:p>
        </w:tc>
        <w:tc>
          <w:tcPr>
            <w:tcW w:w="6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7"/>
              <w:spacing w:after="0"/>
              <w:rPr>
                <w:sz w:val="20"/>
                <w:szCs w:val="20"/>
                <w:color w:val="auto"/>
              </w:rPr>
            </w:pPr>
            <w:r>
              <w:rPr>
                <w:rFonts w:ascii="Arial" w:cs="Arial" w:eastAsia="Arial" w:hAnsi="Arial"/>
                <w:sz w:val="15"/>
                <w:szCs w:val="15"/>
                <w:color w:val="auto"/>
              </w:rPr>
              <w:t>281.1</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216.2</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ind w:right="6"/>
              <w:spacing w:after="0"/>
              <w:rPr>
                <w:sz w:val="20"/>
                <w:szCs w:val="20"/>
                <w:color w:val="auto"/>
              </w:rPr>
            </w:pPr>
            <w:r>
              <w:rPr>
                <w:rFonts w:ascii="Arial" w:cs="Arial" w:eastAsia="Arial" w:hAnsi="Arial"/>
                <w:sz w:val="15"/>
                <w:szCs w:val="15"/>
                <w:color w:val="auto"/>
              </w:rPr>
              <w:t>34.4</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65"/>
              <w:spacing w:after="0"/>
              <w:rPr>
                <w:sz w:val="20"/>
                <w:szCs w:val="20"/>
                <w:color w:val="auto"/>
              </w:rPr>
            </w:pPr>
            <w:r>
              <w:rPr>
                <w:rFonts w:ascii="Arial" w:cs="Arial" w:eastAsia="Arial" w:hAnsi="Arial"/>
                <w:sz w:val="15"/>
                <w:szCs w:val="15"/>
                <w:color w:val="auto"/>
              </w:rPr>
              <w:t>305.3</w:t>
            </w:r>
          </w:p>
        </w:tc>
        <w:tc>
          <w:tcPr>
            <w:tcW w:w="300" w:type="dxa"/>
            <w:vAlign w:val="bottom"/>
            <w:shd w:val="clear" w:color="auto" w:fill="E6E6E6"/>
          </w:tcPr>
          <w:p>
            <w:pPr>
              <w:spacing w:after="0"/>
              <w:rPr>
                <w:sz w:val="22"/>
                <w:szCs w:val="22"/>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837.0</w:t>
            </w:r>
          </w:p>
        </w:tc>
        <w:tc>
          <w:tcPr>
            <w:tcW w:w="30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103.4</w:t>
            </w:r>
          </w:p>
        </w:tc>
        <w:tc>
          <w:tcPr>
            <w:tcW w:w="300" w:type="dxa"/>
            <w:vAlign w:val="bottom"/>
            <w:shd w:val="clear" w:color="auto" w:fill="E6E6E6"/>
          </w:tcPr>
          <w:p>
            <w:pPr>
              <w:spacing w:after="0"/>
              <w:rPr>
                <w:sz w:val="22"/>
                <w:szCs w:val="22"/>
                <w:color w:val="auto"/>
              </w:rPr>
            </w:pPr>
          </w:p>
        </w:tc>
        <w:tc>
          <w:tcPr>
            <w:tcW w:w="1020" w:type="dxa"/>
            <w:vAlign w:val="bottom"/>
            <w:shd w:val="clear" w:color="auto" w:fill="E6E6E6"/>
          </w:tcPr>
          <w:p>
            <w:pPr>
              <w:jc w:val="right"/>
              <w:ind w:right="45"/>
              <w:spacing w:after="0"/>
              <w:rPr>
                <w:sz w:val="20"/>
                <w:szCs w:val="20"/>
                <w:color w:val="auto"/>
              </w:rPr>
            </w:pPr>
            <w:r>
              <w:rPr>
                <w:rFonts w:ascii="Arial" w:cs="Arial" w:eastAsia="Arial" w:hAnsi="Arial"/>
                <w:sz w:val="15"/>
                <w:szCs w:val="15"/>
                <w:color w:val="auto"/>
              </w:rPr>
              <w:t>940.4</w:t>
            </w:r>
          </w:p>
        </w:tc>
      </w:tr>
      <w:tr>
        <w:trPr>
          <w:trHeight w:val="93"/>
        </w:trPr>
        <w:tc>
          <w:tcPr>
            <w:tcW w:w="29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bl>
    <w:p>
      <w:pPr>
        <w:spacing w:after="0" w:line="302" w:lineRule="exact"/>
        <w:rPr>
          <w:sz w:val="20"/>
          <w:szCs w:val="20"/>
          <w:color w:val="auto"/>
        </w:rPr>
      </w:pPr>
    </w:p>
    <w:p>
      <w:pPr>
        <w:ind w:left="347" w:right="40" w:hanging="347"/>
        <w:spacing w:after="0" w:line="229" w:lineRule="auto"/>
        <w:tabs>
          <w:tab w:leader="none" w:pos="347" w:val="left"/>
        </w:tabs>
        <w:numPr>
          <w:ilvl w:val="0"/>
          <w:numId w:val="16"/>
        </w:numPr>
        <w:rPr>
          <w:rFonts w:ascii="Arial" w:cs="Arial" w:eastAsia="Arial" w:hAnsi="Arial"/>
          <w:sz w:val="12"/>
          <w:szCs w:val="12"/>
          <w:color w:val="auto"/>
        </w:rPr>
      </w:pPr>
      <w:r>
        <w:rPr>
          <w:rFonts w:ascii="Arial" w:cs="Arial" w:eastAsia="Arial" w:hAnsi="Arial"/>
          <w:sz w:val="12"/>
          <w:szCs w:val="12"/>
          <w:color w:val="auto"/>
        </w:rPr>
        <w:t>Overhead includes all domestic corporate amounts not allocated to reportable segments, including expenses and costs related to the management of corporate assets. Unallocated assets are principally comprised of deferred income taxes and property, plant and equipment related to the Company’s headquarters in the metropolitan New York area, fulfillment and distribution facilities located in Missouri and Arkansas, and an industrial/office building complex in Connecticut.</w:t>
      </w:r>
    </w:p>
    <w:p>
      <w:pPr>
        <w:spacing w:after="0" w:line="199" w:lineRule="exact"/>
        <w:rPr>
          <w:rFonts w:ascii="Arial" w:cs="Arial" w:eastAsia="Arial" w:hAnsi="Arial"/>
          <w:sz w:val="12"/>
          <w:szCs w:val="12"/>
          <w:color w:val="auto"/>
        </w:rPr>
      </w:pPr>
    </w:p>
    <w:p>
      <w:pPr>
        <w:ind w:left="347" w:hanging="347"/>
        <w:spacing w:after="0"/>
        <w:tabs>
          <w:tab w:leader="none" w:pos="347"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amortization of prepublication and production costs.</w:t>
      </w:r>
    </w:p>
    <w:p>
      <w:pPr>
        <w:spacing w:after="0" w:line="187" w:lineRule="exact"/>
        <w:rPr>
          <w:rFonts w:ascii="Arial" w:cs="Arial" w:eastAsia="Arial" w:hAnsi="Arial"/>
          <w:sz w:val="12"/>
          <w:szCs w:val="12"/>
          <w:color w:val="auto"/>
        </w:rPr>
      </w:pPr>
    </w:p>
    <w:p>
      <w:pPr>
        <w:ind w:left="347" w:right="20" w:hanging="347"/>
        <w:spacing w:after="0" w:line="233" w:lineRule="auto"/>
        <w:tabs>
          <w:tab w:leader="none" w:pos="347"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Operating income (loss) represents earnings before other income, interest and income taxes. In fiscal 2006, </w:t>
      </w:r>
      <w:r>
        <w:rPr>
          <w:rFonts w:ascii="Arial" w:cs="Arial" w:eastAsia="Arial" w:hAnsi="Arial"/>
          <w:sz w:val="12"/>
          <w:szCs w:val="12"/>
          <w:i w:val="1"/>
          <w:iCs w:val="1"/>
          <w:color w:val="auto"/>
        </w:rPr>
        <w:t>Educational Publishing</w:t>
      </w:r>
      <w:r>
        <w:rPr>
          <w:rFonts w:ascii="Arial" w:cs="Arial" w:eastAsia="Arial" w:hAnsi="Arial"/>
          <w:sz w:val="12"/>
          <w:szCs w:val="12"/>
          <w:color w:val="auto"/>
        </w:rPr>
        <w:t xml:space="preserve"> includes pre-tax costs of $3.2 related to the write-down of certain print reference set assets and bad debt expense of $2.9 associated with the bankruptcy of a customer. In fiscal 2004, </w:t>
      </w:r>
      <w:r>
        <w:rPr>
          <w:rFonts w:ascii="Arial" w:cs="Arial" w:eastAsia="Arial" w:hAnsi="Arial"/>
          <w:sz w:val="12"/>
          <w:szCs w:val="12"/>
          <w:i w:val="1"/>
          <w:iCs w:val="1"/>
          <w:color w:val="auto"/>
        </w:rPr>
        <w:t>Children’s Book Publishing and Distribution</w:t>
      </w:r>
      <w:r>
        <w:rPr>
          <w:rFonts w:ascii="Arial" w:cs="Arial" w:eastAsia="Arial" w:hAnsi="Arial"/>
          <w:sz w:val="12"/>
          <w:szCs w:val="12"/>
          <w:color w:val="auto"/>
        </w:rPr>
        <w:t xml:space="preserve"> and </w:t>
      </w:r>
      <w:r>
        <w:rPr>
          <w:rFonts w:ascii="Arial" w:cs="Arial" w:eastAsia="Arial" w:hAnsi="Arial"/>
          <w:sz w:val="12"/>
          <w:szCs w:val="12"/>
          <w:i w:val="1"/>
          <w:iCs w:val="1"/>
          <w:color w:val="auto"/>
        </w:rPr>
        <w:t>International</w:t>
      </w:r>
      <w:r>
        <w:rPr>
          <w:rFonts w:ascii="Arial" w:cs="Arial" w:eastAsia="Arial" w:hAnsi="Arial"/>
          <w:sz w:val="12"/>
          <w:szCs w:val="12"/>
          <w:color w:val="auto"/>
        </w:rPr>
        <w:t xml:space="preserve"> includes charges of $22.7 and $2.7, respectively, in connection with a review of the continuity business. In fiscal 2005, </w:t>
      </w:r>
      <w:r>
        <w:rPr>
          <w:rFonts w:ascii="Arial" w:cs="Arial" w:eastAsia="Arial" w:hAnsi="Arial"/>
          <w:sz w:val="12"/>
          <w:szCs w:val="12"/>
          <w:i w:val="1"/>
          <w:iCs w:val="1"/>
          <w:color w:val="auto"/>
        </w:rPr>
        <w:t>Children’s Book Publishing and Distribution</w:t>
      </w:r>
      <w:r>
        <w:rPr>
          <w:rFonts w:ascii="Arial" w:cs="Arial" w:eastAsia="Arial" w:hAnsi="Arial"/>
          <w:sz w:val="12"/>
          <w:szCs w:val="12"/>
          <w:color w:val="auto"/>
        </w:rPr>
        <w:t xml:space="preserve"> includes additional pre-tax charges of $3.8, primarily related to severance costs due to the review of the continuity business.</w:t>
      </w:r>
    </w:p>
    <w:p>
      <w:pPr>
        <w:spacing w:after="0" w:line="198" w:lineRule="exact"/>
        <w:rPr>
          <w:rFonts w:ascii="Arial" w:cs="Arial" w:eastAsia="Arial" w:hAnsi="Arial"/>
          <w:sz w:val="12"/>
          <w:szCs w:val="12"/>
          <w:color w:val="auto"/>
        </w:rPr>
      </w:pPr>
    </w:p>
    <w:p>
      <w:pPr>
        <w:ind w:left="347" w:hanging="347"/>
        <w:spacing w:after="0"/>
        <w:tabs>
          <w:tab w:leader="none" w:pos="347"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expenditures for property, plant and equipment, investments in prepublication and production costs, royalty advances and acquisitions of, and investments in, businesses.</w:t>
      </w:r>
    </w:p>
    <w:p>
      <w:pPr>
        <w:spacing w:after="0" w:line="199" w:lineRule="exact"/>
        <w:rPr>
          <w:rFonts w:ascii="Arial" w:cs="Arial" w:eastAsia="Arial" w:hAnsi="Arial"/>
          <w:sz w:val="12"/>
          <w:szCs w:val="12"/>
          <w:color w:val="auto"/>
        </w:rPr>
      </w:pPr>
    </w:p>
    <w:p>
      <w:pPr>
        <w:ind w:left="347" w:hanging="347"/>
        <w:spacing w:after="0"/>
        <w:tabs>
          <w:tab w:leader="none" w:pos="347"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property, plant and equipment, prepublication costs, goodwill, other intangibles, royalty advances, production costs and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260350</wp:posOffset>
            </wp:positionV>
            <wp:extent cx="118110" cy="1181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28535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48" w:name="page49"/>
    <w:bookmarkEnd w:id="48"/>
    <w:p>
      <w:pPr>
        <w:ind w:left="20" w:right="320"/>
        <w:spacing w:after="0" w:line="272" w:lineRule="auto"/>
        <w:rPr>
          <w:sz w:val="20"/>
          <w:szCs w:val="20"/>
          <w:color w:val="auto"/>
        </w:rPr>
      </w:pPr>
      <w:r>
        <w:rPr>
          <w:rFonts w:ascii="Arial" w:cs="Arial" w:eastAsia="Arial" w:hAnsi="Arial"/>
          <w:sz w:val="15"/>
          <w:szCs w:val="15"/>
          <w:color w:val="auto"/>
        </w:rPr>
        <w:t xml:space="preserve">The following table separately sets forth information for the three fiscal years ended May 31 for the United States direct-to-home portion of the Company’s continuity programs, which consist primarily of the business formerly operated by Grolier Incorporated (“Grolier”) and are included 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and for all other businesses included in the segment:</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w w:val="99"/>
              </w:rPr>
              <w:t>Direct-to-home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b w:val="1"/>
                <w:bCs w:val="1"/>
                <w:color w:val="auto"/>
              </w:rPr>
              <w:t>All Other</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224"/>
              <w:spacing w:after="0"/>
              <w:rPr>
                <w:sz w:val="20"/>
                <w:szCs w:val="20"/>
                <w:color w:val="auto"/>
              </w:rPr>
            </w:pPr>
            <w:r>
              <w:rPr>
                <w:rFonts w:ascii="Arial" w:cs="Arial" w:eastAsia="Arial" w:hAnsi="Arial"/>
                <w:sz w:val="15"/>
                <w:szCs w:val="15"/>
                <w:b w:val="1"/>
                <w:bCs w:val="1"/>
                <w:color w:val="auto"/>
              </w:rPr>
              <w:t>Total</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84"/>
        </w:trPr>
        <w:tc>
          <w:tcPr>
            <w:tcW w:w="26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92"/>
        </w:trPr>
        <w:tc>
          <w:tcPr>
            <w:tcW w:w="266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2006</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2005</w:t>
            </w:r>
          </w:p>
        </w:tc>
        <w:tc>
          <w:tcPr>
            <w:tcW w:w="280" w:type="dxa"/>
            <w:vAlign w:val="bottom"/>
          </w:tcPr>
          <w:p>
            <w:pPr>
              <w:spacing w:after="0"/>
              <w:rPr>
                <w:sz w:val="24"/>
                <w:szCs w:val="24"/>
                <w:color w:val="auto"/>
              </w:rPr>
            </w:pPr>
          </w:p>
        </w:tc>
        <w:tc>
          <w:tcPr>
            <w:tcW w:w="620" w:type="dxa"/>
            <w:vAlign w:val="bottom"/>
          </w:tcPr>
          <w:p>
            <w:pPr>
              <w:jc w:val="right"/>
              <w:ind w:right="84"/>
              <w:spacing w:after="0"/>
              <w:rPr>
                <w:sz w:val="20"/>
                <w:szCs w:val="20"/>
                <w:color w:val="auto"/>
              </w:rPr>
            </w:pPr>
            <w:r>
              <w:rPr>
                <w:rFonts w:ascii="Arial" w:cs="Arial" w:eastAsia="Arial" w:hAnsi="Arial"/>
                <w:sz w:val="15"/>
                <w:szCs w:val="15"/>
                <w:b w:val="1"/>
                <w:bCs w:val="1"/>
                <w:color w:val="auto"/>
              </w:rPr>
              <w:t>2004</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2006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2005</w:t>
            </w:r>
          </w:p>
        </w:tc>
        <w:tc>
          <w:tcPr>
            <w:tcW w:w="30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2004</w:t>
            </w:r>
          </w:p>
        </w:tc>
        <w:tc>
          <w:tcPr>
            <w:tcW w:w="30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2006</w:t>
            </w:r>
          </w:p>
        </w:tc>
        <w:tc>
          <w:tcPr>
            <w:tcW w:w="28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2005</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2004</w:t>
            </w:r>
          </w:p>
        </w:tc>
      </w:tr>
      <w:tr>
        <w:trPr>
          <w:trHeight w:val="96"/>
        </w:trPr>
        <w:tc>
          <w:tcPr>
            <w:tcW w:w="2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85"/>
        </w:trPr>
        <w:tc>
          <w:tcPr>
            <w:tcW w:w="2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10"/>
        </w:trPr>
        <w:tc>
          <w:tcPr>
            <w:tcW w:w="2660" w:type="dxa"/>
            <w:vAlign w:val="bottom"/>
            <w:shd w:val="clear" w:color="auto" w:fill="E6E6E6"/>
          </w:tcPr>
          <w:p>
            <w:pPr>
              <w:spacing w:after="0"/>
              <w:rPr>
                <w:sz w:val="20"/>
                <w:szCs w:val="20"/>
                <w:color w:val="auto"/>
              </w:rPr>
            </w:pPr>
            <w:r>
              <w:rPr>
                <w:rFonts w:ascii="Arial" w:cs="Arial" w:eastAsia="Arial" w:hAnsi="Arial"/>
                <w:sz w:val="15"/>
                <w:szCs w:val="15"/>
                <w:color w:val="auto"/>
              </w:rPr>
              <w:t>Revenues</w:t>
            </w: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  134.9</w:t>
            </w:r>
          </w:p>
        </w:tc>
        <w:tc>
          <w:tcPr>
            <w:tcW w:w="98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  147.5</w:t>
            </w:r>
          </w:p>
        </w:tc>
        <w:tc>
          <w:tcPr>
            <w:tcW w:w="28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203.8</w:t>
            </w:r>
          </w:p>
        </w:tc>
        <w:tc>
          <w:tcPr>
            <w:tcW w:w="32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1,169.1</w:t>
            </w:r>
          </w:p>
        </w:tc>
        <w:tc>
          <w:tcPr>
            <w:tcW w:w="2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1,005.0</w:t>
            </w:r>
          </w:p>
        </w:tc>
        <w:tc>
          <w:tcPr>
            <w:tcW w:w="30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w:t>
            </w:r>
          </w:p>
        </w:tc>
        <w:tc>
          <w:tcPr>
            <w:tcW w:w="72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1,154.8</w:t>
            </w:r>
          </w:p>
        </w:tc>
        <w:tc>
          <w:tcPr>
            <w:tcW w:w="30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1,304.0</w:t>
            </w:r>
          </w:p>
        </w:tc>
        <w:tc>
          <w:tcPr>
            <w:tcW w:w="28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1,152.5</w:t>
            </w:r>
          </w:p>
        </w:tc>
        <w:tc>
          <w:tcPr>
            <w:tcW w:w="32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1,358.6</w:t>
            </w:r>
          </w:p>
        </w:tc>
      </w:tr>
      <w:tr>
        <w:trPr>
          <w:trHeight w:val="210"/>
        </w:trPr>
        <w:tc>
          <w:tcPr>
            <w:tcW w:w="2660" w:type="dxa"/>
            <w:vAlign w:val="bottom"/>
          </w:tcPr>
          <w:p>
            <w:pPr>
              <w:spacing w:after="0"/>
              <w:rPr>
                <w:sz w:val="20"/>
                <w:szCs w:val="20"/>
                <w:color w:val="auto"/>
              </w:rPr>
            </w:pPr>
            <w:r>
              <w:rPr>
                <w:rFonts w:ascii="Arial" w:cs="Arial" w:eastAsia="Arial" w:hAnsi="Arial"/>
                <w:sz w:val="15"/>
                <w:szCs w:val="15"/>
                <w:color w:val="auto"/>
              </w:rPr>
              <w:t>Bad debt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29.6</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31.9</w:t>
            </w:r>
          </w:p>
        </w:tc>
        <w:tc>
          <w:tcPr>
            <w:tcW w:w="280" w:type="dxa"/>
            <w:vAlign w:val="bottom"/>
          </w:tcPr>
          <w:p>
            <w:pPr>
              <w:spacing w:after="0"/>
              <w:rPr>
                <w:sz w:val="18"/>
                <w:szCs w:val="18"/>
                <w:color w:val="auto"/>
              </w:rPr>
            </w:pPr>
          </w:p>
        </w:tc>
        <w:tc>
          <w:tcPr>
            <w:tcW w:w="620" w:type="dxa"/>
            <w:vAlign w:val="bottom"/>
          </w:tcPr>
          <w:p>
            <w:pPr>
              <w:jc w:val="right"/>
              <w:ind w:right="84"/>
              <w:spacing w:after="0"/>
              <w:rPr>
                <w:sz w:val="20"/>
                <w:szCs w:val="20"/>
                <w:color w:val="auto"/>
              </w:rPr>
            </w:pPr>
            <w:r>
              <w:rPr>
                <w:rFonts w:ascii="Arial" w:cs="Arial" w:eastAsia="Arial" w:hAnsi="Arial"/>
                <w:sz w:val="15"/>
                <w:szCs w:val="15"/>
                <w:color w:val="auto"/>
              </w:rPr>
              <w:t>49.9</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19.2</w:t>
            </w:r>
          </w:p>
        </w:tc>
        <w:tc>
          <w:tcPr>
            <w:tcW w:w="30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28.7</w:t>
            </w:r>
          </w:p>
        </w:tc>
        <w:tc>
          <w:tcPr>
            <w:tcW w:w="3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44.8</w:t>
            </w:r>
          </w:p>
        </w:tc>
        <w:tc>
          <w:tcPr>
            <w:tcW w:w="2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51.1</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78.6</w:t>
            </w:r>
          </w:p>
        </w:tc>
      </w:tr>
      <w:tr>
        <w:trPr>
          <w:trHeight w:val="210"/>
        </w:trPr>
        <w:tc>
          <w:tcPr>
            <w:tcW w:w="2660" w:type="dxa"/>
            <w:vAlign w:val="bottom"/>
            <w:shd w:val="clear" w:color="auto" w:fill="E6E6E6"/>
          </w:tcPr>
          <w:p>
            <w:pPr>
              <w:spacing w:after="0"/>
              <w:rPr>
                <w:sz w:val="20"/>
                <w:szCs w:val="20"/>
                <w:color w:val="auto"/>
              </w:rPr>
            </w:pPr>
            <w:r>
              <w:rPr>
                <w:rFonts w:ascii="Arial" w:cs="Arial" w:eastAsia="Arial" w:hAnsi="Arial"/>
                <w:sz w:val="15"/>
                <w:szCs w:val="15"/>
                <w:color w:val="auto"/>
              </w:rPr>
              <w:t>Depreciation</w:t>
            </w: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0.8</w:t>
            </w:r>
          </w:p>
        </w:tc>
        <w:tc>
          <w:tcPr>
            <w:tcW w:w="98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0.6</w:t>
            </w:r>
          </w:p>
        </w:tc>
        <w:tc>
          <w:tcPr>
            <w:tcW w:w="280" w:type="dxa"/>
            <w:vAlign w:val="bottom"/>
            <w:shd w:val="clear" w:color="auto" w:fill="E6E6E6"/>
          </w:tcPr>
          <w:p>
            <w:pPr>
              <w:spacing w:after="0"/>
              <w:rPr>
                <w:sz w:val="18"/>
                <w:szCs w:val="18"/>
                <w:color w:val="auto"/>
              </w:rPr>
            </w:pPr>
          </w:p>
        </w:tc>
        <w:tc>
          <w:tcPr>
            <w:tcW w:w="6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0.5</w:t>
            </w: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15.7</w:t>
            </w:r>
          </w:p>
        </w:tc>
        <w:tc>
          <w:tcPr>
            <w:tcW w:w="20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12.9</w:t>
            </w:r>
          </w:p>
        </w:tc>
        <w:tc>
          <w:tcPr>
            <w:tcW w:w="3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12.1</w:t>
            </w:r>
          </w:p>
        </w:tc>
        <w:tc>
          <w:tcPr>
            <w:tcW w:w="30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16.5</w:t>
            </w:r>
          </w:p>
        </w:tc>
        <w:tc>
          <w:tcPr>
            <w:tcW w:w="28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13.5</w:t>
            </w: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12.6</w:t>
            </w:r>
          </w:p>
        </w:tc>
      </w:tr>
      <w:tr>
        <w:trPr>
          <w:trHeight w:val="256"/>
        </w:trPr>
        <w:tc>
          <w:tcPr>
            <w:tcW w:w="2660" w:type="dxa"/>
            <w:vAlign w:val="bottom"/>
          </w:tcPr>
          <w:p>
            <w:pPr>
              <w:spacing w:after="0" w:line="256" w:lineRule="exact"/>
              <w:rPr>
                <w:sz w:val="20"/>
                <w:szCs w:val="20"/>
                <w:color w:val="auto"/>
              </w:rPr>
            </w:pPr>
            <w:r>
              <w:rPr>
                <w:rFonts w:ascii="Arial" w:cs="Arial" w:eastAsia="Arial" w:hAnsi="Arial"/>
                <w:sz w:val="15"/>
                <w:szCs w:val="15"/>
                <w:color w:val="auto"/>
              </w:rPr>
              <w:t>Amortization</w:t>
            </w:r>
            <w:r>
              <w:rPr>
                <w:rFonts w:ascii="Arial" w:cs="Arial" w:eastAsia="Arial" w:hAnsi="Arial"/>
                <w:sz w:val="29"/>
                <w:szCs w:val="29"/>
                <w:color w:val="auto"/>
                <w:vertAlign w:val="superscript"/>
              </w:rPr>
              <w:t>(1)</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1.4</w:t>
            </w:r>
          </w:p>
        </w:tc>
        <w:tc>
          <w:tcPr>
            <w:tcW w:w="280" w:type="dxa"/>
            <w:vAlign w:val="bottom"/>
          </w:tcPr>
          <w:p>
            <w:pPr>
              <w:spacing w:after="0"/>
              <w:rPr>
                <w:sz w:val="22"/>
                <w:szCs w:val="22"/>
                <w:color w:val="auto"/>
              </w:rPr>
            </w:pPr>
          </w:p>
        </w:tc>
        <w:tc>
          <w:tcPr>
            <w:tcW w:w="620" w:type="dxa"/>
            <w:vAlign w:val="bottom"/>
          </w:tcPr>
          <w:p>
            <w:pPr>
              <w:jc w:val="right"/>
              <w:ind w:right="84"/>
              <w:spacing w:after="0"/>
              <w:rPr>
                <w:sz w:val="20"/>
                <w:szCs w:val="20"/>
                <w:color w:val="auto"/>
              </w:rPr>
            </w:pPr>
            <w:r>
              <w:rPr>
                <w:rFonts w:ascii="Arial" w:cs="Arial" w:eastAsia="Arial" w:hAnsi="Arial"/>
                <w:sz w:val="15"/>
                <w:szCs w:val="15"/>
                <w:color w:val="auto"/>
              </w:rPr>
              <w:t>1.3</w:t>
            </w: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14.7</w:t>
            </w:r>
          </w:p>
        </w:tc>
        <w:tc>
          <w:tcPr>
            <w:tcW w:w="30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14.4</w:t>
            </w:r>
          </w:p>
        </w:tc>
        <w:tc>
          <w:tcPr>
            <w:tcW w:w="300" w:type="dxa"/>
            <w:vAlign w:val="bottom"/>
          </w:tcPr>
          <w:p>
            <w:pPr>
              <w:spacing w:after="0"/>
              <w:rPr>
                <w:sz w:val="22"/>
                <w:szCs w:val="22"/>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16.4</w:t>
            </w:r>
          </w:p>
        </w:tc>
        <w:tc>
          <w:tcPr>
            <w:tcW w:w="280" w:type="dxa"/>
            <w:vAlign w:val="bottom"/>
          </w:tcPr>
          <w:p>
            <w:pPr>
              <w:spacing w:after="0"/>
              <w:rPr>
                <w:sz w:val="22"/>
                <w:szCs w:val="22"/>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16.1</w:t>
            </w: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15.7</w:t>
            </w:r>
          </w:p>
        </w:tc>
      </w:tr>
      <w:tr>
        <w:trPr>
          <w:trHeight w:val="207"/>
        </w:trPr>
        <w:tc>
          <w:tcPr>
            <w:tcW w:w="2660" w:type="dxa"/>
            <w:vAlign w:val="bottom"/>
            <w:shd w:val="clear" w:color="auto" w:fill="E6E6E6"/>
          </w:tcPr>
          <w:p>
            <w:pPr>
              <w:spacing w:after="0"/>
              <w:rPr>
                <w:sz w:val="20"/>
                <w:szCs w:val="20"/>
                <w:color w:val="auto"/>
              </w:rPr>
            </w:pPr>
            <w:r>
              <w:rPr>
                <w:rFonts w:ascii="Arial" w:cs="Arial" w:eastAsia="Arial" w:hAnsi="Arial"/>
                <w:sz w:val="15"/>
                <w:szCs w:val="15"/>
                <w:color w:val="auto"/>
              </w:rPr>
              <w:t>Royalty advances</w:t>
            </w:r>
          </w:p>
        </w:tc>
        <w:tc>
          <w:tcPr>
            <w:tcW w:w="7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r>
      <w:tr>
        <w:trPr>
          <w:trHeight w:val="212"/>
        </w:trPr>
        <w:tc>
          <w:tcPr>
            <w:tcW w:w="2660" w:type="dxa"/>
            <w:vAlign w:val="bottom"/>
            <w:shd w:val="clear" w:color="auto" w:fill="E6E6E6"/>
          </w:tcPr>
          <w:p>
            <w:pPr>
              <w:ind w:left="140"/>
              <w:spacing w:after="0"/>
              <w:rPr>
                <w:sz w:val="20"/>
                <w:szCs w:val="20"/>
                <w:color w:val="auto"/>
              </w:rPr>
            </w:pPr>
            <w:r>
              <w:rPr>
                <w:rFonts w:ascii="Arial" w:cs="Arial" w:eastAsia="Arial" w:hAnsi="Arial"/>
                <w:sz w:val="15"/>
                <w:szCs w:val="15"/>
                <w:color w:val="auto"/>
              </w:rPr>
              <w:t>expensed</w:t>
            </w: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3.2</w:t>
            </w:r>
          </w:p>
        </w:tc>
        <w:tc>
          <w:tcPr>
            <w:tcW w:w="98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3.8</w:t>
            </w:r>
          </w:p>
        </w:tc>
        <w:tc>
          <w:tcPr>
            <w:tcW w:w="280" w:type="dxa"/>
            <w:vAlign w:val="bottom"/>
            <w:shd w:val="clear" w:color="auto" w:fill="E6E6E6"/>
          </w:tcPr>
          <w:p>
            <w:pPr>
              <w:spacing w:after="0"/>
              <w:rPr>
                <w:sz w:val="18"/>
                <w:szCs w:val="18"/>
                <w:color w:val="auto"/>
              </w:rPr>
            </w:pPr>
          </w:p>
        </w:tc>
        <w:tc>
          <w:tcPr>
            <w:tcW w:w="6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0.8</w:t>
            </w: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26.5</w:t>
            </w:r>
          </w:p>
        </w:tc>
        <w:tc>
          <w:tcPr>
            <w:tcW w:w="20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23.5</w:t>
            </w:r>
          </w:p>
        </w:tc>
        <w:tc>
          <w:tcPr>
            <w:tcW w:w="3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15.5</w:t>
            </w:r>
          </w:p>
        </w:tc>
        <w:tc>
          <w:tcPr>
            <w:tcW w:w="30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29.7</w:t>
            </w:r>
          </w:p>
        </w:tc>
        <w:tc>
          <w:tcPr>
            <w:tcW w:w="28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27.3</w:t>
            </w: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16.3</w:t>
            </w:r>
          </w:p>
        </w:tc>
      </w:tr>
      <w:tr>
        <w:trPr>
          <w:trHeight w:val="256"/>
        </w:trPr>
        <w:tc>
          <w:tcPr>
            <w:tcW w:w="2660" w:type="dxa"/>
            <w:vAlign w:val="bottom"/>
          </w:tcPr>
          <w:p>
            <w:pPr>
              <w:spacing w:after="0" w:line="256" w:lineRule="exact"/>
              <w:rPr>
                <w:sz w:val="20"/>
                <w:szCs w:val="20"/>
                <w:color w:val="auto"/>
              </w:rPr>
            </w:pPr>
            <w:r>
              <w:rPr>
                <w:rFonts w:ascii="Arial" w:cs="Arial" w:eastAsia="Arial" w:hAnsi="Arial"/>
                <w:sz w:val="15"/>
                <w:szCs w:val="15"/>
                <w:color w:val="auto"/>
              </w:rPr>
              <w:t>Business income (loss)</w:t>
            </w:r>
            <w:r>
              <w:rPr>
                <w:rFonts w:ascii="Arial" w:cs="Arial" w:eastAsia="Arial" w:hAnsi="Arial"/>
                <w:sz w:val="29"/>
                <w:szCs w:val="29"/>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5"/>
                <w:szCs w:val="15"/>
                <w:color w:val="auto"/>
              </w:rPr>
              <w:t>(13.6)</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(2.8)</w:t>
            </w:r>
          </w:p>
        </w:tc>
        <w:tc>
          <w:tcPr>
            <w:tcW w:w="280" w:type="dxa"/>
            <w:vAlign w:val="bottom"/>
          </w:tcPr>
          <w:p>
            <w:pPr>
              <w:spacing w:after="0"/>
              <w:rPr>
                <w:sz w:val="22"/>
                <w:szCs w:val="22"/>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(10.4)</w:t>
            </w:r>
          </w:p>
        </w:tc>
        <w:tc>
          <w:tcPr>
            <w:tcW w:w="320" w:type="dxa"/>
            <w:vAlign w:val="bottom"/>
          </w:tcPr>
          <w:p>
            <w:pPr>
              <w:spacing w:after="0"/>
              <w:rPr>
                <w:sz w:val="22"/>
                <w:szCs w:val="22"/>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127.8</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96.3</w:t>
            </w:r>
          </w:p>
        </w:tc>
        <w:tc>
          <w:tcPr>
            <w:tcW w:w="30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115.0</w:t>
            </w:r>
          </w:p>
        </w:tc>
        <w:tc>
          <w:tcPr>
            <w:tcW w:w="300" w:type="dxa"/>
            <w:vAlign w:val="bottom"/>
          </w:tcPr>
          <w:p>
            <w:pPr>
              <w:spacing w:after="0"/>
              <w:rPr>
                <w:sz w:val="22"/>
                <w:szCs w:val="22"/>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114.2</w:t>
            </w:r>
          </w:p>
        </w:tc>
        <w:tc>
          <w:tcPr>
            <w:tcW w:w="280" w:type="dxa"/>
            <w:vAlign w:val="bottom"/>
          </w:tcPr>
          <w:p>
            <w:pPr>
              <w:spacing w:after="0"/>
              <w:rPr>
                <w:sz w:val="22"/>
                <w:szCs w:val="22"/>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93.5</w:t>
            </w: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104.6</w:t>
            </w:r>
          </w:p>
        </w:tc>
      </w:tr>
      <w:tr>
        <w:trPr>
          <w:trHeight w:val="210"/>
        </w:trPr>
        <w:tc>
          <w:tcPr>
            <w:tcW w:w="2660" w:type="dxa"/>
            <w:vAlign w:val="bottom"/>
            <w:shd w:val="clear" w:color="auto" w:fill="E6E6E6"/>
          </w:tcPr>
          <w:p>
            <w:pPr>
              <w:spacing w:after="0"/>
              <w:rPr>
                <w:sz w:val="20"/>
                <w:szCs w:val="20"/>
                <w:color w:val="auto"/>
              </w:rPr>
            </w:pPr>
            <w:r>
              <w:rPr>
                <w:rFonts w:ascii="Arial" w:cs="Arial" w:eastAsia="Arial" w:hAnsi="Arial"/>
                <w:sz w:val="15"/>
                <w:szCs w:val="15"/>
                <w:color w:val="auto"/>
              </w:rPr>
              <w:t>Business assets</w:t>
            </w: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217.8</w:t>
            </w:r>
          </w:p>
        </w:tc>
        <w:tc>
          <w:tcPr>
            <w:tcW w:w="98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196.2</w:t>
            </w:r>
          </w:p>
        </w:tc>
        <w:tc>
          <w:tcPr>
            <w:tcW w:w="280" w:type="dxa"/>
            <w:vAlign w:val="bottom"/>
            <w:shd w:val="clear" w:color="auto" w:fill="E6E6E6"/>
          </w:tcPr>
          <w:p>
            <w:pPr>
              <w:spacing w:after="0"/>
              <w:rPr>
                <w:sz w:val="18"/>
                <w:szCs w:val="18"/>
                <w:color w:val="auto"/>
              </w:rPr>
            </w:pPr>
          </w:p>
        </w:tc>
        <w:tc>
          <w:tcPr>
            <w:tcW w:w="6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218.9</w:t>
            </w: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591.0</w:t>
            </w:r>
          </w:p>
        </w:tc>
        <w:tc>
          <w:tcPr>
            <w:tcW w:w="20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537.1</w:t>
            </w:r>
          </w:p>
        </w:tc>
        <w:tc>
          <w:tcPr>
            <w:tcW w:w="3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494.4</w:t>
            </w:r>
          </w:p>
        </w:tc>
        <w:tc>
          <w:tcPr>
            <w:tcW w:w="30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808.8</w:t>
            </w:r>
          </w:p>
        </w:tc>
        <w:tc>
          <w:tcPr>
            <w:tcW w:w="28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733.3</w:t>
            </w: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713.3</w:t>
            </w:r>
          </w:p>
        </w:tc>
      </w:tr>
      <w:tr>
        <w:trPr>
          <w:trHeight w:val="210"/>
        </w:trPr>
        <w:tc>
          <w:tcPr>
            <w:tcW w:w="2660" w:type="dxa"/>
            <w:vAlign w:val="bottom"/>
          </w:tcPr>
          <w:p>
            <w:pPr>
              <w:spacing w:after="0"/>
              <w:rPr>
                <w:sz w:val="20"/>
                <w:szCs w:val="20"/>
                <w:color w:val="auto"/>
              </w:rPr>
            </w:pPr>
            <w:r>
              <w:rPr>
                <w:rFonts w:ascii="Arial" w:cs="Arial" w:eastAsia="Arial" w:hAnsi="Arial"/>
                <w:sz w:val="15"/>
                <w:szCs w:val="15"/>
                <w:color w:val="auto"/>
              </w:rPr>
              <w:t>Goodwill</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92.4</w:t>
            </w:r>
          </w:p>
        </w:tc>
        <w:tc>
          <w:tcPr>
            <w:tcW w:w="980" w:type="dxa"/>
            <w:vAlign w:val="bottom"/>
          </w:tcPr>
          <w:p>
            <w:pPr>
              <w:jc w:val="right"/>
              <w:ind w:right="84"/>
              <w:spacing w:after="0"/>
              <w:rPr>
                <w:sz w:val="20"/>
                <w:szCs w:val="20"/>
                <w:color w:val="auto"/>
              </w:rPr>
            </w:pPr>
            <w:r>
              <w:rPr>
                <w:rFonts w:ascii="Arial" w:cs="Arial" w:eastAsia="Arial" w:hAnsi="Arial"/>
                <w:sz w:val="15"/>
                <w:szCs w:val="15"/>
                <w:color w:val="auto"/>
              </w:rPr>
              <w:t>92.4</w:t>
            </w:r>
          </w:p>
        </w:tc>
        <w:tc>
          <w:tcPr>
            <w:tcW w:w="280" w:type="dxa"/>
            <w:vAlign w:val="bottom"/>
          </w:tcPr>
          <w:p>
            <w:pPr>
              <w:spacing w:after="0"/>
              <w:rPr>
                <w:sz w:val="18"/>
                <w:szCs w:val="18"/>
                <w:color w:val="auto"/>
              </w:rPr>
            </w:pPr>
          </w:p>
        </w:tc>
        <w:tc>
          <w:tcPr>
            <w:tcW w:w="620" w:type="dxa"/>
            <w:vAlign w:val="bottom"/>
          </w:tcPr>
          <w:p>
            <w:pPr>
              <w:jc w:val="right"/>
              <w:ind w:right="84"/>
              <w:spacing w:after="0"/>
              <w:rPr>
                <w:sz w:val="20"/>
                <w:szCs w:val="20"/>
                <w:color w:val="auto"/>
              </w:rPr>
            </w:pPr>
            <w:r>
              <w:rPr>
                <w:rFonts w:ascii="Arial" w:cs="Arial" w:eastAsia="Arial" w:hAnsi="Arial"/>
                <w:sz w:val="15"/>
                <w:szCs w:val="15"/>
                <w:color w:val="auto"/>
              </w:rPr>
              <w:t>92.4</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38.2</w:t>
            </w:r>
          </w:p>
        </w:tc>
        <w:tc>
          <w:tcPr>
            <w:tcW w:w="30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35.5</w:t>
            </w:r>
          </w:p>
        </w:tc>
        <w:tc>
          <w:tcPr>
            <w:tcW w:w="3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130.6</w:t>
            </w:r>
          </w:p>
        </w:tc>
        <w:tc>
          <w:tcPr>
            <w:tcW w:w="2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130.6</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127.9</w:t>
            </w:r>
          </w:p>
        </w:tc>
      </w:tr>
      <w:tr>
        <w:trPr>
          <w:trHeight w:val="207"/>
        </w:trPr>
        <w:tc>
          <w:tcPr>
            <w:tcW w:w="2660" w:type="dxa"/>
            <w:vAlign w:val="bottom"/>
            <w:shd w:val="clear" w:color="auto" w:fill="E6E6E6"/>
          </w:tcPr>
          <w:p>
            <w:pPr>
              <w:spacing w:after="0"/>
              <w:rPr>
                <w:sz w:val="20"/>
                <w:szCs w:val="20"/>
                <w:color w:val="auto"/>
              </w:rPr>
            </w:pPr>
            <w:r>
              <w:rPr>
                <w:rFonts w:ascii="Arial" w:cs="Arial" w:eastAsia="Arial" w:hAnsi="Arial"/>
                <w:sz w:val="15"/>
                <w:szCs w:val="15"/>
                <w:color w:val="auto"/>
              </w:rPr>
              <w:t>Expenditures for long-lived</w:t>
            </w:r>
          </w:p>
        </w:tc>
        <w:tc>
          <w:tcPr>
            <w:tcW w:w="7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r>
      <w:tr>
        <w:trPr>
          <w:trHeight w:val="259"/>
        </w:trPr>
        <w:tc>
          <w:tcPr>
            <w:tcW w:w="2660" w:type="dxa"/>
            <w:vAlign w:val="bottom"/>
            <w:shd w:val="clear" w:color="auto" w:fill="E6E6E6"/>
          </w:tcPr>
          <w:p>
            <w:pPr>
              <w:ind w:left="140"/>
              <w:spacing w:after="0" w:line="259" w:lineRule="exact"/>
              <w:rPr>
                <w:sz w:val="20"/>
                <w:szCs w:val="20"/>
                <w:color w:val="auto"/>
              </w:rPr>
            </w:pPr>
            <w:r>
              <w:rPr>
                <w:rFonts w:ascii="Arial" w:cs="Arial" w:eastAsia="Arial" w:hAnsi="Arial"/>
                <w:sz w:val="15"/>
                <w:szCs w:val="15"/>
                <w:color w:val="auto"/>
              </w:rPr>
              <w:t>assets</w:t>
            </w:r>
            <w:r>
              <w:rPr>
                <w:rFonts w:ascii="Arial" w:cs="Arial" w:eastAsia="Arial" w:hAnsi="Arial"/>
                <w:sz w:val="30"/>
                <w:szCs w:val="30"/>
                <w:color w:val="auto"/>
                <w:vertAlign w:val="superscript"/>
              </w:rPr>
              <w:t>(3)</w:t>
            </w: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5.9</w:t>
            </w:r>
          </w:p>
        </w:tc>
        <w:tc>
          <w:tcPr>
            <w:tcW w:w="98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7.1</w:t>
            </w:r>
          </w:p>
        </w:tc>
        <w:tc>
          <w:tcPr>
            <w:tcW w:w="280" w:type="dxa"/>
            <w:vAlign w:val="bottom"/>
            <w:shd w:val="clear" w:color="auto" w:fill="E6E6E6"/>
          </w:tcPr>
          <w:p>
            <w:pPr>
              <w:spacing w:after="0"/>
              <w:rPr>
                <w:sz w:val="22"/>
                <w:szCs w:val="22"/>
                <w:color w:val="auto"/>
              </w:rPr>
            </w:pPr>
          </w:p>
        </w:tc>
        <w:tc>
          <w:tcPr>
            <w:tcW w:w="62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4.6</w:t>
            </w:r>
          </w:p>
        </w:tc>
        <w:tc>
          <w:tcPr>
            <w:tcW w:w="32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59.1</w:t>
            </w:r>
          </w:p>
        </w:tc>
        <w:tc>
          <w:tcPr>
            <w:tcW w:w="200" w:type="dxa"/>
            <w:vAlign w:val="bottom"/>
            <w:shd w:val="clear" w:color="auto" w:fill="E6E6E6"/>
          </w:tcPr>
          <w:p>
            <w:pPr>
              <w:spacing w:after="0"/>
              <w:rPr>
                <w:sz w:val="22"/>
                <w:szCs w:val="22"/>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57.5</w:t>
            </w:r>
          </w:p>
        </w:tc>
        <w:tc>
          <w:tcPr>
            <w:tcW w:w="300" w:type="dxa"/>
            <w:vAlign w:val="bottom"/>
            <w:shd w:val="clear" w:color="auto" w:fill="E6E6E6"/>
          </w:tcPr>
          <w:p>
            <w:pPr>
              <w:spacing w:after="0"/>
              <w:rPr>
                <w:sz w:val="22"/>
                <w:szCs w:val="22"/>
                <w:color w:val="auto"/>
              </w:rPr>
            </w:pPr>
          </w:p>
        </w:tc>
        <w:tc>
          <w:tcPr>
            <w:tcW w:w="72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48.7</w:t>
            </w:r>
          </w:p>
        </w:tc>
        <w:tc>
          <w:tcPr>
            <w:tcW w:w="300" w:type="dxa"/>
            <w:vAlign w:val="bottom"/>
            <w:shd w:val="clear" w:color="auto" w:fill="E6E6E6"/>
          </w:tcPr>
          <w:p>
            <w:pPr>
              <w:spacing w:after="0"/>
              <w:rPr>
                <w:sz w:val="22"/>
                <w:szCs w:val="22"/>
                <w:color w:val="auto"/>
              </w:rPr>
            </w:pPr>
          </w:p>
        </w:tc>
        <w:tc>
          <w:tcPr>
            <w:tcW w:w="7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65.0</w:t>
            </w:r>
          </w:p>
        </w:tc>
        <w:tc>
          <w:tcPr>
            <w:tcW w:w="280" w:type="dxa"/>
            <w:vAlign w:val="bottom"/>
            <w:shd w:val="clear" w:color="auto" w:fill="E6E6E6"/>
          </w:tcPr>
          <w:p>
            <w:pPr>
              <w:spacing w:after="0"/>
              <w:rPr>
                <w:sz w:val="22"/>
                <w:szCs w:val="22"/>
                <w:color w:val="auto"/>
              </w:rPr>
            </w:pPr>
          </w:p>
        </w:tc>
        <w:tc>
          <w:tcPr>
            <w:tcW w:w="76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64.6</w:t>
            </w:r>
          </w:p>
        </w:tc>
        <w:tc>
          <w:tcPr>
            <w:tcW w:w="32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53.3</w:t>
            </w:r>
          </w:p>
        </w:tc>
      </w:tr>
      <w:tr>
        <w:trPr>
          <w:trHeight w:val="350"/>
        </w:trPr>
        <w:tc>
          <w:tcPr>
            <w:tcW w:w="2660" w:type="dxa"/>
            <w:vAlign w:val="bottom"/>
            <w:tcBorders>
              <w:bottom w:val="single" w:sz="8" w:color="808080"/>
            </w:tcBorders>
          </w:tcPr>
          <w:p>
            <w:pPr>
              <w:spacing w:after="0"/>
              <w:rPr>
                <w:sz w:val="20"/>
                <w:szCs w:val="20"/>
                <w:color w:val="auto"/>
              </w:rPr>
            </w:pPr>
            <w:r>
              <w:rPr>
                <w:rFonts w:ascii="Arial" w:cs="Arial" w:eastAsia="Arial" w:hAnsi="Arial"/>
                <w:sz w:val="15"/>
                <w:szCs w:val="15"/>
                <w:color w:val="auto"/>
              </w:rPr>
              <w:t>Long-lived assets</w:t>
            </w:r>
            <w:r>
              <w:rPr>
                <w:rFonts w:ascii="Arial" w:cs="Arial" w:eastAsia="Arial" w:hAnsi="Arial"/>
                <w:sz w:val="30"/>
                <w:szCs w:val="30"/>
                <w:color w:val="auto"/>
                <w:vertAlign w:val="superscript"/>
              </w:rPr>
              <w:t>(4)</w:t>
            </w:r>
          </w:p>
        </w:tc>
        <w:tc>
          <w:tcPr>
            <w:tcW w:w="760" w:type="dxa"/>
            <w:vAlign w:val="bottom"/>
            <w:tcBorders>
              <w:bottom w:val="single" w:sz="8" w:color="808080"/>
            </w:tcBorders>
          </w:tcPr>
          <w:p>
            <w:pPr>
              <w:jc w:val="right"/>
              <w:ind w:right="4"/>
              <w:spacing w:after="0"/>
              <w:rPr>
                <w:sz w:val="20"/>
                <w:szCs w:val="20"/>
                <w:color w:val="auto"/>
              </w:rPr>
            </w:pPr>
            <w:r>
              <w:rPr>
                <w:rFonts w:ascii="Arial" w:cs="Arial" w:eastAsia="Arial" w:hAnsi="Arial"/>
                <w:sz w:val="15"/>
                <w:szCs w:val="15"/>
                <w:color w:val="auto"/>
              </w:rPr>
              <w:t>116.5</w:t>
            </w:r>
          </w:p>
        </w:tc>
        <w:tc>
          <w:tcPr>
            <w:tcW w:w="980" w:type="dxa"/>
            <w:vAlign w:val="bottom"/>
            <w:tcBorders>
              <w:bottom w:val="single" w:sz="8" w:color="808080"/>
            </w:tcBorders>
          </w:tcPr>
          <w:p>
            <w:pPr>
              <w:jc w:val="right"/>
              <w:ind w:right="84"/>
              <w:spacing w:after="0"/>
              <w:rPr>
                <w:sz w:val="20"/>
                <w:szCs w:val="20"/>
                <w:color w:val="auto"/>
              </w:rPr>
            </w:pPr>
            <w:r>
              <w:rPr>
                <w:rFonts w:ascii="Arial" w:cs="Arial" w:eastAsia="Arial" w:hAnsi="Arial"/>
                <w:sz w:val="15"/>
                <w:szCs w:val="15"/>
                <w:color w:val="auto"/>
              </w:rPr>
              <w:t>115.2</w:t>
            </w:r>
          </w:p>
        </w:tc>
        <w:tc>
          <w:tcPr>
            <w:tcW w:w="2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jc w:val="right"/>
              <w:ind w:right="84"/>
              <w:spacing w:after="0"/>
              <w:rPr>
                <w:sz w:val="20"/>
                <w:szCs w:val="20"/>
                <w:color w:val="auto"/>
              </w:rPr>
            </w:pPr>
            <w:r>
              <w:rPr>
                <w:rFonts w:ascii="Arial" w:cs="Arial" w:eastAsia="Arial" w:hAnsi="Arial"/>
                <w:sz w:val="15"/>
                <w:szCs w:val="15"/>
                <w:color w:val="auto"/>
              </w:rPr>
              <w:t>115.2</w:t>
            </w: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4"/>
              <w:spacing w:after="0"/>
              <w:rPr>
                <w:sz w:val="20"/>
                <w:szCs w:val="20"/>
                <w:color w:val="auto"/>
              </w:rPr>
            </w:pPr>
            <w:r>
              <w:rPr>
                <w:rFonts w:ascii="Arial" w:cs="Arial" w:eastAsia="Arial" w:hAnsi="Arial"/>
                <w:sz w:val="15"/>
                <w:szCs w:val="15"/>
                <w:color w:val="auto"/>
              </w:rPr>
              <w:t>177.0</w:t>
            </w: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174.3</w:t>
            </w: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4"/>
              <w:spacing w:after="0"/>
              <w:rPr>
                <w:sz w:val="20"/>
                <w:szCs w:val="20"/>
                <w:color w:val="auto"/>
              </w:rPr>
            </w:pPr>
            <w:r>
              <w:rPr>
                <w:rFonts w:ascii="Arial" w:cs="Arial" w:eastAsia="Arial" w:hAnsi="Arial"/>
                <w:sz w:val="15"/>
                <w:szCs w:val="15"/>
                <w:color w:val="auto"/>
              </w:rPr>
              <w:t>165.9</w:t>
            </w: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4"/>
              <w:spacing w:after="0"/>
              <w:rPr>
                <w:sz w:val="20"/>
                <w:szCs w:val="20"/>
                <w:color w:val="auto"/>
              </w:rPr>
            </w:pPr>
            <w:r>
              <w:rPr>
                <w:rFonts w:ascii="Arial" w:cs="Arial" w:eastAsia="Arial" w:hAnsi="Arial"/>
                <w:sz w:val="15"/>
                <w:szCs w:val="15"/>
                <w:color w:val="auto"/>
              </w:rPr>
              <w:t>293.5</w:t>
            </w: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4"/>
              <w:spacing w:after="0"/>
              <w:rPr>
                <w:sz w:val="20"/>
                <w:szCs w:val="20"/>
                <w:color w:val="auto"/>
              </w:rPr>
            </w:pPr>
            <w:r>
              <w:rPr>
                <w:rFonts w:ascii="Arial" w:cs="Arial" w:eastAsia="Arial" w:hAnsi="Arial"/>
                <w:sz w:val="15"/>
                <w:szCs w:val="15"/>
                <w:color w:val="auto"/>
              </w:rPr>
              <w:t>289.5</w:t>
            </w: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281.1</w:t>
            </w:r>
          </w:p>
        </w:tc>
      </w:tr>
    </w:tbl>
    <w:p>
      <w:pPr>
        <w:spacing w:after="0" w:line="302" w:lineRule="exact"/>
        <w:rPr>
          <w:sz w:val="20"/>
          <w:szCs w:val="20"/>
          <w:color w:val="auto"/>
        </w:rPr>
      </w:pPr>
    </w:p>
    <w:p>
      <w:pPr>
        <w:ind w:left="360" w:hanging="347"/>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amortization of prepublication costs.</w:t>
      </w:r>
    </w:p>
    <w:p>
      <w:pPr>
        <w:spacing w:after="0" w:line="199" w:lineRule="exact"/>
        <w:rPr>
          <w:rFonts w:ascii="Arial" w:cs="Arial" w:eastAsia="Arial" w:hAnsi="Arial"/>
          <w:sz w:val="12"/>
          <w:szCs w:val="12"/>
          <w:color w:val="auto"/>
        </w:rPr>
      </w:pPr>
    </w:p>
    <w:p>
      <w:pPr>
        <w:ind w:left="360" w:right="220" w:hanging="347"/>
        <w:spacing w:after="0" w:line="232"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Business income (loss) represents earnings (loss) before other income, interest and income taxes. In fiscal 2004, Direct-to-home and All Other include charges of $14.9 and $7.8, respectively, in connection with a review of the continuity business. In fiscal 2005, Direct-to-home and All Other include additional charges of $3.6 and $0.2, respectively, related to the review of the continuity business.</w:t>
      </w:r>
    </w:p>
    <w:p>
      <w:pPr>
        <w:spacing w:after="0" w:line="199" w:lineRule="exact"/>
        <w:rPr>
          <w:rFonts w:ascii="Arial" w:cs="Arial" w:eastAsia="Arial" w:hAnsi="Arial"/>
          <w:sz w:val="12"/>
          <w:szCs w:val="12"/>
          <w:color w:val="auto"/>
        </w:rPr>
      </w:pPr>
    </w:p>
    <w:p>
      <w:pPr>
        <w:ind w:left="360" w:hanging="347"/>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expenditures for property, plant and equipment, investments in prepublication costs, royalty advances and acquisitions of businesses.</w:t>
      </w:r>
    </w:p>
    <w:p>
      <w:pPr>
        <w:spacing w:after="0" w:line="199" w:lineRule="exact"/>
        <w:rPr>
          <w:rFonts w:ascii="Arial" w:cs="Arial" w:eastAsia="Arial" w:hAnsi="Arial"/>
          <w:sz w:val="12"/>
          <w:szCs w:val="12"/>
          <w:color w:val="auto"/>
        </w:rPr>
      </w:pPr>
    </w:p>
    <w:p>
      <w:pPr>
        <w:ind w:left="360" w:hanging="347"/>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property, plant and equipment, prepublication costs, goodwill, other intangibles and royalty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186690</wp:posOffset>
            </wp:positionV>
            <wp:extent cx="72656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summarizes debt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26567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b w:val="1"/>
                <w:bCs w:val="1"/>
                <w:color w:val="auto"/>
              </w:rPr>
              <w:t>Carrying</w:t>
            </w:r>
          </w:p>
        </w:tc>
        <w:tc>
          <w:tcPr>
            <w:tcW w:w="88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b w:val="1"/>
                <w:bCs w:val="1"/>
                <w:color w:val="auto"/>
              </w:rPr>
              <w:t>Fair</w:t>
            </w:r>
          </w:p>
        </w:tc>
        <w:tc>
          <w:tcPr>
            <w:tcW w:w="420" w:type="dxa"/>
            <w:vAlign w:val="bottom"/>
          </w:tcPr>
          <w:p>
            <w:pPr>
              <w:spacing w:after="0"/>
              <w:rPr>
                <w:sz w:val="17"/>
                <w:szCs w:val="17"/>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b w:val="1"/>
                <w:bCs w:val="1"/>
                <w:color w:val="auto"/>
              </w:rPr>
              <w:t>Carrying</w:t>
            </w:r>
          </w:p>
        </w:tc>
        <w:tc>
          <w:tcPr>
            <w:tcW w:w="900" w:type="dxa"/>
            <w:vAlign w:val="bottom"/>
          </w:tcPr>
          <w:p>
            <w:pPr>
              <w:spacing w:after="0"/>
              <w:rPr>
                <w:sz w:val="17"/>
                <w:szCs w:val="17"/>
                <w:color w:val="auto"/>
              </w:rPr>
            </w:pPr>
          </w:p>
        </w:tc>
        <w:tc>
          <w:tcPr>
            <w:tcW w:w="720" w:type="dxa"/>
            <w:vAlign w:val="bottom"/>
          </w:tcPr>
          <w:p>
            <w:pPr>
              <w:jc w:val="right"/>
              <w:ind w:right="124"/>
              <w:spacing w:after="0"/>
              <w:rPr>
                <w:sz w:val="20"/>
                <w:szCs w:val="20"/>
                <w:color w:val="auto"/>
              </w:rPr>
            </w:pPr>
            <w:r>
              <w:rPr>
                <w:rFonts w:ascii="Arial" w:cs="Arial" w:eastAsia="Arial" w:hAnsi="Arial"/>
                <w:sz w:val="15"/>
                <w:szCs w:val="15"/>
                <w:b w:val="1"/>
                <w:bCs w:val="1"/>
                <w:color w:val="auto"/>
              </w:rPr>
              <w:t>Fair</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b w:val="1"/>
                <w:bCs w:val="1"/>
                <w:color w:val="auto"/>
              </w:rPr>
              <w:t>Value</w:t>
            </w:r>
          </w:p>
        </w:tc>
        <w:tc>
          <w:tcPr>
            <w:tcW w:w="880" w:type="dxa"/>
            <w:vAlign w:val="bottom"/>
          </w:tcPr>
          <w:p>
            <w:pPr>
              <w:spacing w:after="0"/>
              <w:rPr>
                <w:sz w:val="18"/>
                <w:szCs w:val="18"/>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8"/>
                <w:szCs w:val="18"/>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b w:val="1"/>
                <w:bCs w:val="1"/>
                <w:color w:val="auto"/>
              </w:rPr>
              <w:t>Value</w:t>
            </w:r>
          </w:p>
        </w:tc>
        <w:tc>
          <w:tcPr>
            <w:tcW w:w="900" w:type="dxa"/>
            <w:vAlign w:val="bottom"/>
          </w:tcPr>
          <w:p>
            <w:pPr>
              <w:spacing w:after="0"/>
              <w:rPr>
                <w:sz w:val="18"/>
                <w:szCs w:val="18"/>
                <w:color w:val="auto"/>
              </w:rPr>
            </w:pPr>
          </w:p>
        </w:tc>
        <w:tc>
          <w:tcPr>
            <w:tcW w:w="720" w:type="dxa"/>
            <w:vAlign w:val="bottom"/>
          </w:tcPr>
          <w:p>
            <w:pPr>
              <w:jc w:val="right"/>
              <w:ind w:right="124"/>
              <w:spacing w:after="0"/>
              <w:rPr>
                <w:sz w:val="20"/>
                <w:szCs w:val="20"/>
                <w:color w:val="auto"/>
              </w:rPr>
            </w:pPr>
            <w:r>
              <w:rPr>
                <w:rFonts w:ascii="Arial" w:cs="Arial" w:eastAsia="Arial" w:hAnsi="Arial"/>
                <w:sz w:val="15"/>
                <w:szCs w:val="15"/>
                <w:b w:val="1"/>
                <w:bCs w:val="1"/>
                <w:color w:val="auto"/>
              </w:rPr>
              <w:t>Value</w:t>
            </w:r>
          </w:p>
        </w:tc>
      </w:tr>
      <w:tr>
        <w:trPr>
          <w:trHeight w:val="84"/>
        </w:trPr>
        <w:tc>
          <w:tcPr>
            <w:tcW w:w="20" w:type="dxa"/>
            <w:vAlign w:val="bottom"/>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29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jc w:val="right"/>
              <w:ind w:right="304"/>
              <w:spacing w:after="0"/>
              <w:rPr>
                <w:sz w:val="20"/>
                <w:szCs w:val="20"/>
                <w:color w:val="auto"/>
              </w:rPr>
            </w:pPr>
            <w:r>
              <w:rPr>
                <w:rFonts w:ascii="Arial" w:cs="Arial" w:eastAsia="Arial" w:hAnsi="Arial"/>
                <w:sz w:val="15"/>
                <w:szCs w:val="15"/>
                <w:b w:val="1"/>
                <w:bCs w:val="1"/>
                <w:color w:val="auto"/>
              </w:rPr>
              <w:t>2006</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jc w:val="right"/>
              <w:ind w:right="324"/>
              <w:spacing w:after="0"/>
              <w:rPr>
                <w:sz w:val="20"/>
                <w:szCs w:val="20"/>
                <w:color w:val="auto"/>
              </w:rPr>
            </w:pPr>
            <w:r>
              <w:rPr>
                <w:rFonts w:ascii="Arial" w:cs="Arial" w:eastAsia="Arial" w:hAnsi="Arial"/>
                <w:sz w:val="15"/>
                <w:szCs w:val="15"/>
                <w:b w:val="1"/>
                <w:bCs w:val="1"/>
                <w:color w:val="auto"/>
              </w:rPr>
              <w:t>2005</w:t>
            </w:r>
          </w:p>
        </w:tc>
        <w:tc>
          <w:tcPr>
            <w:tcW w:w="720" w:type="dxa"/>
            <w:vAlign w:val="bottom"/>
          </w:tcPr>
          <w:p>
            <w:pPr>
              <w:spacing w:after="0"/>
              <w:rPr>
                <w:sz w:val="24"/>
                <w:szCs w:val="24"/>
                <w:color w:val="auto"/>
              </w:rPr>
            </w:pPr>
          </w:p>
        </w:tc>
      </w:tr>
      <w:tr>
        <w:trPr>
          <w:trHeight w:val="96"/>
        </w:trPr>
        <w:tc>
          <w:tcPr>
            <w:tcW w:w="432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430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E6E6E6"/>
          </w:tcPr>
          <w:p>
            <w:pPr>
              <w:spacing w:after="0"/>
              <w:rPr>
                <w:sz w:val="20"/>
                <w:szCs w:val="20"/>
                <w:color w:val="auto"/>
              </w:rPr>
            </w:pPr>
            <w:r>
              <w:rPr>
                <w:rFonts w:ascii="Arial" w:cs="Arial" w:eastAsia="Arial" w:hAnsi="Arial"/>
                <w:sz w:val="15"/>
                <w:szCs w:val="15"/>
                <w:color w:val="auto"/>
              </w:rPr>
              <w:t>Lines of Credit</w:t>
            </w:r>
          </w:p>
        </w:tc>
        <w:tc>
          <w:tcPr>
            <w:tcW w:w="132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33.8</w:t>
            </w:r>
          </w:p>
        </w:tc>
        <w:tc>
          <w:tcPr>
            <w:tcW w:w="88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33.8</w:t>
            </w:r>
          </w:p>
        </w:tc>
        <w:tc>
          <w:tcPr>
            <w:tcW w:w="42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24.7</w:t>
            </w:r>
          </w:p>
        </w:tc>
        <w:tc>
          <w:tcPr>
            <w:tcW w:w="90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w:t>
            </w:r>
          </w:p>
        </w:tc>
        <w:tc>
          <w:tcPr>
            <w:tcW w:w="72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24.7</w:t>
            </w:r>
          </w:p>
        </w:tc>
      </w:tr>
      <w:tr>
        <w:trPr>
          <w:trHeight w:val="21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5.75% Notes due 2007, net of premium/discount</w:t>
            </w:r>
          </w:p>
        </w:tc>
        <w:tc>
          <w:tcPr>
            <w:tcW w:w="1320" w:type="dxa"/>
            <w:vAlign w:val="bottom"/>
          </w:tcPr>
          <w:p>
            <w:pPr>
              <w:spacing w:after="0"/>
              <w:rPr>
                <w:sz w:val="18"/>
                <w:szCs w:val="18"/>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295.3</w:t>
            </w:r>
          </w:p>
        </w:tc>
        <w:tc>
          <w:tcPr>
            <w:tcW w:w="880" w:type="dxa"/>
            <w:vAlign w:val="bottom"/>
          </w:tcPr>
          <w:p>
            <w:pPr>
              <w:spacing w:after="0"/>
              <w:rPr>
                <w:sz w:val="18"/>
                <w:szCs w:val="18"/>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293.2</w:t>
            </w:r>
          </w:p>
        </w:tc>
        <w:tc>
          <w:tcPr>
            <w:tcW w:w="420" w:type="dxa"/>
            <w:vAlign w:val="bottom"/>
          </w:tcPr>
          <w:p>
            <w:pPr>
              <w:spacing w:after="0"/>
              <w:rPr>
                <w:sz w:val="18"/>
                <w:szCs w:val="18"/>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303.5</w:t>
            </w:r>
          </w:p>
        </w:tc>
        <w:tc>
          <w:tcPr>
            <w:tcW w:w="900" w:type="dxa"/>
            <w:vAlign w:val="bottom"/>
          </w:tcPr>
          <w:p>
            <w:pPr>
              <w:spacing w:after="0"/>
              <w:rPr>
                <w:sz w:val="18"/>
                <w:szCs w:val="18"/>
                <w:color w:val="auto"/>
              </w:rPr>
            </w:pPr>
          </w:p>
        </w:tc>
        <w:tc>
          <w:tcPr>
            <w:tcW w:w="720" w:type="dxa"/>
            <w:vAlign w:val="bottom"/>
          </w:tcPr>
          <w:p>
            <w:pPr>
              <w:jc w:val="right"/>
              <w:ind w:right="124"/>
              <w:spacing w:after="0"/>
              <w:rPr>
                <w:sz w:val="20"/>
                <w:szCs w:val="20"/>
                <w:color w:val="auto"/>
              </w:rPr>
            </w:pPr>
            <w:r>
              <w:rPr>
                <w:rFonts w:ascii="Arial" w:cs="Arial" w:eastAsia="Arial" w:hAnsi="Arial"/>
                <w:sz w:val="15"/>
                <w:szCs w:val="15"/>
                <w:color w:val="auto"/>
              </w:rPr>
              <w:t>306.6</w:t>
            </w:r>
          </w:p>
        </w:tc>
      </w:tr>
      <w:tr>
        <w:trPr>
          <w:trHeight w:val="210"/>
        </w:trPr>
        <w:tc>
          <w:tcPr>
            <w:tcW w:w="20" w:type="dxa"/>
            <w:vAlign w:val="bottom"/>
          </w:tcPr>
          <w:p>
            <w:pPr>
              <w:spacing w:after="0"/>
              <w:rPr>
                <w:sz w:val="18"/>
                <w:szCs w:val="18"/>
                <w:color w:val="auto"/>
              </w:rPr>
            </w:pPr>
          </w:p>
        </w:tc>
        <w:tc>
          <w:tcPr>
            <w:tcW w:w="4300" w:type="dxa"/>
            <w:vAlign w:val="bottom"/>
            <w:shd w:val="clear" w:color="auto" w:fill="E6E6E6"/>
          </w:tcPr>
          <w:p>
            <w:pPr>
              <w:spacing w:after="0"/>
              <w:rPr>
                <w:sz w:val="20"/>
                <w:szCs w:val="20"/>
                <w:color w:val="auto"/>
              </w:rPr>
            </w:pPr>
            <w:r>
              <w:rPr>
                <w:rFonts w:ascii="Arial" w:cs="Arial" w:eastAsia="Arial" w:hAnsi="Arial"/>
                <w:sz w:val="15"/>
                <w:szCs w:val="15"/>
                <w:color w:val="auto"/>
              </w:rPr>
              <w:t>5% Notes due 2013, net of discount</w:t>
            </w:r>
          </w:p>
        </w:tc>
        <w:tc>
          <w:tcPr>
            <w:tcW w:w="1320" w:type="dxa"/>
            <w:vAlign w:val="bottom"/>
            <w:shd w:val="clear" w:color="auto" w:fill="E6E6E6"/>
          </w:tcPr>
          <w:p>
            <w:pPr>
              <w:spacing w:after="0"/>
              <w:rPr>
                <w:sz w:val="18"/>
                <w:szCs w:val="18"/>
                <w:color w:val="auto"/>
              </w:rPr>
            </w:pP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173.2</w:t>
            </w:r>
          </w:p>
        </w:tc>
        <w:tc>
          <w:tcPr>
            <w:tcW w:w="88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150.8</w:t>
            </w:r>
          </w:p>
        </w:tc>
        <w:tc>
          <w:tcPr>
            <w:tcW w:w="420" w:type="dxa"/>
            <w:vAlign w:val="bottom"/>
            <w:shd w:val="clear" w:color="auto" w:fill="E6E6E6"/>
          </w:tcPr>
          <w:p>
            <w:pPr>
              <w:spacing w:after="0"/>
              <w:rPr>
                <w:sz w:val="18"/>
                <w:szCs w:val="18"/>
                <w:color w:val="auto"/>
              </w:rPr>
            </w:pP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173.0</w:t>
            </w:r>
          </w:p>
        </w:tc>
        <w:tc>
          <w:tcPr>
            <w:tcW w:w="9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173.5</w:t>
            </w:r>
          </w:p>
        </w:tc>
      </w:tr>
      <w:tr>
        <w:trPr>
          <w:trHeight w:val="219"/>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Other debt</w:t>
            </w:r>
          </w:p>
        </w:tc>
        <w:tc>
          <w:tcPr>
            <w:tcW w:w="1320" w:type="dxa"/>
            <w:vAlign w:val="bottom"/>
          </w:tcPr>
          <w:p>
            <w:pPr>
              <w:spacing w:after="0"/>
              <w:rPr>
                <w:sz w:val="19"/>
                <w:szCs w:val="19"/>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0.1</w:t>
            </w:r>
          </w:p>
        </w:tc>
        <w:tc>
          <w:tcPr>
            <w:tcW w:w="880" w:type="dxa"/>
            <w:vAlign w:val="bottom"/>
          </w:tcPr>
          <w:p>
            <w:pPr>
              <w:spacing w:after="0"/>
              <w:rPr>
                <w:sz w:val="19"/>
                <w:szCs w:val="19"/>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0.1</w:t>
            </w:r>
          </w:p>
        </w:tc>
        <w:tc>
          <w:tcPr>
            <w:tcW w:w="420" w:type="dxa"/>
            <w:vAlign w:val="bottom"/>
          </w:tcPr>
          <w:p>
            <w:pPr>
              <w:spacing w:after="0"/>
              <w:rPr>
                <w:sz w:val="19"/>
                <w:szCs w:val="19"/>
                <w:color w:val="auto"/>
              </w:rPr>
            </w:pP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0.2</w:t>
            </w:r>
          </w:p>
        </w:tc>
        <w:tc>
          <w:tcPr>
            <w:tcW w:w="900" w:type="dxa"/>
            <w:vAlign w:val="bottom"/>
          </w:tcPr>
          <w:p>
            <w:pPr>
              <w:spacing w:after="0"/>
              <w:rPr>
                <w:sz w:val="19"/>
                <w:szCs w:val="19"/>
                <w:color w:val="auto"/>
              </w:rPr>
            </w:pPr>
          </w:p>
        </w:tc>
        <w:tc>
          <w:tcPr>
            <w:tcW w:w="720" w:type="dxa"/>
            <w:vAlign w:val="bottom"/>
          </w:tcPr>
          <w:p>
            <w:pPr>
              <w:jc w:val="right"/>
              <w:ind w:right="124"/>
              <w:spacing w:after="0"/>
              <w:rPr>
                <w:sz w:val="20"/>
                <w:szCs w:val="20"/>
                <w:color w:val="auto"/>
              </w:rPr>
            </w:pPr>
            <w:r>
              <w:rPr>
                <w:rFonts w:ascii="Arial" w:cs="Arial" w:eastAsia="Arial" w:hAnsi="Arial"/>
                <w:sz w:val="15"/>
                <w:szCs w:val="15"/>
                <w:color w:val="auto"/>
              </w:rPr>
              <w:t>0.2</w:t>
            </w:r>
          </w:p>
        </w:tc>
      </w:tr>
      <w:tr>
        <w:trPr>
          <w:trHeight w:val="84"/>
        </w:trPr>
        <w:tc>
          <w:tcPr>
            <w:tcW w:w="20" w:type="dxa"/>
            <w:vAlign w:val="bottom"/>
          </w:tcPr>
          <w:p>
            <w:pPr>
              <w:spacing w:after="0"/>
              <w:rPr>
                <w:sz w:val="7"/>
                <w:szCs w:val="7"/>
                <w:color w:val="auto"/>
              </w:rPr>
            </w:pPr>
          </w:p>
        </w:tc>
        <w:tc>
          <w:tcPr>
            <w:tcW w:w="43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r>
      <w:tr>
        <w:trPr>
          <w:trHeight w:val="85"/>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Total debt</w:t>
            </w:r>
          </w:p>
        </w:tc>
        <w:tc>
          <w:tcPr>
            <w:tcW w:w="1320" w:type="dxa"/>
            <w:vAlign w:val="bottom"/>
            <w:shd w:val="clear" w:color="auto" w:fill="E6E6E6"/>
          </w:tcPr>
          <w:p>
            <w:pPr>
              <w:spacing w:after="0"/>
              <w:rPr>
                <w:sz w:val="18"/>
                <w:szCs w:val="18"/>
                <w:color w:val="auto"/>
              </w:rPr>
            </w:pP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502.4</w:t>
            </w:r>
          </w:p>
        </w:tc>
        <w:tc>
          <w:tcPr>
            <w:tcW w:w="880" w:type="dxa"/>
            <w:vAlign w:val="bottom"/>
            <w:shd w:val="clear" w:color="auto" w:fill="E6E6E6"/>
          </w:tcPr>
          <w:p>
            <w:pPr>
              <w:spacing w:after="0"/>
              <w:rPr>
                <w:sz w:val="18"/>
                <w:szCs w:val="18"/>
                <w:color w:val="auto"/>
              </w:rPr>
            </w:pPr>
          </w:p>
        </w:tc>
        <w:tc>
          <w:tcPr>
            <w:tcW w:w="740" w:type="dxa"/>
            <w:vAlign w:val="bottom"/>
            <w:shd w:val="clear" w:color="auto" w:fill="E6E6E6"/>
          </w:tcPr>
          <w:p>
            <w:pPr>
              <w:jc w:val="right"/>
              <w:ind w:right="104"/>
              <w:spacing w:after="0"/>
              <w:rPr>
                <w:sz w:val="20"/>
                <w:szCs w:val="20"/>
                <w:color w:val="auto"/>
              </w:rPr>
            </w:pPr>
            <w:r>
              <w:rPr>
                <w:rFonts w:ascii="Arial" w:cs="Arial" w:eastAsia="Arial" w:hAnsi="Arial"/>
                <w:sz w:val="15"/>
                <w:szCs w:val="15"/>
                <w:b w:val="1"/>
                <w:bCs w:val="1"/>
                <w:color w:val="auto"/>
              </w:rPr>
              <w:t>477.9</w:t>
            </w:r>
          </w:p>
        </w:tc>
        <w:tc>
          <w:tcPr>
            <w:tcW w:w="420" w:type="dxa"/>
            <w:vAlign w:val="bottom"/>
            <w:shd w:val="clear" w:color="auto" w:fill="E6E6E6"/>
          </w:tcPr>
          <w:p>
            <w:pPr>
              <w:spacing w:after="0"/>
              <w:rPr>
                <w:sz w:val="18"/>
                <w:szCs w:val="18"/>
                <w:color w:val="auto"/>
              </w:rPr>
            </w:pP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501.4</w:t>
            </w:r>
          </w:p>
        </w:tc>
        <w:tc>
          <w:tcPr>
            <w:tcW w:w="90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124"/>
              <w:spacing w:after="0"/>
              <w:rPr>
                <w:sz w:val="20"/>
                <w:szCs w:val="20"/>
                <w:color w:val="auto"/>
              </w:rPr>
            </w:pPr>
            <w:r>
              <w:rPr>
                <w:rFonts w:ascii="Arial" w:cs="Arial" w:eastAsia="Arial" w:hAnsi="Arial"/>
                <w:sz w:val="15"/>
                <w:szCs w:val="15"/>
                <w:b w:val="1"/>
                <w:bCs w:val="1"/>
                <w:color w:val="auto"/>
              </w:rPr>
              <w:t>505.0</w:t>
            </w:r>
          </w:p>
        </w:tc>
      </w:tr>
      <w:tr>
        <w:trPr>
          <w:trHeight w:val="207"/>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Less current portion of long-term debt,</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300" w:type="dxa"/>
            <w:vAlign w:val="bottom"/>
          </w:tcPr>
          <w:p>
            <w:pPr>
              <w:ind w:left="140"/>
              <w:spacing w:after="0"/>
              <w:rPr>
                <w:sz w:val="20"/>
                <w:szCs w:val="20"/>
                <w:color w:val="auto"/>
              </w:rPr>
            </w:pPr>
            <w:r>
              <w:rPr>
                <w:rFonts w:ascii="Arial" w:cs="Arial" w:eastAsia="Arial" w:hAnsi="Arial"/>
                <w:sz w:val="15"/>
                <w:szCs w:val="15"/>
                <w:color w:val="auto"/>
              </w:rPr>
              <w:t>lines of credit and short-term debt</w:t>
            </w:r>
          </w:p>
        </w:tc>
        <w:tc>
          <w:tcPr>
            <w:tcW w:w="1320" w:type="dxa"/>
            <w:vAlign w:val="bottom"/>
          </w:tcPr>
          <w:p>
            <w:pPr>
              <w:spacing w:after="0"/>
              <w:rPr>
                <w:sz w:val="19"/>
                <w:szCs w:val="19"/>
                <w:color w:val="auto"/>
              </w:rPr>
            </w:pP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(329.2)</w:t>
            </w:r>
          </w:p>
        </w:tc>
        <w:tc>
          <w:tcPr>
            <w:tcW w:w="880" w:type="dxa"/>
            <w:vAlign w:val="bottom"/>
          </w:tcPr>
          <w:p>
            <w:pPr>
              <w:spacing w:after="0"/>
              <w:rPr>
                <w:sz w:val="19"/>
                <w:szCs w:val="19"/>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(327.1)</w:t>
            </w:r>
          </w:p>
        </w:tc>
        <w:tc>
          <w:tcPr>
            <w:tcW w:w="420" w:type="dxa"/>
            <w:vAlign w:val="bottom"/>
          </w:tcPr>
          <w:p>
            <w:pPr>
              <w:spacing w:after="0"/>
              <w:rPr>
                <w:sz w:val="19"/>
                <w:szCs w:val="19"/>
                <w:color w:val="auto"/>
              </w:rPr>
            </w:pPr>
          </w:p>
        </w:tc>
        <w:tc>
          <w:tcPr>
            <w:tcW w:w="1080" w:type="dxa"/>
            <w:vAlign w:val="bottom"/>
          </w:tcPr>
          <w:p>
            <w:pPr>
              <w:jc w:val="right"/>
              <w:ind w:right="144"/>
              <w:spacing w:after="0"/>
              <w:rPr>
                <w:sz w:val="20"/>
                <w:szCs w:val="20"/>
                <w:color w:val="auto"/>
              </w:rPr>
            </w:pPr>
            <w:r>
              <w:rPr>
                <w:rFonts w:ascii="Arial" w:cs="Arial" w:eastAsia="Arial" w:hAnsi="Arial"/>
                <w:sz w:val="15"/>
                <w:szCs w:val="15"/>
                <w:color w:val="auto"/>
              </w:rPr>
              <w:t>(24.9)</w:t>
            </w:r>
          </w:p>
        </w:tc>
        <w:tc>
          <w:tcPr>
            <w:tcW w:w="90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(24.9)</w:t>
            </w:r>
          </w:p>
        </w:tc>
      </w:tr>
      <w:tr>
        <w:trPr>
          <w:trHeight w:val="84"/>
        </w:trPr>
        <w:tc>
          <w:tcPr>
            <w:tcW w:w="4320" w:type="dxa"/>
            <w:vAlign w:val="bottom"/>
            <w:gridSpan w:val="2"/>
          </w:tcPr>
          <w:p>
            <w:pPr>
              <w:spacing w:after="0"/>
              <w:rPr>
                <w:sz w:val="7"/>
                <w:szCs w:val="7"/>
                <w:color w:val="auto"/>
              </w:rPr>
            </w:pPr>
          </w:p>
        </w:tc>
        <w:tc>
          <w:tcPr>
            <w:tcW w:w="1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85"/>
        </w:trPr>
        <w:tc>
          <w:tcPr>
            <w:tcW w:w="20" w:type="dxa"/>
            <w:vAlign w:val="bottom"/>
          </w:tcPr>
          <w:p>
            <w:pPr>
              <w:spacing w:after="0"/>
              <w:rPr>
                <w:sz w:val="7"/>
                <w:szCs w:val="7"/>
                <w:color w:val="auto"/>
              </w:rPr>
            </w:pPr>
          </w:p>
        </w:tc>
        <w:tc>
          <w:tcPr>
            <w:tcW w:w="4300" w:type="dxa"/>
            <w:vAlign w:val="bottom"/>
            <w:tcBorders>
              <w:top w:val="single" w:sz="8" w:color="808080"/>
            </w:tcBorders>
          </w:tcPr>
          <w:p>
            <w:pPr>
              <w:spacing w:after="0"/>
              <w:rPr>
                <w:sz w:val="7"/>
                <w:szCs w:val="7"/>
                <w:color w:val="auto"/>
              </w:rPr>
            </w:pPr>
          </w:p>
        </w:tc>
        <w:tc>
          <w:tcPr>
            <w:tcW w:w="1320" w:type="dxa"/>
            <w:vAlign w:val="bottom"/>
            <w:tcBorders>
              <w:top w:val="single" w:sz="8" w:color="808080"/>
            </w:tcBorders>
          </w:tcPr>
          <w:p>
            <w:pPr>
              <w:spacing w:after="0"/>
              <w:rPr>
                <w:sz w:val="7"/>
                <w:szCs w:val="7"/>
                <w:color w:val="auto"/>
              </w:rPr>
            </w:pPr>
          </w:p>
        </w:tc>
        <w:tc>
          <w:tcPr>
            <w:tcW w:w="1080" w:type="dxa"/>
            <w:vAlign w:val="bottom"/>
            <w:tcBorders>
              <w:top w:val="single" w:sz="8" w:color="808080"/>
            </w:tcBorders>
          </w:tcPr>
          <w:p>
            <w:pPr>
              <w:spacing w:after="0"/>
              <w:rPr>
                <w:sz w:val="7"/>
                <w:szCs w:val="7"/>
                <w:color w:val="auto"/>
              </w:rPr>
            </w:pPr>
          </w:p>
        </w:tc>
        <w:tc>
          <w:tcPr>
            <w:tcW w:w="880" w:type="dxa"/>
            <w:vAlign w:val="bottom"/>
            <w:tcBorders>
              <w:top w:val="single" w:sz="8" w:color="808080"/>
            </w:tcBorders>
          </w:tcPr>
          <w:p>
            <w:pPr>
              <w:spacing w:after="0"/>
              <w:rPr>
                <w:sz w:val="7"/>
                <w:szCs w:val="7"/>
                <w:color w:val="auto"/>
              </w:rPr>
            </w:pPr>
          </w:p>
        </w:tc>
        <w:tc>
          <w:tcPr>
            <w:tcW w:w="740" w:type="dxa"/>
            <w:vAlign w:val="bottom"/>
            <w:tcBorders>
              <w:top w:val="single" w:sz="8" w:color="808080"/>
            </w:tcBorders>
          </w:tcPr>
          <w:p>
            <w:pPr>
              <w:spacing w:after="0"/>
              <w:rPr>
                <w:sz w:val="7"/>
                <w:szCs w:val="7"/>
                <w:color w:val="auto"/>
              </w:rPr>
            </w:pPr>
          </w:p>
        </w:tc>
        <w:tc>
          <w:tcPr>
            <w:tcW w:w="420" w:type="dxa"/>
            <w:vAlign w:val="bottom"/>
            <w:tcBorders>
              <w:top w:val="single" w:sz="8" w:color="808080"/>
            </w:tcBorders>
          </w:tcPr>
          <w:p>
            <w:pPr>
              <w:spacing w:after="0"/>
              <w:rPr>
                <w:sz w:val="7"/>
                <w:szCs w:val="7"/>
                <w:color w:val="auto"/>
              </w:rPr>
            </w:pPr>
          </w:p>
        </w:tc>
        <w:tc>
          <w:tcPr>
            <w:tcW w:w="1080" w:type="dxa"/>
            <w:vAlign w:val="bottom"/>
            <w:tcBorders>
              <w:top w:val="single" w:sz="8" w:color="808080"/>
            </w:tcBorders>
          </w:tcPr>
          <w:p>
            <w:pPr>
              <w:spacing w:after="0"/>
              <w:rPr>
                <w:sz w:val="7"/>
                <w:szCs w:val="7"/>
                <w:color w:val="auto"/>
              </w:rPr>
            </w:pPr>
          </w:p>
        </w:tc>
        <w:tc>
          <w:tcPr>
            <w:tcW w:w="900" w:type="dxa"/>
            <w:vAlign w:val="bottom"/>
            <w:tcBorders>
              <w:top w:val="single" w:sz="8" w:color="808080"/>
            </w:tcBorders>
          </w:tcPr>
          <w:p>
            <w:pPr>
              <w:spacing w:after="0"/>
              <w:rPr>
                <w:sz w:val="7"/>
                <w:szCs w:val="7"/>
                <w:color w:val="auto"/>
              </w:rPr>
            </w:pPr>
          </w:p>
        </w:tc>
        <w:tc>
          <w:tcPr>
            <w:tcW w:w="72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E6E6E6"/>
          </w:tcPr>
          <w:p>
            <w:pPr>
              <w:spacing w:after="0"/>
              <w:rPr>
                <w:sz w:val="20"/>
                <w:szCs w:val="20"/>
                <w:color w:val="auto"/>
              </w:rPr>
            </w:pPr>
            <w:r>
              <w:rPr>
                <w:rFonts w:ascii="Arial" w:cs="Arial" w:eastAsia="Arial" w:hAnsi="Arial"/>
                <w:sz w:val="15"/>
                <w:szCs w:val="15"/>
                <w:color w:val="auto"/>
              </w:rPr>
              <w:t>Total long-term debt</w:t>
            </w:r>
          </w:p>
        </w:tc>
        <w:tc>
          <w:tcPr>
            <w:tcW w:w="132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173.2</w:t>
            </w:r>
          </w:p>
        </w:tc>
        <w:tc>
          <w:tcPr>
            <w:tcW w:w="88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150.8</w:t>
            </w:r>
          </w:p>
        </w:tc>
        <w:tc>
          <w:tcPr>
            <w:tcW w:w="42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476.5</w:t>
            </w:r>
          </w:p>
        </w:tc>
        <w:tc>
          <w:tcPr>
            <w:tcW w:w="90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w:t>
            </w:r>
          </w:p>
        </w:tc>
        <w:tc>
          <w:tcPr>
            <w:tcW w:w="72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480.1</w:t>
            </w:r>
          </w:p>
        </w:tc>
      </w:tr>
      <w:tr>
        <w:trPr>
          <w:trHeight w:val="112"/>
        </w:trPr>
        <w:tc>
          <w:tcPr>
            <w:tcW w:w="2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Short-term debt is carried at cost, which approximates fair value. Fair values were estimated based on market quotes, where available, or dealer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112395</wp:posOffset>
            </wp:positionV>
            <wp:extent cx="118110" cy="1181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728535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49" w:name="page50"/>
    <w:bookmarkEnd w:id="49"/>
    <w:p>
      <w:pPr>
        <w:ind w:left="20"/>
        <w:spacing w:after="0"/>
        <w:rPr>
          <w:sz w:val="20"/>
          <w:szCs w:val="20"/>
          <w:color w:val="auto"/>
        </w:rPr>
      </w:pPr>
      <w:r>
        <w:rPr>
          <w:rFonts w:ascii="Arial" w:cs="Arial" w:eastAsia="Arial" w:hAnsi="Arial"/>
          <w:sz w:val="15"/>
          <w:szCs w:val="15"/>
          <w:color w:val="auto"/>
        </w:rPr>
        <w:t>The following table sets forth the maturities of the carrying values of the Company’s debt obligations as of May 31, 2006 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191135</wp:posOffset>
            </wp:positionV>
            <wp:extent cx="72656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560" w:type="dxa"/>
            <w:vAlign w:val="bottom"/>
            <w:shd w:val="clear" w:color="auto" w:fill="E6E6E6"/>
          </w:tcPr>
          <w:p>
            <w:pPr>
              <w:jc w:val="right"/>
              <w:ind w:right="5242"/>
              <w:spacing w:after="0"/>
              <w:rPr>
                <w:sz w:val="20"/>
                <w:szCs w:val="20"/>
                <w:color w:val="auto"/>
              </w:rPr>
            </w:pPr>
            <w:r>
              <w:rPr>
                <w:rFonts w:ascii="Arial" w:cs="Arial" w:eastAsia="Arial" w:hAnsi="Arial"/>
                <w:sz w:val="12"/>
                <w:szCs w:val="12"/>
                <w:color w:val="auto"/>
                <w:w w:val="89"/>
              </w:rPr>
              <w:t>2007</w:t>
            </w:r>
          </w:p>
        </w:tc>
        <w:tc>
          <w:tcPr>
            <w:tcW w:w="5200" w:type="dxa"/>
            <w:vAlign w:val="bottom"/>
            <w:shd w:val="clear" w:color="auto" w:fill="E6E6E6"/>
          </w:tcPr>
          <w:p>
            <w:pPr>
              <w:jc w:val="right"/>
              <w:ind w:right="62"/>
              <w:spacing w:after="0"/>
              <w:rPr>
                <w:sz w:val="20"/>
                <w:szCs w:val="20"/>
                <w:color w:val="auto"/>
              </w:rPr>
            </w:pPr>
            <w:r>
              <w:rPr>
                <w:rFonts w:ascii="Arial" w:cs="Arial" w:eastAsia="Arial" w:hAnsi="Arial"/>
                <w:sz w:val="12"/>
                <w:szCs w:val="12"/>
                <w:color w:val="auto"/>
              </w:rPr>
              <w:t>$</w:t>
            </w:r>
          </w:p>
        </w:tc>
        <w:tc>
          <w:tcPr>
            <w:tcW w:w="680" w:type="dxa"/>
            <w:vAlign w:val="bottom"/>
            <w:shd w:val="clear" w:color="auto" w:fill="E6E6E6"/>
          </w:tcPr>
          <w:p>
            <w:pPr>
              <w:jc w:val="right"/>
              <w:ind w:right="222"/>
              <w:spacing w:after="0"/>
              <w:rPr>
                <w:sz w:val="20"/>
                <w:szCs w:val="20"/>
                <w:color w:val="auto"/>
              </w:rPr>
            </w:pPr>
            <w:r>
              <w:rPr>
                <w:rFonts w:ascii="Arial" w:cs="Arial" w:eastAsia="Arial" w:hAnsi="Arial"/>
                <w:sz w:val="12"/>
                <w:szCs w:val="12"/>
                <w:color w:val="auto"/>
              </w:rPr>
              <w:t>329.2</w:t>
            </w:r>
          </w:p>
        </w:tc>
      </w:tr>
      <w:tr>
        <w:trPr>
          <w:trHeight w:val="203"/>
        </w:trPr>
        <w:tc>
          <w:tcPr>
            <w:tcW w:w="5580" w:type="dxa"/>
            <w:vAlign w:val="bottom"/>
            <w:gridSpan w:val="2"/>
          </w:tcPr>
          <w:p>
            <w:pPr>
              <w:jc w:val="right"/>
              <w:ind w:right="5242"/>
              <w:spacing w:after="0"/>
              <w:rPr>
                <w:sz w:val="20"/>
                <w:szCs w:val="20"/>
                <w:color w:val="auto"/>
              </w:rPr>
            </w:pPr>
            <w:r>
              <w:rPr>
                <w:rFonts w:ascii="Arial" w:cs="Arial" w:eastAsia="Arial" w:hAnsi="Arial"/>
                <w:sz w:val="12"/>
                <w:szCs w:val="12"/>
                <w:color w:val="auto"/>
                <w:w w:val="97"/>
              </w:rPr>
              <w:t>2008</w:t>
            </w:r>
          </w:p>
        </w:tc>
        <w:tc>
          <w:tcPr>
            <w:tcW w:w="5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E6E6E6"/>
          </w:tcPr>
          <w:p>
            <w:pPr>
              <w:jc w:val="right"/>
              <w:ind w:right="5242"/>
              <w:spacing w:after="0"/>
              <w:rPr>
                <w:sz w:val="20"/>
                <w:szCs w:val="20"/>
                <w:color w:val="auto"/>
              </w:rPr>
            </w:pPr>
            <w:r>
              <w:rPr>
                <w:rFonts w:ascii="Arial" w:cs="Arial" w:eastAsia="Arial" w:hAnsi="Arial"/>
                <w:sz w:val="12"/>
                <w:szCs w:val="12"/>
                <w:color w:val="auto"/>
                <w:w w:val="89"/>
              </w:rPr>
              <w:t>2009</w:t>
            </w:r>
          </w:p>
        </w:tc>
        <w:tc>
          <w:tcPr>
            <w:tcW w:w="52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222"/>
              <w:spacing w:after="0"/>
              <w:rPr>
                <w:sz w:val="20"/>
                <w:szCs w:val="20"/>
                <w:color w:val="auto"/>
              </w:rPr>
            </w:pPr>
            <w:r>
              <w:rPr>
                <w:rFonts w:ascii="Arial" w:cs="Arial" w:eastAsia="Arial" w:hAnsi="Arial"/>
                <w:sz w:val="12"/>
                <w:szCs w:val="12"/>
                <w:color w:val="auto"/>
              </w:rPr>
              <w:t>—</w:t>
            </w:r>
          </w:p>
        </w:tc>
      </w:tr>
      <w:tr>
        <w:trPr>
          <w:trHeight w:val="203"/>
        </w:trPr>
        <w:tc>
          <w:tcPr>
            <w:tcW w:w="5580" w:type="dxa"/>
            <w:vAlign w:val="bottom"/>
            <w:gridSpan w:val="2"/>
          </w:tcPr>
          <w:p>
            <w:pPr>
              <w:jc w:val="right"/>
              <w:ind w:right="5242"/>
              <w:spacing w:after="0"/>
              <w:rPr>
                <w:sz w:val="20"/>
                <w:szCs w:val="20"/>
                <w:color w:val="auto"/>
              </w:rPr>
            </w:pPr>
            <w:r>
              <w:rPr>
                <w:rFonts w:ascii="Arial" w:cs="Arial" w:eastAsia="Arial" w:hAnsi="Arial"/>
                <w:sz w:val="12"/>
                <w:szCs w:val="12"/>
                <w:color w:val="auto"/>
                <w:w w:val="97"/>
              </w:rPr>
              <w:t>2010</w:t>
            </w:r>
          </w:p>
        </w:tc>
        <w:tc>
          <w:tcPr>
            <w:tcW w:w="5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E6E6E6"/>
          </w:tcPr>
          <w:p>
            <w:pPr>
              <w:jc w:val="right"/>
              <w:ind w:right="5242"/>
              <w:spacing w:after="0"/>
              <w:rPr>
                <w:sz w:val="20"/>
                <w:szCs w:val="20"/>
                <w:color w:val="auto"/>
              </w:rPr>
            </w:pPr>
            <w:r>
              <w:rPr>
                <w:rFonts w:ascii="Arial" w:cs="Arial" w:eastAsia="Arial" w:hAnsi="Arial"/>
                <w:sz w:val="12"/>
                <w:szCs w:val="12"/>
                <w:color w:val="auto"/>
                <w:w w:val="89"/>
              </w:rPr>
              <w:t>2011</w:t>
            </w:r>
          </w:p>
        </w:tc>
        <w:tc>
          <w:tcPr>
            <w:tcW w:w="52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222"/>
              <w:spacing w:after="0"/>
              <w:rPr>
                <w:sz w:val="20"/>
                <w:szCs w:val="20"/>
                <w:color w:val="auto"/>
              </w:rPr>
            </w:pPr>
            <w:r>
              <w:rPr>
                <w:rFonts w:ascii="Arial" w:cs="Arial" w:eastAsia="Arial" w:hAnsi="Arial"/>
                <w:sz w:val="12"/>
                <w:szCs w:val="12"/>
                <w:color w:val="auto"/>
              </w:rPr>
              <w:t>—</w:t>
            </w:r>
          </w:p>
        </w:tc>
      </w:tr>
      <w:tr>
        <w:trPr>
          <w:trHeight w:val="197"/>
        </w:trPr>
        <w:tc>
          <w:tcPr>
            <w:tcW w:w="5580" w:type="dxa"/>
            <w:vAlign w:val="bottom"/>
            <w:gridSpan w:val="2"/>
          </w:tcPr>
          <w:p>
            <w:pPr>
              <w:jc w:val="right"/>
              <w:ind w:right="4962"/>
              <w:spacing w:after="0"/>
              <w:rPr>
                <w:sz w:val="20"/>
                <w:szCs w:val="20"/>
                <w:color w:val="auto"/>
              </w:rPr>
            </w:pPr>
            <w:r>
              <w:rPr>
                <w:rFonts w:ascii="Arial" w:cs="Arial" w:eastAsia="Arial" w:hAnsi="Arial"/>
                <w:sz w:val="12"/>
                <w:szCs w:val="12"/>
                <w:color w:val="auto"/>
                <w:w w:val="97"/>
              </w:rPr>
              <w:t>Thereafter</w:t>
            </w:r>
          </w:p>
        </w:tc>
        <w:tc>
          <w:tcPr>
            <w:tcW w:w="5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rPr>
              <w:t>173.2</w:t>
            </w:r>
          </w:p>
        </w:tc>
      </w:tr>
      <w:tr>
        <w:trPr>
          <w:trHeight w:val="106"/>
        </w:trPr>
        <w:tc>
          <w:tcPr>
            <w:tcW w:w="5580" w:type="dxa"/>
            <w:vAlign w:val="bottom"/>
            <w:gridSpan w:val="2"/>
          </w:tcPr>
          <w:p>
            <w:pPr>
              <w:spacing w:after="0"/>
              <w:rPr>
                <w:sz w:val="9"/>
                <w:szCs w:val="9"/>
                <w:color w:val="auto"/>
              </w:rPr>
            </w:pPr>
          </w:p>
        </w:tc>
        <w:tc>
          <w:tcPr>
            <w:tcW w:w="5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85"/>
        </w:trPr>
        <w:tc>
          <w:tcPr>
            <w:tcW w:w="20" w:type="dxa"/>
            <w:vAlign w:val="bottom"/>
          </w:tcPr>
          <w:p>
            <w:pPr>
              <w:spacing w:after="0"/>
              <w:rPr>
                <w:sz w:val="7"/>
                <w:szCs w:val="7"/>
                <w:color w:val="auto"/>
              </w:rPr>
            </w:pPr>
          </w:p>
        </w:tc>
        <w:tc>
          <w:tcPr>
            <w:tcW w:w="5560" w:type="dxa"/>
            <w:vAlign w:val="bottom"/>
            <w:tcBorders>
              <w:top w:val="single" w:sz="8" w:color="808080"/>
            </w:tcBorders>
          </w:tcPr>
          <w:p>
            <w:pPr>
              <w:spacing w:after="0"/>
              <w:rPr>
                <w:sz w:val="7"/>
                <w:szCs w:val="7"/>
                <w:color w:val="auto"/>
              </w:rPr>
            </w:pPr>
          </w:p>
        </w:tc>
        <w:tc>
          <w:tcPr>
            <w:tcW w:w="5200" w:type="dxa"/>
            <w:vAlign w:val="bottom"/>
            <w:tcBorders>
              <w:top w:val="single" w:sz="8" w:color="808080"/>
            </w:tcBorders>
          </w:tcPr>
          <w:p>
            <w:pPr>
              <w:spacing w:after="0"/>
              <w:rPr>
                <w:sz w:val="7"/>
                <w:szCs w:val="7"/>
                <w:color w:val="auto"/>
              </w:rPr>
            </w:pPr>
          </w:p>
        </w:tc>
        <w:tc>
          <w:tcPr>
            <w:tcW w:w="68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E6E6E6"/>
          </w:tcPr>
          <w:p>
            <w:pPr>
              <w:jc w:val="right"/>
              <w:ind w:right="4962"/>
              <w:spacing w:after="0"/>
              <w:rPr>
                <w:sz w:val="20"/>
                <w:szCs w:val="20"/>
                <w:color w:val="auto"/>
              </w:rPr>
            </w:pPr>
            <w:r>
              <w:rPr>
                <w:rFonts w:ascii="Arial" w:cs="Arial" w:eastAsia="Arial" w:hAnsi="Arial"/>
                <w:sz w:val="12"/>
                <w:szCs w:val="12"/>
                <w:b w:val="1"/>
                <w:bCs w:val="1"/>
                <w:color w:val="auto"/>
                <w:w w:val="90"/>
              </w:rPr>
              <w:t>Total debt</w:t>
            </w:r>
          </w:p>
        </w:tc>
        <w:tc>
          <w:tcPr>
            <w:tcW w:w="5200" w:type="dxa"/>
            <w:vAlign w:val="bottom"/>
            <w:shd w:val="clear" w:color="auto" w:fill="E6E6E6"/>
          </w:tcPr>
          <w:p>
            <w:pPr>
              <w:jc w:val="right"/>
              <w:ind w:right="62"/>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E6E6E6"/>
          </w:tcPr>
          <w:p>
            <w:pPr>
              <w:jc w:val="right"/>
              <w:ind w:right="222"/>
              <w:spacing w:after="0"/>
              <w:rPr>
                <w:sz w:val="20"/>
                <w:szCs w:val="20"/>
                <w:color w:val="auto"/>
              </w:rPr>
            </w:pPr>
            <w:r>
              <w:rPr>
                <w:rFonts w:ascii="Arial" w:cs="Arial" w:eastAsia="Arial" w:hAnsi="Arial"/>
                <w:sz w:val="12"/>
                <w:szCs w:val="12"/>
                <w:b w:val="1"/>
                <w:bCs w:val="1"/>
                <w:color w:val="auto"/>
              </w:rPr>
              <w:t>502.4</w:t>
            </w:r>
          </w:p>
        </w:tc>
      </w:tr>
      <w:tr>
        <w:trPr>
          <w:trHeight w:val="112"/>
        </w:trPr>
        <w:tc>
          <w:tcPr>
            <w:tcW w:w="20" w:type="dxa"/>
            <w:vAlign w:val="bottom"/>
            <w:tcBorders>
              <w:bottom w:val="single" w:sz="8" w:color="808080"/>
            </w:tcBorders>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Lines of Credit</w:t>
      </w:r>
    </w:p>
    <w:p>
      <w:pPr>
        <w:spacing w:after="0" w:line="22" w:lineRule="exact"/>
        <w:rPr>
          <w:sz w:val="20"/>
          <w:szCs w:val="20"/>
          <w:color w:val="auto"/>
        </w:rPr>
      </w:pPr>
    </w:p>
    <w:p>
      <w:pPr>
        <w:ind w:left="20" w:right="20"/>
        <w:spacing w:after="0" w:line="291" w:lineRule="auto"/>
        <w:rPr>
          <w:sz w:val="20"/>
          <w:szCs w:val="20"/>
          <w:color w:val="auto"/>
        </w:rPr>
      </w:pPr>
      <w:r>
        <w:rPr>
          <w:rFonts w:ascii="Arial" w:cs="Arial" w:eastAsia="Arial" w:hAnsi="Arial"/>
          <w:sz w:val="14"/>
          <w:szCs w:val="14"/>
          <w:color w:val="auto"/>
        </w:rPr>
        <w:t>Certain of Scholastic Corporation’s international subsidiaries had unsecured lines of credit available in local currencies equivalent to $67.9 and $61.8 in the aggregate at May 31, 2006 and 2005, respectively. There were borrowings under these lines of credit equivalent to $33.8 and $24.7 outstanding at May 31, 2006 and 2005, respectively. These lines of credit are considered short-term in nature. The weighted average interest rates on the outstanding amounts were 6.0% and 5.4% at May 31, 2006 and 2005, respectively.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Credit Agreement</w:t>
      </w:r>
    </w:p>
    <w:p>
      <w:pPr>
        <w:spacing w:after="0" w:line="22" w:lineRule="exact"/>
        <w:rPr>
          <w:sz w:val="20"/>
          <w:szCs w:val="20"/>
          <w:color w:val="auto"/>
        </w:rPr>
      </w:pPr>
    </w:p>
    <w:p>
      <w:pPr>
        <w:ind w:left="20" w:right="20"/>
        <w:spacing w:after="0" w:line="260" w:lineRule="auto"/>
        <w:rPr>
          <w:sz w:val="20"/>
          <w:szCs w:val="20"/>
          <w:color w:val="auto"/>
        </w:rPr>
      </w:pPr>
      <w:r>
        <w:rPr>
          <w:rFonts w:ascii="Arial" w:cs="Arial" w:eastAsia="Arial" w:hAnsi="Arial"/>
          <w:sz w:val="15"/>
          <w:szCs w:val="15"/>
          <w:color w:val="auto"/>
        </w:rPr>
        <w:t>On March 31, 2004, Scholastic Corporation and its principal operating subsidiary, Scholastic Inc., entered into an unsecured revolving credit agreement with certain banks (the “Credit Agreement”), which replaced a similar loan agreement that was scheduled to expire on August 11, 2004 (the “Loan Agreement”). The Credit Agreement, which expires on March 31, 2009, provides for aggregate borrowings of up to $190.0 (with a right in certain circumstances to increase borrowings to $250.0), including the issuance of up to $10.0 in letters of credit. Interest under this facility is either at the prime rate or at a rate 0.325% to 0.975% over LIBOR (as defined). There is a facility fee ranging from 0.10% to 0.30% and a utilization fee ranging from 0.05% to 0.25% if borrowings exceed 50% of the total facility. The amounts charged vary based upon the Company’s credit rating. The interest rate, facility fee and utilization fee (when applicable) as of May 31, 2006 were 0.675% over LIBOR, 0.20% and 0.125%, respectively. The Credit Agreement contains certain financial covenants related to debt and interest coverage ratios (as defined) and limits dividends and other distributions. There were no borrowings under the Credit Agreement as of May 31, 2006 or May 31, 2005. The Company’s credit rating was downgraded to BB+ by Standard and Poor’s (“S&amp;P”) on March 23, 2006 and to Ba1 by Moody’s Investor Service (“Moody’s”) on June 20, 2006. S&amp;P further downgraded the Company’s credit rating to BB on July 27, 2006. As a result of these downgrades, the interest rate, facility fee and utilization fee, when applicable, are currently 0.975% over LIBOR, 0.30% and 0.25%, respectively.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Revolver</w:t>
      </w:r>
    </w:p>
    <w:p>
      <w:pPr>
        <w:spacing w:after="0" w:line="22" w:lineRule="exact"/>
        <w:rPr>
          <w:sz w:val="20"/>
          <w:szCs w:val="20"/>
          <w:color w:val="auto"/>
        </w:rPr>
      </w:pPr>
    </w:p>
    <w:p>
      <w:pPr>
        <w:ind w:left="20"/>
        <w:spacing w:after="0" w:line="293" w:lineRule="auto"/>
        <w:rPr>
          <w:sz w:val="20"/>
          <w:szCs w:val="20"/>
          <w:color w:val="auto"/>
        </w:rPr>
      </w:pPr>
      <w:r>
        <w:rPr>
          <w:rFonts w:ascii="Arial" w:cs="Arial" w:eastAsia="Arial" w:hAnsi="Arial"/>
          <w:sz w:val="13"/>
          <w:szCs w:val="13"/>
          <w:color w:val="auto"/>
        </w:rPr>
        <w:t>Scholastic Corporation and Scholastic Inc. are joint and several borrowers under an unsecured revolving loan agreement with a bank (the “Revolver”). As amended effective April 30, 2004, the Revolver provides for unsecured revolving credit of up to $40.0 and expires on March 31, 2009. Interest under this facility is either at the prime rate minus 1%, or at a rate 0.375% to</w:t>
      </w:r>
    </w:p>
    <w:p>
      <w:pPr>
        <w:ind w:left="20" w:right="40"/>
        <w:spacing w:after="0" w:line="290" w:lineRule="auto"/>
        <w:rPr>
          <w:sz w:val="20"/>
          <w:szCs w:val="20"/>
          <w:color w:val="auto"/>
        </w:rPr>
      </w:pPr>
      <w:r>
        <w:rPr>
          <w:rFonts w:ascii="Arial" w:cs="Arial" w:eastAsia="Arial" w:hAnsi="Arial"/>
          <w:sz w:val="14"/>
          <w:szCs w:val="14"/>
          <w:color w:val="auto"/>
        </w:rPr>
        <w:t>1.025% over LIBOR (as defined). There is a facility fee ranging from 0.10% to 0.30% . The amounts charged vary based upon the Company’s credit rating. The interest rate and facility fee as of May 31, 2006 were 0.725% over LIBOR and 0.20%, respectively. The Revolver contains certain financial covenants related to debt and interest coverage ratios (as defined) and limits dividends and other distributions. There were no borrowings outstanding under the Revolver at May 31, 2006 or 2005. As a result of the downgrades of the Company’s credit rating noted under “Credit Agreement” above, the interest rate and facility fee are currently 1.025% over LIBOR and 0.30%, respectively.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5.75% Notes due 2007</w:t>
      </w:r>
    </w:p>
    <w:p>
      <w:pPr>
        <w:spacing w:after="0" w:line="22" w:lineRule="exact"/>
        <w:rPr>
          <w:sz w:val="20"/>
          <w:szCs w:val="20"/>
          <w:color w:val="auto"/>
        </w:rPr>
      </w:pPr>
    </w:p>
    <w:p>
      <w:pPr>
        <w:ind w:left="20" w:right="40"/>
        <w:spacing w:after="0" w:line="315" w:lineRule="auto"/>
        <w:rPr>
          <w:sz w:val="20"/>
          <w:szCs w:val="20"/>
          <w:color w:val="auto"/>
        </w:rPr>
      </w:pPr>
      <w:r>
        <w:rPr>
          <w:rFonts w:ascii="Arial" w:cs="Arial" w:eastAsia="Arial" w:hAnsi="Arial"/>
          <w:sz w:val="13"/>
          <w:szCs w:val="13"/>
          <w:color w:val="auto"/>
        </w:rPr>
        <w:t>In January 2002, Scholastic Corporation issued $300.0 of 5.75% Notes (the “5.75% Notes”). The 5.75% Notes are senior unsecured obligations that mature on January 15, 2007. Interest on the 5.75% Notes is payable semi-annually on July 15 and January 15 of each year through maturity. The Company may, at any time, redeem all or a portion of the 5.75% Notes at a redemption price (plus accrued interest to the date of redemption) equal to the greater of (i) 100% of the principal amount, or (ii) the sum of the present values of the remaining scheduled payments of principal and interest discounted to the date of redemption. During fiscal 2006, the Company repurchased $6.0 of the 5.75% Notes on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90170</wp:posOffset>
            </wp:positionV>
            <wp:extent cx="118110" cy="1181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7285355"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50" w:name="page51"/>
    <w:bookmarkEnd w:id="50"/>
    <w:p>
      <w:pPr>
        <w:ind w:right="320"/>
        <w:spacing w:after="0" w:line="285" w:lineRule="auto"/>
        <w:rPr>
          <w:sz w:val="20"/>
          <w:szCs w:val="20"/>
          <w:color w:val="auto"/>
        </w:rPr>
      </w:pPr>
      <w:r>
        <w:rPr>
          <w:rFonts w:ascii="Arial" w:cs="Arial" w:eastAsia="Arial" w:hAnsi="Arial"/>
          <w:sz w:val="15"/>
          <w:szCs w:val="15"/>
          <w:color w:val="auto"/>
        </w:rPr>
        <w:t>In fiscal 2007 through August 4, 2006, the Company repurchased approximately $35.4 of the 5.75% Notes on the open market. After giving effect to these repurchases, the outstanding 5.75% Notes, net of premium/discount, totaled approximately $259.5.</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Notes due 2013</w:t>
      </w:r>
    </w:p>
    <w:p>
      <w:pPr>
        <w:spacing w:after="0" w:line="2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COMMITMENTS AND CONTINGENCIES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 Obligations</w:t>
      </w:r>
    </w:p>
    <w:p>
      <w:pPr>
        <w:spacing w:after="0" w:line="22"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The Company leases warehouse space, office space and equipment under various capital and operating leases over periods ranging from one to forty years. Certain of these leases provide for scheduled rent increases based on price-level factors. The Company generally does not enter into leases that call for contingent rent. In most cases, management expects that, in the normal course of business, leases will be renewed or replaced.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Net rent expense relating to the Company’s non-cancelable operating leases for the three fiscal years ended May 31, 2006, 2005 and 2004 was $39.5, $36.6 and $36.4, respectively.</w:t>
      </w:r>
    </w:p>
    <w:p>
      <w:pPr>
        <w:spacing w:after="0" w:line="212"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auto"/>
        </w:rPr>
        <w:t>The Company was obligated under capital leases covering land, buildings and equipment in the amount of $68.9 and $74.4 at May 31, 2006 and 2005, respectively. Amortization of assets under capital leases is included in depreciation and amortization expense.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composition of capital leases reflected as Property, Plant and Equipment in the consolidated balance sheets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726567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Arial" w:cs="Arial" w:eastAsia="Arial" w:hAnsi="Arial"/>
                <w:sz w:val="15"/>
                <w:szCs w:val="15"/>
                <w:b w:val="1"/>
                <w:bCs w:val="1"/>
                <w:color w:val="auto"/>
              </w:rPr>
              <w:t>2006</w:t>
            </w:r>
          </w:p>
        </w:tc>
        <w:tc>
          <w:tcPr>
            <w:tcW w:w="480" w:type="dxa"/>
            <w:vAlign w:val="bottom"/>
          </w:tcPr>
          <w:p>
            <w:pPr>
              <w:spacing w:after="0"/>
              <w:rPr>
                <w:sz w:val="16"/>
                <w:szCs w:val="16"/>
                <w:color w:val="auto"/>
              </w:rPr>
            </w:pPr>
          </w:p>
        </w:tc>
        <w:tc>
          <w:tcPr>
            <w:tcW w:w="660" w:type="dxa"/>
            <w:vAlign w:val="bottom"/>
          </w:tcPr>
          <w:p>
            <w:pPr>
              <w:jc w:val="right"/>
              <w:ind w:right="159"/>
              <w:spacing w:after="0"/>
              <w:rPr>
                <w:sz w:val="20"/>
                <w:szCs w:val="20"/>
                <w:color w:val="auto"/>
              </w:rPr>
            </w:pPr>
            <w:r>
              <w:rPr>
                <w:rFonts w:ascii="Arial" w:cs="Arial" w:eastAsia="Arial" w:hAnsi="Arial"/>
                <w:sz w:val="15"/>
                <w:szCs w:val="15"/>
                <w:b w:val="1"/>
                <w:bCs w:val="1"/>
                <w:color w:val="auto"/>
              </w:rPr>
              <w:t>2005</w:t>
            </w:r>
          </w:p>
        </w:tc>
      </w:tr>
      <w:tr>
        <w:trPr>
          <w:trHeight w:val="96"/>
        </w:trPr>
        <w:tc>
          <w:tcPr>
            <w:tcW w:w="534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85"/>
        </w:trPr>
        <w:tc>
          <w:tcPr>
            <w:tcW w:w="53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Land</w:t>
            </w:r>
          </w:p>
        </w:tc>
        <w:tc>
          <w:tcPr>
            <w:tcW w:w="4200" w:type="dxa"/>
            <w:vAlign w:val="bottom"/>
            <w:shd w:val="clear" w:color="auto" w:fill="E6E6E6"/>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shd w:val="clear" w:color="auto" w:fill="E6E6E6"/>
          </w:tcPr>
          <w:p>
            <w:pPr>
              <w:jc w:val="right"/>
              <w:ind w:right="259"/>
              <w:spacing w:after="0"/>
              <w:rPr>
                <w:sz w:val="20"/>
                <w:szCs w:val="20"/>
                <w:color w:val="auto"/>
              </w:rPr>
            </w:pPr>
            <w:r>
              <w:rPr>
                <w:rFonts w:ascii="Arial" w:cs="Arial" w:eastAsia="Arial" w:hAnsi="Arial"/>
                <w:sz w:val="12"/>
                <w:szCs w:val="12"/>
                <w:color w:val="auto"/>
              </w:rPr>
              <w:t>3.5</w:t>
            </w:r>
          </w:p>
        </w:tc>
        <w:tc>
          <w:tcPr>
            <w:tcW w:w="480" w:type="dxa"/>
            <w:vAlign w:val="bottom"/>
            <w:shd w:val="clear" w:color="auto" w:fill="E6E6E6"/>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shd w:val="clear" w:color="auto" w:fill="E6E6E6"/>
          </w:tcPr>
          <w:p>
            <w:pPr>
              <w:jc w:val="right"/>
              <w:ind w:right="159"/>
              <w:spacing w:after="0"/>
              <w:rPr>
                <w:sz w:val="20"/>
                <w:szCs w:val="20"/>
                <w:color w:val="auto"/>
              </w:rPr>
            </w:pPr>
            <w:r>
              <w:rPr>
                <w:rFonts w:ascii="Arial" w:cs="Arial" w:eastAsia="Arial" w:hAnsi="Arial"/>
                <w:sz w:val="12"/>
                <w:szCs w:val="12"/>
                <w:color w:val="auto"/>
              </w:rPr>
              <w:t>3.5</w:t>
            </w:r>
          </w:p>
        </w:tc>
      </w:tr>
      <w:tr>
        <w:trPr>
          <w:trHeight w:val="210"/>
        </w:trPr>
        <w:tc>
          <w:tcPr>
            <w:tcW w:w="5340" w:type="dxa"/>
            <w:vAlign w:val="bottom"/>
          </w:tcPr>
          <w:p>
            <w:pPr>
              <w:spacing w:after="0"/>
              <w:rPr>
                <w:sz w:val="20"/>
                <w:szCs w:val="20"/>
                <w:color w:val="auto"/>
              </w:rPr>
            </w:pPr>
            <w:r>
              <w:rPr>
                <w:rFonts w:ascii="Arial" w:cs="Arial" w:eastAsia="Arial" w:hAnsi="Arial"/>
                <w:sz w:val="12"/>
                <w:szCs w:val="12"/>
                <w:color w:val="auto"/>
              </w:rPr>
              <w:t>Buildings</w:t>
            </w:r>
          </w:p>
        </w:tc>
        <w:tc>
          <w:tcPr>
            <w:tcW w:w="4200" w:type="dxa"/>
            <w:vAlign w:val="bottom"/>
          </w:tcPr>
          <w:p>
            <w:pPr>
              <w:spacing w:after="0"/>
              <w:rPr>
                <w:sz w:val="18"/>
                <w:szCs w:val="18"/>
                <w:color w:val="auto"/>
              </w:rPr>
            </w:pP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39.0</w:t>
            </w:r>
          </w:p>
        </w:tc>
        <w:tc>
          <w:tcPr>
            <w:tcW w:w="48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Arial" w:cs="Arial" w:eastAsia="Arial" w:hAnsi="Arial"/>
                <w:sz w:val="12"/>
                <w:szCs w:val="12"/>
                <w:color w:val="auto"/>
              </w:rPr>
              <w:t>39.0</w:t>
            </w: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Equipment</w:t>
            </w:r>
          </w:p>
        </w:tc>
        <w:tc>
          <w:tcPr>
            <w:tcW w:w="420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59"/>
              <w:spacing w:after="0"/>
              <w:rPr>
                <w:sz w:val="20"/>
                <w:szCs w:val="20"/>
                <w:color w:val="auto"/>
              </w:rPr>
            </w:pPr>
            <w:r>
              <w:rPr>
                <w:rFonts w:ascii="Arial" w:cs="Arial" w:eastAsia="Arial" w:hAnsi="Arial"/>
                <w:sz w:val="12"/>
                <w:szCs w:val="12"/>
                <w:color w:val="auto"/>
              </w:rPr>
              <w:t>49.0</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159"/>
              <w:spacing w:after="0"/>
              <w:rPr>
                <w:sz w:val="20"/>
                <w:szCs w:val="20"/>
                <w:color w:val="auto"/>
              </w:rPr>
            </w:pPr>
            <w:r>
              <w:rPr>
                <w:rFonts w:ascii="Arial" w:cs="Arial" w:eastAsia="Arial" w:hAnsi="Arial"/>
                <w:sz w:val="12"/>
                <w:szCs w:val="12"/>
                <w:color w:val="auto"/>
              </w:rPr>
              <w:t>45.6</w:t>
            </w:r>
          </w:p>
        </w:tc>
      </w:tr>
      <w:tr>
        <w:trPr>
          <w:trHeight w:val="93"/>
        </w:trPr>
        <w:tc>
          <w:tcPr>
            <w:tcW w:w="5340" w:type="dxa"/>
            <w:vAlign w:val="bottom"/>
            <w:tcBorders>
              <w:bottom w:val="single" w:sz="8" w:color="808080"/>
            </w:tcBorders>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95"/>
        </w:trPr>
        <w:tc>
          <w:tcPr>
            <w:tcW w:w="5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91.5</w:t>
            </w:r>
          </w:p>
        </w:tc>
        <w:tc>
          <w:tcPr>
            <w:tcW w:w="48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Arial" w:cs="Arial" w:eastAsia="Arial" w:hAnsi="Arial"/>
                <w:sz w:val="12"/>
                <w:szCs w:val="12"/>
                <w:color w:val="auto"/>
              </w:rPr>
              <w:t>88.1</w:t>
            </w: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Accumulated amortization</w:t>
            </w:r>
          </w:p>
        </w:tc>
        <w:tc>
          <w:tcPr>
            <w:tcW w:w="420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19"/>
              <w:spacing w:after="0" w:line="210" w:lineRule="exact"/>
              <w:rPr>
                <w:sz w:val="20"/>
                <w:szCs w:val="20"/>
                <w:color w:val="auto"/>
              </w:rPr>
            </w:pPr>
            <w:r>
              <w:rPr>
                <w:rFonts w:ascii="Arial" w:cs="Arial" w:eastAsia="Arial" w:hAnsi="Arial"/>
                <w:sz w:val="12"/>
                <w:szCs w:val="12"/>
                <w:color w:val="auto"/>
              </w:rPr>
              <w:t>(39.2</w:t>
            </w:r>
            <w:r>
              <w:rPr>
                <w:rFonts w:ascii="Arial" w:cs="Arial" w:eastAsia="Arial" w:hAnsi="Arial"/>
                <w:sz w:val="23"/>
                <w:szCs w:val="23"/>
                <w:color w:val="auto"/>
                <w:vertAlign w:val="superscript"/>
              </w:rPr>
              <w:t>)</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119"/>
              <w:spacing w:after="0" w:line="210" w:lineRule="exact"/>
              <w:rPr>
                <w:sz w:val="20"/>
                <w:szCs w:val="20"/>
                <w:color w:val="auto"/>
              </w:rPr>
            </w:pPr>
            <w:r>
              <w:rPr>
                <w:rFonts w:ascii="Arial" w:cs="Arial" w:eastAsia="Arial" w:hAnsi="Arial"/>
                <w:sz w:val="12"/>
                <w:szCs w:val="12"/>
                <w:color w:val="auto"/>
              </w:rPr>
              <w:t>(28.1</w:t>
            </w:r>
            <w:r>
              <w:rPr>
                <w:rFonts w:ascii="Arial" w:cs="Arial" w:eastAsia="Arial" w:hAnsi="Arial"/>
                <w:sz w:val="23"/>
                <w:szCs w:val="23"/>
                <w:color w:val="auto"/>
                <w:vertAlign w:val="superscript"/>
              </w:rPr>
              <w:t>)</w:t>
            </w:r>
          </w:p>
        </w:tc>
      </w:tr>
      <w:tr>
        <w:trPr>
          <w:trHeight w:val="93"/>
        </w:trPr>
        <w:tc>
          <w:tcPr>
            <w:tcW w:w="5340" w:type="dxa"/>
            <w:vAlign w:val="bottom"/>
            <w:tcBorders>
              <w:bottom w:val="single" w:sz="8" w:color="808080"/>
            </w:tcBorders>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85"/>
        </w:trPr>
        <w:tc>
          <w:tcPr>
            <w:tcW w:w="53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Total</w:t>
            </w:r>
          </w:p>
        </w:tc>
        <w:tc>
          <w:tcPr>
            <w:tcW w:w="4200" w:type="dxa"/>
            <w:vAlign w:val="bottom"/>
            <w:shd w:val="clear" w:color="auto" w:fill="E6E6E6"/>
          </w:tcPr>
          <w:p>
            <w:pPr>
              <w:jc w:val="right"/>
              <w:ind w:right="82"/>
              <w:spacing w:after="0"/>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E6E6E6"/>
          </w:tcPr>
          <w:p>
            <w:pPr>
              <w:jc w:val="right"/>
              <w:ind w:right="259"/>
              <w:spacing w:after="0"/>
              <w:rPr>
                <w:sz w:val="20"/>
                <w:szCs w:val="20"/>
                <w:color w:val="auto"/>
              </w:rPr>
            </w:pPr>
            <w:r>
              <w:rPr>
                <w:rFonts w:ascii="Arial" w:cs="Arial" w:eastAsia="Arial" w:hAnsi="Arial"/>
                <w:sz w:val="12"/>
                <w:szCs w:val="12"/>
                <w:b w:val="1"/>
                <w:bCs w:val="1"/>
                <w:color w:val="auto"/>
              </w:rPr>
              <w:t>52.3</w:t>
            </w:r>
          </w:p>
        </w:tc>
        <w:tc>
          <w:tcPr>
            <w:tcW w:w="480" w:type="dxa"/>
            <w:vAlign w:val="bottom"/>
            <w:shd w:val="clear" w:color="auto" w:fill="E6E6E6"/>
          </w:tcPr>
          <w:p>
            <w:pPr>
              <w:jc w:val="right"/>
              <w:ind w:right="82"/>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E6E6E6"/>
          </w:tcPr>
          <w:p>
            <w:pPr>
              <w:jc w:val="right"/>
              <w:ind w:right="159"/>
              <w:spacing w:after="0"/>
              <w:rPr>
                <w:sz w:val="20"/>
                <w:szCs w:val="20"/>
                <w:color w:val="auto"/>
              </w:rPr>
            </w:pPr>
            <w:r>
              <w:rPr>
                <w:rFonts w:ascii="Arial" w:cs="Arial" w:eastAsia="Arial" w:hAnsi="Arial"/>
                <w:sz w:val="12"/>
                <w:szCs w:val="12"/>
                <w:b w:val="1"/>
                <w:bCs w:val="1"/>
                <w:color w:val="auto"/>
              </w:rPr>
              <w:t>60.0</w:t>
            </w:r>
          </w:p>
        </w:tc>
      </w:tr>
      <w:tr>
        <w:trPr>
          <w:trHeight w:val="101"/>
        </w:trPr>
        <w:tc>
          <w:tcPr>
            <w:tcW w:w="5340" w:type="dxa"/>
            <w:vAlign w:val="bottom"/>
            <w:tcBorders>
              <w:bottom w:val="single" w:sz="8" w:color="808080"/>
            </w:tcBorders>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aggregate minimum future annual rental commitments at May 31, 2006 under all non-cancelable leases for fiscal years ending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726567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40" w:type="dxa"/>
            <w:vAlign w:val="bottom"/>
          </w:tcPr>
          <w:p>
            <w:pPr>
              <w:spacing w:after="0"/>
              <w:rPr>
                <w:sz w:val="17"/>
                <w:szCs w:val="17"/>
                <w:color w:val="auto"/>
              </w:rPr>
            </w:pPr>
          </w:p>
        </w:tc>
        <w:tc>
          <w:tcPr>
            <w:tcW w:w="3920" w:type="dxa"/>
            <w:vAlign w:val="bottom"/>
            <w:gridSpan w:val="3"/>
          </w:tcPr>
          <w:p>
            <w:pPr>
              <w:jc w:val="right"/>
              <w:ind w:right="2"/>
              <w:spacing w:after="0"/>
              <w:rPr>
                <w:sz w:val="20"/>
                <w:szCs w:val="20"/>
                <w:color w:val="auto"/>
              </w:rPr>
            </w:pPr>
            <w:r>
              <w:rPr>
                <w:rFonts w:ascii="Arial" w:cs="Arial" w:eastAsia="Arial" w:hAnsi="Arial"/>
                <w:sz w:val="15"/>
                <w:szCs w:val="15"/>
                <w:b w:val="1"/>
                <w:bCs w:val="1"/>
                <w:color w:val="auto"/>
              </w:rPr>
              <w:t>Operating Leases</w:t>
            </w:r>
          </w:p>
        </w:tc>
        <w:tc>
          <w:tcPr>
            <w:tcW w:w="2180" w:type="dxa"/>
            <w:vAlign w:val="bottom"/>
            <w:gridSpan w:val="3"/>
          </w:tcPr>
          <w:p>
            <w:pPr>
              <w:jc w:val="right"/>
              <w:ind w:right="2"/>
              <w:spacing w:after="0"/>
              <w:rPr>
                <w:sz w:val="20"/>
                <w:szCs w:val="20"/>
                <w:color w:val="auto"/>
              </w:rPr>
            </w:pPr>
            <w:r>
              <w:rPr>
                <w:rFonts w:ascii="Arial" w:cs="Arial" w:eastAsia="Arial" w:hAnsi="Arial"/>
                <w:sz w:val="15"/>
                <w:szCs w:val="15"/>
                <w:b w:val="1"/>
                <w:bCs w:val="1"/>
                <w:color w:val="auto"/>
              </w:rPr>
              <w:t>Capital Leases</w:t>
            </w:r>
          </w:p>
        </w:tc>
      </w:tr>
      <w:tr>
        <w:trPr>
          <w:trHeight w:val="96"/>
        </w:trPr>
        <w:tc>
          <w:tcPr>
            <w:tcW w:w="534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85"/>
        </w:trPr>
        <w:tc>
          <w:tcPr>
            <w:tcW w:w="53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2007</w:t>
            </w:r>
          </w:p>
        </w:tc>
        <w:tc>
          <w:tcPr>
            <w:tcW w:w="3260" w:type="dxa"/>
            <w:vAlign w:val="bottom"/>
            <w:gridSpan w:val="2"/>
            <w:shd w:val="clear" w:color="auto" w:fill="E6E6E6"/>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36.4</w:t>
            </w:r>
          </w:p>
        </w:tc>
        <w:tc>
          <w:tcPr>
            <w:tcW w:w="1520" w:type="dxa"/>
            <w:vAlign w:val="bottom"/>
            <w:gridSpan w:val="2"/>
            <w:shd w:val="clear" w:color="auto" w:fill="E6E6E6"/>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12.8</w:t>
            </w:r>
          </w:p>
        </w:tc>
      </w:tr>
      <w:tr>
        <w:trPr>
          <w:trHeight w:val="203"/>
        </w:trPr>
        <w:tc>
          <w:tcPr>
            <w:tcW w:w="5340" w:type="dxa"/>
            <w:vAlign w:val="bottom"/>
          </w:tcPr>
          <w:p>
            <w:pPr>
              <w:spacing w:after="0"/>
              <w:rPr>
                <w:sz w:val="20"/>
                <w:szCs w:val="20"/>
                <w:color w:val="auto"/>
              </w:rPr>
            </w:pPr>
            <w:r>
              <w:rPr>
                <w:rFonts w:ascii="Arial" w:cs="Arial" w:eastAsia="Arial" w:hAnsi="Arial"/>
                <w:sz w:val="12"/>
                <w:szCs w:val="12"/>
                <w:color w:val="auto"/>
              </w:rPr>
              <w:t>2008</w:t>
            </w:r>
          </w:p>
        </w:tc>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25.9</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10.5</w:t>
            </w:r>
          </w:p>
        </w:tc>
      </w:tr>
      <w:tr>
        <w:trPr>
          <w:trHeight w:val="216"/>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2009</w:t>
            </w:r>
          </w:p>
        </w:tc>
        <w:tc>
          <w:tcPr>
            <w:tcW w:w="29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18.7</w:t>
            </w:r>
          </w:p>
        </w:tc>
        <w:tc>
          <w:tcPr>
            <w:tcW w:w="11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8.9</w:t>
            </w:r>
          </w:p>
        </w:tc>
      </w:tr>
      <w:tr>
        <w:trPr>
          <w:trHeight w:val="203"/>
        </w:trPr>
        <w:tc>
          <w:tcPr>
            <w:tcW w:w="5340" w:type="dxa"/>
            <w:vAlign w:val="bottom"/>
          </w:tcPr>
          <w:p>
            <w:pPr>
              <w:spacing w:after="0"/>
              <w:rPr>
                <w:sz w:val="20"/>
                <w:szCs w:val="20"/>
                <w:color w:val="auto"/>
              </w:rPr>
            </w:pPr>
            <w:r>
              <w:rPr>
                <w:rFonts w:ascii="Arial" w:cs="Arial" w:eastAsia="Arial" w:hAnsi="Arial"/>
                <w:sz w:val="12"/>
                <w:szCs w:val="12"/>
                <w:color w:val="auto"/>
              </w:rPr>
              <w:t>2010</w:t>
            </w:r>
          </w:p>
        </w:tc>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15.7</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7.6</w:t>
            </w:r>
          </w:p>
        </w:tc>
      </w:tr>
      <w:tr>
        <w:trPr>
          <w:trHeight w:val="216"/>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2011</w:t>
            </w:r>
          </w:p>
        </w:tc>
        <w:tc>
          <w:tcPr>
            <w:tcW w:w="29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12.5</w:t>
            </w:r>
          </w:p>
        </w:tc>
        <w:tc>
          <w:tcPr>
            <w:tcW w:w="11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5.8</w:t>
            </w:r>
          </w:p>
        </w:tc>
      </w:tr>
      <w:tr>
        <w:trPr>
          <w:trHeight w:val="197"/>
        </w:trPr>
        <w:tc>
          <w:tcPr>
            <w:tcW w:w="5340" w:type="dxa"/>
            <w:vAlign w:val="bottom"/>
          </w:tcPr>
          <w:p>
            <w:pPr>
              <w:spacing w:after="0"/>
              <w:rPr>
                <w:sz w:val="20"/>
                <w:szCs w:val="20"/>
                <w:color w:val="auto"/>
              </w:rPr>
            </w:pPr>
            <w:r>
              <w:rPr>
                <w:rFonts w:ascii="Arial" w:cs="Arial" w:eastAsia="Arial" w:hAnsi="Arial"/>
                <w:sz w:val="12"/>
                <w:szCs w:val="12"/>
                <w:color w:val="auto"/>
              </w:rPr>
              <w:t>Thereafter</w:t>
            </w:r>
          </w:p>
        </w:tc>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75.0</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218.3</w:t>
            </w:r>
          </w:p>
        </w:tc>
      </w:tr>
      <w:tr>
        <w:trPr>
          <w:trHeight w:val="106"/>
        </w:trPr>
        <w:tc>
          <w:tcPr>
            <w:tcW w:w="53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85"/>
        </w:trPr>
        <w:tc>
          <w:tcPr>
            <w:tcW w:w="53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Total minimum lease payments</w:t>
            </w:r>
          </w:p>
        </w:tc>
        <w:tc>
          <w:tcPr>
            <w:tcW w:w="3260" w:type="dxa"/>
            <w:vAlign w:val="bottom"/>
            <w:gridSpan w:val="2"/>
            <w:shd w:val="clear" w:color="auto" w:fill="E6E6E6"/>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184.2</w:t>
            </w:r>
          </w:p>
        </w:tc>
        <w:tc>
          <w:tcPr>
            <w:tcW w:w="11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263.9</w:t>
            </w:r>
          </w:p>
        </w:tc>
      </w:tr>
      <w:tr>
        <w:trPr>
          <w:trHeight w:val="101"/>
        </w:trPr>
        <w:tc>
          <w:tcPr>
            <w:tcW w:w="53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89"/>
        </w:trPr>
        <w:tc>
          <w:tcPr>
            <w:tcW w:w="53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340" w:type="dxa"/>
            <w:vAlign w:val="bottom"/>
            <w:shd w:val="clear" w:color="auto" w:fill="E6E6E6"/>
          </w:tcPr>
          <w:p>
            <w:pPr>
              <w:ind w:left="40"/>
              <w:spacing w:after="0"/>
              <w:rPr>
                <w:sz w:val="20"/>
                <w:szCs w:val="20"/>
                <w:color w:val="auto"/>
              </w:rPr>
            </w:pPr>
            <w:r>
              <w:rPr>
                <w:rFonts w:ascii="Arial" w:cs="Arial" w:eastAsia="Arial" w:hAnsi="Arial"/>
                <w:sz w:val="12"/>
                <w:szCs w:val="12"/>
                <w:color w:val="auto"/>
              </w:rPr>
              <w:t>Less amount representing interest</w:t>
            </w:r>
          </w:p>
        </w:tc>
        <w:tc>
          <w:tcPr>
            <w:tcW w:w="29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195.0</w:t>
            </w:r>
          </w:p>
        </w:tc>
      </w:tr>
      <w:tr>
        <w:trPr>
          <w:trHeight w:val="93"/>
        </w:trPr>
        <w:tc>
          <w:tcPr>
            <w:tcW w:w="53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85"/>
        </w:trPr>
        <w:tc>
          <w:tcPr>
            <w:tcW w:w="53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color w:val="auto"/>
              </w:rPr>
              <w:t>Present value of net minimum capital lease payments</w:t>
            </w:r>
          </w:p>
        </w:tc>
        <w:tc>
          <w:tcPr>
            <w:tcW w:w="29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68.9</w:t>
            </w:r>
          </w:p>
        </w:tc>
      </w:tr>
      <w:tr>
        <w:trPr>
          <w:trHeight w:val="197"/>
        </w:trPr>
        <w:tc>
          <w:tcPr>
            <w:tcW w:w="5340" w:type="dxa"/>
            <w:vAlign w:val="bottom"/>
          </w:tcPr>
          <w:p>
            <w:pPr>
              <w:spacing w:after="0"/>
              <w:rPr>
                <w:sz w:val="20"/>
                <w:szCs w:val="20"/>
                <w:color w:val="auto"/>
              </w:rPr>
            </w:pPr>
            <w:r>
              <w:rPr>
                <w:rFonts w:ascii="Arial" w:cs="Arial" w:eastAsia="Arial" w:hAnsi="Arial"/>
                <w:sz w:val="12"/>
                <w:szCs w:val="12"/>
                <w:color w:val="auto"/>
              </w:rPr>
              <w:t>Less current maturities of capital lease obligations</w:t>
            </w:r>
          </w:p>
        </w:tc>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7.5</w:t>
            </w:r>
          </w:p>
        </w:tc>
      </w:tr>
      <w:tr>
        <w:trPr>
          <w:trHeight w:val="106"/>
        </w:trPr>
        <w:tc>
          <w:tcPr>
            <w:tcW w:w="53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85"/>
        </w:trPr>
        <w:tc>
          <w:tcPr>
            <w:tcW w:w="53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gridSpan w:val="2"/>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34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Long-term capital lease obligations</w:t>
            </w:r>
          </w:p>
        </w:tc>
        <w:tc>
          <w:tcPr>
            <w:tcW w:w="29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1520" w:type="dxa"/>
            <w:vAlign w:val="bottom"/>
            <w:gridSpan w:val="2"/>
            <w:shd w:val="clear" w:color="auto" w:fill="E6E6E6"/>
          </w:tcPr>
          <w:p>
            <w:pPr>
              <w:jc w:val="right"/>
              <w:ind w:right="300"/>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E6E6E6"/>
          </w:tcPr>
          <w:p>
            <w:pPr>
              <w:jc w:val="right"/>
              <w:ind w:right="2"/>
              <w:spacing w:after="0"/>
              <w:rPr>
                <w:sz w:val="20"/>
                <w:szCs w:val="20"/>
                <w:color w:val="auto"/>
              </w:rPr>
            </w:pPr>
            <w:r>
              <w:rPr>
                <w:rFonts w:ascii="Arial" w:cs="Arial" w:eastAsia="Arial" w:hAnsi="Arial"/>
                <w:sz w:val="12"/>
                <w:szCs w:val="12"/>
                <w:b w:val="1"/>
                <w:bCs w:val="1"/>
                <w:color w:val="auto"/>
              </w:rPr>
              <w:t>61.4</w:t>
            </w:r>
          </w:p>
        </w:tc>
      </w:tr>
      <w:tr>
        <w:trPr>
          <w:trHeight w:val="101"/>
        </w:trPr>
        <w:tc>
          <w:tcPr>
            <w:tcW w:w="53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5867400</wp:posOffset>
            </wp:positionH>
            <wp:positionV relativeFrom="paragraph">
              <wp:posOffset>-930275</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-930275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6607175</wp:posOffset>
            </wp:positionH>
            <wp:positionV relativeFrom="paragraph">
              <wp:posOffset>-13335</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Commitments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contractual commitments relating to royalty advances at May 31, 2006 totaling $8.0. The aggregate annual commitments for royalty advances are as follows: fiscal 2007</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 $6.7; fiscal 2008 – $0.5; fiscal 2009 – $0.6; fiscal 2010 – $0.2.</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22"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INVESTMENT</w:t>
      </w:r>
    </w:p>
    <w:p>
      <w:pPr>
        <w:spacing w:after="0" w:line="22"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In fiscal 2003, the Company entered into a joint venture with The Book People, Ltd., a direct marketer of books in the United Kingdom, to distribute books to the home under the Red House name and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118110</wp:posOffset>
            </wp:positionV>
            <wp:extent cx="118110" cy="1181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94615</wp:posOffset>
            </wp:positionV>
            <wp:extent cx="728535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51" w:name="page52"/>
    <w:bookmarkEnd w:id="51"/>
    <w:p>
      <w:pPr>
        <w:spacing w:after="0" w:line="62" w:lineRule="exact"/>
        <w:rPr>
          <w:sz w:val="20"/>
          <w:szCs w:val="20"/>
          <w:color w:val="auto"/>
        </w:rPr>
      </w:pPr>
    </w:p>
    <w:p>
      <w:pPr>
        <w:ind w:left="20" w:right="60"/>
        <w:spacing w:after="0" w:line="267" w:lineRule="auto"/>
        <w:rPr>
          <w:sz w:val="20"/>
          <w:szCs w:val="20"/>
          <w:color w:val="auto"/>
        </w:rPr>
      </w:pPr>
      <w:r>
        <w:rPr>
          <w:rFonts w:ascii="Arial" w:cs="Arial" w:eastAsia="Arial" w:hAnsi="Arial"/>
          <w:sz w:val="15"/>
          <w:szCs w:val="15"/>
          <w:color w:val="auto"/>
        </w:rPr>
        <w:t>schools under the School Link name. The Company also acquired a 15% equity interest in The Book People Ltd.’s parent company, The Book People Group Ltd. As part of the transaction, the Company established a £3.0 revolving credit facility in favor of The Book People Group, Ltd., which is available to fund the expansion of The Book People Group, Ltd. and for working capital purposes. As of May 31, 2006, £3.0 (equivalent to $5.3 at that date) was outstanding under the revolving credit facility. The equity investment in The Book People Group, Ltd. is included in the Other Assets and Deferred Charges section of the Consolidated Balance Sheets.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6. GOODWILL AND OTHER INTANGIBLES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Goodwill and other intangible assets with indefinite lives are reviewed for impairment annually, or more frequently if impairment indicators arise.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summarizes the activity in Goodwill for the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191135</wp:posOffset>
            </wp:positionV>
            <wp:extent cx="726567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5"/>
                <w:szCs w:val="15"/>
                <w:b w:val="1"/>
                <w:bCs w:val="1"/>
                <w:color w:val="auto"/>
              </w:rPr>
              <w:t>2006</w:t>
            </w:r>
          </w:p>
        </w:tc>
        <w:tc>
          <w:tcPr>
            <w:tcW w:w="440" w:type="dxa"/>
            <w:vAlign w:val="bottom"/>
          </w:tcPr>
          <w:p>
            <w:pPr>
              <w:spacing w:after="0"/>
              <w:rPr>
                <w:sz w:val="16"/>
                <w:szCs w:val="16"/>
                <w:color w:val="auto"/>
              </w:rPr>
            </w:pPr>
          </w:p>
        </w:tc>
        <w:tc>
          <w:tcPr>
            <w:tcW w:w="660" w:type="dxa"/>
            <w:vAlign w:val="bottom"/>
          </w:tcPr>
          <w:p>
            <w:pPr>
              <w:jc w:val="right"/>
              <w:ind w:right="158"/>
              <w:spacing w:after="0"/>
              <w:rPr>
                <w:sz w:val="20"/>
                <w:szCs w:val="20"/>
                <w:color w:val="auto"/>
              </w:rPr>
            </w:pPr>
            <w:r>
              <w:rPr>
                <w:rFonts w:ascii="Arial" w:cs="Arial" w:eastAsia="Arial" w:hAnsi="Arial"/>
                <w:sz w:val="15"/>
                <w:szCs w:val="15"/>
                <w:b w:val="1"/>
                <w:bCs w:val="1"/>
                <w:color w:val="auto"/>
              </w:rPr>
              <w:t>2005</w:t>
            </w:r>
          </w:p>
        </w:tc>
      </w:tr>
      <w:tr>
        <w:trPr>
          <w:trHeight w:val="96"/>
        </w:trPr>
        <w:tc>
          <w:tcPr>
            <w:tcW w:w="546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85"/>
        </w:trPr>
        <w:tc>
          <w:tcPr>
            <w:tcW w:w="5460" w:type="dxa"/>
            <w:vAlign w:val="bottom"/>
          </w:tcPr>
          <w:p>
            <w:pPr>
              <w:spacing w:after="0"/>
              <w:rPr>
                <w:sz w:val="7"/>
                <w:szCs w:val="7"/>
                <w:color w:val="auto"/>
              </w:rPr>
            </w:pPr>
          </w:p>
        </w:tc>
        <w:tc>
          <w:tcPr>
            <w:tcW w:w="4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460" w:type="dxa"/>
            <w:vAlign w:val="bottom"/>
            <w:shd w:val="clear" w:color="auto" w:fill="E6E6E6"/>
          </w:tcPr>
          <w:p>
            <w:pPr>
              <w:spacing w:after="0"/>
              <w:rPr>
                <w:sz w:val="20"/>
                <w:szCs w:val="20"/>
                <w:color w:val="auto"/>
              </w:rPr>
            </w:pPr>
            <w:r>
              <w:rPr>
                <w:rFonts w:ascii="Arial" w:cs="Arial" w:eastAsia="Arial" w:hAnsi="Arial"/>
                <w:sz w:val="12"/>
                <w:szCs w:val="12"/>
                <w:color w:val="auto"/>
              </w:rPr>
              <w:t>Beginning balance</w:t>
            </w:r>
          </w:p>
        </w:tc>
        <w:tc>
          <w:tcPr>
            <w:tcW w:w="4160" w:type="dxa"/>
            <w:vAlign w:val="bottom"/>
            <w:shd w:val="clear" w:color="auto" w:fill="E6E6E6"/>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shd w:val="clear" w:color="auto" w:fill="E6E6E6"/>
          </w:tcPr>
          <w:p>
            <w:pPr>
              <w:jc w:val="right"/>
              <w:ind w:right="238"/>
              <w:spacing w:after="0"/>
              <w:rPr>
                <w:sz w:val="20"/>
                <w:szCs w:val="20"/>
                <w:color w:val="auto"/>
              </w:rPr>
            </w:pPr>
            <w:r>
              <w:rPr>
                <w:rFonts w:ascii="Arial" w:cs="Arial" w:eastAsia="Arial" w:hAnsi="Arial"/>
                <w:sz w:val="12"/>
                <w:szCs w:val="12"/>
                <w:color w:val="auto"/>
              </w:rPr>
              <w:t>254.2</w:t>
            </w:r>
          </w:p>
        </w:tc>
        <w:tc>
          <w:tcPr>
            <w:tcW w:w="440" w:type="dxa"/>
            <w:vAlign w:val="bottom"/>
            <w:shd w:val="clear" w:color="auto" w:fill="E6E6E6"/>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shd w:val="clear" w:color="auto" w:fill="E6E6E6"/>
          </w:tcPr>
          <w:p>
            <w:pPr>
              <w:jc w:val="right"/>
              <w:ind w:right="158"/>
              <w:spacing w:after="0"/>
              <w:rPr>
                <w:sz w:val="20"/>
                <w:szCs w:val="20"/>
                <w:color w:val="auto"/>
              </w:rPr>
            </w:pPr>
            <w:r>
              <w:rPr>
                <w:rFonts w:ascii="Arial" w:cs="Arial" w:eastAsia="Arial" w:hAnsi="Arial"/>
                <w:sz w:val="12"/>
                <w:szCs w:val="12"/>
                <w:color w:val="auto"/>
              </w:rPr>
              <w:t>249.7</w:t>
            </w:r>
          </w:p>
        </w:tc>
      </w:tr>
      <w:tr>
        <w:trPr>
          <w:trHeight w:val="210"/>
        </w:trPr>
        <w:tc>
          <w:tcPr>
            <w:tcW w:w="5460" w:type="dxa"/>
            <w:vAlign w:val="bottom"/>
          </w:tcPr>
          <w:p>
            <w:pPr>
              <w:spacing w:after="0"/>
              <w:rPr>
                <w:sz w:val="20"/>
                <w:szCs w:val="20"/>
                <w:color w:val="auto"/>
              </w:rPr>
            </w:pPr>
            <w:r>
              <w:rPr>
                <w:rFonts w:ascii="Arial" w:cs="Arial" w:eastAsia="Arial" w:hAnsi="Arial"/>
                <w:sz w:val="12"/>
                <w:szCs w:val="12"/>
                <w:color w:val="auto"/>
              </w:rPr>
              <w:t>Additions due to acquisitions</w:t>
            </w:r>
          </w:p>
        </w:tc>
        <w:tc>
          <w:tcPr>
            <w:tcW w:w="4160" w:type="dxa"/>
            <w:vAlign w:val="bottom"/>
          </w:tcPr>
          <w:p>
            <w:pPr>
              <w:spacing w:after="0"/>
              <w:rPr>
                <w:sz w:val="18"/>
                <w:szCs w:val="18"/>
                <w:color w:val="auto"/>
              </w:rPr>
            </w:pPr>
          </w:p>
        </w:tc>
        <w:tc>
          <w:tcPr>
            <w:tcW w:w="72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8"/>
                <w:szCs w:val="18"/>
                <w:color w:val="auto"/>
              </w:rPr>
            </w:pPr>
          </w:p>
        </w:tc>
        <w:tc>
          <w:tcPr>
            <w:tcW w:w="660" w:type="dxa"/>
            <w:vAlign w:val="bottom"/>
          </w:tcPr>
          <w:p>
            <w:pPr>
              <w:jc w:val="right"/>
              <w:ind w:right="158"/>
              <w:spacing w:after="0"/>
              <w:rPr>
                <w:sz w:val="20"/>
                <w:szCs w:val="20"/>
                <w:color w:val="auto"/>
              </w:rPr>
            </w:pPr>
            <w:r>
              <w:rPr>
                <w:rFonts w:ascii="Arial" w:cs="Arial" w:eastAsia="Arial" w:hAnsi="Arial"/>
                <w:sz w:val="12"/>
                <w:szCs w:val="12"/>
                <w:color w:val="auto"/>
              </w:rPr>
              <w:t>6.0</w:t>
            </w:r>
          </w:p>
        </w:tc>
      </w:tr>
      <w:tr>
        <w:trPr>
          <w:trHeight w:val="210"/>
        </w:trPr>
        <w:tc>
          <w:tcPr>
            <w:tcW w:w="5460" w:type="dxa"/>
            <w:vAlign w:val="bottom"/>
            <w:shd w:val="clear" w:color="auto" w:fill="E6E6E6"/>
          </w:tcPr>
          <w:p>
            <w:pPr>
              <w:spacing w:after="0"/>
              <w:rPr>
                <w:sz w:val="20"/>
                <w:szCs w:val="20"/>
                <w:color w:val="auto"/>
              </w:rPr>
            </w:pPr>
            <w:r>
              <w:rPr>
                <w:rFonts w:ascii="Arial" w:cs="Arial" w:eastAsia="Arial" w:hAnsi="Arial"/>
                <w:sz w:val="12"/>
                <w:szCs w:val="12"/>
                <w:color w:val="auto"/>
              </w:rPr>
              <w:t>Other adjustments</w:t>
            </w:r>
          </w:p>
        </w:tc>
        <w:tc>
          <w:tcPr>
            <w:tcW w:w="416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158"/>
              <w:spacing w:after="0" w:line="210" w:lineRule="exact"/>
              <w:rPr>
                <w:sz w:val="20"/>
                <w:szCs w:val="20"/>
                <w:color w:val="auto"/>
              </w:rPr>
            </w:pPr>
            <w:r>
              <w:rPr>
                <w:rFonts w:ascii="Arial" w:cs="Arial" w:eastAsia="Arial" w:hAnsi="Arial"/>
                <w:sz w:val="12"/>
                <w:szCs w:val="12"/>
                <w:color w:val="auto"/>
              </w:rPr>
              <w:t>(1.1</w:t>
            </w:r>
            <w:r>
              <w:rPr>
                <w:rFonts w:ascii="Arial" w:cs="Arial" w:eastAsia="Arial" w:hAnsi="Arial"/>
                <w:sz w:val="23"/>
                <w:szCs w:val="23"/>
                <w:color w:val="auto"/>
                <w:vertAlign w:val="superscript"/>
              </w:rPr>
              <w:t>)</w:t>
            </w:r>
          </w:p>
        </w:tc>
        <w:tc>
          <w:tcPr>
            <w:tcW w:w="44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118"/>
              <w:spacing w:after="0" w:line="210" w:lineRule="exact"/>
              <w:rPr>
                <w:sz w:val="20"/>
                <w:szCs w:val="20"/>
                <w:color w:val="auto"/>
              </w:rPr>
            </w:pPr>
            <w:r>
              <w:rPr>
                <w:rFonts w:ascii="Arial" w:cs="Arial" w:eastAsia="Arial" w:hAnsi="Arial"/>
                <w:sz w:val="12"/>
                <w:szCs w:val="12"/>
                <w:color w:val="auto"/>
              </w:rPr>
              <w:t>(1.5</w:t>
            </w:r>
            <w:r>
              <w:rPr>
                <w:rFonts w:ascii="Arial" w:cs="Arial" w:eastAsia="Arial" w:hAnsi="Arial"/>
                <w:sz w:val="23"/>
                <w:szCs w:val="23"/>
                <w:color w:val="auto"/>
                <w:vertAlign w:val="superscript"/>
              </w:rPr>
              <w:t>)</w:t>
            </w:r>
          </w:p>
        </w:tc>
      </w:tr>
      <w:tr>
        <w:trPr>
          <w:trHeight w:val="93"/>
        </w:trPr>
        <w:tc>
          <w:tcPr>
            <w:tcW w:w="5460" w:type="dxa"/>
            <w:vAlign w:val="bottom"/>
            <w:tcBorders>
              <w:bottom w:val="single" w:sz="8" w:color="808080"/>
            </w:tcBorders>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85"/>
        </w:trPr>
        <w:tc>
          <w:tcPr>
            <w:tcW w:w="5460" w:type="dxa"/>
            <w:vAlign w:val="bottom"/>
          </w:tcPr>
          <w:p>
            <w:pPr>
              <w:spacing w:after="0"/>
              <w:rPr>
                <w:sz w:val="7"/>
                <w:szCs w:val="7"/>
                <w:color w:val="auto"/>
              </w:rPr>
            </w:pPr>
          </w:p>
        </w:tc>
        <w:tc>
          <w:tcPr>
            <w:tcW w:w="4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10"/>
        </w:trPr>
        <w:tc>
          <w:tcPr>
            <w:tcW w:w="546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Ending Balance</w:t>
            </w:r>
          </w:p>
        </w:tc>
        <w:tc>
          <w:tcPr>
            <w:tcW w:w="4160" w:type="dxa"/>
            <w:vAlign w:val="bottom"/>
            <w:shd w:val="clear" w:color="auto" w:fill="E6E6E6"/>
          </w:tcPr>
          <w:p>
            <w:pPr>
              <w:jc w:val="right"/>
              <w:ind w:right="42"/>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E6E6E6"/>
          </w:tcPr>
          <w:p>
            <w:pPr>
              <w:jc w:val="right"/>
              <w:ind w:right="238"/>
              <w:spacing w:after="0"/>
              <w:rPr>
                <w:sz w:val="20"/>
                <w:szCs w:val="20"/>
                <w:color w:val="auto"/>
              </w:rPr>
            </w:pPr>
            <w:r>
              <w:rPr>
                <w:rFonts w:ascii="Arial" w:cs="Arial" w:eastAsia="Arial" w:hAnsi="Arial"/>
                <w:sz w:val="12"/>
                <w:szCs w:val="12"/>
                <w:b w:val="1"/>
                <w:bCs w:val="1"/>
                <w:color w:val="auto"/>
              </w:rPr>
              <w:t>253.1</w:t>
            </w:r>
          </w:p>
        </w:tc>
        <w:tc>
          <w:tcPr>
            <w:tcW w:w="440" w:type="dxa"/>
            <w:vAlign w:val="bottom"/>
            <w:shd w:val="clear" w:color="auto" w:fill="E6E6E6"/>
          </w:tcPr>
          <w:p>
            <w:pPr>
              <w:jc w:val="right"/>
              <w:ind w:right="82"/>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E6E6E6"/>
          </w:tcPr>
          <w:p>
            <w:pPr>
              <w:jc w:val="right"/>
              <w:ind w:right="158"/>
              <w:spacing w:after="0"/>
              <w:rPr>
                <w:sz w:val="20"/>
                <w:szCs w:val="20"/>
                <w:color w:val="auto"/>
              </w:rPr>
            </w:pPr>
            <w:r>
              <w:rPr>
                <w:rFonts w:ascii="Arial" w:cs="Arial" w:eastAsia="Arial" w:hAnsi="Arial"/>
                <w:sz w:val="12"/>
                <w:szCs w:val="12"/>
                <w:b w:val="1"/>
                <w:bCs w:val="1"/>
                <w:color w:val="auto"/>
              </w:rPr>
              <w:t>254.2</w:t>
            </w:r>
          </w:p>
        </w:tc>
      </w:tr>
      <w:tr>
        <w:trPr>
          <w:trHeight w:val="101"/>
        </w:trPr>
        <w:tc>
          <w:tcPr>
            <w:tcW w:w="5460" w:type="dxa"/>
            <w:vAlign w:val="bottom"/>
            <w:tcBorders>
              <w:bottom w:val="single" w:sz="8" w:color="808080"/>
            </w:tcBorders>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20" w:right="200"/>
        <w:spacing w:after="0" w:line="285" w:lineRule="auto"/>
        <w:rPr>
          <w:sz w:val="20"/>
          <w:szCs w:val="20"/>
          <w:color w:val="auto"/>
        </w:rPr>
      </w:pPr>
      <w:r>
        <w:rPr>
          <w:rFonts w:ascii="Arial" w:cs="Arial" w:eastAsia="Arial" w:hAnsi="Arial"/>
          <w:sz w:val="15"/>
          <w:szCs w:val="15"/>
          <w:color w:val="auto"/>
        </w:rPr>
        <w:t>In fiscal 2005, Additions due to acquisitions includes the purchase price for the acquisition of Chicken House Publishing Ltd. and the accrual of a final payment related to the fiscal 2002 acquisition of Klutz.</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summarizes Other intangibles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191135</wp:posOffset>
            </wp:positionV>
            <wp:extent cx="72656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4960" w:type="dxa"/>
            <w:vAlign w:val="bottom"/>
          </w:tcPr>
          <w:p>
            <w:pPr>
              <w:jc w:val="right"/>
              <w:ind w:right="420"/>
              <w:spacing w:after="0"/>
              <w:rPr>
                <w:sz w:val="20"/>
                <w:szCs w:val="20"/>
                <w:color w:val="auto"/>
              </w:rPr>
            </w:pPr>
            <w:r>
              <w:rPr>
                <w:rFonts w:ascii="Arial" w:cs="Arial" w:eastAsia="Arial" w:hAnsi="Arial"/>
                <w:sz w:val="15"/>
                <w:szCs w:val="15"/>
                <w:b w:val="1"/>
                <w:bCs w:val="1"/>
                <w:color w:val="auto"/>
              </w:rPr>
              <w:t>2006</w:t>
            </w:r>
          </w:p>
        </w:tc>
        <w:tc>
          <w:tcPr>
            <w:tcW w:w="980" w:type="dxa"/>
            <w:vAlign w:val="bottom"/>
          </w:tcPr>
          <w:p>
            <w:pPr>
              <w:jc w:val="right"/>
              <w:ind w:right="160"/>
              <w:spacing w:after="0"/>
              <w:rPr>
                <w:sz w:val="20"/>
                <w:szCs w:val="20"/>
                <w:color w:val="auto"/>
              </w:rPr>
            </w:pPr>
            <w:r>
              <w:rPr>
                <w:rFonts w:ascii="Arial" w:cs="Arial" w:eastAsia="Arial" w:hAnsi="Arial"/>
                <w:sz w:val="15"/>
                <w:szCs w:val="15"/>
                <w:b w:val="1"/>
                <w:bCs w:val="1"/>
                <w:color w:val="auto"/>
              </w:rPr>
              <w:t>2005</w:t>
            </w:r>
          </w:p>
        </w:tc>
      </w:tr>
      <w:tr>
        <w:trPr>
          <w:trHeight w:val="96"/>
        </w:trPr>
        <w:tc>
          <w:tcPr>
            <w:tcW w:w="5500" w:type="dxa"/>
            <w:vAlign w:val="bottom"/>
            <w:tcBorders>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85"/>
        </w:trPr>
        <w:tc>
          <w:tcPr>
            <w:tcW w:w="5500" w:type="dxa"/>
            <w:vAlign w:val="bottom"/>
          </w:tcPr>
          <w:p>
            <w:pPr>
              <w:spacing w:after="0"/>
              <w:rPr>
                <w:sz w:val="7"/>
                <w:szCs w:val="7"/>
                <w:color w:val="auto"/>
              </w:rPr>
            </w:pPr>
          </w:p>
        </w:tc>
        <w:tc>
          <w:tcPr>
            <w:tcW w:w="496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0"/>
        </w:trPr>
        <w:tc>
          <w:tcPr>
            <w:tcW w:w="5500" w:type="dxa"/>
            <w:vAlign w:val="bottom"/>
            <w:shd w:val="clear" w:color="auto" w:fill="E6E6E6"/>
          </w:tcPr>
          <w:p>
            <w:pPr>
              <w:spacing w:after="0"/>
              <w:rPr>
                <w:sz w:val="20"/>
                <w:szCs w:val="20"/>
                <w:color w:val="auto"/>
              </w:rPr>
            </w:pPr>
            <w:r>
              <w:rPr>
                <w:rFonts w:ascii="Arial" w:cs="Arial" w:eastAsia="Arial" w:hAnsi="Arial"/>
                <w:sz w:val="12"/>
                <w:szCs w:val="12"/>
                <w:color w:val="auto"/>
              </w:rPr>
              <w:t>Customer lists</w:t>
            </w:r>
          </w:p>
        </w:tc>
        <w:tc>
          <w:tcPr>
            <w:tcW w:w="4960" w:type="dxa"/>
            <w:vAlign w:val="bottom"/>
            <w:shd w:val="clear" w:color="auto" w:fill="E6E6E6"/>
          </w:tcPr>
          <w:p>
            <w:pPr>
              <w:jc w:val="right"/>
              <w:ind w:right="420"/>
              <w:spacing w:after="0"/>
              <w:rPr>
                <w:sz w:val="20"/>
                <w:szCs w:val="20"/>
                <w:color w:val="auto"/>
              </w:rPr>
            </w:pPr>
            <w:r>
              <w:rPr>
                <w:rFonts w:ascii="Arial" w:cs="Arial" w:eastAsia="Arial" w:hAnsi="Arial"/>
                <w:sz w:val="12"/>
                <w:szCs w:val="12"/>
                <w:color w:val="auto"/>
              </w:rPr>
              <w:t>3.0</w:t>
            </w:r>
          </w:p>
        </w:tc>
        <w:tc>
          <w:tcPr>
            <w:tcW w:w="98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3.0</w:t>
            </w:r>
          </w:p>
        </w:tc>
      </w:tr>
      <w:tr>
        <w:trPr>
          <w:trHeight w:val="303"/>
        </w:trPr>
        <w:tc>
          <w:tcPr>
            <w:tcW w:w="5500" w:type="dxa"/>
            <w:vAlign w:val="bottom"/>
            <w:tcBorders>
              <w:bottom w:val="single" w:sz="8" w:color="808080"/>
            </w:tcBorders>
          </w:tcPr>
          <w:p>
            <w:pPr>
              <w:spacing w:after="0"/>
              <w:rPr>
                <w:sz w:val="20"/>
                <w:szCs w:val="20"/>
                <w:color w:val="auto"/>
              </w:rPr>
            </w:pPr>
            <w:r>
              <w:rPr>
                <w:rFonts w:ascii="Arial" w:cs="Arial" w:eastAsia="Arial" w:hAnsi="Arial"/>
                <w:sz w:val="12"/>
                <w:szCs w:val="12"/>
                <w:color w:val="auto"/>
              </w:rPr>
              <w:t>Accumulated amortization</w:t>
            </w:r>
          </w:p>
        </w:tc>
        <w:tc>
          <w:tcPr>
            <w:tcW w:w="4960" w:type="dxa"/>
            <w:vAlign w:val="bottom"/>
            <w:tcBorders>
              <w:bottom w:val="single" w:sz="8" w:color="808080"/>
            </w:tcBorders>
          </w:tcPr>
          <w:p>
            <w:pPr>
              <w:jc w:val="right"/>
              <w:ind w:right="380"/>
              <w:spacing w:after="0"/>
              <w:rPr>
                <w:sz w:val="20"/>
                <w:szCs w:val="20"/>
                <w:color w:val="auto"/>
              </w:rPr>
            </w:pPr>
            <w:r>
              <w:rPr>
                <w:rFonts w:ascii="Arial" w:cs="Arial" w:eastAsia="Arial" w:hAnsi="Arial"/>
                <w:sz w:val="12"/>
                <w:szCs w:val="12"/>
                <w:color w:val="auto"/>
              </w:rPr>
              <w:t>(2.9</w:t>
            </w:r>
            <w:r>
              <w:rPr>
                <w:rFonts w:ascii="Arial" w:cs="Arial" w:eastAsia="Arial" w:hAnsi="Arial"/>
                <w:sz w:val="23"/>
                <w:szCs w:val="23"/>
                <w:color w:val="auto"/>
                <w:vertAlign w:val="superscript"/>
              </w:rPr>
              <w:t>)</w:t>
            </w:r>
          </w:p>
        </w:tc>
        <w:tc>
          <w:tcPr>
            <w:tcW w:w="980" w:type="dxa"/>
            <w:vAlign w:val="bottom"/>
            <w:tcBorders>
              <w:bottom w:val="single" w:sz="8" w:color="808080"/>
            </w:tcBorders>
          </w:tcPr>
          <w:p>
            <w:pPr>
              <w:jc w:val="right"/>
              <w:ind w:right="120"/>
              <w:spacing w:after="0"/>
              <w:rPr>
                <w:sz w:val="20"/>
                <w:szCs w:val="20"/>
                <w:color w:val="auto"/>
              </w:rPr>
            </w:pPr>
            <w:r>
              <w:rPr>
                <w:rFonts w:ascii="Arial" w:cs="Arial" w:eastAsia="Arial" w:hAnsi="Arial"/>
                <w:sz w:val="12"/>
                <w:szCs w:val="12"/>
                <w:color w:val="auto"/>
              </w:rPr>
              <w:t>(2.8</w:t>
            </w:r>
            <w:r>
              <w:rPr>
                <w:rFonts w:ascii="Arial" w:cs="Arial" w:eastAsia="Arial" w:hAnsi="Arial"/>
                <w:sz w:val="23"/>
                <w:szCs w:val="23"/>
                <w:color w:val="auto"/>
                <w:vertAlign w:val="superscript"/>
              </w:rPr>
              <w:t>)</w:t>
            </w:r>
          </w:p>
        </w:tc>
      </w:tr>
      <w:tr>
        <w:trPr>
          <w:trHeight w:val="85"/>
        </w:trPr>
        <w:tc>
          <w:tcPr>
            <w:tcW w:w="5500" w:type="dxa"/>
            <w:vAlign w:val="bottom"/>
          </w:tcPr>
          <w:p>
            <w:pPr>
              <w:spacing w:after="0"/>
              <w:rPr>
                <w:sz w:val="7"/>
                <w:szCs w:val="7"/>
                <w:color w:val="auto"/>
              </w:rPr>
            </w:pPr>
          </w:p>
        </w:tc>
        <w:tc>
          <w:tcPr>
            <w:tcW w:w="496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0"/>
        </w:trPr>
        <w:tc>
          <w:tcPr>
            <w:tcW w:w="5500" w:type="dxa"/>
            <w:vAlign w:val="bottom"/>
            <w:shd w:val="clear" w:color="auto" w:fill="E6E6E6"/>
          </w:tcPr>
          <w:p>
            <w:pPr>
              <w:ind w:left="40"/>
              <w:spacing w:after="0"/>
              <w:rPr>
                <w:sz w:val="20"/>
                <w:szCs w:val="20"/>
                <w:color w:val="auto"/>
              </w:rPr>
            </w:pPr>
            <w:r>
              <w:rPr>
                <w:rFonts w:ascii="Arial" w:cs="Arial" w:eastAsia="Arial" w:hAnsi="Arial"/>
                <w:sz w:val="12"/>
                <w:szCs w:val="12"/>
                <w:color w:val="auto"/>
              </w:rPr>
              <w:t>Net customer lists</w:t>
            </w:r>
          </w:p>
        </w:tc>
        <w:tc>
          <w:tcPr>
            <w:tcW w:w="4960" w:type="dxa"/>
            <w:vAlign w:val="bottom"/>
            <w:shd w:val="clear" w:color="auto" w:fill="E6E6E6"/>
          </w:tcPr>
          <w:p>
            <w:pPr>
              <w:jc w:val="right"/>
              <w:ind w:right="420"/>
              <w:spacing w:after="0"/>
              <w:rPr>
                <w:sz w:val="20"/>
                <w:szCs w:val="20"/>
                <w:color w:val="auto"/>
              </w:rPr>
            </w:pPr>
            <w:r>
              <w:rPr>
                <w:rFonts w:ascii="Arial" w:cs="Arial" w:eastAsia="Arial" w:hAnsi="Arial"/>
                <w:sz w:val="12"/>
                <w:szCs w:val="12"/>
                <w:color w:val="auto"/>
              </w:rPr>
              <w:t>0.1</w:t>
            </w:r>
          </w:p>
        </w:tc>
        <w:tc>
          <w:tcPr>
            <w:tcW w:w="98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0.2</w:t>
            </w:r>
          </w:p>
        </w:tc>
      </w:tr>
      <w:tr>
        <w:trPr>
          <w:trHeight w:val="93"/>
        </w:trPr>
        <w:tc>
          <w:tcPr>
            <w:tcW w:w="5500" w:type="dxa"/>
            <w:vAlign w:val="bottom"/>
            <w:tcBorders>
              <w:bottom w:val="single" w:sz="8" w:color="808080"/>
            </w:tcBorders>
          </w:tcPr>
          <w:p>
            <w:pPr>
              <w:spacing w:after="0"/>
              <w:rPr>
                <w:sz w:val="8"/>
                <w:szCs w:val="8"/>
                <w:color w:val="auto"/>
              </w:rPr>
            </w:pPr>
          </w:p>
        </w:tc>
        <w:tc>
          <w:tcPr>
            <w:tcW w:w="49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95"/>
        </w:trPr>
        <w:tc>
          <w:tcPr>
            <w:tcW w:w="5500" w:type="dxa"/>
            <w:vAlign w:val="bottom"/>
          </w:tcPr>
          <w:p>
            <w:pPr>
              <w:spacing w:after="0"/>
              <w:rPr>
                <w:sz w:val="20"/>
                <w:szCs w:val="20"/>
                <w:color w:val="auto"/>
              </w:rPr>
            </w:pPr>
            <w:r>
              <w:rPr>
                <w:rFonts w:ascii="Arial" w:cs="Arial" w:eastAsia="Arial" w:hAnsi="Arial"/>
                <w:sz w:val="12"/>
                <w:szCs w:val="12"/>
                <w:color w:val="auto"/>
              </w:rPr>
              <w:t>Other intangibles</w:t>
            </w:r>
          </w:p>
        </w:tc>
        <w:tc>
          <w:tcPr>
            <w:tcW w:w="4960" w:type="dxa"/>
            <w:vAlign w:val="bottom"/>
          </w:tcPr>
          <w:p>
            <w:pPr>
              <w:jc w:val="right"/>
              <w:ind w:right="420"/>
              <w:spacing w:after="0"/>
              <w:rPr>
                <w:sz w:val="20"/>
                <w:szCs w:val="20"/>
                <w:color w:val="auto"/>
              </w:rPr>
            </w:pPr>
            <w:r>
              <w:rPr>
                <w:rFonts w:ascii="Arial" w:cs="Arial" w:eastAsia="Arial" w:hAnsi="Arial"/>
                <w:sz w:val="12"/>
                <w:szCs w:val="12"/>
                <w:color w:val="auto"/>
              </w:rPr>
              <w:t>4.0</w:t>
            </w:r>
          </w:p>
        </w:tc>
        <w:tc>
          <w:tcPr>
            <w:tcW w:w="980" w:type="dxa"/>
            <w:vAlign w:val="bottom"/>
          </w:tcPr>
          <w:p>
            <w:pPr>
              <w:jc w:val="right"/>
              <w:ind w:right="160"/>
              <w:spacing w:after="0"/>
              <w:rPr>
                <w:sz w:val="20"/>
                <w:szCs w:val="20"/>
                <w:color w:val="auto"/>
              </w:rPr>
            </w:pPr>
            <w:r>
              <w:rPr>
                <w:rFonts w:ascii="Arial" w:cs="Arial" w:eastAsia="Arial" w:hAnsi="Arial"/>
                <w:sz w:val="12"/>
                <w:szCs w:val="12"/>
                <w:color w:val="auto"/>
              </w:rPr>
              <w:t>4.0</w:t>
            </w:r>
          </w:p>
        </w:tc>
      </w:tr>
      <w:tr>
        <w:trPr>
          <w:trHeight w:val="210"/>
        </w:trPr>
        <w:tc>
          <w:tcPr>
            <w:tcW w:w="5500" w:type="dxa"/>
            <w:vAlign w:val="bottom"/>
            <w:shd w:val="clear" w:color="auto" w:fill="E6E6E6"/>
          </w:tcPr>
          <w:p>
            <w:pPr>
              <w:spacing w:after="0"/>
              <w:rPr>
                <w:sz w:val="20"/>
                <w:szCs w:val="20"/>
                <w:color w:val="auto"/>
              </w:rPr>
            </w:pPr>
            <w:r>
              <w:rPr>
                <w:rFonts w:ascii="Arial" w:cs="Arial" w:eastAsia="Arial" w:hAnsi="Arial"/>
                <w:sz w:val="12"/>
                <w:szCs w:val="12"/>
                <w:color w:val="auto"/>
              </w:rPr>
              <w:t>Accumulated amortization</w:t>
            </w:r>
          </w:p>
        </w:tc>
        <w:tc>
          <w:tcPr>
            <w:tcW w:w="4960" w:type="dxa"/>
            <w:vAlign w:val="bottom"/>
            <w:shd w:val="clear" w:color="auto" w:fill="E6E6E6"/>
          </w:tcPr>
          <w:p>
            <w:pPr>
              <w:jc w:val="right"/>
              <w:ind w:right="380"/>
              <w:spacing w:after="0" w:line="210" w:lineRule="exact"/>
              <w:rPr>
                <w:sz w:val="20"/>
                <w:szCs w:val="20"/>
                <w:color w:val="auto"/>
              </w:rPr>
            </w:pPr>
            <w:r>
              <w:rPr>
                <w:rFonts w:ascii="Arial" w:cs="Arial" w:eastAsia="Arial" w:hAnsi="Arial"/>
                <w:sz w:val="12"/>
                <w:szCs w:val="12"/>
                <w:color w:val="auto"/>
              </w:rPr>
              <w:t>(2.8</w:t>
            </w:r>
            <w:r>
              <w:rPr>
                <w:rFonts w:ascii="Arial" w:cs="Arial" w:eastAsia="Arial" w:hAnsi="Arial"/>
                <w:sz w:val="23"/>
                <w:szCs w:val="23"/>
                <w:color w:val="auto"/>
                <w:vertAlign w:val="superscript"/>
              </w:rPr>
              <w:t>)</w:t>
            </w:r>
          </w:p>
        </w:tc>
        <w:tc>
          <w:tcPr>
            <w:tcW w:w="980" w:type="dxa"/>
            <w:vAlign w:val="bottom"/>
            <w:shd w:val="clear" w:color="auto" w:fill="E6E6E6"/>
          </w:tcPr>
          <w:p>
            <w:pPr>
              <w:jc w:val="right"/>
              <w:ind w:right="120"/>
              <w:spacing w:after="0" w:line="210" w:lineRule="exact"/>
              <w:rPr>
                <w:sz w:val="20"/>
                <w:szCs w:val="20"/>
                <w:color w:val="auto"/>
              </w:rPr>
            </w:pPr>
            <w:r>
              <w:rPr>
                <w:rFonts w:ascii="Arial" w:cs="Arial" w:eastAsia="Arial" w:hAnsi="Arial"/>
                <w:sz w:val="12"/>
                <w:szCs w:val="12"/>
                <w:color w:val="auto"/>
              </w:rPr>
              <w:t>(2.6</w:t>
            </w:r>
            <w:r>
              <w:rPr>
                <w:rFonts w:ascii="Arial" w:cs="Arial" w:eastAsia="Arial" w:hAnsi="Arial"/>
                <w:sz w:val="23"/>
                <w:szCs w:val="23"/>
                <w:color w:val="auto"/>
                <w:vertAlign w:val="superscript"/>
              </w:rPr>
              <w:t>)</w:t>
            </w:r>
          </w:p>
        </w:tc>
      </w:tr>
      <w:tr>
        <w:trPr>
          <w:trHeight w:val="93"/>
        </w:trPr>
        <w:tc>
          <w:tcPr>
            <w:tcW w:w="5500" w:type="dxa"/>
            <w:vAlign w:val="bottom"/>
            <w:tcBorders>
              <w:bottom w:val="single" w:sz="8" w:color="808080"/>
            </w:tcBorders>
          </w:tcPr>
          <w:p>
            <w:pPr>
              <w:spacing w:after="0"/>
              <w:rPr>
                <w:sz w:val="8"/>
                <w:szCs w:val="8"/>
                <w:color w:val="auto"/>
              </w:rPr>
            </w:pPr>
          </w:p>
        </w:tc>
        <w:tc>
          <w:tcPr>
            <w:tcW w:w="49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305"/>
        </w:trPr>
        <w:tc>
          <w:tcPr>
            <w:tcW w:w="5500" w:type="dxa"/>
            <w:vAlign w:val="bottom"/>
          </w:tcPr>
          <w:p>
            <w:pPr>
              <w:ind w:left="40"/>
              <w:spacing w:after="0"/>
              <w:rPr>
                <w:sz w:val="20"/>
                <w:szCs w:val="20"/>
                <w:color w:val="auto"/>
              </w:rPr>
            </w:pPr>
            <w:r>
              <w:rPr>
                <w:rFonts w:ascii="Arial" w:cs="Arial" w:eastAsia="Arial" w:hAnsi="Arial"/>
                <w:sz w:val="12"/>
                <w:szCs w:val="12"/>
                <w:color w:val="auto"/>
              </w:rPr>
              <w:t>Net other intangibles</w:t>
            </w:r>
          </w:p>
        </w:tc>
        <w:tc>
          <w:tcPr>
            <w:tcW w:w="4960" w:type="dxa"/>
            <w:vAlign w:val="bottom"/>
          </w:tcPr>
          <w:p>
            <w:pPr>
              <w:jc w:val="right"/>
              <w:ind w:right="420"/>
              <w:spacing w:after="0"/>
              <w:rPr>
                <w:sz w:val="20"/>
                <w:szCs w:val="20"/>
                <w:color w:val="auto"/>
              </w:rPr>
            </w:pPr>
            <w:r>
              <w:rPr>
                <w:rFonts w:ascii="Arial" w:cs="Arial" w:eastAsia="Arial" w:hAnsi="Arial"/>
                <w:sz w:val="12"/>
                <w:szCs w:val="12"/>
                <w:color w:val="auto"/>
              </w:rPr>
              <w:t>1.2</w:t>
            </w:r>
          </w:p>
        </w:tc>
        <w:tc>
          <w:tcPr>
            <w:tcW w:w="980" w:type="dxa"/>
            <w:vAlign w:val="bottom"/>
          </w:tcPr>
          <w:p>
            <w:pPr>
              <w:jc w:val="right"/>
              <w:ind w:right="160"/>
              <w:spacing w:after="0"/>
              <w:rPr>
                <w:sz w:val="20"/>
                <w:szCs w:val="20"/>
                <w:color w:val="auto"/>
              </w:rPr>
            </w:pPr>
            <w:r>
              <w:rPr>
                <w:rFonts w:ascii="Arial" w:cs="Arial" w:eastAsia="Arial" w:hAnsi="Arial"/>
                <w:sz w:val="12"/>
                <w:szCs w:val="12"/>
                <w:color w:val="auto"/>
              </w:rPr>
              <w:t>1.4</w:t>
            </w:r>
          </w:p>
        </w:tc>
      </w:tr>
      <w:tr>
        <w:trPr>
          <w:trHeight w:val="83"/>
        </w:trPr>
        <w:tc>
          <w:tcPr>
            <w:tcW w:w="5500" w:type="dxa"/>
            <w:vAlign w:val="bottom"/>
            <w:tcBorders>
              <w:bottom w:val="single" w:sz="8" w:color="808080"/>
            </w:tcBorders>
          </w:tcPr>
          <w:p>
            <w:pPr>
              <w:spacing w:after="0"/>
              <w:rPr>
                <w:sz w:val="7"/>
                <w:szCs w:val="7"/>
                <w:color w:val="auto"/>
              </w:rPr>
            </w:pPr>
          </w:p>
        </w:tc>
        <w:tc>
          <w:tcPr>
            <w:tcW w:w="49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r>
      <w:tr>
        <w:trPr>
          <w:trHeight w:val="85"/>
        </w:trPr>
        <w:tc>
          <w:tcPr>
            <w:tcW w:w="5500" w:type="dxa"/>
            <w:vAlign w:val="bottom"/>
          </w:tcPr>
          <w:p>
            <w:pPr>
              <w:spacing w:after="0"/>
              <w:rPr>
                <w:sz w:val="7"/>
                <w:szCs w:val="7"/>
                <w:color w:val="auto"/>
              </w:rPr>
            </w:pPr>
          </w:p>
        </w:tc>
        <w:tc>
          <w:tcPr>
            <w:tcW w:w="496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0"/>
        </w:trPr>
        <w:tc>
          <w:tcPr>
            <w:tcW w:w="550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Total</w:t>
            </w:r>
          </w:p>
        </w:tc>
        <w:tc>
          <w:tcPr>
            <w:tcW w:w="4960" w:type="dxa"/>
            <w:vAlign w:val="bottom"/>
            <w:shd w:val="clear" w:color="auto" w:fill="E6E6E6"/>
          </w:tcPr>
          <w:p>
            <w:pPr>
              <w:jc w:val="right"/>
              <w:ind w:right="420"/>
              <w:spacing w:after="0"/>
              <w:rPr>
                <w:sz w:val="20"/>
                <w:szCs w:val="20"/>
                <w:color w:val="auto"/>
              </w:rPr>
            </w:pPr>
            <w:r>
              <w:rPr>
                <w:rFonts w:ascii="Arial" w:cs="Arial" w:eastAsia="Arial" w:hAnsi="Arial"/>
                <w:sz w:val="12"/>
                <w:szCs w:val="12"/>
                <w:b w:val="1"/>
                <w:bCs w:val="1"/>
                <w:color w:val="auto"/>
              </w:rPr>
              <w:t>1.3</w:t>
            </w:r>
          </w:p>
        </w:tc>
        <w:tc>
          <w:tcPr>
            <w:tcW w:w="980" w:type="dxa"/>
            <w:vAlign w:val="bottom"/>
            <w:shd w:val="clear" w:color="auto" w:fill="E6E6E6"/>
          </w:tcPr>
          <w:p>
            <w:pPr>
              <w:jc w:val="right"/>
              <w:ind w:right="160"/>
              <w:spacing w:after="0"/>
              <w:rPr>
                <w:sz w:val="20"/>
                <w:szCs w:val="20"/>
                <w:color w:val="auto"/>
              </w:rPr>
            </w:pPr>
            <w:r>
              <w:rPr>
                <w:rFonts w:ascii="Arial" w:cs="Arial" w:eastAsia="Arial" w:hAnsi="Arial"/>
                <w:sz w:val="12"/>
                <w:szCs w:val="12"/>
                <w:b w:val="1"/>
                <w:bCs w:val="1"/>
                <w:color w:val="auto"/>
              </w:rPr>
              <w:t>1.6</w:t>
            </w:r>
          </w:p>
        </w:tc>
      </w:tr>
      <w:tr>
        <w:trPr>
          <w:trHeight w:val="101"/>
        </w:trPr>
        <w:tc>
          <w:tcPr>
            <w:tcW w:w="5500" w:type="dxa"/>
            <w:vAlign w:val="bottom"/>
            <w:tcBorders>
              <w:bottom w:val="single" w:sz="8" w:color="808080"/>
            </w:tcBorders>
          </w:tcPr>
          <w:p>
            <w:pPr>
              <w:spacing w:after="0"/>
              <w:rPr>
                <w:sz w:val="8"/>
                <w:szCs w:val="8"/>
                <w:color w:val="auto"/>
              </w:rPr>
            </w:pPr>
          </w:p>
        </w:tc>
        <w:tc>
          <w:tcPr>
            <w:tcW w:w="49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2" w:lineRule="exact"/>
        <w:rPr>
          <w:sz w:val="20"/>
          <w:szCs w:val="20"/>
          <w:color w:val="auto"/>
        </w:rPr>
      </w:pPr>
    </w:p>
    <w:p>
      <w:pPr>
        <w:jc w:val="both"/>
        <w:ind w:left="20" w:right="260"/>
        <w:spacing w:after="0" w:line="272" w:lineRule="auto"/>
        <w:rPr>
          <w:sz w:val="20"/>
          <w:szCs w:val="20"/>
          <w:color w:val="auto"/>
        </w:rPr>
      </w:pPr>
      <w:r>
        <w:rPr>
          <w:rFonts w:ascii="Arial" w:cs="Arial" w:eastAsia="Arial" w:hAnsi="Arial"/>
          <w:sz w:val="15"/>
          <w:szCs w:val="15"/>
          <w:color w:val="auto"/>
        </w:rPr>
        <w:t>Amortization expense for Other intangibles totaled $0.3 for each of the fiscal years ended May 31, 2006, 2005 and 2004. Amortization expense for these assets is currently estimated to total $0.2 for the fiscal years ending May 31, 2007 through 2010, and $0.1 for the fiscal year ending May 31, 2011. The weighted average amortization periods for these assets by major asset class are two years and twelve years for customer lists and other intangibles, respectively.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summarizes Other intangibles not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191135</wp:posOffset>
            </wp:positionV>
            <wp:extent cx="726567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2006</w:t>
            </w:r>
          </w:p>
        </w:tc>
        <w:tc>
          <w:tcPr>
            <w:tcW w:w="44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5"/>
                <w:szCs w:val="15"/>
                <w:b w:val="1"/>
                <w:bCs w:val="1"/>
                <w:color w:val="auto"/>
              </w:rPr>
              <w:t>2005</w:t>
            </w:r>
          </w:p>
        </w:tc>
      </w:tr>
      <w:tr>
        <w:trPr>
          <w:trHeight w:val="96"/>
        </w:trPr>
        <w:tc>
          <w:tcPr>
            <w:tcW w:w="87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85"/>
        </w:trPr>
        <w:tc>
          <w:tcPr>
            <w:tcW w:w="8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210"/>
        </w:trPr>
        <w:tc>
          <w:tcPr>
            <w:tcW w:w="8780" w:type="dxa"/>
            <w:vAlign w:val="bottom"/>
            <w:shd w:val="clear" w:color="auto" w:fill="E6E6E6"/>
          </w:tcPr>
          <w:p>
            <w:pPr>
              <w:spacing w:after="0"/>
              <w:rPr>
                <w:sz w:val="20"/>
                <w:szCs w:val="20"/>
                <w:color w:val="auto"/>
              </w:rPr>
            </w:pPr>
            <w:r>
              <w:rPr>
                <w:rFonts w:ascii="Arial" w:cs="Arial" w:eastAsia="Arial" w:hAnsi="Arial"/>
                <w:sz w:val="12"/>
                <w:szCs w:val="12"/>
                <w:color w:val="auto"/>
              </w:rPr>
              <w:t>Net carrying value by major class:</w:t>
            </w:r>
          </w:p>
        </w:tc>
        <w:tc>
          <w:tcPr>
            <w:tcW w:w="80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r>
      <w:tr>
        <w:trPr>
          <w:trHeight w:val="203"/>
        </w:trPr>
        <w:tc>
          <w:tcPr>
            <w:tcW w:w="8780" w:type="dxa"/>
            <w:vAlign w:val="bottom"/>
          </w:tcPr>
          <w:p>
            <w:pPr>
              <w:ind w:left="40"/>
              <w:spacing w:after="0"/>
              <w:rPr>
                <w:sz w:val="20"/>
                <w:szCs w:val="20"/>
                <w:color w:val="auto"/>
              </w:rPr>
            </w:pPr>
            <w:r>
              <w:rPr>
                <w:rFonts w:ascii="Arial" w:cs="Arial" w:eastAsia="Arial" w:hAnsi="Arial"/>
                <w:sz w:val="12"/>
                <w:szCs w:val="12"/>
                <w:color w:val="auto"/>
              </w:rPr>
              <w:t>Titles</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31.0</w:t>
            </w: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19"/>
              <w:spacing w:after="0"/>
              <w:rPr>
                <w:sz w:val="20"/>
                <w:szCs w:val="20"/>
                <w:color w:val="auto"/>
              </w:rPr>
            </w:pPr>
            <w:r>
              <w:rPr>
                <w:rFonts w:ascii="Arial" w:cs="Arial" w:eastAsia="Arial" w:hAnsi="Arial"/>
                <w:sz w:val="12"/>
                <w:szCs w:val="12"/>
                <w:color w:val="auto"/>
              </w:rPr>
              <w:t>31.0</w:t>
            </w:r>
          </w:p>
        </w:tc>
      </w:tr>
      <w:tr>
        <w:trPr>
          <w:trHeight w:val="216"/>
        </w:trPr>
        <w:tc>
          <w:tcPr>
            <w:tcW w:w="8780" w:type="dxa"/>
            <w:vAlign w:val="bottom"/>
            <w:shd w:val="clear" w:color="auto" w:fill="E6E6E6"/>
          </w:tcPr>
          <w:p>
            <w:pPr>
              <w:ind w:left="40"/>
              <w:spacing w:after="0"/>
              <w:rPr>
                <w:sz w:val="20"/>
                <w:szCs w:val="20"/>
                <w:color w:val="auto"/>
              </w:rPr>
            </w:pPr>
            <w:r>
              <w:rPr>
                <w:rFonts w:ascii="Arial" w:cs="Arial" w:eastAsia="Arial" w:hAnsi="Arial"/>
                <w:sz w:val="12"/>
                <w:szCs w:val="12"/>
                <w:color w:val="auto"/>
              </w:rPr>
              <w:t>Licenses</w:t>
            </w:r>
          </w:p>
        </w:tc>
        <w:tc>
          <w:tcPr>
            <w:tcW w:w="8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99"/>
              <w:spacing w:after="0"/>
              <w:rPr>
                <w:sz w:val="20"/>
                <w:szCs w:val="20"/>
                <w:color w:val="auto"/>
              </w:rPr>
            </w:pPr>
            <w:r>
              <w:rPr>
                <w:rFonts w:ascii="Arial" w:cs="Arial" w:eastAsia="Arial" w:hAnsi="Arial"/>
                <w:sz w:val="12"/>
                <w:szCs w:val="12"/>
                <w:color w:val="auto"/>
              </w:rPr>
              <w:t>17.2</w:t>
            </w:r>
          </w:p>
        </w:tc>
        <w:tc>
          <w:tcPr>
            <w:tcW w:w="44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219"/>
              <w:spacing w:after="0"/>
              <w:rPr>
                <w:sz w:val="20"/>
                <w:szCs w:val="20"/>
                <w:color w:val="auto"/>
              </w:rPr>
            </w:pPr>
            <w:r>
              <w:rPr>
                <w:rFonts w:ascii="Arial" w:cs="Arial" w:eastAsia="Arial" w:hAnsi="Arial"/>
                <w:sz w:val="12"/>
                <w:szCs w:val="12"/>
                <w:color w:val="auto"/>
              </w:rPr>
              <w:t>17.2</w:t>
            </w:r>
          </w:p>
        </w:tc>
      </w:tr>
      <w:tr>
        <w:trPr>
          <w:trHeight w:val="203"/>
        </w:trPr>
        <w:tc>
          <w:tcPr>
            <w:tcW w:w="8780" w:type="dxa"/>
            <w:vAlign w:val="bottom"/>
          </w:tcPr>
          <w:p>
            <w:pPr>
              <w:ind w:left="40"/>
              <w:spacing w:after="0"/>
              <w:rPr>
                <w:sz w:val="20"/>
                <w:szCs w:val="20"/>
                <w:color w:val="auto"/>
              </w:rPr>
            </w:pPr>
            <w:r>
              <w:rPr>
                <w:rFonts w:ascii="Arial" w:cs="Arial" w:eastAsia="Arial" w:hAnsi="Arial"/>
                <w:sz w:val="12"/>
                <w:szCs w:val="12"/>
                <w:color w:val="auto"/>
              </w:rPr>
              <w:t>Major sets</w:t>
            </w:r>
          </w:p>
        </w:tc>
        <w:tc>
          <w:tcPr>
            <w:tcW w:w="8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11.4</w:t>
            </w:r>
          </w:p>
        </w:tc>
        <w:tc>
          <w:tcPr>
            <w:tcW w:w="44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Arial" w:cs="Arial" w:eastAsia="Arial" w:hAnsi="Arial"/>
                <w:sz w:val="12"/>
                <w:szCs w:val="12"/>
                <w:color w:val="auto"/>
              </w:rPr>
              <w:t>11.4</w:t>
            </w:r>
          </w:p>
        </w:tc>
      </w:tr>
      <w:tr>
        <w:trPr>
          <w:trHeight w:val="216"/>
        </w:trPr>
        <w:tc>
          <w:tcPr>
            <w:tcW w:w="8780" w:type="dxa"/>
            <w:vAlign w:val="bottom"/>
            <w:shd w:val="clear" w:color="auto" w:fill="E6E6E6"/>
          </w:tcPr>
          <w:p>
            <w:pPr>
              <w:ind w:left="40"/>
              <w:spacing w:after="0"/>
              <w:rPr>
                <w:sz w:val="20"/>
                <w:szCs w:val="20"/>
                <w:color w:val="auto"/>
              </w:rPr>
            </w:pPr>
            <w:r>
              <w:rPr>
                <w:rFonts w:ascii="Arial" w:cs="Arial" w:eastAsia="Arial" w:hAnsi="Arial"/>
                <w:sz w:val="12"/>
                <w:szCs w:val="12"/>
                <w:color w:val="auto"/>
              </w:rPr>
              <w:t>Trademarks and other</w:t>
            </w:r>
          </w:p>
        </w:tc>
        <w:tc>
          <w:tcPr>
            <w:tcW w:w="8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99"/>
              <w:spacing w:after="0"/>
              <w:rPr>
                <w:sz w:val="20"/>
                <w:szCs w:val="20"/>
                <w:color w:val="auto"/>
              </w:rPr>
            </w:pPr>
            <w:r>
              <w:rPr>
                <w:rFonts w:ascii="Arial" w:cs="Arial" w:eastAsia="Arial" w:hAnsi="Arial"/>
                <w:sz w:val="12"/>
                <w:szCs w:val="12"/>
                <w:color w:val="auto"/>
              </w:rPr>
              <w:t>17.5</w:t>
            </w:r>
          </w:p>
        </w:tc>
        <w:tc>
          <w:tcPr>
            <w:tcW w:w="440" w:type="dxa"/>
            <w:vAlign w:val="bottom"/>
            <w:shd w:val="clear" w:color="auto" w:fill="E6E6E6"/>
          </w:tcPr>
          <w:p>
            <w:pPr>
              <w:spacing w:after="0"/>
              <w:rPr>
                <w:sz w:val="18"/>
                <w:szCs w:val="18"/>
                <w:color w:val="auto"/>
              </w:rPr>
            </w:pPr>
          </w:p>
        </w:tc>
        <w:tc>
          <w:tcPr>
            <w:tcW w:w="720" w:type="dxa"/>
            <w:vAlign w:val="bottom"/>
            <w:shd w:val="clear" w:color="auto" w:fill="E6E6E6"/>
          </w:tcPr>
          <w:p>
            <w:pPr>
              <w:jc w:val="right"/>
              <w:ind w:right="219"/>
              <w:spacing w:after="0"/>
              <w:rPr>
                <w:sz w:val="20"/>
                <w:szCs w:val="20"/>
                <w:color w:val="auto"/>
              </w:rPr>
            </w:pPr>
            <w:r>
              <w:rPr>
                <w:rFonts w:ascii="Arial" w:cs="Arial" w:eastAsia="Arial" w:hAnsi="Arial"/>
                <w:sz w:val="12"/>
                <w:szCs w:val="12"/>
                <w:color w:val="auto"/>
              </w:rPr>
              <w:t>17.5</w:t>
            </w:r>
          </w:p>
        </w:tc>
      </w:tr>
      <w:tr>
        <w:trPr>
          <w:trHeight w:val="93"/>
        </w:trPr>
        <w:tc>
          <w:tcPr>
            <w:tcW w:w="8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282"/>
        </w:trPr>
        <w:tc>
          <w:tcPr>
            <w:tcW w:w="878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80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199"/>
              <w:spacing w:after="0"/>
              <w:rPr>
                <w:sz w:val="20"/>
                <w:szCs w:val="20"/>
                <w:color w:val="auto"/>
              </w:rPr>
            </w:pPr>
            <w:r>
              <w:rPr>
                <w:rFonts w:ascii="Arial" w:cs="Arial" w:eastAsia="Arial" w:hAnsi="Arial"/>
                <w:sz w:val="12"/>
                <w:szCs w:val="12"/>
                <w:b w:val="1"/>
                <w:bCs w:val="1"/>
                <w:color w:val="auto"/>
              </w:rPr>
              <w:t>77.1</w:t>
            </w:r>
          </w:p>
        </w:tc>
        <w:tc>
          <w:tcPr>
            <w:tcW w:w="44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219"/>
              <w:spacing w:after="0"/>
              <w:rPr>
                <w:sz w:val="20"/>
                <w:szCs w:val="20"/>
                <w:color w:val="auto"/>
              </w:rPr>
            </w:pPr>
            <w:r>
              <w:rPr>
                <w:rFonts w:ascii="Arial" w:cs="Arial" w:eastAsia="Arial" w:hAnsi="Arial"/>
                <w:sz w:val="12"/>
                <w:szCs w:val="12"/>
                <w:b w:val="1"/>
                <w:bCs w:val="1"/>
                <w:color w:val="auto"/>
              </w:rPr>
              <w:t>77.1</w:t>
            </w:r>
          </w:p>
        </w:tc>
      </w:tr>
      <w:tr>
        <w:trPr>
          <w:trHeight w:val="113"/>
        </w:trPr>
        <w:tc>
          <w:tcPr>
            <w:tcW w:w="87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59"/>
        </w:trPr>
        <w:tc>
          <w:tcPr>
            <w:tcW w:w="8780" w:type="dxa"/>
            <w:vAlign w:val="bottom"/>
          </w:tcPr>
          <w:p>
            <w:pPr>
              <w:spacing w:after="0"/>
              <w:rPr>
                <w:sz w:val="20"/>
                <w:szCs w:val="20"/>
                <w:color w:val="auto"/>
              </w:rPr>
            </w:pPr>
            <w:r>
              <w:rPr>
                <w:rFonts w:ascii="Arial" w:cs="Arial" w:eastAsia="Arial" w:hAnsi="Arial"/>
                <w:sz w:val="15"/>
                <w:szCs w:val="15"/>
                <w:b w:val="1"/>
                <w:bCs w:val="1"/>
                <w:color w:val="auto"/>
              </w:rPr>
              <w:t>7. INCOME TAXES</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3"/>
        </w:trPr>
        <w:tc>
          <w:tcPr>
            <w:tcW w:w="8780" w:type="dxa"/>
            <w:vAlign w:val="bottom"/>
          </w:tcPr>
          <w:p>
            <w:pPr>
              <w:spacing w:after="0"/>
              <w:rPr>
                <w:sz w:val="20"/>
                <w:szCs w:val="20"/>
                <w:color w:val="auto"/>
              </w:rPr>
            </w:pPr>
            <w:r>
              <w:rPr>
                <w:rFonts w:ascii="Arial" w:cs="Arial" w:eastAsia="Arial" w:hAnsi="Arial"/>
                <w:sz w:val="15"/>
                <w:szCs w:val="15"/>
                <w:color w:val="auto"/>
                <w:w w:val="97"/>
              </w:rPr>
              <w:t>The provisions for income taxes for the fiscal years ended May 31, 2006, 2005 and 2004 are based on earnings before taxes as follows:</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-541655</wp:posOffset>
            </wp:positionV>
            <wp:extent cx="127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-541655</wp:posOffset>
            </wp:positionV>
            <wp:extent cx="1270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179070</wp:posOffset>
            </wp:positionV>
            <wp:extent cx="726567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Arial" w:cs="Arial" w:eastAsia="Arial" w:hAnsi="Arial"/>
                <w:sz w:val="15"/>
                <w:szCs w:val="15"/>
                <w:b w:val="1"/>
                <w:bCs w:val="1"/>
                <w:color w:val="auto"/>
              </w:rPr>
              <w:t>2006</w:t>
            </w:r>
          </w:p>
        </w:tc>
        <w:tc>
          <w:tcPr>
            <w:tcW w:w="440" w:type="dxa"/>
            <w:vAlign w:val="bottom"/>
          </w:tcPr>
          <w:p>
            <w:pPr>
              <w:spacing w:after="0"/>
              <w:rPr>
                <w:sz w:val="16"/>
                <w:szCs w:val="16"/>
                <w:color w:val="auto"/>
              </w:rPr>
            </w:pPr>
          </w:p>
        </w:tc>
        <w:tc>
          <w:tcPr>
            <w:tcW w:w="680" w:type="dxa"/>
            <w:vAlign w:val="bottom"/>
          </w:tcPr>
          <w:p>
            <w:pPr>
              <w:jc w:val="right"/>
              <w:ind w:right="197"/>
              <w:spacing w:after="0"/>
              <w:rPr>
                <w:sz w:val="20"/>
                <w:szCs w:val="20"/>
                <w:color w:val="auto"/>
              </w:rPr>
            </w:pPr>
            <w:r>
              <w:rPr>
                <w:rFonts w:ascii="Arial" w:cs="Arial" w:eastAsia="Arial" w:hAnsi="Arial"/>
                <w:sz w:val="15"/>
                <w:szCs w:val="15"/>
                <w:b w:val="1"/>
                <w:bCs w:val="1"/>
                <w:color w:val="auto"/>
              </w:rPr>
              <w:t>2005</w:t>
            </w:r>
          </w:p>
        </w:tc>
        <w:tc>
          <w:tcPr>
            <w:tcW w:w="46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Arial" w:cs="Arial" w:eastAsia="Arial" w:hAnsi="Arial"/>
                <w:sz w:val="15"/>
                <w:szCs w:val="15"/>
                <w:b w:val="1"/>
                <w:bCs w:val="1"/>
                <w:color w:val="auto"/>
              </w:rPr>
              <w:t>2004</w:t>
            </w:r>
          </w:p>
        </w:tc>
      </w:tr>
      <w:tr>
        <w:trPr>
          <w:trHeight w:val="96"/>
        </w:trPr>
        <w:tc>
          <w:tcPr>
            <w:tcW w:w="464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85"/>
        </w:trPr>
        <w:tc>
          <w:tcPr>
            <w:tcW w:w="46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210"/>
        </w:trPr>
        <w:tc>
          <w:tcPr>
            <w:tcW w:w="4640" w:type="dxa"/>
            <w:vAlign w:val="bottom"/>
            <w:shd w:val="clear" w:color="auto" w:fill="E6E6E6"/>
          </w:tcPr>
          <w:p>
            <w:pPr>
              <w:spacing w:after="0"/>
              <w:rPr>
                <w:sz w:val="20"/>
                <w:szCs w:val="20"/>
                <w:color w:val="auto"/>
              </w:rPr>
            </w:pPr>
            <w:r>
              <w:rPr>
                <w:rFonts w:ascii="Arial" w:cs="Arial" w:eastAsia="Arial" w:hAnsi="Arial"/>
                <w:sz w:val="12"/>
                <w:szCs w:val="12"/>
                <w:color w:val="auto"/>
              </w:rPr>
              <w:t>United States</w:t>
            </w:r>
          </w:p>
        </w:tc>
        <w:tc>
          <w:tcPr>
            <w:tcW w:w="3860" w:type="dxa"/>
            <w:vAlign w:val="bottom"/>
            <w:shd w:val="clear" w:color="auto" w:fill="E6E6E6"/>
          </w:tcPr>
          <w:p>
            <w:pPr>
              <w:jc w:val="right"/>
              <w:ind w:right="62"/>
              <w:spacing w:after="0"/>
              <w:rPr>
                <w:sz w:val="20"/>
                <w:szCs w:val="20"/>
                <w:color w:val="auto"/>
              </w:rPr>
            </w:pPr>
            <w:r>
              <w:rPr>
                <w:rFonts w:ascii="Arial" w:cs="Arial" w:eastAsia="Arial" w:hAnsi="Arial"/>
                <w:sz w:val="12"/>
                <w:szCs w:val="12"/>
                <w:color w:val="auto"/>
              </w:rPr>
              <w:t>$</w:t>
            </w:r>
          </w:p>
        </w:tc>
        <w:tc>
          <w:tcPr>
            <w:tcW w:w="680" w:type="dxa"/>
            <w:vAlign w:val="bottom"/>
            <w:shd w:val="clear" w:color="auto" w:fill="E6E6E6"/>
          </w:tcPr>
          <w:p>
            <w:pPr>
              <w:jc w:val="right"/>
              <w:ind w:right="217"/>
              <w:spacing w:after="0"/>
              <w:rPr>
                <w:sz w:val="20"/>
                <w:szCs w:val="20"/>
                <w:color w:val="auto"/>
              </w:rPr>
            </w:pPr>
            <w:r>
              <w:rPr>
                <w:rFonts w:ascii="Arial" w:cs="Arial" w:eastAsia="Arial" w:hAnsi="Arial"/>
                <w:sz w:val="12"/>
                <w:szCs w:val="12"/>
                <w:color w:val="auto"/>
              </w:rPr>
              <w:t>103.2</w:t>
            </w:r>
          </w:p>
        </w:tc>
        <w:tc>
          <w:tcPr>
            <w:tcW w:w="440" w:type="dxa"/>
            <w:vAlign w:val="bottom"/>
            <w:shd w:val="clear" w:color="auto" w:fill="E6E6E6"/>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shd w:val="clear" w:color="auto" w:fill="E6E6E6"/>
          </w:tcPr>
          <w:p>
            <w:pPr>
              <w:jc w:val="right"/>
              <w:ind w:right="197"/>
              <w:spacing w:after="0"/>
              <w:rPr>
                <w:sz w:val="20"/>
                <w:szCs w:val="20"/>
                <w:color w:val="auto"/>
              </w:rPr>
            </w:pPr>
            <w:r>
              <w:rPr>
                <w:rFonts w:ascii="Arial" w:cs="Arial" w:eastAsia="Arial" w:hAnsi="Arial"/>
                <w:sz w:val="12"/>
                <w:szCs w:val="12"/>
                <w:color w:val="auto"/>
              </w:rPr>
              <w:t>91.3</w:t>
            </w:r>
          </w:p>
        </w:tc>
        <w:tc>
          <w:tcPr>
            <w:tcW w:w="460" w:type="dxa"/>
            <w:vAlign w:val="bottom"/>
            <w:shd w:val="clear" w:color="auto" w:fill="E6E6E6"/>
          </w:tcPr>
          <w:p>
            <w:pPr>
              <w:jc w:val="right"/>
              <w:ind w:right="62"/>
              <w:spacing w:after="0"/>
              <w:rPr>
                <w:sz w:val="20"/>
                <w:szCs w:val="20"/>
                <w:color w:val="auto"/>
              </w:rPr>
            </w:pPr>
            <w:r>
              <w:rPr>
                <w:rFonts w:ascii="Arial" w:cs="Arial" w:eastAsia="Arial" w:hAnsi="Arial"/>
                <w:sz w:val="12"/>
                <w:szCs w:val="12"/>
                <w:color w:val="auto"/>
              </w:rPr>
              <w:t>$</w:t>
            </w:r>
          </w:p>
        </w:tc>
        <w:tc>
          <w:tcPr>
            <w:tcW w:w="680" w:type="dxa"/>
            <w:vAlign w:val="bottom"/>
            <w:shd w:val="clear" w:color="auto" w:fill="E6E6E6"/>
          </w:tcPr>
          <w:p>
            <w:pPr>
              <w:jc w:val="right"/>
              <w:ind w:right="217"/>
              <w:spacing w:after="0"/>
              <w:rPr>
                <w:sz w:val="20"/>
                <w:szCs w:val="20"/>
                <w:color w:val="auto"/>
              </w:rPr>
            </w:pPr>
            <w:r>
              <w:rPr>
                <w:rFonts w:ascii="Arial" w:cs="Arial" w:eastAsia="Arial" w:hAnsi="Arial"/>
                <w:sz w:val="12"/>
                <w:szCs w:val="12"/>
                <w:color w:val="auto"/>
              </w:rPr>
              <w:t>89.1</w:t>
            </w:r>
          </w:p>
        </w:tc>
      </w:tr>
      <w:tr>
        <w:trPr>
          <w:trHeight w:val="197"/>
        </w:trPr>
        <w:tc>
          <w:tcPr>
            <w:tcW w:w="4640" w:type="dxa"/>
            <w:vAlign w:val="bottom"/>
          </w:tcPr>
          <w:p>
            <w:pPr>
              <w:spacing w:after="0"/>
              <w:rPr>
                <w:sz w:val="20"/>
                <w:szCs w:val="20"/>
                <w:color w:val="auto"/>
              </w:rPr>
            </w:pPr>
            <w:r>
              <w:rPr>
                <w:rFonts w:ascii="Arial" w:cs="Arial" w:eastAsia="Arial" w:hAnsi="Arial"/>
                <w:sz w:val="12"/>
                <w:szCs w:val="12"/>
                <w:color w:val="auto"/>
              </w:rPr>
              <w:t>Non-United States</w:t>
            </w:r>
          </w:p>
        </w:tc>
        <w:tc>
          <w:tcPr>
            <w:tcW w:w="3860" w:type="dxa"/>
            <w:vAlign w:val="bottom"/>
          </w:tcPr>
          <w:p>
            <w:pPr>
              <w:spacing w:after="0"/>
              <w:rPr>
                <w:sz w:val="17"/>
                <w:szCs w:val="17"/>
                <w:color w:val="auto"/>
              </w:rPr>
            </w:pPr>
          </w:p>
        </w:tc>
        <w:tc>
          <w:tcPr>
            <w:tcW w:w="680" w:type="dxa"/>
            <w:vAlign w:val="bottom"/>
          </w:tcPr>
          <w:p>
            <w:pPr>
              <w:jc w:val="right"/>
              <w:ind w:right="217"/>
              <w:spacing w:after="0"/>
              <w:rPr>
                <w:sz w:val="20"/>
                <w:szCs w:val="20"/>
                <w:color w:val="auto"/>
              </w:rPr>
            </w:pPr>
            <w:r>
              <w:rPr>
                <w:rFonts w:ascii="Arial" w:cs="Arial" w:eastAsia="Arial" w:hAnsi="Arial"/>
                <w:sz w:val="12"/>
                <w:szCs w:val="12"/>
                <w:color w:val="auto"/>
              </w:rPr>
              <w:t>4.4</w:t>
            </w:r>
          </w:p>
        </w:tc>
        <w:tc>
          <w:tcPr>
            <w:tcW w:w="440" w:type="dxa"/>
            <w:vAlign w:val="bottom"/>
          </w:tcPr>
          <w:p>
            <w:pPr>
              <w:spacing w:after="0"/>
              <w:rPr>
                <w:sz w:val="17"/>
                <w:szCs w:val="17"/>
                <w:color w:val="auto"/>
              </w:rPr>
            </w:pPr>
          </w:p>
        </w:tc>
        <w:tc>
          <w:tcPr>
            <w:tcW w:w="680" w:type="dxa"/>
            <w:vAlign w:val="bottom"/>
          </w:tcPr>
          <w:p>
            <w:pPr>
              <w:jc w:val="right"/>
              <w:ind w:right="197"/>
              <w:spacing w:after="0"/>
              <w:rPr>
                <w:sz w:val="20"/>
                <w:szCs w:val="20"/>
                <w:color w:val="auto"/>
              </w:rPr>
            </w:pPr>
            <w:r>
              <w:rPr>
                <w:rFonts w:ascii="Arial" w:cs="Arial" w:eastAsia="Arial" w:hAnsi="Arial"/>
                <w:sz w:val="12"/>
                <w:szCs w:val="12"/>
                <w:color w:val="auto"/>
              </w:rPr>
              <w:t>8.4</w:t>
            </w:r>
          </w:p>
        </w:tc>
        <w:tc>
          <w:tcPr>
            <w:tcW w:w="460" w:type="dxa"/>
            <w:vAlign w:val="bottom"/>
          </w:tcPr>
          <w:p>
            <w:pPr>
              <w:spacing w:after="0"/>
              <w:rPr>
                <w:sz w:val="17"/>
                <w:szCs w:val="17"/>
                <w:color w:val="auto"/>
              </w:rPr>
            </w:pPr>
          </w:p>
        </w:tc>
        <w:tc>
          <w:tcPr>
            <w:tcW w:w="680" w:type="dxa"/>
            <w:vAlign w:val="bottom"/>
          </w:tcPr>
          <w:p>
            <w:pPr>
              <w:jc w:val="right"/>
              <w:ind w:right="217"/>
              <w:spacing w:after="0"/>
              <w:rPr>
                <w:sz w:val="20"/>
                <w:szCs w:val="20"/>
                <w:color w:val="auto"/>
              </w:rPr>
            </w:pPr>
            <w:r>
              <w:rPr>
                <w:rFonts w:ascii="Arial" w:cs="Arial" w:eastAsia="Arial" w:hAnsi="Arial"/>
                <w:sz w:val="12"/>
                <w:szCs w:val="12"/>
                <w:color w:val="auto"/>
              </w:rPr>
              <w:t>0.5</w:t>
            </w:r>
          </w:p>
        </w:tc>
      </w:tr>
      <w:tr>
        <w:trPr>
          <w:trHeight w:val="106"/>
        </w:trPr>
        <w:tc>
          <w:tcPr>
            <w:tcW w:w="464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85"/>
        </w:trPr>
        <w:tc>
          <w:tcPr>
            <w:tcW w:w="46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210"/>
        </w:trPr>
        <w:tc>
          <w:tcPr>
            <w:tcW w:w="464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Total</w:t>
            </w:r>
          </w:p>
        </w:tc>
        <w:tc>
          <w:tcPr>
            <w:tcW w:w="3860" w:type="dxa"/>
            <w:vAlign w:val="bottom"/>
            <w:shd w:val="clear" w:color="auto" w:fill="E6E6E6"/>
          </w:tcPr>
          <w:p>
            <w:pPr>
              <w:jc w:val="right"/>
              <w:ind w:right="62"/>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E6E6E6"/>
          </w:tcPr>
          <w:p>
            <w:pPr>
              <w:jc w:val="right"/>
              <w:ind w:right="217"/>
              <w:spacing w:after="0"/>
              <w:rPr>
                <w:sz w:val="20"/>
                <w:szCs w:val="20"/>
                <w:color w:val="auto"/>
              </w:rPr>
            </w:pPr>
            <w:r>
              <w:rPr>
                <w:rFonts w:ascii="Arial" w:cs="Arial" w:eastAsia="Arial" w:hAnsi="Arial"/>
                <w:sz w:val="12"/>
                <w:szCs w:val="12"/>
                <w:b w:val="1"/>
                <w:bCs w:val="1"/>
                <w:color w:val="auto"/>
              </w:rPr>
              <w:t>107.6</w:t>
            </w:r>
          </w:p>
        </w:tc>
        <w:tc>
          <w:tcPr>
            <w:tcW w:w="440" w:type="dxa"/>
            <w:vAlign w:val="bottom"/>
            <w:shd w:val="clear" w:color="auto" w:fill="E6E6E6"/>
          </w:tcPr>
          <w:p>
            <w:pPr>
              <w:jc w:val="right"/>
              <w:ind w:right="42"/>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E6E6E6"/>
          </w:tcPr>
          <w:p>
            <w:pPr>
              <w:jc w:val="right"/>
              <w:ind w:right="197"/>
              <w:spacing w:after="0"/>
              <w:rPr>
                <w:sz w:val="20"/>
                <w:szCs w:val="20"/>
                <w:color w:val="auto"/>
              </w:rPr>
            </w:pPr>
            <w:r>
              <w:rPr>
                <w:rFonts w:ascii="Arial" w:cs="Arial" w:eastAsia="Arial" w:hAnsi="Arial"/>
                <w:sz w:val="12"/>
                <w:szCs w:val="12"/>
                <w:b w:val="1"/>
                <w:bCs w:val="1"/>
                <w:color w:val="auto"/>
              </w:rPr>
              <w:t>99.7</w:t>
            </w:r>
          </w:p>
        </w:tc>
        <w:tc>
          <w:tcPr>
            <w:tcW w:w="460" w:type="dxa"/>
            <w:vAlign w:val="bottom"/>
            <w:shd w:val="clear" w:color="auto" w:fill="E6E6E6"/>
          </w:tcPr>
          <w:p>
            <w:pPr>
              <w:jc w:val="right"/>
              <w:ind w:right="62"/>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E6E6E6"/>
          </w:tcPr>
          <w:p>
            <w:pPr>
              <w:jc w:val="right"/>
              <w:ind w:right="217"/>
              <w:spacing w:after="0"/>
              <w:rPr>
                <w:sz w:val="20"/>
                <w:szCs w:val="20"/>
                <w:color w:val="auto"/>
              </w:rPr>
            </w:pPr>
            <w:r>
              <w:rPr>
                <w:rFonts w:ascii="Arial" w:cs="Arial" w:eastAsia="Arial" w:hAnsi="Arial"/>
                <w:sz w:val="12"/>
                <w:szCs w:val="12"/>
                <w:b w:val="1"/>
                <w:bCs w:val="1"/>
                <w:color w:val="auto"/>
              </w:rPr>
              <w:t>89.6</w:t>
            </w:r>
          </w:p>
        </w:tc>
      </w:tr>
      <w:tr>
        <w:trPr>
          <w:trHeight w:val="101"/>
        </w:trPr>
        <w:tc>
          <w:tcPr>
            <w:tcW w:w="4640" w:type="dxa"/>
            <w:vAlign w:val="bottom"/>
            <w:tcBorders>
              <w:bottom w:val="single" w:sz="8" w:color="808080"/>
            </w:tcBorders>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provisions for income taxes attributable to earnings for the fiscal years ended May 31, 2006, 2005 and 2004 consist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191135</wp:posOffset>
            </wp:positionV>
            <wp:extent cx="726567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680" w:type="dxa"/>
            <w:vAlign w:val="bottom"/>
          </w:tcPr>
          <w:p>
            <w:pPr>
              <w:jc w:val="right"/>
              <w:ind w:right="177"/>
              <w:spacing w:after="0"/>
              <w:rPr>
                <w:sz w:val="20"/>
                <w:szCs w:val="20"/>
                <w:color w:val="auto"/>
              </w:rPr>
            </w:pPr>
            <w:r>
              <w:rPr>
                <w:rFonts w:ascii="Arial" w:cs="Arial" w:eastAsia="Arial" w:hAnsi="Arial"/>
                <w:sz w:val="15"/>
                <w:szCs w:val="15"/>
                <w:b w:val="1"/>
                <w:bCs w:val="1"/>
                <w:color w:val="auto"/>
              </w:rPr>
              <w:t>2006</w:t>
            </w:r>
          </w:p>
        </w:tc>
        <w:tc>
          <w:tcPr>
            <w:tcW w:w="460" w:type="dxa"/>
            <w:vAlign w:val="bottom"/>
          </w:tcPr>
          <w:p>
            <w:pPr>
              <w:spacing w:after="0"/>
              <w:rPr>
                <w:sz w:val="17"/>
                <w:szCs w:val="17"/>
                <w:color w:val="auto"/>
              </w:rPr>
            </w:pPr>
          </w:p>
        </w:tc>
        <w:tc>
          <w:tcPr>
            <w:tcW w:w="700" w:type="dxa"/>
            <w:vAlign w:val="bottom"/>
          </w:tcPr>
          <w:p>
            <w:pPr>
              <w:jc w:val="right"/>
              <w:ind w:right="197"/>
              <w:spacing w:after="0"/>
              <w:rPr>
                <w:sz w:val="20"/>
                <w:szCs w:val="20"/>
                <w:color w:val="auto"/>
              </w:rPr>
            </w:pPr>
            <w:r>
              <w:rPr>
                <w:rFonts w:ascii="Arial" w:cs="Arial" w:eastAsia="Arial" w:hAnsi="Arial"/>
                <w:sz w:val="15"/>
                <w:szCs w:val="15"/>
                <w:b w:val="1"/>
                <w:bCs w:val="1"/>
                <w:color w:val="auto"/>
              </w:rPr>
              <w:t>2005</w:t>
            </w:r>
          </w:p>
        </w:tc>
        <w:tc>
          <w:tcPr>
            <w:tcW w:w="480" w:type="dxa"/>
            <w:vAlign w:val="bottom"/>
          </w:tcPr>
          <w:p>
            <w:pPr>
              <w:spacing w:after="0"/>
              <w:rPr>
                <w:sz w:val="17"/>
                <w:szCs w:val="17"/>
                <w:color w:val="auto"/>
              </w:rPr>
            </w:pPr>
          </w:p>
        </w:tc>
        <w:tc>
          <w:tcPr>
            <w:tcW w:w="660" w:type="dxa"/>
            <w:vAlign w:val="bottom"/>
          </w:tcPr>
          <w:p>
            <w:pPr>
              <w:jc w:val="right"/>
              <w:ind w:right="157"/>
              <w:spacing w:after="0"/>
              <w:rPr>
                <w:sz w:val="20"/>
                <w:szCs w:val="20"/>
                <w:color w:val="auto"/>
              </w:rPr>
            </w:pPr>
            <w:r>
              <w:rPr>
                <w:rFonts w:ascii="Arial" w:cs="Arial" w:eastAsia="Arial" w:hAnsi="Arial"/>
                <w:sz w:val="15"/>
                <w:szCs w:val="15"/>
                <w:b w:val="1"/>
                <w:bCs w:val="1"/>
                <w:color w:val="auto"/>
              </w:rPr>
              <w:t>2004</w:t>
            </w:r>
          </w:p>
        </w:tc>
      </w:tr>
      <w:tr>
        <w:trPr>
          <w:trHeight w:val="211"/>
        </w:trPr>
        <w:tc>
          <w:tcPr>
            <w:tcW w:w="20" w:type="dxa"/>
            <w:vAlign w:val="bottom"/>
          </w:tcPr>
          <w:p>
            <w:pPr>
              <w:spacing w:after="0"/>
              <w:rPr>
                <w:sz w:val="18"/>
                <w:szCs w:val="18"/>
                <w:color w:val="auto"/>
              </w:rPr>
            </w:pPr>
          </w:p>
        </w:tc>
        <w:tc>
          <w:tcPr>
            <w:tcW w:w="4420" w:type="dxa"/>
            <w:vAlign w:val="bottom"/>
            <w:shd w:val="clear" w:color="auto" w:fill="E6E6E6"/>
          </w:tcPr>
          <w:p>
            <w:pPr>
              <w:spacing w:after="0"/>
              <w:rPr>
                <w:sz w:val="20"/>
                <w:szCs w:val="20"/>
                <w:color w:val="auto"/>
              </w:rPr>
            </w:pPr>
            <w:r>
              <w:rPr>
                <w:rFonts w:ascii="Arial" w:cs="Arial" w:eastAsia="Arial" w:hAnsi="Arial"/>
                <w:sz w:val="12"/>
                <w:szCs w:val="12"/>
                <w:color w:val="auto"/>
              </w:rPr>
              <w:t>Federal</w:t>
            </w:r>
          </w:p>
        </w:tc>
        <w:tc>
          <w:tcPr>
            <w:tcW w:w="404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40"/>
              <w:spacing w:after="0"/>
              <w:rPr>
                <w:sz w:val="20"/>
                <w:szCs w:val="20"/>
                <w:color w:val="auto"/>
              </w:rPr>
            </w:pPr>
            <w:r>
              <w:rPr>
                <w:rFonts w:ascii="Arial" w:cs="Arial" w:eastAsia="Arial" w:hAnsi="Arial"/>
                <w:sz w:val="12"/>
                <w:szCs w:val="12"/>
                <w:color w:val="auto"/>
              </w:rPr>
              <w:t>Current</w:t>
            </w:r>
          </w:p>
        </w:tc>
        <w:tc>
          <w:tcPr>
            <w:tcW w:w="40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77"/>
              <w:spacing w:after="0"/>
              <w:rPr>
                <w:sz w:val="20"/>
                <w:szCs w:val="20"/>
                <w:color w:val="auto"/>
              </w:rPr>
            </w:pPr>
            <w:r>
              <w:rPr>
                <w:rFonts w:ascii="Arial" w:cs="Arial" w:eastAsia="Arial" w:hAnsi="Arial"/>
                <w:sz w:val="12"/>
                <w:szCs w:val="12"/>
                <w:color w:val="auto"/>
              </w:rPr>
              <w:t>25.1</w:t>
            </w:r>
          </w:p>
        </w:tc>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7"/>
              <w:spacing w:after="0"/>
              <w:rPr>
                <w:sz w:val="20"/>
                <w:szCs w:val="20"/>
                <w:color w:val="auto"/>
              </w:rPr>
            </w:pPr>
            <w:r>
              <w:rPr>
                <w:rFonts w:ascii="Arial" w:cs="Arial" w:eastAsia="Arial" w:hAnsi="Arial"/>
                <w:sz w:val="12"/>
                <w:szCs w:val="12"/>
                <w:color w:val="auto"/>
              </w:rPr>
              <w:t>5.7</w:t>
            </w:r>
          </w:p>
        </w:tc>
        <w:tc>
          <w:tcPr>
            <w:tcW w:w="4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57"/>
              <w:spacing w:after="0"/>
              <w:rPr>
                <w:sz w:val="20"/>
                <w:szCs w:val="20"/>
                <w:color w:val="auto"/>
              </w:rPr>
            </w:pPr>
            <w:r>
              <w:rPr>
                <w:rFonts w:ascii="Arial" w:cs="Arial" w:eastAsia="Arial" w:hAnsi="Arial"/>
                <w:sz w:val="12"/>
                <w:szCs w:val="12"/>
                <w:color w:val="auto"/>
              </w:rPr>
              <w:t>19.0</w:t>
            </w:r>
          </w:p>
        </w:tc>
      </w:tr>
      <w:tr>
        <w:trPr>
          <w:trHeight w:val="210"/>
        </w:trPr>
        <w:tc>
          <w:tcPr>
            <w:tcW w:w="20" w:type="dxa"/>
            <w:vAlign w:val="bottom"/>
          </w:tcPr>
          <w:p>
            <w:pPr>
              <w:spacing w:after="0"/>
              <w:rPr>
                <w:sz w:val="18"/>
                <w:szCs w:val="18"/>
                <w:color w:val="auto"/>
              </w:rPr>
            </w:pPr>
          </w:p>
        </w:tc>
        <w:tc>
          <w:tcPr>
            <w:tcW w:w="4420" w:type="dxa"/>
            <w:vAlign w:val="bottom"/>
            <w:shd w:val="clear" w:color="auto" w:fill="E6E6E6"/>
          </w:tcPr>
          <w:p>
            <w:pPr>
              <w:ind w:left="140"/>
              <w:spacing w:after="0"/>
              <w:rPr>
                <w:sz w:val="20"/>
                <w:szCs w:val="20"/>
                <w:color w:val="auto"/>
              </w:rPr>
            </w:pPr>
            <w:r>
              <w:rPr>
                <w:rFonts w:ascii="Arial" w:cs="Arial" w:eastAsia="Arial" w:hAnsi="Arial"/>
                <w:sz w:val="12"/>
                <w:szCs w:val="12"/>
                <w:color w:val="auto"/>
              </w:rPr>
              <w:t>Deferred</w:t>
            </w:r>
          </w:p>
        </w:tc>
        <w:tc>
          <w:tcPr>
            <w:tcW w:w="404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177"/>
              <w:spacing w:after="0"/>
              <w:rPr>
                <w:sz w:val="20"/>
                <w:szCs w:val="20"/>
                <w:color w:val="auto"/>
              </w:rPr>
            </w:pPr>
            <w:r>
              <w:rPr>
                <w:rFonts w:ascii="Arial" w:cs="Arial" w:eastAsia="Arial" w:hAnsi="Arial"/>
                <w:sz w:val="12"/>
                <w:szCs w:val="12"/>
                <w:color w:val="auto"/>
              </w:rPr>
              <w:t>1.6</w:t>
            </w:r>
          </w:p>
        </w:tc>
        <w:tc>
          <w:tcPr>
            <w:tcW w:w="46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97"/>
              <w:spacing w:after="0"/>
              <w:rPr>
                <w:sz w:val="20"/>
                <w:szCs w:val="20"/>
                <w:color w:val="auto"/>
              </w:rPr>
            </w:pPr>
            <w:r>
              <w:rPr>
                <w:rFonts w:ascii="Arial" w:cs="Arial" w:eastAsia="Arial" w:hAnsi="Arial"/>
                <w:sz w:val="12"/>
                <w:szCs w:val="12"/>
                <w:color w:val="auto"/>
              </w:rPr>
              <w:t>19.0</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157"/>
              <w:spacing w:after="0"/>
              <w:rPr>
                <w:sz w:val="20"/>
                <w:szCs w:val="20"/>
                <w:color w:val="auto"/>
              </w:rPr>
            </w:pPr>
            <w:r>
              <w:rPr>
                <w:rFonts w:ascii="Arial" w:cs="Arial" w:eastAsia="Arial" w:hAnsi="Arial"/>
                <w:sz w:val="12"/>
                <w:szCs w:val="12"/>
                <w:color w:val="auto"/>
              </w:rPr>
              <w:t>5.9</w:t>
            </w:r>
          </w:p>
        </w:tc>
      </w:tr>
      <w:tr>
        <w:trPr>
          <w:trHeight w:val="93"/>
        </w:trPr>
        <w:tc>
          <w:tcPr>
            <w:tcW w:w="20" w:type="dxa"/>
            <w:vAlign w:val="bottom"/>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30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4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77"/>
              <w:spacing w:after="0"/>
              <w:rPr>
                <w:sz w:val="20"/>
                <w:szCs w:val="20"/>
                <w:color w:val="auto"/>
              </w:rPr>
            </w:pPr>
            <w:r>
              <w:rPr>
                <w:rFonts w:ascii="Arial" w:cs="Arial" w:eastAsia="Arial" w:hAnsi="Arial"/>
                <w:sz w:val="12"/>
                <w:szCs w:val="12"/>
                <w:b w:val="1"/>
                <w:bCs w:val="1"/>
                <w:color w:val="auto"/>
              </w:rPr>
              <w:t>26.7</w:t>
            </w:r>
          </w:p>
        </w:tc>
        <w:tc>
          <w:tcPr>
            <w:tcW w:w="46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197"/>
              <w:spacing w:after="0"/>
              <w:rPr>
                <w:sz w:val="20"/>
                <w:szCs w:val="20"/>
                <w:color w:val="auto"/>
              </w:rPr>
            </w:pPr>
            <w:r>
              <w:rPr>
                <w:rFonts w:ascii="Arial" w:cs="Arial" w:eastAsia="Arial" w:hAnsi="Arial"/>
                <w:sz w:val="12"/>
                <w:szCs w:val="12"/>
                <w:b w:val="1"/>
                <w:bCs w:val="1"/>
                <w:color w:val="auto"/>
              </w:rPr>
              <w:t>24.7</w:t>
            </w:r>
          </w:p>
        </w:tc>
        <w:tc>
          <w:tcPr>
            <w:tcW w:w="48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157"/>
              <w:spacing w:after="0"/>
              <w:rPr>
                <w:sz w:val="20"/>
                <w:szCs w:val="20"/>
                <w:color w:val="auto"/>
              </w:rPr>
            </w:pPr>
            <w:r>
              <w:rPr>
                <w:rFonts w:ascii="Arial" w:cs="Arial" w:eastAsia="Arial" w:hAnsi="Arial"/>
                <w:sz w:val="12"/>
                <w:szCs w:val="12"/>
                <w:b w:val="1"/>
                <w:bCs w:val="1"/>
                <w:color w:val="auto"/>
              </w:rPr>
              <w:t>24.9</w:t>
            </w:r>
          </w:p>
        </w:tc>
      </w:tr>
      <w:tr>
        <w:trPr>
          <w:trHeight w:val="102"/>
        </w:trPr>
        <w:tc>
          <w:tcPr>
            <w:tcW w:w="20" w:type="dxa"/>
            <w:vAlign w:val="bottom"/>
            <w:tcBorders>
              <w:bottom w:val="single" w:sz="8" w:color="808080"/>
            </w:tcBorders>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107"/>
        </w:trPr>
        <w:tc>
          <w:tcPr>
            <w:tcW w:w="20" w:type="dxa"/>
            <w:vAlign w:val="bottom"/>
          </w:tcPr>
          <w:p>
            <w:pPr>
              <w:spacing w:after="0"/>
              <w:rPr>
                <w:sz w:val="9"/>
                <w:szCs w:val="9"/>
                <w:color w:val="auto"/>
              </w:rPr>
            </w:pPr>
          </w:p>
        </w:tc>
        <w:tc>
          <w:tcPr>
            <w:tcW w:w="4420" w:type="dxa"/>
            <w:vAlign w:val="bottom"/>
            <w:tcBorders>
              <w:bottom w:val="single" w:sz="8" w:color="E6E6E6"/>
            </w:tcBorders>
          </w:tcPr>
          <w:p>
            <w:pPr>
              <w:spacing w:after="0"/>
              <w:rPr>
                <w:sz w:val="9"/>
                <w:szCs w:val="9"/>
                <w:color w:val="auto"/>
              </w:rPr>
            </w:pPr>
          </w:p>
        </w:tc>
        <w:tc>
          <w:tcPr>
            <w:tcW w:w="4040" w:type="dxa"/>
            <w:vAlign w:val="bottom"/>
            <w:tcBorders>
              <w:bottom w:val="single" w:sz="8" w:color="E6E6E6"/>
            </w:tcBorders>
          </w:tcPr>
          <w:p>
            <w:pPr>
              <w:spacing w:after="0"/>
              <w:rPr>
                <w:sz w:val="9"/>
                <w:szCs w:val="9"/>
                <w:color w:val="auto"/>
              </w:rPr>
            </w:pPr>
          </w:p>
        </w:tc>
        <w:tc>
          <w:tcPr>
            <w:tcW w:w="680" w:type="dxa"/>
            <w:vAlign w:val="bottom"/>
            <w:tcBorders>
              <w:bottom w:val="single" w:sz="8" w:color="E6E6E6"/>
            </w:tcBorders>
          </w:tcPr>
          <w:p>
            <w:pPr>
              <w:spacing w:after="0"/>
              <w:rPr>
                <w:sz w:val="9"/>
                <w:szCs w:val="9"/>
                <w:color w:val="auto"/>
              </w:rPr>
            </w:pPr>
          </w:p>
        </w:tc>
        <w:tc>
          <w:tcPr>
            <w:tcW w:w="460" w:type="dxa"/>
            <w:vAlign w:val="bottom"/>
            <w:tcBorders>
              <w:bottom w:val="single" w:sz="8" w:color="E6E6E6"/>
            </w:tcBorders>
          </w:tcPr>
          <w:p>
            <w:pPr>
              <w:spacing w:after="0"/>
              <w:rPr>
                <w:sz w:val="9"/>
                <w:szCs w:val="9"/>
                <w:color w:val="auto"/>
              </w:rPr>
            </w:pPr>
          </w:p>
        </w:tc>
        <w:tc>
          <w:tcPr>
            <w:tcW w:w="700" w:type="dxa"/>
            <w:vAlign w:val="bottom"/>
            <w:tcBorders>
              <w:bottom w:val="single" w:sz="8" w:color="E6E6E6"/>
            </w:tcBorders>
          </w:tcPr>
          <w:p>
            <w:pPr>
              <w:spacing w:after="0"/>
              <w:rPr>
                <w:sz w:val="9"/>
                <w:szCs w:val="9"/>
                <w:color w:val="auto"/>
              </w:rPr>
            </w:pPr>
          </w:p>
        </w:tc>
        <w:tc>
          <w:tcPr>
            <w:tcW w:w="480" w:type="dxa"/>
            <w:vAlign w:val="bottom"/>
            <w:tcBorders>
              <w:bottom w:val="single" w:sz="8" w:color="E6E6E6"/>
            </w:tcBorders>
          </w:tcPr>
          <w:p>
            <w:pPr>
              <w:spacing w:after="0"/>
              <w:rPr>
                <w:sz w:val="9"/>
                <w:szCs w:val="9"/>
                <w:color w:val="auto"/>
              </w:rPr>
            </w:pPr>
          </w:p>
        </w:tc>
        <w:tc>
          <w:tcPr>
            <w:tcW w:w="660" w:type="dxa"/>
            <w:vAlign w:val="bottom"/>
            <w:tcBorders>
              <w:bottom w:val="single" w:sz="8" w:color="E6E6E6"/>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-107950</wp:posOffset>
            </wp:positionV>
            <wp:extent cx="12700" cy="27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-107950</wp:posOffset>
            </wp:positionV>
            <wp:extent cx="12700" cy="27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900" w:orient="portrait"/>
          <w:cols w:equalWidth="0" w:num="1">
            <w:col w:w="11460"/>
          </w:cols>
          <w:pgMar w:left="220" w:top="132" w:right="21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spacing w:after="0"/>
              <w:rPr>
                <w:sz w:val="20"/>
                <w:szCs w:val="20"/>
                <w:color w:val="auto"/>
              </w:rPr>
            </w:pPr>
            <w:r>
              <w:rPr>
                <w:rFonts w:ascii="Arial" w:cs="Arial" w:eastAsia="Arial" w:hAnsi="Arial"/>
                <w:sz w:val="12"/>
                <w:szCs w:val="12"/>
                <w:color w:val="auto"/>
              </w:rPr>
              <w:t>State and local</w:t>
            </w:r>
          </w:p>
        </w:tc>
        <w:tc>
          <w:tcPr>
            <w:tcW w:w="400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2"/>
                <w:szCs w:val="12"/>
                <w:color w:val="auto"/>
              </w:rPr>
              <w:t>Current</w:t>
            </w:r>
          </w:p>
        </w:tc>
        <w:tc>
          <w:tcPr>
            <w:tcW w:w="40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2"/>
              <w:spacing w:after="0"/>
              <w:rPr>
                <w:sz w:val="20"/>
                <w:szCs w:val="20"/>
                <w:color w:val="auto"/>
              </w:rPr>
            </w:pPr>
            <w:r>
              <w:rPr>
                <w:rFonts w:ascii="Arial" w:cs="Arial" w:eastAsia="Arial" w:hAnsi="Arial"/>
                <w:sz w:val="12"/>
                <w:szCs w:val="12"/>
                <w:color w:val="auto"/>
              </w:rPr>
              <w:t>6.6</w:t>
            </w:r>
          </w:p>
        </w:tc>
        <w:tc>
          <w:tcPr>
            <w:tcW w:w="5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2"/>
              <w:spacing w:after="0"/>
              <w:rPr>
                <w:sz w:val="20"/>
                <w:szCs w:val="20"/>
                <w:color w:val="auto"/>
              </w:rPr>
            </w:pPr>
            <w:r>
              <w:rPr>
                <w:rFonts w:ascii="Arial" w:cs="Arial" w:eastAsia="Arial" w:hAnsi="Arial"/>
                <w:sz w:val="12"/>
                <w:szCs w:val="12"/>
                <w:color w:val="auto"/>
              </w:rPr>
              <w:t>4.2</w:t>
            </w:r>
          </w:p>
        </w:tc>
        <w:tc>
          <w:tcPr>
            <w:tcW w:w="5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62"/>
              <w:spacing w:after="0"/>
              <w:rPr>
                <w:sz w:val="20"/>
                <w:szCs w:val="20"/>
                <w:color w:val="auto"/>
              </w:rPr>
            </w:pPr>
            <w:r>
              <w:rPr>
                <w:rFonts w:ascii="Arial" w:cs="Arial" w:eastAsia="Arial" w:hAnsi="Arial"/>
                <w:sz w:val="12"/>
                <w:szCs w:val="12"/>
                <w:color w:val="auto"/>
              </w:rPr>
              <w:t>4.7</w:t>
            </w:r>
          </w:p>
        </w:tc>
      </w:t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ind w:left="140"/>
              <w:spacing w:after="0"/>
              <w:rPr>
                <w:sz w:val="20"/>
                <w:szCs w:val="20"/>
                <w:color w:val="auto"/>
              </w:rPr>
            </w:pPr>
            <w:r>
              <w:rPr>
                <w:rFonts w:ascii="Arial" w:cs="Arial" w:eastAsia="Arial" w:hAnsi="Arial"/>
                <w:sz w:val="12"/>
                <w:szCs w:val="12"/>
                <w:color w:val="auto"/>
              </w:rPr>
              <w:t>Deferred</w:t>
            </w:r>
          </w:p>
        </w:tc>
        <w:tc>
          <w:tcPr>
            <w:tcW w:w="400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182"/>
              <w:spacing w:after="0"/>
              <w:rPr>
                <w:sz w:val="20"/>
                <w:szCs w:val="20"/>
                <w:color w:val="auto"/>
              </w:rPr>
            </w:pPr>
            <w:r>
              <w:rPr>
                <w:rFonts w:ascii="Arial" w:cs="Arial" w:eastAsia="Arial" w:hAnsi="Arial"/>
                <w:sz w:val="12"/>
                <w:szCs w:val="12"/>
                <w:color w:val="auto"/>
              </w:rPr>
              <w:t>0.1</w:t>
            </w:r>
          </w:p>
        </w:tc>
        <w:tc>
          <w:tcPr>
            <w:tcW w:w="50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02"/>
              <w:spacing w:after="0"/>
              <w:rPr>
                <w:sz w:val="20"/>
                <w:szCs w:val="20"/>
                <w:color w:val="auto"/>
              </w:rPr>
            </w:pPr>
            <w:r>
              <w:rPr>
                <w:rFonts w:ascii="Arial" w:cs="Arial" w:eastAsia="Arial" w:hAnsi="Arial"/>
                <w:sz w:val="12"/>
                <w:szCs w:val="12"/>
                <w:color w:val="auto"/>
              </w:rPr>
              <w:t>0.4</w:t>
            </w:r>
          </w:p>
        </w:tc>
        <w:tc>
          <w:tcPr>
            <w:tcW w:w="520" w:type="dxa"/>
            <w:vAlign w:val="bottom"/>
            <w:shd w:val="clear" w:color="auto" w:fill="E6E6E6"/>
          </w:tcPr>
          <w:p>
            <w:pPr>
              <w:spacing w:after="0"/>
              <w:rPr>
                <w:sz w:val="18"/>
                <w:szCs w:val="18"/>
                <w:color w:val="auto"/>
              </w:rPr>
            </w:pPr>
          </w:p>
        </w:tc>
        <w:tc>
          <w:tcPr>
            <w:tcW w:w="620" w:type="dxa"/>
            <w:vAlign w:val="bottom"/>
            <w:shd w:val="clear" w:color="auto" w:fill="E6E6E6"/>
          </w:tcPr>
          <w:p>
            <w:pPr>
              <w:jc w:val="right"/>
              <w:ind w:right="162"/>
              <w:spacing w:after="0"/>
              <w:rPr>
                <w:sz w:val="20"/>
                <w:szCs w:val="20"/>
                <w:color w:val="auto"/>
              </w:rPr>
            </w:pPr>
            <w:r>
              <w:rPr>
                <w:rFonts w:ascii="Arial" w:cs="Arial" w:eastAsia="Arial" w:hAnsi="Arial"/>
                <w:sz w:val="12"/>
                <w:szCs w:val="12"/>
                <w:color w:val="auto"/>
              </w:rPr>
              <w:t>0.8</w:t>
            </w:r>
          </w:p>
        </w:tc>
      </w:tr>
      <w:tr>
        <w:trPr>
          <w:trHeight w:val="93"/>
        </w:trPr>
        <w:tc>
          <w:tcPr>
            <w:tcW w:w="20" w:type="dxa"/>
            <w:vAlign w:val="bottom"/>
          </w:tcPr>
          <w:p>
            <w:pPr>
              <w:spacing w:after="0"/>
              <w:rPr>
                <w:sz w:val="8"/>
                <w:szCs w:val="8"/>
                <w:color w:val="auto"/>
              </w:rPr>
            </w:pPr>
          </w:p>
        </w:tc>
        <w:tc>
          <w:tcPr>
            <w:tcW w:w="450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30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182"/>
              <w:spacing w:after="0"/>
              <w:rPr>
                <w:sz w:val="20"/>
                <w:szCs w:val="20"/>
                <w:color w:val="auto"/>
              </w:rPr>
            </w:pPr>
            <w:r>
              <w:rPr>
                <w:rFonts w:ascii="Arial" w:cs="Arial" w:eastAsia="Arial" w:hAnsi="Arial"/>
                <w:sz w:val="12"/>
                <w:szCs w:val="12"/>
                <w:b w:val="1"/>
                <w:bCs w:val="1"/>
                <w:color w:val="auto"/>
              </w:rPr>
              <w:t>6.7</w:t>
            </w:r>
          </w:p>
        </w:tc>
        <w:tc>
          <w:tcPr>
            <w:tcW w:w="50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4.6</w:t>
            </w:r>
          </w:p>
        </w:tc>
        <w:tc>
          <w:tcPr>
            <w:tcW w:w="52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162"/>
              <w:spacing w:after="0"/>
              <w:rPr>
                <w:sz w:val="20"/>
                <w:szCs w:val="20"/>
                <w:color w:val="auto"/>
              </w:rPr>
            </w:pPr>
            <w:r>
              <w:rPr>
                <w:rFonts w:ascii="Arial" w:cs="Arial" w:eastAsia="Arial" w:hAnsi="Arial"/>
                <w:sz w:val="12"/>
                <w:szCs w:val="12"/>
                <w:b w:val="1"/>
                <w:bCs w:val="1"/>
                <w:color w:val="auto"/>
              </w:rPr>
              <w:t>5.5</w:t>
            </w:r>
          </w:p>
        </w:tc>
      </w:tr>
      <w:tr>
        <w:trPr>
          <w:trHeight w:val="102"/>
        </w:trPr>
        <w:tc>
          <w:tcPr>
            <w:tcW w:w="4520" w:type="dxa"/>
            <w:vAlign w:val="bottom"/>
            <w:tcBorders>
              <w:bottom w:val="single" w:sz="8" w:color="808080"/>
            </w:tcBorders>
            <w:gridSpan w:val="2"/>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89"/>
        </w:trPr>
        <w:tc>
          <w:tcPr>
            <w:tcW w:w="20" w:type="dxa"/>
            <w:vAlign w:val="bottom"/>
          </w:tcPr>
          <w:p>
            <w:pPr>
              <w:spacing w:after="0"/>
              <w:rPr>
                <w:sz w:val="7"/>
                <w:szCs w:val="7"/>
                <w:color w:val="auto"/>
              </w:rPr>
            </w:pPr>
          </w:p>
        </w:tc>
        <w:tc>
          <w:tcPr>
            <w:tcW w:w="45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spacing w:after="0"/>
              <w:rPr>
                <w:sz w:val="20"/>
                <w:szCs w:val="20"/>
                <w:color w:val="auto"/>
              </w:rPr>
            </w:pPr>
            <w:r>
              <w:rPr>
                <w:rFonts w:ascii="Arial" w:cs="Arial" w:eastAsia="Arial" w:hAnsi="Arial"/>
                <w:sz w:val="12"/>
                <w:szCs w:val="12"/>
                <w:color w:val="auto"/>
              </w:rPr>
              <w:t>International</w:t>
            </w:r>
          </w:p>
        </w:tc>
        <w:tc>
          <w:tcPr>
            <w:tcW w:w="400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2"/>
                <w:szCs w:val="12"/>
                <w:color w:val="auto"/>
              </w:rPr>
              <w:t>Current</w:t>
            </w:r>
          </w:p>
        </w:tc>
        <w:tc>
          <w:tcPr>
            <w:tcW w:w="40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2"/>
              <w:spacing w:after="0"/>
              <w:rPr>
                <w:sz w:val="20"/>
                <w:szCs w:val="20"/>
                <w:color w:val="auto"/>
              </w:rPr>
            </w:pPr>
            <w:r>
              <w:rPr>
                <w:rFonts w:ascii="Arial" w:cs="Arial" w:eastAsia="Arial" w:hAnsi="Arial"/>
                <w:sz w:val="12"/>
                <w:szCs w:val="12"/>
                <w:color w:val="auto"/>
              </w:rPr>
              <w:t>5.5</w:t>
            </w:r>
          </w:p>
        </w:tc>
        <w:tc>
          <w:tcPr>
            <w:tcW w:w="5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2"/>
              <w:spacing w:after="0"/>
              <w:rPr>
                <w:sz w:val="20"/>
                <w:szCs w:val="20"/>
                <w:color w:val="auto"/>
              </w:rPr>
            </w:pPr>
            <w:r>
              <w:rPr>
                <w:rFonts w:ascii="Arial" w:cs="Arial" w:eastAsia="Arial" w:hAnsi="Arial"/>
                <w:sz w:val="12"/>
                <w:szCs w:val="12"/>
                <w:color w:val="auto"/>
              </w:rPr>
              <w:t>5.1</w:t>
            </w:r>
          </w:p>
        </w:tc>
        <w:tc>
          <w:tcPr>
            <w:tcW w:w="5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62"/>
              <w:spacing w:after="0"/>
              <w:rPr>
                <w:sz w:val="20"/>
                <w:szCs w:val="20"/>
                <w:color w:val="auto"/>
              </w:rPr>
            </w:pPr>
            <w:r>
              <w:rPr>
                <w:rFonts w:ascii="Arial" w:cs="Arial" w:eastAsia="Arial" w:hAnsi="Arial"/>
                <w:sz w:val="12"/>
                <w:szCs w:val="12"/>
                <w:color w:val="auto"/>
              </w:rPr>
              <w:t>5.5</w:t>
            </w:r>
          </w:p>
        </w:tc>
      </w:t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ind w:left="140"/>
              <w:spacing w:after="0"/>
              <w:rPr>
                <w:sz w:val="20"/>
                <w:szCs w:val="20"/>
                <w:color w:val="auto"/>
              </w:rPr>
            </w:pPr>
            <w:r>
              <w:rPr>
                <w:rFonts w:ascii="Arial" w:cs="Arial" w:eastAsia="Arial" w:hAnsi="Arial"/>
                <w:sz w:val="12"/>
                <w:szCs w:val="12"/>
                <w:color w:val="auto"/>
              </w:rPr>
              <w:t>Deferred</w:t>
            </w:r>
          </w:p>
        </w:tc>
        <w:tc>
          <w:tcPr>
            <w:tcW w:w="400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182"/>
              <w:spacing w:after="0"/>
              <w:rPr>
                <w:sz w:val="20"/>
                <w:szCs w:val="20"/>
                <w:color w:val="auto"/>
              </w:rPr>
            </w:pPr>
            <w:r>
              <w:rPr>
                <w:rFonts w:ascii="Arial" w:cs="Arial" w:eastAsia="Arial" w:hAnsi="Arial"/>
                <w:sz w:val="12"/>
                <w:szCs w:val="12"/>
                <w:color w:val="auto"/>
              </w:rPr>
              <w:t>0.1</w:t>
            </w:r>
          </w:p>
        </w:tc>
        <w:tc>
          <w:tcPr>
            <w:tcW w:w="50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02"/>
              <w:spacing w:after="0"/>
              <w:rPr>
                <w:sz w:val="20"/>
                <w:szCs w:val="20"/>
                <w:color w:val="auto"/>
              </w:rPr>
            </w:pPr>
            <w:r>
              <w:rPr>
                <w:rFonts w:ascii="Arial" w:cs="Arial" w:eastAsia="Arial" w:hAnsi="Arial"/>
                <w:sz w:val="12"/>
                <w:szCs w:val="12"/>
                <w:color w:val="auto"/>
              </w:rPr>
              <w:t>1.0</w:t>
            </w:r>
          </w:p>
        </w:tc>
        <w:tc>
          <w:tcPr>
            <w:tcW w:w="520" w:type="dxa"/>
            <w:vAlign w:val="bottom"/>
            <w:shd w:val="clear" w:color="auto" w:fill="E6E6E6"/>
          </w:tcPr>
          <w:p>
            <w:pPr>
              <w:spacing w:after="0"/>
              <w:rPr>
                <w:sz w:val="18"/>
                <w:szCs w:val="18"/>
                <w:color w:val="auto"/>
              </w:rPr>
            </w:pPr>
          </w:p>
        </w:tc>
        <w:tc>
          <w:tcPr>
            <w:tcW w:w="620" w:type="dxa"/>
            <w:vAlign w:val="bottom"/>
            <w:shd w:val="clear" w:color="auto" w:fill="E6E6E6"/>
          </w:tcPr>
          <w:p>
            <w:pPr>
              <w:jc w:val="right"/>
              <w:ind w:right="122"/>
              <w:spacing w:after="0" w:line="210" w:lineRule="exact"/>
              <w:rPr>
                <w:sz w:val="20"/>
                <w:szCs w:val="20"/>
                <w:color w:val="auto"/>
              </w:rPr>
            </w:pPr>
            <w:r>
              <w:rPr>
                <w:rFonts w:ascii="Arial" w:cs="Arial" w:eastAsia="Arial" w:hAnsi="Arial"/>
                <w:sz w:val="12"/>
                <w:szCs w:val="12"/>
                <w:color w:val="auto"/>
              </w:rPr>
              <w:t>(4.1</w:t>
            </w:r>
            <w:r>
              <w:rPr>
                <w:rFonts w:ascii="Arial" w:cs="Arial" w:eastAsia="Arial" w:hAnsi="Arial"/>
                <w:sz w:val="23"/>
                <w:szCs w:val="23"/>
                <w:color w:val="auto"/>
                <w:vertAlign w:val="superscript"/>
              </w:rPr>
              <w:t>)</w:t>
            </w:r>
          </w:p>
        </w:tc>
      </w:tr>
      <w:tr>
        <w:trPr>
          <w:trHeight w:val="93"/>
        </w:trPr>
        <w:tc>
          <w:tcPr>
            <w:tcW w:w="20" w:type="dxa"/>
            <w:vAlign w:val="bottom"/>
          </w:tcPr>
          <w:p>
            <w:pPr>
              <w:spacing w:after="0"/>
              <w:rPr>
                <w:sz w:val="8"/>
                <w:szCs w:val="8"/>
                <w:color w:val="auto"/>
              </w:rPr>
            </w:pPr>
          </w:p>
        </w:tc>
        <w:tc>
          <w:tcPr>
            <w:tcW w:w="450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45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spacing w:after="0"/>
              <w:rPr>
                <w:sz w:val="18"/>
                <w:szCs w:val="18"/>
                <w:color w:val="auto"/>
              </w:rPr>
            </w:pPr>
          </w:p>
        </w:tc>
        <w:tc>
          <w:tcPr>
            <w:tcW w:w="4000" w:type="dxa"/>
            <w:vAlign w:val="bottom"/>
            <w:shd w:val="clear" w:color="auto" w:fill="E6E6E6"/>
          </w:tcPr>
          <w:p>
            <w:pPr>
              <w:jc w:val="right"/>
              <w:ind w:right="122"/>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E6E6E6"/>
          </w:tcPr>
          <w:p>
            <w:pPr>
              <w:jc w:val="right"/>
              <w:ind w:right="182"/>
              <w:spacing w:after="0"/>
              <w:rPr>
                <w:sz w:val="20"/>
                <w:szCs w:val="20"/>
                <w:color w:val="auto"/>
              </w:rPr>
            </w:pPr>
            <w:r>
              <w:rPr>
                <w:rFonts w:ascii="Arial" w:cs="Arial" w:eastAsia="Arial" w:hAnsi="Arial"/>
                <w:sz w:val="12"/>
                <w:szCs w:val="12"/>
                <w:b w:val="1"/>
                <w:bCs w:val="1"/>
                <w:color w:val="auto"/>
              </w:rPr>
              <w:t>5.6</w:t>
            </w:r>
          </w:p>
        </w:tc>
        <w:tc>
          <w:tcPr>
            <w:tcW w:w="500" w:type="dxa"/>
            <w:vAlign w:val="bottom"/>
            <w:shd w:val="clear" w:color="auto" w:fill="E6E6E6"/>
          </w:tcPr>
          <w:p>
            <w:pPr>
              <w:jc w:val="right"/>
              <w:ind w:right="122"/>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E6E6E6"/>
          </w:tcPr>
          <w:p>
            <w:pPr>
              <w:jc w:val="right"/>
              <w:ind w:right="202"/>
              <w:spacing w:after="0"/>
              <w:rPr>
                <w:sz w:val="20"/>
                <w:szCs w:val="20"/>
                <w:color w:val="auto"/>
              </w:rPr>
            </w:pPr>
            <w:r>
              <w:rPr>
                <w:rFonts w:ascii="Arial" w:cs="Arial" w:eastAsia="Arial" w:hAnsi="Arial"/>
                <w:sz w:val="12"/>
                <w:szCs w:val="12"/>
                <w:b w:val="1"/>
                <w:bCs w:val="1"/>
                <w:color w:val="auto"/>
              </w:rPr>
              <w:t>6.1</w:t>
            </w:r>
          </w:p>
        </w:tc>
        <w:tc>
          <w:tcPr>
            <w:tcW w:w="520" w:type="dxa"/>
            <w:vAlign w:val="bottom"/>
            <w:shd w:val="clear" w:color="auto" w:fill="E6E6E6"/>
          </w:tcPr>
          <w:p>
            <w:pPr>
              <w:jc w:val="right"/>
              <w:ind w:right="122"/>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E6E6E6"/>
          </w:tcPr>
          <w:p>
            <w:pPr>
              <w:jc w:val="right"/>
              <w:ind w:right="162"/>
              <w:spacing w:after="0"/>
              <w:rPr>
                <w:sz w:val="20"/>
                <w:szCs w:val="20"/>
                <w:color w:val="auto"/>
              </w:rPr>
            </w:pPr>
            <w:r>
              <w:rPr>
                <w:rFonts w:ascii="Arial" w:cs="Arial" w:eastAsia="Arial" w:hAnsi="Arial"/>
                <w:sz w:val="12"/>
                <w:szCs w:val="12"/>
                <w:b w:val="1"/>
                <w:bCs w:val="1"/>
                <w:color w:val="auto"/>
              </w:rPr>
              <w:t>1.4</w:t>
            </w:r>
          </w:p>
        </w:tc>
      </w:tr>
      <w:tr>
        <w:trPr>
          <w:trHeight w:val="112"/>
        </w:trPr>
        <w:tc>
          <w:tcPr>
            <w:tcW w:w="4520" w:type="dxa"/>
            <w:vAlign w:val="bottom"/>
            <w:tcBorders>
              <w:bottom w:val="single" w:sz="8" w:color="808080"/>
            </w:tcBorders>
            <w:gridSpan w:val="2"/>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89"/>
        </w:trPr>
        <w:tc>
          <w:tcPr>
            <w:tcW w:w="20" w:type="dxa"/>
            <w:vAlign w:val="bottom"/>
          </w:tcPr>
          <w:p>
            <w:pPr>
              <w:spacing w:after="0"/>
              <w:rPr>
                <w:sz w:val="7"/>
                <w:szCs w:val="7"/>
                <w:color w:val="auto"/>
              </w:rPr>
            </w:pPr>
          </w:p>
        </w:tc>
        <w:tc>
          <w:tcPr>
            <w:tcW w:w="45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Total</w:t>
            </w:r>
          </w:p>
        </w:tc>
        <w:tc>
          <w:tcPr>
            <w:tcW w:w="400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2"/>
                <w:szCs w:val="12"/>
                <w:b w:val="1"/>
                <w:bCs w:val="1"/>
                <w:color w:val="auto"/>
              </w:rPr>
              <w:t>Current</w:t>
            </w:r>
          </w:p>
        </w:tc>
        <w:tc>
          <w:tcPr>
            <w:tcW w:w="400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182"/>
              <w:spacing w:after="0"/>
              <w:rPr>
                <w:sz w:val="20"/>
                <w:szCs w:val="20"/>
                <w:color w:val="auto"/>
              </w:rPr>
            </w:pPr>
            <w:r>
              <w:rPr>
                <w:rFonts w:ascii="Arial" w:cs="Arial" w:eastAsia="Arial" w:hAnsi="Arial"/>
                <w:sz w:val="12"/>
                <w:szCs w:val="12"/>
                <w:b w:val="1"/>
                <w:bCs w:val="1"/>
                <w:color w:val="auto"/>
              </w:rPr>
              <w:t>37.2</w:t>
            </w:r>
          </w:p>
        </w:tc>
        <w:tc>
          <w:tcPr>
            <w:tcW w:w="50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15.0</w:t>
            </w:r>
          </w:p>
        </w:tc>
        <w:tc>
          <w:tcPr>
            <w:tcW w:w="52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162"/>
              <w:spacing w:after="0"/>
              <w:rPr>
                <w:sz w:val="20"/>
                <w:szCs w:val="20"/>
                <w:color w:val="auto"/>
              </w:rPr>
            </w:pPr>
            <w:r>
              <w:rPr>
                <w:rFonts w:ascii="Arial" w:cs="Arial" w:eastAsia="Arial" w:hAnsi="Arial"/>
                <w:sz w:val="12"/>
                <w:szCs w:val="12"/>
                <w:b w:val="1"/>
                <w:bCs w:val="1"/>
                <w:color w:val="auto"/>
              </w:rPr>
              <w:t>29.2</w:t>
            </w:r>
          </w:p>
        </w:tc>
      </w:t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ind w:left="140"/>
              <w:spacing w:after="0"/>
              <w:rPr>
                <w:sz w:val="20"/>
                <w:szCs w:val="20"/>
                <w:color w:val="auto"/>
              </w:rPr>
            </w:pPr>
            <w:r>
              <w:rPr>
                <w:rFonts w:ascii="Arial" w:cs="Arial" w:eastAsia="Arial" w:hAnsi="Arial"/>
                <w:sz w:val="12"/>
                <w:szCs w:val="12"/>
                <w:b w:val="1"/>
                <w:bCs w:val="1"/>
                <w:color w:val="auto"/>
              </w:rPr>
              <w:t>Deferred</w:t>
            </w:r>
          </w:p>
        </w:tc>
        <w:tc>
          <w:tcPr>
            <w:tcW w:w="400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182"/>
              <w:spacing w:after="0"/>
              <w:rPr>
                <w:sz w:val="20"/>
                <w:szCs w:val="20"/>
                <w:color w:val="auto"/>
              </w:rPr>
            </w:pPr>
            <w:r>
              <w:rPr>
                <w:rFonts w:ascii="Arial" w:cs="Arial" w:eastAsia="Arial" w:hAnsi="Arial"/>
                <w:sz w:val="12"/>
                <w:szCs w:val="12"/>
                <w:b w:val="1"/>
                <w:bCs w:val="1"/>
                <w:color w:val="auto"/>
              </w:rPr>
              <w:t>1.8</w:t>
            </w:r>
          </w:p>
        </w:tc>
        <w:tc>
          <w:tcPr>
            <w:tcW w:w="50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202"/>
              <w:spacing w:after="0"/>
              <w:rPr>
                <w:sz w:val="20"/>
                <w:szCs w:val="20"/>
                <w:color w:val="auto"/>
              </w:rPr>
            </w:pPr>
            <w:r>
              <w:rPr>
                <w:rFonts w:ascii="Arial" w:cs="Arial" w:eastAsia="Arial" w:hAnsi="Arial"/>
                <w:sz w:val="12"/>
                <w:szCs w:val="12"/>
                <w:b w:val="1"/>
                <w:bCs w:val="1"/>
                <w:color w:val="auto"/>
              </w:rPr>
              <w:t>20.4</w:t>
            </w:r>
          </w:p>
        </w:tc>
        <w:tc>
          <w:tcPr>
            <w:tcW w:w="520" w:type="dxa"/>
            <w:vAlign w:val="bottom"/>
            <w:shd w:val="clear" w:color="auto" w:fill="E6E6E6"/>
          </w:tcPr>
          <w:p>
            <w:pPr>
              <w:spacing w:after="0"/>
              <w:rPr>
                <w:sz w:val="18"/>
                <w:szCs w:val="18"/>
                <w:color w:val="auto"/>
              </w:rPr>
            </w:pPr>
          </w:p>
        </w:tc>
        <w:tc>
          <w:tcPr>
            <w:tcW w:w="620" w:type="dxa"/>
            <w:vAlign w:val="bottom"/>
            <w:shd w:val="clear" w:color="auto" w:fill="E6E6E6"/>
          </w:tcPr>
          <w:p>
            <w:pPr>
              <w:jc w:val="right"/>
              <w:ind w:right="162"/>
              <w:spacing w:after="0"/>
              <w:rPr>
                <w:sz w:val="20"/>
                <w:szCs w:val="20"/>
                <w:color w:val="auto"/>
              </w:rPr>
            </w:pPr>
            <w:r>
              <w:rPr>
                <w:rFonts w:ascii="Arial" w:cs="Arial" w:eastAsia="Arial" w:hAnsi="Arial"/>
                <w:sz w:val="12"/>
                <w:szCs w:val="12"/>
                <w:b w:val="1"/>
                <w:bCs w:val="1"/>
                <w:color w:val="auto"/>
              </w:rPr>
              <w:t>2.6</w:t>
            </w:r>
          </w:p>
        </w:tc>
      </w:tr>
      <w:tr>
        <w:trPr>
          <w:trHeight w:val="93"/>
        </w:trPr>
        <w:tc>
          <w:tcPr>
            <w:tcW w:w="20" w:type="dxa"/>
            <w:vAlign w:val="bottom"/>
          </w:tcPr>
          <w:p>
            <w:pPr>
              <w:spacing w:after="0"/>
              <w:rPr>
                <w:sz w:val="8"/>
                <w:szCs w:val="8"/>
                <w:color w:val="auto"/>
              </w:rPr>
            </w:pPr>
          </w:p>
        </w:tc>
        <w:tc>
          <w:tcPr>
            <w:tcW w:w="450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45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E6E6E6"/>
          </w:tcPr>
          <w:p>
            <w:pPr>
              <w:spacing w:after="0"/>
              <w:rPr>
                <w:sz w:val="18"/>
                <w:szCs w:val="18"/>
                <w:color w:val="auto"/>
              </w:rPr>
            </w:pPr>
          </w:p>
        </w:tc>
        <w:tc>
          <w:tcPr>
            <w:tcW w:w="4000" w:type="dxa"/>
            <w:vAlign w:val="bottom"/>
            <w:shd w:val="clear" w:color="auto" w:fill="E6E6E6"/>
          </w:tcPr>
          <w:p>
            <w:pPr>
              <w:jc w:val="right"/>
              <w:ind w:right="122"/>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E6E6E6"/>
          </w:tcPr>
          <w:p>
            <w:pPr>
              <w:jc w:val="right"/>
              <w:ind w:right="182"/>
              <w:spacing w:after="0"/>
              <w:rPr>
                <w:sz w:val="20"/>
                <w:szCs w:val="20"/>
                <w:color w:val="auto"/>
              </w:rPr>
            </w:pPr>
            <w:r>
              <w:rPr>
                <w:rFonts w:ascii="Arial" w:cs="Arial" w:eastAsia="Arial" w:hAnsi="Arial"/>
                <w:sz w:val="12"/>
                <w:szCs w:val="12"/>
                <w:b w:val="1"/>
                <w:bCs w:val="1"/>
                <w:color w:val="auto"/>
              </w:rPr>
              <w:t>39.0</w:t>
            </w:r>
          </w:p>
        </w:tc>
        <w:tc>
          <w:tcPr>
            <w:tcW w:w="500" w:type="dxa"/>
            <w:vAlign w:val="bottom"/>
            <w:shd w:val="clear" w:color="auto" w:fill="E6E6E6"/>
          </w:tcPr>
          <w:p>
            <w:pPr>
              <w:jc w:val="right"/>
              <w:ind w:right="122"/>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E6E6E6"/>
          </w:tcPr>
          <w:p>
            <w:pPr>
              <w:jc w:val="right"/>
              <w:ind w:right="202"/>
              <w:spacing w:after="0"/>
              <w:rPr>
                <w:sz w:val="20"/>
                <w:szCs w:val="20"/>
                <w:color w:val="auto"/>
              </w:rPr>
            </w:pPr>
            <w:r>
              <w:rPr>
                <w:rFonts w:ascii="Arial" w:cs="Arial" w:eastAsia="Arial" w:hAnsi="Arial"/>
                <w:sz w:val="12"/>
                <w:szCs w:val="12"/>
                <w:b w:val="1"/>
                <w:bCs w:val="1"/>
                <w:color w:val="auto"/>
              </w:rPr>
              <w:t>35.4</w:t>
            </w:r>
          </w:p>
        </w:tc>
        <w:tc>
          <w:tcPr>
            <w:tcW w:w="520" w:type="dxa"/>
            <w:vAlign w:val="bottom"/>
            <w:shd w:val="clear" w:color="auto" w:fill="E6E6E6"/>
          </w:tcPr>
          <w:p>
            <w:pPr>
              <w:jc w:val="right"/>
              <w:ind w:right="122"/>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E6E6E6"/>
          </w:tcPr>
          <w:p>
            <w:pPr>
              <w:jc w:val="right"/>
              <w:ind w:right="162"/>
              <w:spacing w:after="0"/>
              <w:rPr>
                <w:sz w:val="20"/>
                <w:szCs w:val="20"/>
                <w:color w:val="auto"/>
              </w:rPr>
            </w:pPr>
            <w:r>
              <w:rPr>
                <w:rFonts w:ascii="Arial" w:cs="Arial" w:eastAsia="Arial" w:hAnsi="Arial"/>
                <w:sz w:val="12"/>
                <w:szCs w:val="12"/>
                <w:b w:val="1"/>
                <w:bCs w:val="1"/>
                <w:color w:val="auto"/>
              </w:rPr>
              <w:t>31.8</w:t>
            </w:r>
          </w:p>
        </w:tc>
      </w:tr>
      <w:tr>
        <w:trPr>
          <w:trHeight w:val="112"/>
        </w:trPr>
        <w:tc>
          <w:tcPr>
            <w:tcW w:w="2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-1624965</wp:posOffset>
            </wp:positionV>
            <wp:extent cx="12700" cy="27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-1624965</wp:posOffset>
            </wp:positionV>
            <wp:extent cx="12700" cy="27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7263765</wp:posOffset>
            </wp:positionH>
            <wp:positionV relativeFrom="paragraph">
              <wp:posOffset>-826135</wp:posOffset>
            </wp:positionV>
            <wp:extent cx="12700" cy="27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-826135</wp:posOffset>
            </wp:positionV>
            <wp:extent cx="12700" cy="27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189865</wp:posOffset>
            </wp:positionV>
            <wp:extent cx="118110" cy="1181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728535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sectPr>
      </w:pPr>
    </w:p>
    <w:bookmarkStart w:id="53" w:name="page54"/>
    <w:bookmarkEnd w:id="53"/>
    <w:p>
      <w:pPr>
        <w:ind w:left="20"/>
        <w:spacing w:after="0"/>
        <w:rPr>
          <w:sz w:val="20"/>
          <w:szCs w:val="20"/>
          <w:color w:val="auto"/>
        </w:rPr>
      </w:pPr>
      <w:r>
        <w:rPr>
          <w:rFonts w:ascii="Arial" w:cs="Arial" w:eastAsia="Arial" w:hAnsi="Arial"/>
          <w:sz w:val="14"/>
          <w:szCs w:val="14"/>
          <w:color w:val="auto"/>
        </w:rPr>
        <w:t>The provisions for income taxes for the fiscal years ended May 31, 2006, 2005 and 2004 differ from the amount of tax determined by applying the federal statutory rate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198120</wp:posOffset>
            </wp:positionV>
            <wp:extent cx="726567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Arial" w:cs="Arial" w:eastAsia="Arial" w:hAnsi="Arial"/>
                <w:sz w:val="15"/>
                <w:szCs w:val="15"/>
                <w:b w:val="1"/>
                <w:bCs w:val="1"/>
                <w:color w:val="auto"/>
              </w:rPr>
              <w:t>2006</w:t>
            </w:r>
          </w:p>
        </w:tc>
        <w:tc>
          <w:tcPr>
            <w:tcW w:w="48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Arial" w:cs="Arial" w:eastAsia="Arial" w:hAnsi="Arial"/>
                <w:sz w:val="15"/>
                <w:szCs w:val="15"/>
                <w:b w:val="1"/>
                <w:bCs w:val="1"/>
                <w:color w:val="auto"/>
              </w:rPr>
              <w:t>2005</w:t>
            </w:r>
          </w:p>
        </w:tc>
        <w:tc>
          <w:tcPr>
            <w:tcW w:w="480" w:type="dxa"/>
            <w:vAlign w:val="bottom"/>
          </w:tcPr>
          <w:p>
            <w:pPr>
              <w:spacing w:after="0"/>
              <w:rPr>
                <w:sz w:val="16"/>
                <w:szCs w:val="16"/>
                <w:color w:val="auto"/>
              </w:rPr>
            </w:pPr>
          </w:p>
        </w:tc>
        <w:tc>
          <w:tcPr>
            <w:tcW w:w="660" w:type="dxa"/>
            <w:vAlign w:val="bottom"/>
          </w:tcPr>
          <w:p>
            <w:pPr>
              <w:jc w:val="right"/>
              <w:ind w:right="160"/>
              <w:spacing w:after="0"/>
              <w:rPr>
                <w:sz w:val="20"/>
                <w:szCs w:val="20"/>
                <w:color w:val="auto"/>
              </w:rPr>
            </w:pPr>
            <w:r>
              <w:rPr>
                <w:rFonts w:ascii="Arial" w:cs="Arial" w:eastAsia="Arial" w:hAnsi="Arial"/>
                <w:sz w:val="15"/>
                <w:szCs w:val="15"/>
                <w:b w:val="1"/>
                <w:bCs w:val="1"/>
                <w:color w:val="auto"/>
              </w:rPr>
              <w:t>2004</w:t>
            </w:r>
          </w:p>
        </w:tc>
      </w:tr>
      <w:tr>
        <w:trPr>
          <w:trHeight w:val="96"/>
        </w:trPr>
        <w:tc>
          <w:tcPr>
            <w:tcW w:w="5720" w:type="dxa"/>
            <w:vAlign w:val="bottom"/>
            <w:gridSpan w:val="2"/>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5700" w:type="dxa"/>
            <w:vAlign w:val="bottom"/>
            <w:tcBorders>
              <w:top w:val="single" w:sz="8" w:color="auto"/>
            </w:tcBorders>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E6E6E6"/>
          </w:tcPr>
          <w:p>
            <w:pPr>
              <w:spacing w:after="0"/>
              <w:rPr>
                <w:sz w:val="20"/>
                <w:szCs w:val="20"/>
                <w:color w:val="auto"/>
              </w:rPr>
            </w:pPr>
            <w:r>
              <w:rPr>
                <w:rFonts w:ascii="Arial" w:cs="Arial" w:eastAsia="Arial" w:hAnsi="Arial"/>
                <w:sz w:val="12"/>
                <w:szCs w:val="12"/>
                <w:color w:val="auto"/>
              </w:rPr>
              <w:t>Computed federal statutory provision</w:t>
            </w:r>
          </w:p>
        </w:tc>
        <w:tc>
          <w:tcPr>
            <w:tcW w:w="2520" w:type="dxa"/>
            <w:vAlign w:val="bottom"/>
            <w:shd w:val="clear" w:color="auto" w:fill="E6E6E6"/>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shd w:val="clear" w:color="auto" w:fill="E6E6E6"/>
          </w:tcPr>
          <w:p>
            <w:pPr>
              <w:jc w:val="right"/>
              <w:ind w:right="300"/>
              <w:spacing w:after="0"/>
              <w:rPr>
                <w:sz w:val="20"/>
                <w:szCs w:val="20"/>
                <w:color w:val="auto"/>
              </w:rPr>
            </w:pPr>
            <w:r>
              <w:rPr>
                <w:rFonts w:ascii="Arial" w:cs="Arial" w:eastAsia="Arial" w:hAnsi="Arial"/>
                <w:sz w:val="12"/>
                <w:szCs w:val="12"/>
                <w:color w:val="auto"/>
              </w:rPr>
              <w:t>37.7</w:t>
            </w:r>
          </w:p>
        </w:tc>
        <w:tc>
          <w:tcPr>
            <w:tcW w:w="480" w:type="dxa"/>
            <w:vAlign w:val="bottom"/>
            <w:shd w:val="clear" w:color="auto" w:fill="E6E6E6"/>
          </w:tcPr>
          <w:p>
            <w:pPr>
              <w:jc w:val="right"/>
              <w:ind w:right="82"/>
              <w:spacing w:after="0"/>
              <w:rPr>
                <w:sz w:val="20"/>
                <w:szCs w:val="20"/>
                <w:color w:val="auto"/>
              </w:rPr>
            </w:pPr>
            <w:r>
              <w:rPr>
                <w:rFonts w:ascii="Arial" w:cs="Arial" w:eastAsia="Arial" w:hAnsi="Arial"/>
                <w:sz w:val="12"/>
                <w:szCs w:val="12"/>
                <w:color w:val="auto"/>
              </w:rPr>
              <w:t>$</w:t>
            </w:r>
          </w:p>
        </w:tc>
        <w:tc>
          <w:tcPr>
            <w:tcW w:w="800" w:type="dxa"/>
            <w:vAlign w:val="bottom"/>
            <w:shd w:val="clear" w:color="auto" w:fill="E6E6E6"/>
          </w:tcPr>
          <w:p>
            <w:pPr>
              <w:jc w:val="right"/>
              <w:ind w:right="300"/>
              <w:spacing w:after="0"/>
              <w:rPr>
                <w:sz w:val="20"/>
                <w:szCs w:val="20"/>
                <w:color w:val="auto"/>
              </w:rPr>
            </w:pPr>
            <w:r>
              <w:rPr>
                <w:rFonts w:ascii="Arial" w:cs="Arial" w:eastAsia="Arial" w:hAnsi="Arial"/>
                <w:sz w:val="12"/>
                <w:szCs w:val="12"/>
                <w:color w:val="auto"/>
              </w:rPr>
              <w:t>34.9</w:t>
            </w:r>
          </w:p>
        </w:tc>
        <w:tc>
          <w:tcPr>
            <w:tcW w:w="480" w:type="dxa"/>
            <w:vAlign w:val="bottom"/>
            <w:shd w:val="clear" w:color="auto" w:fill="E6E6E6"/>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31.4</w:t>
            </w:r>
          </w:p>
        </w:tc>
      </w:tr>
      <w:tr>
        <w:trPr>
          <w:trHeight w:val="210"/>
        </w:trPr>
        <w:tc>
          <w:tcPr>
            <w:tcW w:w="5720" w:type="dxa"/>
            <w:vAlign w:val="bottom"/>
            <w:gridSpan w:val="2"/>
          </w:tcPr>
          <w:p>
            <w:pPr>
              <w:ind w:left="20"/>
              <w:spacing w:after="0"/>
              <w:rPr>
                <w:sz w:val="20"/>
                <w:szCs w:val="20"/>
                <w:color w:val="auto"/>
              </w:rPr>
            </w:pPr>
            <w:r>
              <w:rPr>
                <w:rFonts w:ascii="Arial" w:cs="Arial" w:eastAsia="Arial" w:hAnsi="Arial"/>
                <w:sz w:val="12"/>
                <w:szCs w:val="12"/>
                <w:color w:val="auto"/>
              </w:rPr>
              <w:t>State income tax provision, net of federal income tax benefit</w:t>
            </w:r>
          </w:p>
        </w:tc>
        <w:tc>
          <w:tcPr>
            <w:tcW w:w="2520" w:type="dxa"/>
            <w:vAlign w:val="bottom"/>
          </w:tcPr>
          <w:p>
            <w:pPr>
              <w:spacing w:after="0"/>
              <w:rPr>
                <w:sz w:val="18"/>
                <w:szCs w:val="18"/>
                <w:color w:val="auto"/>
              </w:rPr>
            </w:pPr>
          </w:p>
        </w:tc>
        <w:tc>
          <w:tcPr>
            <w:tcW w:w="800" w:type="dxa"/>
            <w:vAlign w:val="bottom"/>
          </w:tcPr>
          <w:p>
            <w:pPr>
              <w:jc w:val="right"/>
              <w:ind w:right="300"/>
              <w:spacing w:after="0"/>
              <w:rPr>
                <w:sz w:val="20"/>
                <w:szCs w:val="20"/>
                <w:color w:val="auto"/>
              </w:rPr>
            </w:pPr>
            <w:r>
              <w:rPr>
                <w:rFonts w:ascii="Arial" w:cs="Arial" w:eastAsia="Arial" w:hAnsi="Arial"/>
                <w:sz w:val="12"/>
                <w:szCs w:val="12"/>
                <w:color w:val="auto"/>
              </w:rPr>
              <w:t>4.4</w:t>
            </w:r>
          </w:p>
        </w:tc>
        <w:tc>
          <w:tcPr>
            <w:tcW w:w="480" w:type="dxa"/>
            <w:vAlign w:val="bottom"/>
          </w:tcPr>
          <w:p>
            <w:pPr>
              <w:spacing w:after="0"/>
              <w:rPr>
                <w:sz w:val="18"/>
                <w:szCs w:val="18"/>
                <w:color w:val="auto"/>
              </w:rPr>
            </w:pPr>
          </w:p>
        </w:tc>
        <w:tc>
          <w:tcPr>
            <w:tcW w:w="800" w:type="dxa"/>
            <w:vAlign w:val="bottom"/>
          </w:tcPr>
          <w:p>
            <w:pPr>
              <w:jc w:val="right"/>
              <w:ind w:right="300"/>
              <w:spacing w:after="0"/>
              <w:rPr>
                <w:sz w:val="20"/>
                <w:szCs w:val="20"/>
                <w:color w:val="auto"/>
              </w:rPr>
            </w:pPr>
            <w:r>
              <w:rPr>
                <w:rFonts w:ascii="Arial" w:cs="Arial" w:eastAsia="Arial" w:hAnsi="Arial"/>
                <w:sz w:val="12"/>
                <w:szCs w:val="12"/>
                <w:color w:val="auto"/>
              </w:rPr>
              <w:t>3.0</w:t>
            </w:r>
          </w:p>
        </w:tc>
        <w:tc>
          <w:tcPr>
            <w:tcW w:w="48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Arial" w:cs="Arial" w:eastAsia="Arial" w:hAnsi="Arial"/>
                <w:sz w:val="12"/>
                <w:szCs w:val="12"/>
                <w:color w:val="auto"/>
              </w:rPr>
              <w:t>3.6</w:t>
            </w:r>
          </w:p>
        </w:tc>
      </w:tr>
      <w:tr>
        <w:trPr>
          <w:trHeight w:val="210"/>
        </w:trPr>
        <w:tc>
          <w:tcPr>
            <w:tcW w:w="20" w:type="dxa"/>
            <w:vAlign w:val="bottom"/>
          </w:tcPr>
          <w:p>
            <w:pPr>
              <w:spacing w:after="0"/>
              <w:rPr>
                <w:sz w:val="18"/>
                <w:szCs w:val="18"/>
                <w:color w:val="auto"/>
              </w:rPr>
            </w:pPr>
          </w:p>
        </w:tc>
        <w:tc>
          <w:tcPr>
            <w:tcW w:w="5700" w:type="dxa"/>
            <w:vAlign w:val="bottom"/>
            <w:shd w:val="clear" w:color="auto" w:fill="E6E6E6"/>
          </w:tcPr>
          <w:p>
            <w:pPr>
              <w:spacing w:after="0"/>
              <w:rPr>
                <w:sz w:val="20"/>
                <w:szCs w:val="20"/>
                <w:color w:val="auto"/>
              </w:rPr>
            </w:pPr>
            <w:r>
              <w:rPr>
                <w:rFonts w:ascii="Arial" w:cs="Arial" w:eastAsia="Arial" w:hAnsi="Arial"/>
                <w:sz w:val="12"/>
                <w:szCs w:val="12"/>
                <w:color w:val="auto"/>
              </w:rPr>
              <w:t>Difference in effective tax rates on earnings of foreign subsidiaries</w:t>
            </w:r>
          </w:p>
        </w:tc>
        <w:tc>
          <w:tcPr>
            <w:tcW w:w="252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280"/>
              <w:spacing w:after="0" w:line="210" w:lineRule="exact"/>
              <w:rPr>
                <w:sz w:val="20"/>
                <w:szCs w:val="20"/>
                <w:color w:val="auto"/>
              </w:rPr>
            </w:pPr>
            <w:r>
              <w:rPr>
                <w:rFonts w:ascii="Arial" w:cs="Arial" w:eastAsia="Arial" w:hAnsi="Arial"/>
                <w:sz w:val="12"/>
                <w:szCs w:val="12"/>
                <w:color w:val="auto"/>
              </w:rPr>
              <w:t>(0.1</w:t>
            </w:r>
            <w:r>
              <w:rPr>
                <w:rFonts w:ascii="Arial" w:cs="Arial" w:eastAsia="Arial" w:hAnsi="Arial"/>
                <w:sz w:val="23"/>
                <w:szCs w:val="23"/>
                <w:color w:val="auto"/>
                <w:vertAlign w:val="superscript"/>
              </w:rPr>
              <w:t>)</w:t>
            </w:r>
          </w:p>
        </w:tc>
        <w:tc>
          <w:tcPr>
            <w:tcW w:w="48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260"/>
              <w:spacing w:after="0" w:line="210" w:lineRule="exact"/>
              <w:rPr>
                <w:sz w:val="20"/>
                <w:szCs w:val="20"/>
                <w:color w:val="auto"/>
              </w:rPr>
            </w:pPr>
            <w:r>
              <w:rPr>
                <w:rFonts w:ascii="Arial" w:cs="Arial" w:eastAsia="Arial" w:hAnsi="Arial"/>
                <w:sz w:val="12"/>
                <w:szCs w:val="12"/>
                <w:color w:val="auto"/>
              </w:rPr>
              <w:t>(0.4</w:t>
            </w:r>
            <w:r>
              <w:rPr>
                <w:rFonts w:ascii="Arial" w:cs="Arial" w:eastAsia="Arial" w:hAnsi="Arial"/>
                <w:sz w:val="23"/>
                <w:szCs w:val="23"/>
                <w:color w:val="auto"/>
                <w:vertAlign w:val="superscript"/>
              </w:rPr>
              <w:t>)</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120"/>
              <w:spacing w:after="0" w:line="210" w:lineRule="exact"/>
              <w:rPr>
                <w:sz w:val="20"/>
                <w:szCs w:val="20"/>
                <w:color w:val="auto"/>
              </w:rPr>
            </w:pPr>
            <w:r>
              <w:rPr>
                <w:rFonts w:ascii="Arial" w:cs="Arial" w:eastAsia="Arial" w:hAnsi="Arial"/>
                <w:sz w:val="12"/>
                <w:szCs w:val="12"/>
                <w:color w:val="auto"/>
              </w:rPr>
              <w:t>(3.0</w:t>
            </w:r>
            <w:r>
              <w:rPr>
                <w:rFonts w:ascii="Arial" w:cs="Arial" w:eastAsia="Arial" w:hAnsi="Arial"/>
                <w:sz w:val="23"/>
                <w:szCs w:val="23"/>
                <w:color w:val="auto"/>
                <w:vertAlign w:val="superscript"/>
              </w:rPr>
              <w:t>)</w:t>
            </w:r>
          </w:p>
        </w:tc>
      </w:tr>
      <w:tr>
        <w:trPr>
          <w:trHeight w:val="210"/>
        </w:trPr>
        <w:tc>
          <w:tcPr>
            <w:tcW w:w="5720" w:type="dxa"/>
            <w:vAlign w:val="bottom"/>
            <w:gridSpan w:val="2"/>
          </w:tcPr>
          <w:p>
            <w:pPr>
              <w:ind w:left="20"/>
              <w:spacing w:after="0"/>
              <w:rPr>
                <w:sz w:val="20"/>
                <w:szCs w:val="20"/>
                <w:color w:val="auto"/>
              </w:rPr>
            </w:pPr>
            <w:r>
              <w:rPr>
                <w:rFonts w:ascii="Arial" w:cs="Arial" w:eastAsia="Arial" w:hAnsi="Arial"/>
                <w:sz w:val="12"/>
                <w:szCs w:val="12"/>
                <w:color w:val="auto"/>
              </w:rPr>
              <w:t>Extraterritorial income</w:t>
            </w:r>
          </w:p>
        </w:tc>
        <w:tc>
          <w:tcPr>
            <w:tcW w:w="2520" w:type="dxa"/>
            <w:vAlign w:val="bottom"/>
          </w:tcPr>
          <w:p>
            <w:pPr>
              <w:spacing w:after="0"/>
              <w:rPr>
                <w:sz w:val="18"/>
                <w:szCs w:val="18"/>
                <w:color w:val="auto"/>
              </w:rPr>
            </w:pPr>
          </w:p>
        </w:tc>
        <w:tc>
          <w:tcPr>
            <w:tcW w:w="800" w:type="dxa"/>
            <w:vAlign w:val="bottom"/>
          </w:tcPr>
          <w:p>
            <w:pPr>
              <w:jc w:val="right"/>
              <w:ind w:right="280"/>
              <w:spacing w:after="0" w:line="210" w:lineRule="exact"/>
              <w:rPr>
                <w:sz w:val="20"/>
                <w:szCs w:val="20"/>
                <w:color w:val="auto"/>
              </w:rPr>
            </w:pPr>
            <w:r>
              <w:rPr>
                <w:rFonts w:ascii="Arial" w:cs="Arial" w:eastAsia="Arial" w:hAnsi="Arial"/>
                <w:sz w:val="12"/>
                <w:szCs w:val="12"/>
                <w:color w:val="auto"/>
              </w:rPr>
              <w:t>(1.4</w:t>
            </w:r>
            <w:r>
              <w:rPr>
                <w:rFonts w:ascii="Arial" w:cs="Arial" w:eastAsia="Arial" w:hAnsi="Arial"/>
                <w:sz w:val="23"/>
                <w:szCs w:val="23"/>
                <w:color w:val="auto"/>
                <w:vertAlign w:val="superscript"/>
              </w:rPr>
              <w:t>)</w:t>
            </w:r>
          </w:p>
        </w:tc>
        <w:tc>
          <w:tcPr>
            <w:tcW w:w="480" w:type="dxa"/>
            <w:vAlign w:val="bottom"/>
          </w:tcPr>
          <w:p>
            <w:pPr>
              <w:spacing w:after="0"/>
              <w:rPr>
                <w:sz w:val="18"/>
                <w:szCs w:val="18"/>
                <w:color w:val="auto"/>
              </w:rPr>
            </w:pPr>
          </w:p>
        </w:tc>
        <w:tc>
          <w:tcPr>
            <w:tcW w:w="800" w:type="dxa"/>
            <w:vAlign w:val="bottom"/>
          </w:tcPr>
          <w:p>
            <w:pPr>
              <w:jc w:val="right"/>
              <w:ind w:right="260"/>
              <w:spacing w:after="0" w:line="210" w:lineRule="exact"/>
              <w:rPr>
                <w:sz w:val="20"/>
                <w:szCs w:val="20"/>
                <w:color w:val="auto"/>
              </w:rPr>
            </w:pPr>
            <w:r>
              <w:rPr>
                <w:rFonts w:ascii="Arial" w:cs="Arial" w:eastAsia="Arial" w:hAnsi="Arial"/>
                <w:sz w:val="12"/>
                <w:szCs w:val="12"/>
                <w:color w:val="auto"/>
              </w:rPr>
              <w:t>(0.9</w:t>
            </w:r>
            <w:r>
              <w:rPr>
                <w:rFonts w:ascii="Arial" w:cs="Arial" w:eastAsia="Arial" w:hAnsi="Arial"/>
                <w:sz w:val="23"/>
                <w:szCs w:val="23"/>
                <w:color w:val="auto"/>
                <w:vertAlign w:val="superscript"/>
              </w:rPr>
              <w:t>)</w:t>
            </w:r>
          </w:p>
        </w:tc>
        <w:tc>
          <w:tcPr>
            <w:tcW w:w="480" w:type="dxa"/>
            <w:vAlign w:val="bottom"/>
          </w:tcPr>
          <w:p>
            <w:pPr>
              <w:spacing w:after="0"/>
              <w:rPr>
                <w:sz w:val="18"/>
                <w:szCs w:val="18"/>
                <w:color w:val="auto"/>
              </w:rPr>
            </w:pPr>
          </w:p>
        </w:tc>
        <w:tc>
          <w:tcPr>
            <w:tcW w:w="660" w:type="dxa"/>
            <w:vAlign w:val="bottom"/>
          </w:tcPr>
          <w:p>
            <w:pPr>
              <w:jc w:val="right"/>
              <w:ind w:right="120"/>
              <w:spacing w:after="0" w:line="210" w:lineRule="exact"/>
              <w:rPr>
                <w:sz w:val="20"/>
                <w:szCs w:val="20"/>
                <w:color w:val="auto"/>
              </w:rPr>
            </w:pPr>
            <w:r>
              <w:rPr>
                <w:rFonts w:ascii="Arial" w:cs="Arial" w:eastAsia="Arial" w:hAnsi="Arial"/>
                <w:sz w:val="12"/>
                <w:szCs w:val="12"/>
                <w:color w:val="auto"/>
              </w:rPr>
              <w:t>(0.8</w:t>
            </w:r>
            <w:r>
              <w:rPr>
                <w:rFonts w:ascii="Arial" w:cs="Arial" w:eastAsia="Arial" w:hAnsi="Arial"/>
                <w:sz w:val="23"/>
                <w:szCs w:val="23"/>
                <w:color w:val="auto"/>
                <w:vertAlign w:val="superscript"/>
              </w:rPr>
              <w:t>)</w:t>
            </w:r>
          </w:p>
        </w:tc>
      </w:tr>
      <w:tr>
        <w:trPr>
          <w:trHeight w:val="210"/>
        </w:trPr>
        <w:tc>
          <w:tcPr>
            <w:tcW w:w="20" w:type="dxa"/>
            <w:vAlign w:val="bottom"/>
          </w:tcPr>
          <w:p>
            <w:pPr>
              <w:spacing w:after="0"/>
              <w:rPr>
                <w:sz w:val="18"/>
                <w:szCs w:val="18"/>
                <w:color w:val="auto"/>
              </w:rPr>
            </w:pPr>
          </w:p>
        </w:tc>
        <w:tc>
          <w:tcPr>
            <w:tcW w:w="5700" w:type="dxa"/>
            <w:vAlign w:val="bottom"/>
            <w:shd w:val="clear" w:color="auto" w:fill="E6E6E6"/>
          </w:tcPr>
          <w:p>
            <w:pPr>
              <w:spacing w:after="0"/>
              <w:rPr>
                <w:sz w:val="20"/>
                <w:szCs w:val="20"/>
                <w:color w:val="auto"/>
              </w:rPr>
            </w:pPr>
            <w:r>
              <w:rPr>
                <w:rFonts w:ascii="Arial" w:cs="Arial" w:eastAsia="Arial" w:hAnsi="Arial"/>
                <w:sz w:val="12"/>
                <w:szCs w:val="12"/>
                <w:color w:val="auto"/>
              </w:rPr>
              <w:t>Charitable contributions</w:t>
            </w:r>
          </w:p>
        </w:tc>
        <w:tc>
          <w:tcPr>
            <w:tcW w:w="252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280"/>
              <w:spacing w:after="0" w:line="210" w:lineRule="exact"/>
              <w:rPr>
                <w:sz w:val="20"/>
                <w:szCs w:val="20"/>
                <w:color w:val="auto"/>
              </w:rPr>
            </w:pPr>
            <w:r>
              <w:rPr>
                <w:rFonts w:ascii="Arial" w:cs="Arial" w:eastAsia="Arial" w:hAnsi="Arial"/>
                <w:sz w:val="12"/>
                <w:szCs w:val="12"/>
                <w:color w:val="auto"/>
              </w:rPr>
              <w:t>(0.6</w:t>
            </w:r>
            <w:r>
              <w:rPr>
                <w:rFonts w:ascii="Arial" w:cs="Arial" w:eastAsia="Arial" w:hAnsi="Arial"/>
                <w:sz w:val="23"/>
                <w:szCs w:val="23"/>
                <w:color w:val="auto"/>
                <w:vertAlign w:val="superscript"/>
              </w:rPr>
              <w:t>)</w:t>
            </w:r>
          </w:p>
        </w:tc>
        <w:tc>
          <w:tcPr>
            <w:tcW w:w="48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260"/>
              <w:spacing w:after="0" w:line="210" w:lineRule="exact"/>
              <w:rPr>
                <w:sz w:val="20"/>
                <w:szCs w:val="20"/>
                <w:color w:val="auto"/>
              </w:rPr>
            </w:pPr>
            <w:r>
              <w:rPr>
                <w:rFonts w:ascii="Arial" w:cs="Arial" w:eastAsia="Arial" w:hAnsi="Arial"/>
                <w:sz w:val="12"/>
                <w:szCs w:val="12"/>
                <w:color w:val="auto"/>
              </w:rPr>
              <w:t>(1.4</w:t>
            </w:r>
            <w:r>
              <w:rPr>
                <w:rFonts w:ascii="Arial" w:cs="Arial" w:eastAsia="Arial" w:hAnsi="Arial"/>
                <w:sz w:val="23"/>
                <w:szCs w:val="23"/>
                <w:color w:val="auto"/>
                <w:vertAlign w:val="superscript"/>
              </w:rPr>
              <w:t>)</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0.0</w:t>
            </w:r>
          </w:p>
        </w:tc>
      </w:tr>
      <w:tr>
        <w:trPr>
          <w:trHeight w:val="303"/>
        </w:trPr>
        <w:tc>
          <w:tcPr>
            <w:tcW w:w="5720" w:type="dxa"/>
            <w:vAlign w:val="bottom"/>
            <w:gridSpan w:val="2"/>
          </w:tcPr>
          <w:p>
            <w:pPr>
              <w:ind w:left="20"/>
              <w:spacing w:after="0"/>
              <w:rPr>
                <w:sz w:val="20"/>
                <w:szCs w:val="20"/>
                <w:color w:val="auto"/>
              </w:rPr>
            </w:pPr>
            <w:r>
              <w:rPr>
                <w:rFonts w:ascii="Arial" w:cs="Arial" w:eastAsia="Arial" w:hAnsi="Arial"/>
                <w:sz w:val="12"/>
                <w:szCs w:val="12"/>
                <w:color w:val="auto"/>
              </w:rPr>
              <w:t>Other – net</w:t>
            </w:r>
          </w:p>
        </w:tc>
        <w:tc>
          <w:tcPr>
            <w:tcW w:w="2520" w:type="dxa"/>
            <w:vAlign w:val="bottom"/>
          </w:tcPr>
          <w:p>
            <w:pPr>
              <w:spacing w:after="0"/>
              <w:rPr>
                <w:sz w:val="24"/>
                <w:szCs w:val="24"/>
                <w:color w:val="auto"/>
              </w:rPr>
            </w:pPr>
          </w:p>
        </w:tc>
        <w:tc>
          <w:tcPr>
            <w:tcW w:w="800" w:type="dxa"/>
            <w:vAlign w:val="bottom"/>
          </w:tcPr>
          <w:p>
            <w:pPr>
              <w:jc w:val="right"/>
              <w:ind w:right="280"/>
              <w:spacing w:after="0"/>
              <w:rPr>
                <w:sz w:val="20"/>
                <w:szCs w:val="20"/>
                <w:color w:val="auto"/>
              </w:rPr>
            </w:pPr>
            <w:r>
              <w:rPr>
                <w:rFonts w:ascii="Arial" w:cs="Arial" w:eastAsia="Arial" w:hAnsi="Arial"/>
                <w:sz w:val="12"/>
                <w:szCs w:val="12"/>
                <w:color w:val="auto"/>
              </w:rPr>
              <w:t>(1.0</w:t>
            </w:r>
            <w:r>
              <w:rPr>
                <w:rFonts w:ascii="Arial" w:cs="Arial" w:eastAsia="Arial" w:hAnsi="Arial"/>
                <w:sz w:val="23"/>
                <w:szCs w:val="23"/>
                <w:color w:val="auto"/>
                <w:vertAlign w:val="superscript"/>
              </w:rPr>
              <w:t>)</w:t>
            </w:r>
          </w:p>
        </w:tc>
        <w:tc>
          <w:tcPr>
            <w:tcW w:w="480" w:type="dxa"/>
            <w:vAlign w:val="bottom"/>
          </w:tcPr>
          <w:p>
            <w:pPr>
              <w:spacing w:after="0"/>
              <w:rPr>
                <w:sz w:val="24"/>
                <w:szCs w:val="24"/>
                <w:color w:val="auto"/>
              </w:rPr>
            </w:pPr>
          </w:p>
        </w:tc>
        <w:tc>
          <w:tcPr>
            <w:tcW w:w="800" w:type="dxa"/>
            <w:vAlign w:val="bottom"/>
          </w:tcPr>
          <w:p>
            <w:pPr>
              <w:jc w:val="right"/>
              <w:ind w:right="300"/>
              <w:spacing w:after="0"/>
              <w:rPr>
                <w:sz w:val="20"/>
                <w:szCs w:val="20"/>
                <w:color w:val="auto"/>
              </w:rPr>
            </w:pPr>
            <w:r>
              <w:rPr>
                <w:rFonts w:ascii="Arial" w:cs="Arial" w:eastAsia="Arial" w:hAnsi="Arial"/>
                <w:sz w:val="12"/>
                <w:szCs w:val="12"/>
                <w:color w:val="auto"/>
              </w:rPr>
              <w:t>0.2</w:t>
            </w:r>
          </w:p>
        </w:tc>
        <w:tc>
          <w:tcPr>
            <w:tcW w:w="480" w:type="dxa"/>
            <w:vAlign w:val="bottom"/>
          </w:tcPr>
          <w:p>
            <w:pPr>
              <w:spacing w:after="0"/>
              <w:rPr>
                <w:sz w:val="24"/>
                <w:szCs w:val="24"/>
                <w:color w:val="auto"/>
              </w:rPr>
            </w:pPr>
          </w:p>
        </w:tc>
        <w:tc>
          <w:tcPr>
            <w:tcW w:w="660" w:type="dxa"/>
            <w:vAlign w:val="bottom"/>
          </w:tcPr>
          <w:p>
            <w:pPr>
              <w:jc w:val="right"/>
              <w:ind w:right="160"/>
              <w:spacing w:after="0"/>
              <w:rPr>
                <w:sz w:val="20"/>
                <w:szCs w:val="20"/>
                <w:color w:val="auto"/>
              </w:rPr>
            </w:pPr>
            <w:r>
              <w:rPr>
                <w:rFonts w:ascii="Arial" w:cs="Arial" w:eastAsia="Arial" w:hAnsi="Arial"/>
                <w:sz w:val="12"/>
                <w:szCs w:val="12"/>
                <w:color w:val="auto"/>
              </w:rPr>
              <w:t>0.6</w:t>
            </w:r>
          </w:p>
        </w:tc>
      </w:tr>
      <w:tr>
        <w:trPr>
          <w:trHeight w:val="85"/>
        </w:trPr>
        <w:tc>
          <w:tcPr>
            <w:tcW w:w="20" w:type="dxa"/>
            <w:vAlign w:val="bottom"/>
          </w:tcPr>
          <w:p>
            <w:pPr>
              <w:spacing w:after="0"/>
              <w:rPr>
                <w:sz w:val="7"/>
                <w:szCs w:val="7"/>
                <w:color w:val="auto"/>
              </w:rPr>
            </w:pPr>
          </w:p>
        </w:tc>
        <w:tc>
          <w:tcPr>
            <w:tcW w:w="5700" w:type="dxa"/>
            <w:vAlign w:val="bottom"/>
            <w:tcBorders>
              <w:top w:val="single" w:sz="8" w:color="808080"/>
            </w:tcBorders>
          </w:tcPr>
          <w:p>
            <w:pPr>
              <w:spacing w:after="0"/>
              <w:rPr>
                <w:sz w:val="7"/>
                <w:szCs w:val="7"/>
                <w:color w:val="auto"/>
              </w:rPr>
            </w:pPr>
          </w:p>
        </w:tc>
        <w:tc>
          <w:tcPr>
            <w:tcW w:w="2520" w:type="dxa"/>
            <w:vAlign w:val="bottom"/>
            <w:tcBorders>
              <w:top w:val="single" w:sz="8" w:color="808080"/>
            </w:tcBorders>
          </w:tcPr>
          <w:p>
            <w:pPr>
              <w:spacing w:after="0"/>
              <w:rPr>
                <w:sz w:val="7"/>
                <w:szCs w:val="7"/>
                <w:color w:val="auto"/>
              </w:rPr>
            </w:pPr>
          </w:p>
        </w:tc>
        <w:tc>
          <w:tcPr>
            <w:tcW w:w="800" w:type="dxa"/>
            <w:vAlign w:val="bottom"/>
            <w:tcBorders>
              <w:top w:val="single" w:sz="8" w:color="808080"/>
            </w:tcBorders>
          </w:tcPr>
          <w:p>
            <w:pPr>
              <w:spacing w:after="0"/>
              <w:rPr>
                <w:sz w:val="7"/>
                <w:szCs w:val="7"/>
                <w:color w:val="auto"/>
              </w:rPr>
            </w:pPr>
          </w:p>
        </w:tc>
        <w:tc>
          <w:tcPr>
            <w:tcW w:w="480" w:type="dxa"/>
            <w:vAlign w:val="bottom"/>
            <w:tcBorders>
              <w:top w:val="single" w:sz="8" w:color="808080"/>
            </w:tcBorders>
          </w:tcPr>
          <w:p>
            <w:pPr>
              <w:spacing w:after="0"/>
              <w:rPr>
                <w:sz w:val="7"/>
                <w:szCs w:val="7"/>
                <w:color w:val="auto"/>
              </w:rPr>
            </w:pPr>
          </w:p>
        </w:tc>
        <w:tc>
          <w:tcPr>
            <w:tcW w:w="800" w:type="dxa"/>
            <w:vAlign w:val="bottom"/>
            <w:tcBorders>
              <w:top w:val="single" w:sz="8" w:color="808080"/>
            </w:tcBorders>
          </w:tcPr>
          <w:p>
            <w:pPr>
              <w:spacing w:after="0"/>
              <w:rPr>
                <w:sz w:val="7"/>
                <w:szCs w:val="7"/>
                <w:color w:val="auto"/>
              </w:rPr>
            </w:pPr>
          </w:p>
        </w:tc>
        <w:tc>
          <w:tcPr>
            <w:tcW w:w="480" w:type="dxa"/>
            <w:vAlign w:val="bottom"/>
            <w:tcBorders>
              <w:top w:val="single" w:sz="8" w:color="808080"/>
            </w:tcBorders>
          </w:tcPr>
          <w:p>
            <w:pPr>
              <w:spacing w:after="0"/>
              <w:rPr>
                <w:sz w:val="7"/>
                <w:szCs w:val="7"/>
                <w:color w:val="auto"/>
              </w:rPr>
            </w:pPr>
          </w:p>
        </w:tc>
        <w:tc>
          <w:tcPr>
            <w:tcW w:w="660" w:type="dxa"/>
            <w:vAlign w:val="bottom"/>
            <w:tcBorders>
              <w:top w:val="single" w:sz="8" w:color="808080"/>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E6E6E6"/>
          </w:tcPr>
          <w:p>
            <w:pPr>
              <w:spacing w:after="0"/>
              <w:rPr>
                <w:sz w:val="20"/>
                <w:szCs w:val="20"/>
                <w:color w:val="auto"/>
              </w:rPr>
            </w:pPr>
            <w:r>
              <w:rPr>
                <w:rFonts w:ascii="Arial" w:cs="Arial" w:eastAsia="Arial" w:hAnsi="Arial"/>
                <w:sz w:val="12"/>
                <w:szCs w:val="12"/>
                <w:b w:val="1"/>
                <w:bCs w:val="1"/>
                <w:color w:val="auto"/>
              </w:rPr>
              <w:t>Total provision for income taxes</w:t>
            </w:r>
          </w:p>
        </w:tc>
        <w:tc>
          <w:tcPr>
            <w:tcW w:w="2520" w:type="dxa"/>
            <w:vAlign w:val="bottom"/>
            <w:shd w:val="clear" w:color="auto" w:fill="E6E6E6"/>
          </w:tcPr>
          <w:p>
            <w:pPr>
              <w:jc w:val="right"/>
              <w:ind w:right="82"/>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6E6E6"/>
          </w:tcPr>
          <w:p>
            <w:pPr>
              <w:jc w:val="right"/>
              <w:ind w:right="300"/>
              <w:spacing w:after="0"/>
              <w:rPr>
                <w:sz w:val="20"/>
                <w:szCs w:val="20"/>
                <w:color w:val="auto"/>
              </w:rPr>
            </w:pPr>
            <w:r>
              <w:rPr>
                <w:rFonts w:ascii="Arial" w:cs="Arial" w:eastAsia="Arial" w:hAnsi="Arial"/>
                <w:sz w:val="12"/>
                <w:szCs w:val="12"/>
                <w:b w:val="1"/>
                <w:bCs w:val="1"/>
                <w:color w:val="auto"/>
              </w:rPr>
              <w:t>39.0</w:t>
            </w:r>
          </w:p>
        </w:tc>
        <w:tc>
          <w:tcPr>
            <w:tcW w:w="480" w:type="dxa"/>
            <w:vAlign w:val="bottom"/>
            <w:shd w:val="clear" w:color="auto" w:fill="E6E6E6"/>
          </w:tcPr>
          <w:p>
            <w:pPr>
              <w:jc w:val="right"/>
              <w:ind w:right="82"/>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6E6E6"/>
          </w:tcPr>
          <w:p>
            <w:pPr>
              <w:jc w:val="right"/>
              <w:ind w:right="300"/>
              <w:spacing w:after="0"/>
              <w:rPr>
                <w:sz w:val="20"/>
                <w:szCs w:val="20"/>
                <w:color w:val="auto"/>
              </w:rPr>
            </w:pPr>
            <w:r>
              <w:rPr>
                <w:rFonts w:ascii="Arial" w:cs="Arial" w:eastAsia="Arial" w:hAnsi="Arial"/>
                <w:sz w:val="12"/>
                <w:szCs w:val="12"/>
                <w:b w:val="1"/>
                <w:bCs w:val="1"/>
                <w:color w:val="auto"/>
              </w:rPr>
              <w:t>35.4</w:t>
            </w:r>
          </w:p>
        </w:tc>
        <w:tc>
          <w:tcPr>
            <w:tcW w:w="480" w:type="dxa"/>
            <w:vAlign w:val="bottom"/>
            <w:shd w:val="clear" w:color="auto" w:fill="E6E6E6"/>
          </w:tcPr>
          <w:p>
            <w:pPr>
              <w:jc w:val="right"/>
              <w:ind w:right="82"/>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E6E6E6"/>
          </w:tcPr>
          <w:p>
            <w:pPr>
              <w:jc w:val="right"/>
              <w:ind w:right="160"/>
              <w:spacing w:after="0"/>
              <w:rPr>
                <w:sz w:val="20"/>
                <w:szCs w:val="20"/>
                <w:color w:val="auto"/>
              </w:rPr>
            </w:pPr>
            <w:r>
              <w:rPr>
                <w:rFonts w:ascii="Arial" w:cs="Arial" w:eastAsia="Arial" w:hAnsi="Arial"/>
                <w:sz w:val="12"/>
                <w:szCs w:val="12"/>
                <w:b w:val="1"/>
                <w:bCs w:val="1"/>
                <w:color w:val="auto"/>
              </w:rPr>
              <w:t>31.8</w:t>
            </w:r>
          </w:p>
        </w:tc>
      </w:tr>
      <w:tr>
        <w:trPr>
          <w:trHeight w:val="112"/>
        </w:trPr>
        <w:tc>
          <w:tcPr>
            <w:tcW w:w="5720" w:type="dxa"/>
            <w:vAlign w:val="bottom"/>
            <w:tcBorders>
              <w:bottom w:val="single" w:sz="8" w:color="808080"/>
            </w:tcBorders>
            <w:gridSpan w:val="2"/>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411"/>
        </w:trPr>
        <w:tc>
          <w:tcPr>
            <w:tcW w:w="5720" w:type="dxa"/>
            <w:vAlign w:val="bottom"/>
            <w:tcBorders>
              <w:bottom w:val="single" w:sz="8" w:color="808080"/>
            </w:tcBorders>
            <w:gridSpan w:val="2"/>
          </w:tcPr>
          <w:p>
            <w:pPr>
              <w:ind w:left="20"/>
              <w:spacing w:after="0"/>
              <w:rPr>
                <w:sz w:val="20"/>
                <w:szCs w:val="20"/>
                <w:color w:val="auto"/>
              </w:rPr>
            </w:pPr>
            <w:r>
              <w:rPr>
                <w:rFonts w:ascii="Arial" w:cs="Arial" w:eastAsia="Arial" w:hAnsi="Arial"/>
                <w:sz w:val="12"/>
                <w:szCs w:val="12"/>
                <w:b w:val="1"/>
                <w:bCs w:val="1"/>
                <w:color w:val="auto"/>
              </w:rPr>
              <w:t>Effective tax rates</w:t>
            </w:r>
          </w:p>
        </w:tc>
        <w:tc>
          <w:tcPr>
            <w:tcW w:w="25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00"/>
              <w:spacing w:after="0"/>
              <w:rPr>
                <w:sz w:val="20"/>
                <w:szCs w:val="20"/>
                <w:color w:val="auto"/>
              </w:rPr>
            </w:pPr>
            <w:r>
              <w:rPr>
                <w:rFonts w:ascii="Arial" w:cs="Arial" w:eastAsia="Arial" w:hAnsi="Arial"/>
                <w:sz w:val="12"/>
                <w:szCs w:val="12"/>
                <w:b w:val="1"/>
                <w:bCs w:val="1"/>
                <w:color w:val="auto"/>
              </w:rPr>
              <w:t>36.25</w:t>
            </w:r>
            <w:r>
              <w:rPr>
                <w:rFonts w:ascii="Arial" w:cs="Arial" w:eastAsia="Arial" w:hAnsi="Arial"/>
                <w:sz w:val="23"/>
                <w:szCs w:val="23"/>
                <w:b w:val="1"/>
                <w:bCs w:val="1"/>
                <w:color w:val="auto"/>
                <w:vertAlign w:val="superscript"/>
              </w:rPr>
              <w:t>%</w:t>
            </w:r>
          </w:p>
        </w:tc>
        <w:tc>
          <w:tcPr>
            <w:tcW w:w="4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00"/>
              <w:spacing w:after="0"/>
              <w:rPr>
                <w:sz w:val="20"/>
                <w:szCs w:val="20"/>
                <w:color w:val="auto"/>
              </w:rPr>
            </w:pPr>
            <w:r>
              <w:rPr>
                <w:rFonts w:ascii="Arial" w:cs="Arial" w:eastAsia="Arial" w:hAnsi="Arial"/>
                <w:sz w:val="12"/>
                <w:szCs w:val="12"/>
                <w:b w:val="1"/>
                <w:bCs w:val="1"/>
                <w:color w:val="auto"/>
              </w:rPr>
              <w:t>35.5</w:t>
            </w:r>
            <w:r>
              <w:rPr>
                <w:rFonts w:ascii="Arial" w:cs="Arial" w:eastAsia="Arial" w:hAnsi="Arial"/>
                <w:sz w:val="23"/>
                <w:szCs w:val="23"/>
                <w:b w:val="1"/>
                <w:bCs w:val="1"/>
                <w:color w:val="auto"/>
                <w:vertAlign w:val="superscript"/>
              </w:rPr>
              <w:t>%</w:t>
            </w:r>
          </w:p>
        </w:tc>
        <w:tc>
          <w:tcPr>
            <w:tcW w:w="4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ind w:right="60"/>
              <w:spacing w:after="0"/>
              <w:rPr>
                <w:sz w:val="20"/>
                <w:szCs w:val="20"/>
                <w:color w:val="auto"/>
              </w:rPr>
            </w:pPr>
            <w:r>
              <w:rPr>
                <w:rFonts w:ascii="Arial" w:cs="Arial" w:eastAsia="Arial" w:hAnsi="Arial"/>
                <w:sz w:val="12"/>
                <w:szCs w:val="12"/>
                <w:b w:val="1"/>
                <w:bCs w:val="1"/>
                <w:color w:val="auto"/>
              </w:rPr>
              <w:t>35.5</w:t>
            </w:r>
            <w:r>
              <w:rPr>
                <w:rFonts w:ascii="Arial" w:cs="Arial" w:eastAsia="Arial" w:hAnsi="Arial"/>
                <w:sz w:val="23"/>
                <w:szCs w:val="23"/>
                <w:b w:val="1"/>
                <w:bCs w:val="1"/>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-300355</wp:posOffset>
            </wp:positionV>
            <wp:extent cx="12700" cy="27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-300355</wp:posOffset>
            </wp:positionV>
            <wp:extent cx="12700" cy="27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undistributed earnings of foreign subsidiaries at May 31, 2006 were $21.2. Any remittance of foreign earnings would not result in any significant additional tax.</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sets forth the tax effects of items that give rise to deferred tax assets and liabilities at May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191135</wp:posOffset>
            </wp:positionV>
            <wp:extent cx="726567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2006</w:t>
            </w:r>
          </w:p>
        </w:tc>
        <w:tc>
          <w:tcPr>
            <w:tcW w:w="500" w:type="dxa"/>
            <w:vAlign w:val="bottom"/>
          </w:tcPr>
          <w:p>
            <w:pPr>
              <w:spacing w:after="0"/>
              <w:rPr>
                <w:sz w:val="16"/>
                <w:szCs w:val="16"/>
                <w:color w:val="auto"/>
              </w:rPr>
            </w:pPr>
          </w:p>
        </w:tc>
        <w:tc>
          <w:tcPr>
            <w:tcW w:w="680" w:type="dxa"/>
            <w:vAlign w:val="bottom"/>
          </w:tcPr>
          <w:p>
            <w:pPr>
              <w:jc w:val="right"/>
              <w:ind w:right="160"/>
              <w:spacing w:after="0"/>
              <w:rPr>
                <w:sz w:val="20"/>
                <w:szCs w:val="20"/>
                <w:color w:val="auto"/>
              </w:rPr>
            </w:pPr>
            <w:r>
              <w:rPr>
                <w:rFonts w:ascii="Arial" w:cs="Arial" w:eastAsia="Arial" w:hAnsi="Arial"/>
                <w:sz w:val="15"/>
                <w:szCs w:val="15"/>
                <w:b w:val="1"/>
                <w:bCs w:val="1"/>
                <w:color w:val="auto"/>
              </w:rPr>
              <w:t>2005</w:t>
            </w:r>
          </w:p>
        </w:tc>
      </w:tr>
      <w:tr>
        <w:trPr>
          <w:trHeight w:val="96"/>
        </w:trPr>
        <w:tc>
          <w:tcPr>
            <w:tcW w:w="616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85"/>
        </w:trPr>
        <w:tc>
          <w:tcPr>
            <w:tcW w:w="61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210"/>
        </w:trPr>
        <w:tc>
          <w:tcPr>
            <w:tcW w:w="6160" w:type="dxa"/>
            <w:vAlign w:val="bottom"/>
            <w:shd w:val="clear" w:color="auto" w:fill="E6E6E6"/>
          </w:tcPr>
          <w:p>
            <w:pPr>
              <w:spacing w:after="0"/>
              <w:rPr>
                <w:sz w:val="20"/>
                <w:szCs w:val="20"/>
                <w:color w:val="auto"/>
              </w:rPr>
            </w:pPr>
            <w:r>
              <w:rPr>
                <w:rFonts w:ascii="Arial" w:cs="Arial" w:eastAsia="Arial" w:hAnsi="Arial"/>
                <w:sz w:val="12"/>
                <w:szCs w:val="12"/>
                <w:color w:val="auto"/>
              </w:rPr>
              <w:t>Net deferred tax assets:</w:t>
            </w:r>
          </w:p>
        </w:tc>
        <w:tc>
          <w:tcPr>
            <w:tcW w:w="334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r>
      <w:tr>
        <w:trPr>
          <w:trHeight w:val="210"/>
        </w:trPr>
        <w:tc>
          <w:tcPr>
            <w:tcW w:w="6160" w:type="dxa"/>
            <w:vAlign w:val="bottom"/>
          </w:tcPr>
          <w:p>
            <w:pPr>
              <w:ind w:left="40"/>
              <w:spacing w:after="0"/>
              <w:rPr>
                <w:sz w:val="20"/>
                <w:szCs w:val="20"/>
                <w:color w:val="auto"/>
              </w:rPr>
            </w:pPr>
            <w:r>
              <w:rPr>
                <w:rFonts w:ascii="Arial" w:cs="Arial" w:eastAsia="Arial" w:hAnsi="Arial"/>
                <w:sz w:val="12"/>
                <w:szCs w:val="12"/>
                <w:color w:val="auto"/>
              </w:rPr>
              <w:t>Tax uniform capitalization</w:t>
            </w:r>
          </w:p>
        </w:tc>
        <w:tc>
          <w:tcPr>
            <w:tcW w:w="334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21.7</w:t>
            </w:r>
          </w:p>
        </w:tc>
        <w:tc>
          <w:tcPr>
            <w:tcW w:w="5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60"/>
              <w:spacing w:after="0"/>
              <w:rPr>
                <w:sz w:val="20"/>
                <w:szCs w:val="20"/>
                <w:color w:val="auto"/>
              </w:rPr>
            </w:pPr>
            <w:r>
              <w:rPr>
                <w:rFonts w:ascii="Arial" w:cs="Arial" w:eastAsia="Arial" w:hAnsi="Arial"/>
                <w:sz w:val="12"/>
                <w:szCs w:val="12"/>
                <w:color w:val="auto"/>
              </w:rPr>
              <w:t>23.7</w:t>
            </w:r>
          </w:p>
        </w:tc>
      </w:tr>
      <w:tr>
        <w:trPr>
          <w:trHeight w:val="210"/>
        </w:trPr>
        <w:tc>
          <w:tcPr>
            <w:tcW w:w="6160" w:type="dxa"/>
            <w:vAlign w:val="bottom"/>
            <w:shd w:val="clear" w:color="auto" w:fill="E6E6E6"/>
          </w:tcPr>
          <w:p>
            <w:pPr>
              <w:ind w:left="40"/>
              <w:spacing w:after="0"/>
              <w:rPr>
                <w:sz w:val="20"/>
                <w:szCs w:val="20"/>
                <w:color w:val="auto"/>
              </w:rPr>
            </w:pPr>
            <w:r>
              <w:rPr>
                <w:rFonts w:ascii="Arial" w:cs="Arial" w:eastAsia="Arial" w:hAnsi="Arial"/>
                <w:sz w:val="12"/>
                <w:szCs w:val="12"/>
                <w:color w:val="auto"/>
              </w:rPr>
              <w:t>Inventory reserves</w:t>
            </w:r>
          </w:p>
        </w:tc>
        <w:tc>
          <w:tcPr>
            <w:tcW w:w="334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40"/>
              <w:spacing w:after="0"/>
              <w:rPr>
                <w:sz w:val="20"/>
                <w:szCs w:val="20"/>
                <w:color w:val="auto"/>
              </w:rPr>
            </w:pPr>
            <w:r>
              <w:rPr>
                <w:rFonts w:ascii="Arial" w:cs="Arial" w:eastAsia="Arial" w:hAnsi="Arial"/>
                <w:sz w:val="12"/>
                <w:szCs w:val="12"/>
                <w:color w:val="auto"/>
              </w:rPr>
              <w:t>19.1</w:t>
            </w:r>
          </w:p>
        </w:tc>
        <w:tc>
          <w:tcPr>
            <w:tcW w:w="5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18.4</w:t>
            </w:r>
          </w:p>
        </w:tc>
      </w:tr>
      <w:tr>
        <w:trPr>
          <w:trHeight w:val="210"/>
        </w:trPr>
        <w:tc>
          <w:tcPr>
            <w:tcW w:w="6160" w:type="dxa"/>
            <w:vAlign w:val="bottom"/>
          </w:tcPr>
          <w:p>
            <w:pPr>
              <w:ind w:left="40"/>
              <w:spacing w:after="0"/>
              <w:rPr>
                <w:sz w:val="20"/>
                <w:szCs w:val="20"/>
                <w:color w:val="auto"/>
              </w:rPr>
            </w:pPr>
            <w:r>
              <w:rPr>
                <w:rFonts w:ascii="Arial" w:cs="Arial" w:eastAsia="Arial" w:hAnsi="Arial"/>
                <w:sz w:val="12"/>
                <w:szCs w:val="12"/>
                <w:color w:val="auto"/>
              </w:rPr>
              <w:t>Allowance for doubtful accounts</w:t>
            </w:r>
          </w:p>
        </w:tc>
        <w:tc>
          <w:tcPr>
            <w:tcW w:w="334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14.7</w:t>
            </w:r>
          </w:p>
        </w:tc>
        <w:tc>
          <w:tcPr>
            <w:tcW w:w="50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Arial" w:cs="Arial" w:eastAsia="Arial" w:hAnsi="Arial"/>
                <w:sz w:val="12"/>
                <w:szCs w:val="12"/>
                <w:color w:val="auto"/>
              </w:rPr>
              <w:t>10.7</w:t>
            </w:r>
          </w:p>
        </w:tc>
      </w:tr>
      <w:tr>
        <w:trPr>
          <w:trHeight w:val="210"/>
        </w:trPr>
        <w:tc>
          <w:tcPr>
            <w:tcW w:w="6160" w:type="dxa"/>
            <w:vAlign w:val="bottom"/>
            <w:shd w:val="clear" w:color="auto" w:fill="E6E6E6"/>
          </w:tcPr>
          <w:p>
            <w:pPr>
              <w:ind w:left="40"/>
              <w:spacing w:after="0"/>
              <w:rPr>
                <w:sz w:val="20"/>
                <w:szCs w:val="20"/>
                <w:color w:val="auto"/>
              </w:rPr>
            </w:pPr>
            <w:r>
              <w:rPr>
                <w:rFonts w:ascii="Arial" w:cs="Arial" w:eastAsia="Arial" w:hAnsi="Arial"/>
                <w:sz w:val="12"/>
                <w:szCs w:val="12"/>
                <w:color w:val="auto"/>
              </w:rPr>
              <w:t>Other reserves</w:t>
            </w:r>
          </w:p>
        </w:tc>
        <w:tc>
          <w:tcPr>
            <w:tcW w:w="334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40"/>
              <w:spacing w:after="0"/>
              <w:rPr>
                <w:sz w:val="20"/>
                <w:szCs w:val="20"/>
                <w:color w:val="auto"/>
              </w:rPr>
            </w:pPr>
            <w:r>
              <w:rPr>
                <w:rFonts w:ascii="Arial" w:cs="Arial" w:eastAsia="Arial" w:hAnsi="Arial"/>
                <w:sz w:val="12"/>
                <w:szCs w:val="12"/>
                <w:color w:val="auto"/>
              </w:rPr>
              <w:t>15.8</w:t>
            </w:r>
          </w:p>
        </w:tc>
        <w:tc>
          <w:tcPr>
            <w:tcW w:w="5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12.4</w:t>
            </w:r>
          </w:p>
        </w:tc>
      </w:tr>
      <w:tr>
        <w:trPr>
          <w:trHeight w:val="210"/>
        </w:trPr>
        <w:tc>
          <w:tcPr>
            <w:tcW w:w="6160" w:type="dxa"/>
            <w:vAlign w:val="bottom"/>
          </w:tcPr>
          <w:p>
            <w:pPr>
              <w:ind w:left="40"/>
              <w:spacing w:after="0"/>
              <w:rPr>
                <w:sz w:val="20"/>
                <w:szCs w:val="20"/>
                <w:color w:val="auto"/>
              </w:rPr>
            </w:pPr>
            <w:r>
              <w:rPr>
                <w:rFonts w:ascii="Arial" w:cs="Arial" w:eastAsia="Arial" w:hAnsi="Arial"/>
                <w:sz w:val="12"/>
                <w:szCs w:val="12"/>
                <w:color w:val="auto"/>
              </w:rPr>
              <w:t>Post-retirement, post-employment and pension obligations</w:t>
            </w:r>
          </w:p>
        </w:tc>
        <w:tc>
          <w:tcPr>
            <w:tcW w:w="334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16.8</w:t>
            </w:r>
          </w:p>
        </w:tc>
        <w:tc>
          <w:tcPr>
            <w:tcW w:w="50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Arial" w:cs="Arial" w:eastAsia="Arial" w:hAnsi="Arial"/>
                <w:sz w:val="12"/>
                <w:szCs w:val="12"/>
                <w:color w:val="auto"/>
              </w:rPr>
              <w:t>20.5</w:t>
            </w:r>
          </w:p>
        </w:tc>
      </w:tr>
      <w:tr>
        <w:trPr>
          <w:trHeight w:val="210"/>
        </w:trPr>
        <w:tc>
          <w:tcPr>
            <w:tcW w:w="6160" w:type="dxa"/>
            <w:vAlign w:val="bottom"/>
            <w:shd w:val="clear" w:color="auto" w:fill="E6E6E6"/>
          </w:tcPr>
          <w:p>
            <w:pPr>
              <w:ind w:left="40"/>
              <w:spacing w:after="0"/>
              <w:rPr>
                <w:sz w:val="20"/>
                <w:szCs w:val="20"/>
                <w:color w:val="auto"/>
              </w:rPr>
            </w:pPr>
            <w:r>
              <w:rPr>
                <w:rFonts w:ascii="Arial" w:cs="Arial" w:eastAsia="Arial" w:hAnsi="Arial"/>
                <w:sz w:val="12"/>
                <w:szCs w:val="12"/>
                <w:color w:val="auto"/>
              </w:rPr>
              <w:t>Tax carryforwards</w:t>
            </w:r>
          </w:p>
        </w:tc>
        <w:tc>
          <w:tcPr>
            <w:tcW w:w="334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40"/>
              <w:spacing w:after="0"/>
              <w:rPr>
                <w:sz w:val="20"/>
                <w:szCs w:val="20"/>
                <w:color w:val="auto"/>
              </w:rPr>
            </w:pPr>
            <w:r>
              <w:rPr>
                <w:rFonts w:ascii="Arial" w:cs="Arial" w:eastAsia="Arial" w:hAnsi="Arial"/>
                <w:sz w:val="12"/>
                <w:szCs w:val="12"/>
                <w:color w:val="auto"/>
              </w:rPr>
              <w:t>19.1</w:t>
            </w:r>
          </w:p>
        </w:tc>
        <w:tc>
          <w:tcPr>
            <w:tcW w:w="5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17.6</w:t>
            </w:r>
          </w:p>
        </w:tc>
      </w:tr>
      <w:tr>
        <w:trPr>
          <w:trHeight w:val="210"/>
        </w:trPr>
        <w:tc>
          <w:tcPr>
            <w:tcW w:w="6160" w:type="dxa"/>
            <w:vAlign w:val="bottom"/>
          </w:tcPr>
          <w:p>
            <w:pPr>
              <w:ind w:left="40"/>
              <w:spacing w:after="0"/>
              <w:rPr>
                <w:sz w:val="20"/>
                <w:szCs w:val="20"/>
                <w:color w:val="auto"/>
              </w:rPr>
            </w:pPr>
            <w:r>
              <w:rPr>
                <w:rFonts w:ascii="Arial" w:cs="Arial" w:eastAsia="Arial" w:hAnsi="Arial"/>
                <w:sz w:val="12"/>
                <w:szCs w:val="12"/>
                <w:color w:val="auto"/>
              </w:rPr>
              <w:t>Lease accounting</w:t>
            </w:r>
          </w:p>
        </w:tc>
        <w:tc>
          <w:tcPr>
            <w:tcW w:w="334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6.3</w:t>
            </w:r>
          </w:p>
        </w:tc>
        <w:tc>
          <w:tcPr>
            <w:tcW w:w="50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Arial" w:cs="Arial" w:eastAsia="Arial" w:hAnsi="Arial"/>
                <w:sz w:val="12"/>
                <w:szCs w:val="12"/>
                <w:color w:val="auto"/>
              </w:rPr>
              <w:t>6.5</w:t>
            </w:r>
          </w:p>
        </w:tc>
      </w:tr>
      <w:tr>
        <w:trPr>
          <w:trHeight w:val="210"/>
        </w:trPr>
        <w:tc>
          <w:tcPr>
            <w:tcW w:w="6160" w:type="dxa"/>
            <w:vAlign w:val="bottom"/>
            <w:shd w:val="clear" w:color="auto" w:fill="E6E6E6"/>
          </w:tcPr>
          <w:p>
            <w:pPr>
              <w:ind w:left="40"/>
              <w:spacing w:after="0"/>
              <w:rPr>
                <w:sz w:val="20"/>
                <w:szCs w:val="20"/>
                <w:color w:val="auto"/>
              </w:rPr>
            </w:pPr>
            <w:r>
              <w:rPr>
                <w:rFonts w:ascii="Arial" w:cs="Arial" w:eastAsia="Arial" w:hAnsi="Arial"/>
                <w:sz w:val="12"/>
                <w:szCs w:val="12"/>
                <w:color w:val="auto"/>
              </w:rPr>
              <w:t>Prepaid expenses</w:t>
            </w:r>
          </w:p>
        </w:tc>
        <w:tc>
          <w:tcPr>
            <w:tcW w:w="334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00"/>
              <w:spacing w:after="0" w:line="210" w:lineRule="exact"/>
              <w:rPr>
                <w:sz w:val="20"/>
                <w:szCs w:val="20"/>
                <w:color w:val="auto"/>
              </w:rPr>
            </w:pPr>
            <w:r>
              <w:rPr>
                <w:rFonts w:ascii="Arial" w:cs="Arial" w:eastAsia="Arial" w:hAnsi="Arial"/>
                <w:sz w:val="12"/>
                <w:szCs w:val="12"/>
                <w:color w:val="auto"/>
              </w:rPr>
              <w:t>(16.5</w:t>
            </w:r>
            <w:r>
              <w:rPr>
                <w:rFonts w:ascii="Arial" w:cs="Arial" w:eastAsia="Arial" w:hAnsi="Arial"/>
                <w:sz w:val="23"/>
                <w:szCs w:val="23"/>
                <w:color w:val="auto"/>
                <w:vertAlign w:val="superscript"/>
              </w:rPr>
              <w:t>)</w:t>
            </w:r>
          </w:p>
        </w:tc>
        <w:tc>
          <w:tcPr>
            <w:tcW w:w="5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120"/>
              <w:spacing w:after="0" w:line="210" w:lineRule="exact"/>
              <w:rPr>
                <w:sz w:val="20"/>
                <w:szCs w:val="20"/>
                <w:color w:val="auto"/>
              </w:rPr>
            </w:pPr>
            <w:r>
              <w:rPr>
                <w:rFonts w:ascii="Arial" w:cs="Arial" w:eastAsia="Arial" w:hAnsi="Arial"/>
                <w:sz w:val="12"/>
                <w:szCs w:val="12"/>
                <w:color w:val="auto"/>
              </w:rPr>
              <w:t>(11.4</w:t>
            </w:r>
            <w:r>
              <w:rPr>
                <w:rFonts w:ascii="Arial" w:cs="Arial" w:eastAsia="Arial" w:hAnsi="Arial"/>
                <w:sz w:val="23"/>
                <w:szCs w:val="23"/>
                <w:color w:val="auto"/>
                <w:vertAlign w:val="superscript"/>
              </w:rPr>
              <w:t>)</w:t>
            </w:r>
          </w:p>
        </w:tc>
      </w:tr>
      <w:tr>
        <w:trPr>
          <w:trHeight w:val="210"/>
        </w:trPr>
        <w:tc>
          <w:tcPr>
            <w:tcW w:w="6160" w:type="dxa"/>
            <w:vAlign w:val="bottom"/>
          </w:tcPr>
          <w:p>
            <w:pPr>
              <w:ind w:left="40"/>
              <w:spacing w:after="0"/>
              <w:rPr>
                <w:sz w:val="20"/>
                <w:szCs w:val="20"/>
                <w:color w:val="auto"/>
              </w:rPr>
            </w:pPr>
            <w:r>
              <w:rPr>
                <w:rFonts w:ascii="Arial" w:cs="Arial" w:eastAsia="Arial" w:hAnsi="Arial"/>
                <w:sz w:val="12"/>
                <w:szCs w:val="12"/>
                <w:color w:val="auto"/>
              </w:rPr>
              <w:t>Depreciation and amortization</w:t>
            </w:r>
          </w:p>
        </w:tc>
        <w:tc>
          <w:tcPr>
            <w:tcW w:w="3340" w:type="dxa"/>
            <w:vAlign w:val="bottom"/>
          </w:tcPr>
          <w:p>
            <w:pPr>
              <w:spacing w:after="0"/>
              <w:rPr>
                <w:sz w:val="18"/>
                <w:szCs w:val="18"/>
                <w:color w:val="auto"/>
              </w:rPr>
            </w:pPr>
          </w:p>
        </w:tc>
        <w:tc>
          <w:tcPr>
            <w:tcW w:w="760" w:type="dxa"/>
            <w:vAlign w:val="bottom"/>
          </w:tcPr>
          <w:p>
            <w:pPr>
              <w:jc w:val="right"/>
              <w:ind w:right="200"/>
              <w:spacing w:after="0" w:line="210" w:lineRule="exact"/>
              <w:rPr>
                <w:sz w:val="20"/>
                <w:szCs w:val="20"/>
                <w:color w:val="auto"/>
              </w:rPr>
            </w:pPr>
            <w:r>
              <w:rPr>
                <w:rFonts w:ascii="Arial" w:cs="Arial" w:eastAsia="Arial" w:hAnsi="Arial"/>
                <w:sz w:val="12"/>
                <w:szCs w:val="12"/>
                <w:color w:val="auto"/>
              </w:rPr>
              <w:t>(39.6</w:t>
            </w:r>
            <w:r>
              <w:rPr>
                <w:rFonts w:ascii="Arial" w:cs="Arial" w:eastAsia="Arial" w:hAnsi="Arial"/>
                <w:sz w:val="23"/>
                <w:szCs w:val="23"/>
                <w:color w:val="auto"/>
                <w:vertAlign w:val="superscript"/>
              </w:rPr>
              <w:t>)</w:t>
            </w:r>
          </w:p>
        </w:tc>
        <w:tc>
          <w:tcPr>
            <w:tcW w:w="500" w:type="dxa"/>
            <w:vAlign w:val="bottom"/>
          </w:tcPr>
          <w:p>
            <w:pPr>
              <w:spacing w:after="0"/>
              <w:rPr>
                <w:sz w:val="18"/>
                <w:szCs w:val="18"/>
                <w:color w:val="auto"/>
              </w:rPr>
            </w:pPr>
          </w:p>
        </w:tc>
        <w:tc>
          <w:tcPr>
            <w:tcW w:w="680" w:type="dxa"/>
            <w:vAlign w:val="bottom"/>
          </w:tcPr>
          <w:p>
            <w:pPr>
              <w:jc w:val="right"/>
              <w:ind w:right="120"/>
              <w:spacing w:after="0" w:line="210" w:lineRule="exact"/>
              <w:rPr>
                <w:sz w:val="20"/>
                <w:szCs w:val="20"/>
                <w:color w:val="auto"/>
              </w:rPr>
            </w:pPr>
            <w:r>
              <w:rPr>
                <w:rFonts w:ascii="Arial" w:cs="Arial" w:eastAsia="Arial" w:hAnsi="Arial"/>
                <w:sz w:val="12"/>
                <w:szCs w:val="12"/>
                <w:color w:val="auto"/>
              </w:rPr>
              <w:t>(35.1</w:t>
            </w:r>
            <w:r>
              <w:rPr>
                <w:rFonts w:ascii="Arial" w:cs="Arial" w:eastAsia="Arial" w:hAnsi="Arial"/>
                <w:sz w:val="23"/>
                <w:szCs w:val="23"/>
                <w:color w:val="auto"/>
                <w:vertAlign w:val="superscript"/>
              </w:rPr>
              <w:t>)</w:t>
            </w:r>
          </w:p>
        </w:tc>
      </w:tr>
      <w:tr>
        <w:trPr>
          <w:trHeight w:val="210"/>
        </w:trPr>
        <w:tc>
          <w:tcPr>
            <w:tcW w:w="6160" w:type="dxa"/>
            <w:vAlign w:val="bottom"/>
            <w:shd w:val="clear" w:color="auto" w:fill="E6E6E6"/>
          </w:tcPr>
          <w:p>
            <w:pPr>
              <w:ind w:left="40"/>
              <w:spacing w:after="0"/>
              <w:rPr>
                <w:sz w:val="20"/>
                <w:szCs w:val="20"/>
                <w:color w:val="auto"/>
              </w:rPr>
            </w:pPr>
            <w:r>
              <w:rPr>
                <w:rFonts w:ascii="Arial" w:cs="Arial" w:eastAsia="Arial" w:hAnsi="Arial"/>
                <w:sz w:val="12"/>
                <w:szCs w:val="12"/>
                <w:color w:val="auto"/>
              </w:rPr>
              <w:t>Other – net</w:t>
            </w:r>
          </w:p>
        </w:tc>
        <w:tc>
          <w:tcPr>
            <w:tcW w:w="334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40"/>
              <w:spacing w:after="0"/>
              <w:rPr>
                <w:sz w:val="20"/>
                <w:szCs w:val="20"/>
                <w:color w:val="auto"/>
              </w:rPr>
            </w:pPr>
            <w:r>
              <w:rPr>
                <w:rFonts w:ascii="Arial" w:cs="Arial" w:eastAsia="Arial" w:hAnsi="Arial"/>
                <w:sz w:val="12"/>
                <w:szCs w:val="12"/>
                <w:color w:val="auto"/>
              </w:rPr>
              <w:t>7.0</w:t>
            </w:r>
          </w:p>
        </w:tc>
        <w:tc>
          <w:tcPr>
            <w:tcW w:w="5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160"/>
              <w:spacing w:after="0"/>
              <w:rPr>
                <w:sz w:val="20"/>
                <w:szCs w:val="20"/>
                <w:color w:val="auto"/>
              </w:rPr>
            </w:pPr>
            <w:r>
              <w:rPr>
                <w:rFonts w:ascii="Arial" w:cs="Arial" w:eastAsia="Arial" w:hAnsi="Arial"/>
                <w:sz w:val="12"/>
                <w:szCs w:val="12"/>
                <w:color w:val="auto"/>
              </w:rPr>
              <w:t>7.3</w:t>
            </w:r>
          </w:p>
        </w:tc>
      </w:tr>
      <w:tr>
        <w:trPr>
          <w:trHeight w:val="93"/>
        </w:trPr>
        <w:tc>
          <w:tcPr>
            <w:tcW w:w="616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5"/>
        </w:trPr>
        <w:tc>
          <w:tcPr>
            <w:tcW w:w="6160" w:type="dxa"/>
            <w:vAlign w:val="bottom"/>
          </w:tcPr>
          <w:p>
            <w:pPr>
              <w:ind w:left="40"/>
              <w:spacing w:after="0"/>
              <w:rPr>
                <w:sz w:val="20"/>
                <w:szCs w:val="20"/>
                <w:color w:val="auto"/>
              </w:rPr>
            </w:pPr>
            <w:r>
              <w:rPr>
                <w:rFonts w:ascii="Arial" w:cs="Arial" w:eastAsia="Arial" w:hAnsi="Arial"/>
                <w:sz w:val="12"/>
                <w:szCs w:val="12"/>
                <w:color w:val="auto"/>
              </w:rPr>
              <w:t>Subtotal</w:t>
            </w:r>
          </w:p>
        </w:tc>
        <w:tc>
          <w:tcPr>
            <w:tcW w:w="3340" w:type="dxa"/>
            <w:vAlign w:val="bottom"/>
          </w:tcPr>
          <w:p>
            <w:pPr>
              <w:spacing w:after="0"/>
              <w:rPr>
                <w:sz w:val="24"/>
                <w:szCs w:val="24"/>
                <w:color w:val="auto"/>
              </w:rPr>
            </w:pP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64.4</w:t>
            </w:r>
          </w:p>
        </w:tc>
        <w:tc>
          <w:tcPr>
            <w:tcW w:w="50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12"/>
                <w:szCs w:val="12"/>
                <w:color w:val="auto"/>
              </w:rPr>
              <w:t>70.6</w:t>
            </w:r>
          </w:p>
        </w:tc>
      </w:tr>
      <w:tr>
        <w:trPr>
          <w:trHeight w:val="83"/>
        </w:trPr>
        <w:tc>
          <w:tcPr>
            <w:tcW w:w="6160" w:type="dxa"/>
            <w:vAlign w:val="bottom"/>
            <w:tcBorders>
              <w:bottom w:val="single" w:sz="8" w:color="808080"/>
            </w:tcBorders>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r>
        <w:trPr>
          <w:trHeight w:val="85"/>
        </w:trPr>
        <w:tc>
          <w:tcPr>
            <w:tcW w:w="61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210"/>
        </w:trPr>
        <w:tc>
          <w:tcPr>
            <w:tcW w:w="6160" w:type="dxa"/>
            <w:vAlign w:val="bottom"/>
            <w:shd w:val="clear" w:color="auto" w:fill="E6E6E6"/>
          </w:tcPr>
          <w:p>
            <w:pPr>
              <w:ind w:left="40"/>
              <w:spacing w:after="0"/>
              <w:rPr>
                <w:sz w:val="20"/>
                <w:szCs w:val="20"/>
                <w:color w:val="auto"/>
              </w:rPr>
            </w:pPr>
            <w:r>
              <w:rPr>
                <w:rFonts w:ascii="Arial" w:cs="Arial" w:eastAsia="Arial" w:hAnsi="Arial"/>
                <w:sz w:val="12"/>
                <w:szCs w:val="12"/>
                <w:color w:val="auto"/>
              </w:rPr>
              <w:t>Valuation allowance</w:t>
            </w:r>
          </w:p>
        </w:tc>
        <w:tc>
          <w:tcPr>
            <w:tcW w:w="334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200"/>
              <w:spacing w:after="0" w:line="210" w:lineRule="exact"/>
              <w:rPr>
                <w:sz w:val="20"/>
                <w:szCs w:val="20"/>
                <w:color w:val="auto"/>
              </w:rPr>
            </w:pPr>
            <w:r>
              <w:rPr>
                <w:rFonts w:ascii="Arial" w:cs="Arial" w:eastAsia="Arial" w:hAnsi="Arial"/>
                <w:sz w:val="12"/>
                <w:szCs w:val="12"/>
                <w:color w:val="auto"/>
              </w:rPr>
              <w:t>(10.7</w:t>
            </w:r>
            <w:r>
              <w:rPr>
                <w:rFonts w:ascii="Arial" w:cs="Arial" w:eastAsia="Arial" w:hAnsi="Arial"/>
                <w:sz w:val="23"/>
                <w:szCs w:val="23"/>
                <w:color w:val="auto"/>
                <w:vertAlign w:val="superscript"/>
              </w:rPr>
              <w:t>)</w:t>
            </w:r>
          </w:p>
        </w:tc>
        <w:tc>
          <w:tcPr>
            <w:tcW w:w="5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120"/>
              <w:spacing w:after="0" w:line="210" w:lineRule="exact"/>
              <w:rPr>
                <w:sz w:val="20"/>
                <w:szCs w:val="20"/>
                <w:color w:val="auto"/>
              </w:rPr>
            </w:pPr>
            <w:r>
              <w:rPr>
                <w:rFonts w:ascii="Arial" w:cs="Arial" w:eastAsia="Arial" w:hAnsi="Arial"/>
                <w:sz w:val="12"/>
                <w:szCs w:val="12"/>
                <w:color w:val="auto"/>
              </w:rPr>
              <w:t>(8.8</w:t>
            </w:r>
            <w:r>
              <w:rPr>
                <w:rFonts w:ascii="Arial" w:cs="Arial" w:eastAsia="Arial" w:hAnsi="Arial"/>
                <w:sz w:val="23"/>
                <w:szCs w:val="23"/>
                <w:color w:val="auto"/>
                <w:vertAlign w:val="superscript"/>
              </w:rPr>
              <w:t>)</w:t>
            </w:r>
          </w:p>
        </w:tc>
      </w:tr>
      <w:tr>
        <w:trPr>
          <w:trHeight w:val="93"/>
        </w:trPr>
        <w:tc>
          <w:tcPr>
            <w:tcW w:w="616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5"/>
        </w:trPr>
        <w:tc>
          <w:tcPr>
            <w:tcW w:w="6160" w:type="dxa"/>
            <w:vAlign w:val="bottom"/>
          </w:tcPr>
          <w:p>
            <w:pPr>
              <w:spacing w:after="0"/>
              <w:rPr>
                <w:sz w:val="20"/>
                <w:szCs w:val="20"/>
                <w:color w:val="auto"/>
              </w:rPr>
            </w:pPr>
            <w:r>
              <w:rPr>
                <w:rFonts w:ascii="Arial" w:cs="Arial" w:eastAsia="Arial" w:hAnsi="Arial"/>
                <w:sz w:val="12"/>
                <w:szCs w:val="12"/>
                <w:b w:val="1"/>
                <w:bCs w:val="1"/>
                <w:color w:val="auto"/>
              </w:rPr>
              <w:t>Total net deferred tax assets</w:t>
            </w:r>
          </w:p>
        </w:tc>
        <w:tc>
          <w:tcPr>
            <w:tcW w:w="334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ind w:right="240"/>
              <w:spacing w:after="0"/>
              <w:rPr>
                <w:sz w:val="20"/>
                <w:szCs w:val="20"/>
                <w:color w:val="auto"/>
              </w:rPr>
            </w:pPr>
            <w:r>
              <w:rPr>
                <w:rFonts w:ascii="Arial" w:cs="Arial" w:eastAsia="Arial" w:hAnsi="Arial"/>
                <w:sz w:val="12"/>
                <w:szCs w:val="12"/>
                <w:b w:val="1"/>
                <w:bCs w:val="1"/>
                <w:color w:val="auto"/>
              </w:rPr>
              <w:t>53.7</w:t>
            </w:r>
          </w:p>
        </w:tc>
        <w:tc>
          <w:tcPr>
            <w:tcW w:w="50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60"/>
              <w:spacing w:after="0"/>
              <w:rPr>
                <w:sz w:val="20"/>
                <w:szCs w:val="20"/>
                <w:color w:val="auto"/>
              </w:rPr>
            </w:pPr>
            <w:r>
              <w:rPr>
                <w:rFonts w:ascii="Arial" w:cs="Arial" w:eastAsia="Arial" w:hAnsi="Arial"/>
                <w:sz w:val="12"/>
                <w:szCs w:val="12"/>
                <w:b w:val="1"/>
                <w:bCs w:val="1"/>
                <w:color w:val="auto"/>
              </w:rPr>
              <w:t>61.8</w:t>
            </w:r>
          </w:p>
        </w:tc>
      </w:tr>
      <w:tr>
        <w:trPr>
          <w:trHeight w:val="90"/>
        </w:trPr>
        <w:tc>
          <w:tcPr>
            <w:tcW w:w="6160" w:type="dxa"/>
            <w:vAlign w:val="bottom"/>
            <w:tcBorders>
              <w:bottom w:val="single" w:sz="8" w:color="808080"/>
            </w:tcBorders>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48" w:lineRule="exact"/>
        <w:rPr>
          <w:sz w:val="20"/>
          <w:szCs w:val="20"/>
          <w:color w:val="auto"/>
        </w:rPr>
      </w:pPr>
    </w:p>
    <w:p>
      <w:pPr>
        <w:jc w:val="both"/>
        <w:ind w:left="20" w:right="180"/>
        <w:spacing w:after="0" w:line="285" w:lineRule="auto"/>
        <w:rPr>
          <w:sz w:val="20"/>
          <w:szCs w:val="20"/>
          <w:color w:val="auto"/>
        </w:rPr>
      </w:pPr>
      <w:r>
        <w:rPr>
          <w:rFonts w:ascii="Arial" w:cs="Arial" w:eastAsia="Arial" w:hAnsi="Arial"/>
          <w:sz w:val="15"/>
          <w:szCs w:val="15"/>
          <w:color w:val="auto"/>
        </w:rPr>
        <w:t>Total net deferred tax assets of $53.7 at May 31, 2006 and $61.8 at May 31, 2005 include $5.5 and $4.1 in Other accrued expenses at May 31, 2006 and 2005, respectively, and $18.4 and $17.2 in Other noncurrent liabilities at May 31, 2006 and 2005, respectively.</w:t>
      </w:r>
    </w:p>
    <w:p>
      <w:pPr>
        <w:spacing w:after="0" w:line="150" w:lineRule="exact"/>
        <w:rPr>
          <w:sz w:val="20"/>
          <w:szCs w:val="20"/>
          <w:color w:val="auto"/>
        </w:rPr>
      </w:pPr>
    </w:p>
    <w:p>
      <w:pPr>
        <w:jc w:val="both"/>
        <w:ind w:left="20" w:right="60"/>
        <w:spacing w:after="0" w:line="272" w:lineRule="auto"/>
        <w:rPr>
          <w:sz w:val="20"/>
          <w:szCs w:val="20"/>
          <w:color w:val="auto"/>
        </w:rPr>
      </w:pPr>
      <w:r>
        <w:rPr>
          <w:rFonts w:ascii="Arial" w:cs="Arial" w:eastAsia="Arial" w:hAnsi="Arial"/>
          <w:sz w:val="15"/>
          <w:szCs w:val="15"/>
          <w:color w:val="auto"/>
        </w:rPr>
        <w:t>At May 31, 2006, the Company had a charitable deduction carryforward of $16.6, which expires in various amounts during the fiscal years ending 2008 through 2010, and federal and state operating loss carryforwards of $3.2 and $16.6, respectively, which expire annually in varying amounts if not utilized. The Company also had foreign operating loss carryforwards of $29.4 at May 31, 2006, which either expire at various dates or do not expire.</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 the years ended May 31, 2006 and 2005, the valuation allowance increased by $1.9 and $0.4, respectively.</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Company had tax reserves totaling $7.3 and $7.2 at May 31, 2006 and 2005, respectively.</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8. CAPITAL STOCK AND STOCK OPTIONS</w:t>
      </w:r>
    </w:p>
    <w:p>
      <w:pPr>
        <w:spacing w:after="0" w:line="204" w:lineRule="exact"/>
        <w:rPr>
          <w:sz w:val="20"/>
          <w:szCs w:val="20"/>
          <w:color w:val="auto"/>
        </w:rPr>
      </w:pPr>
    </w:p>
    <w:p>
      <w:pPr>
        <w:ind w:left="20" w:right="140"/>
        <w:spacing w:after="0" w:line="285" w:lineRule="auto"/>
        <w:rPr>
          <w:sz w:val="20"/>
          <w:szCs w:val="20"/>
          <w:color w:val="auto"/>
        </w:rPr>
      </w:pPr>
      <w:r>
        <w:rPr>
          <w:rFonts w:ascii="Arial" w:cs="Arial" w:eastAsia="Arial" w:hAnsi="Arial"/>
          <w:sz w:val="15"/>
          <w:szCs w:val="15"/>
          <w:color w:val="auto"/>
        </w:rPr>
        <w:t>Scholastic Corporation has authorized capital stock of 2,500,000 shares of Class A Stock, par value $0.01 per share (the “Class A Stock”); 70,000,000 shares of Common Stock, par value $0.01 per share (the “Common Stock”); and 2,000,000 shares of Preferred Stock, par value $1.00 per share (the “Preferred Stock”).</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Class A Stock and Common Stock</w:t>
      </w:r>
    </w:p>
    <w:p>
      <w:pPr>
        <w:spacing w:after="0" w:line="22" w:lineRule="exact"/>
        <w:rPr>
          <w:sz w:val="20"/>
          <w:szCs w:val="20"/>
          <w:color w:val="auto"/>
        </w:rPr>
      </w:pPr>
    </w:p>
    <w:p>
      <w:pPr>
        <w:ind w:left="20" w:right="200"/>
        <w:spacing w:after="0" w:line="284" w:lineRule="auto"/>
        <w:rPr>
          <w:sz w:val="20"/>
          <w:szCs w:val="20"/>
          <w:color w:val="auto"/>
        </w:rPr>
      </w:pPr>
      <w:r>
        <w:rPr>
          <w:rFonts w:ascii="Arial" w:cs="Arial" w:eastAsia="Arial" w:hAnsi="Arial"/>
          <w:sz w:val="14"/>
          <w:szCs w:val="14"/>
          <w:color w:val="auto"/>
        </w:rPr>
        <w:t>At May 31, 2006, 1,656,200 shares of Class A Stock and 40,282,246 shares of Common Stock were outstanding. At May 31, 2006, Scholastic Corporation had reserved for issuance 10,717,299 shares of Common Stock. Of this amount, 8,514,515 shares of Common Stock were reserved for issuance under the Company’s stock-based plans (including shares available for grant and stock options and Restricted Stock Units currently outstanding), 1,656,200 shares of Common Stock were reserved for issuance upon conversion of the outstanding Class A Stock and 546,584 shares of Common Stock were reserved for future issuances under the Company’s stock-based plans. At May 31, 2006 750,000 shares of Class A Stock were reserved for issuance under the Company’s stock-based plans (including shares available for grant and stock options currently outstanding).</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only voting rights vested in the holders of Common Stock, except as required by law, are the election of such number of directors as shall equal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132080</wp:posOffset>
            </wp:positionV>
            <wp:extent cx="118110" cy="1181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7285355"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type w:val="continuous"/>
        </w:sectPr>
      </w:pPr>
    </w:p>
    <w:bookmarkStart w:id="54" w:name="page55"/>
    <w:bookmarkEnd w:id="54"/>
    <w:p>
      <w:pPr>
        <w:jc w:val="both"/>
        <w:ind w:right="220"/>
        <w:spacing w:after="0" w:line="272" w:lineRule="auto"/>
        <w:rPr>
          <w:sz w:val="20"/>
          <w:szCs w:val="20"/>
          <w:color w:val="auto"/>
        </w:rPr>
      </w:pPr>
      <w:r>
        <w:rPr>
          <w:rFonts w:ascii="Arial" w:cs="Arial" w:eastAsia="Arial" w:hAnsi="Arial"/>
          <w:sz w:val="15"/>
          <w:szCs w:val="15"/>
          <w:color w:val="auto"/>
        </w:rPr>
        <w:t>least one-fifth of the members of the Board. The holders of Class A Stock are entitled to elect all other directors and to vote on all other matters. Holders of Class A Stock and Common Stock are entitled to one vote per share on matters on which they are entitled to vote. The holders of Class A Stock have the right, at their option, to convert shares of Class A Stock into shares of Common Stock on a share-for-share basis.</w:t>
      </w:r>
    </w:p>
    <w:p>
      <w:pPr>
        <w:spacing w:after="0" w:line="159"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With the exception of voting rights and conversion rights, and as to the rights of holders of Preferred Stock if issued, the Class A Stock and the Common Stock are equal in rank and are entitled to dividends and distributions, when and if declared by the Board. Scholastic Corporation has not paid any cash dividends since its public offering in 1992 and has no current plans to pay any dividends on its Class A Stock or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22"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The Preferred Stock may be issued in one or more series, with the rights of each series, including voting rights, to be determined by the Board before each issuance. To date, no shares of Preferred Stock have been issued.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Awards</w:t>
      </w:r>
    </w:p>
    <w:p>
      <w:pPr>
        <w:spacing w:after="0" w:line="22"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At May 31, 2006, the Company maintained three stockholder-approved employee stock-based benefit plans with regard to the Common Stock: the Scholastic Corporation 1992 Stock Option Plan (the “1992 Plan”), under which no further awards can be made; the Scholastic Corporation 1995 Stock Option Plan (the “1995 Plan”), under which no further awards can be made; and the Scholastic Corporation 2001 Stock Incentive Plan (the “2001 Plan”). The 2001 Plan provides for the issuance of incentive stock options, which qualify for favorable treatment under the Internal Revenue Code, and options that are not so qualified, called non-qualified options, restricted stock and other stock-based awards.</w:t>
      </w:r>
    </w:p>
    <w:p>
      <w:pPr>
        <w:spacing w:after="0" w:line="149" w:lineRule="exact"/>
        <w:rPr>
          <w:sz w:val="20"/>
          <w:szCs w:val="20"/>
          <w:color w:val="auto"/>
        </w:rPr>
      </w:pPr>
    </w:p>
    <w:p>
      <w:pPr>
        <w:ind w:right="240"/>
        <w:spacing w:after="0" w:line="328" w:lineRule="auto"/>
        <w:rPr>
          <w:sz w:val="20"/>
          <w:szCs w:val="20"/>
          <w:color w:val="auto"/>
        </w:rPr>
      </w:pPr>
      <w:r>
        <w:rPr>
          <w:rFonts w:ascii="Arial" w:cs="Arial" w:eastAsia="Arial" w:hAnsi="Arial"/>
          <w:sz w:val="14"/>
          <w:szCs w:val="14"/>
          <w:b w:val="1"/>
          <w:bCs w:val="1"/>
          <w:color w:val="auto"/>
        </w:rPr>
        <w:t xml:space="preserve">Stock Options </w:t>
      </w:r>
      <w:r>
        <w:rPr>
          <w:rFonts w:ascii="Arial" w:cs="Arial" w:eastAsia="Arial" w:hAnsi="Arial"/>
          <w:sz w:val="14"/>
          <w:szCs w:val="14"/>
          <w:color w:val="auto"/>
        </w:rPr>
        <w:t>— At May 31, 2006, non-qualified stock options to purchase 190,000 shares, 2,894,578 shares and 2,758,530 shares of Common Stock were outstanding under the 1992</w:t>
      </w:r>
      <w:r>
        <w:rPr>
          <w:rFonts w:ascii="Arial" w:cs="Arial" w:eastAsia="Arial" w:hAnsi="Arial"/>
          <w:sz w:val="14"/>
          <w:szCs w:val="14"/>
          <w:b w:val="1"/>
          <w:bCs w:val="1"/>
          <w:color w:val="auto"/>
        </w:rPr>
        <w:t xml:space="preserve"> </w:t>
      </w:r>
      <w:r>
        <w:rPr>
          <w:rFonts w:ascii="Arial" w:cs="Arial" w:eastAsia="Arial" w:hAnsi="Arial"/>
          <w:sz w:val="14"/>
          <w:szCs w:val="14"/>
          <w:color w:val="auto"/>
        </w:rPr>
        <w:t>Plan, 1995 Plan and 2001 Plan, respectively, and 759,541 shares of Common Stock were available for additional awards under the 2001 Plan.</w:t>
      </w:r>
    </w:p>
    <w:p>
      <w:pPr>
        <w:spacing w:after="0" w:line="123"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The Company also maintains the 1997 Outside Directors’ Stock Option Plan (the “1997 Directors’ Plan”), a stockholder-approved stock option plan for outside directors. The 1997 Directors’ Plan, as amended, provides for the automatic grant to each non-employee director on the date of each annual stockholders’ meeting of non-qualified stock options to purchase 6,000 shares of Common Stock. At May 31, 2006, options to purchase 376,000 shares of Common Stock were outstanding under the 1997 Directors’ Plan and 144,000 shares of Common Stock were available for additional awards under the 1997 Directors’ Plan. In September 2005, options were awarded under the 1997 Directors’ Plan at an exercise price of $36.41.</w:t>
      </w:r>
    </w:p>
    <w:p>
      <w:pPr>
        <w:spacing w:after="0" w:line="132"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Scholastic Corporation 2004 Class A Stock Incentive Plan (the “Class A Plan”) provides for the grant to Richard Robinson, the Chief Executive Officer of the Corporation as of the effective date of the Class A Plan, of options (“Class A Options”) to purchase up to an aggregate of 750,000 shares of Class A Stock. At May 31, 2006, there were 666,000 Class A Options outstanding under the Class A Plan.</w:t>
      </w:r>
    </w:p>
    <w:p>
      <w:pPr>
        <w:spacing w:after="0" w:line="159"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Generally, options granted under the various plans may not be exercised for a minimum of one year after the date of grant and expire approximately ten years after the date of grant. As a result of the Acceleration, all unvested stock options outstanding as of May 30, 2006 became vested and immediately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232410</wp:posOffset>
            </wp:positionV>
            <wp:extent cx="118110" cy="1181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728535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5" w:name="page56"/>
    <w:bookmarkEnd w:id="55"/>
    <w:p>
      <w:pPr>
        <w:ind w:left="20"/>
        <w:spacing w:after="0"/>
        <w:rPr>
          <w:sz w:val="20"/>
          <w:szCs w:val="20"/>
          <w:color w:val="auto"/>
        </w:rPr>
      </w:pPr>
      <w:r>
        <w:rPr>
          <w:rFonts w:ascii="Arial" w:cs="Arial" w:eastAsia="Arial" w:hAnsi="Arial"/>
          <w:sz w:val="15"/>
          <w:szCs w:val="15"/>
          <w:color w:val="auto"/>
        </w:rPr>
        <w:t>The following table sets forth the stock option activity for the Class A Stock and Common Stock plans for the three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191135</wp:posOffset>
            </wp:positionV>
            <wp:extent cx="726567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740" w:type="dxa"/>
            <w:vAlign w:val="bottom"/>
          </w:tcPr>
          <w:p>
            <w:pPr>
              <w:jc w:val="right"/>
              <w:ind w:right="1364"/>
              <w:spacing w:after="0"/>
              <w:rPr>
                <w:sz w:val="20"/>
                <w:szCs w:val="20"/>
                <w:color w:val="auto"/>
              </w:rPr>
            </w:pPr>
            <w:r>
              <w:rPr>
                <w:rFonts w:ascii="Arial" w:cs="Arial" w:eastAsia="Arial" w:hAnsi="Arial"/>
                <w:sz w:val="15"/>
                <w:szCs w:val="15"/>
                <w:b w:val="1"/>
                <w:bCs w:val="1"/>
                <w:color w:val="auto"/>
                <w:w w:val="83"/>
              </w:rPr>
              <w:t>2006</w:t>
            </w:r>
          </w:p>
        </w:tc>
        <w:tc>
          <w:tcPr>
            <w:tcW w:w="900" w:type="dxa"/>
            <w:vAlign w:val="bottom"/>
          </w:tcPr>
          <w:p>
            <w:pPr>
              <w:spacing w:after="0"/>
              <w:rPr>
                <w:sz w:val="16"/>
                <w:szCs w:val="16"/>
                <w:color w:val="auto"/>
              </w:rPr>
            </w:pPr>
          </w:p>
        </w:tc>
        <w:tc>
          <w:tcPr>
            <w:tcW w:w="1700" w:type="dxa"/>
            <w:vAlign w:val="bottom"/>
          </w:tcPr>
          <w:p>
            <w:pPr>
              <w:jc w:val="right"/>
              <w:ind w:right="1324"/>
              <w:spacing w:after="0"/>
              <w:rPr>
                <w:sz w:val="20"/>
                <w:szCs w:val="20"/>
                <w:color w:val="auto"/>
              </w:rPr>
            </w:pPr>
            <w:r>
              <w:rPr>
                <w:rFonts w:ascii="Arial" w:cs="Arial" w:eastAsia="Arial" w:hAnsi="Arial"/>
                <w:sz w:val="15"/>
                <w:szCs w:val="15"/>
                <w:b w:val="1"/>
                <w:bCs w:val="1"/>
                <w:color w:val="auto"/>
                <w:w w:val="83"/>
              </w:rPr>
              <w:t>2005</w:t>
            </w:r>
          </w:p>
        </w:tc>
        <w:tc>
          <w:tcPr>
            <w:tcW w:w="900" w:type="dxa"/>
            <w:vAlign w:val="bottom"/>
          </w:tcPr>
          <w:p>
            <w:pPr>
              <w:spacing w:after="0"/>
              <w:rPr>
                <w:sz w:val="16"/>
                <w:szCs w:val="16"/>
                <w:color w:val="auto"/>
              </w:rPr>
            </w:pPr>
          </w:p>
        </w:tc>
        <w:tc>
          <w:tcPr>
            <w:tcW w:w="1460" w:type="dxa"/>
            <w:vAlign w:val="bottom"/>
          </w:tcPr>
          <w:p>
            <w:pPr>
              <w:jc w:val="right"/>
              <w:ind w:right="1064"/>
              <w:spacing w:after="0"/>
              <w:rPr>
                <w:sz w:val="20"/>
                <w:szCs w:val="20"/>
                <w:color w:val="auto"/>
              </w:rPr>
            </w:pPr>
            <w:r>
              <w:rPr>
                <w:rFonts w:ascii="Arial" w:cs="Arial" w:eastAsia="Arial" w:hAnsi="Arial"/>
                <w:sz w:val="15"/>
                <w:szCs w:val="15"/>
                <w:b w:val="1"/>
                <w:bCs w:val="1"/>
                <w:color w:val="auto"/>
                <w:w w:val="89"/>
              </w:rPr>
              <w:t>2004</w:t>
            </w:r>
          </w:p>
        </w:tc>
      </w:tr>
      <w:tr>
        <w:trPr>
          <w:trHeight w:val="96"/>
        </w:trPr>
        <w:tc>
          <w:tcPr>
            <w:tcW w:w="47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292"/>
        </w:trPr>
        <w:tc>
          <w:tcPr>
            <w:tcW w:w="4740" w:type="dxa"/>
            <w:vAlign w:val="bottom"/>
          </w:tcPr>
          <w:p>
            <w:pPr>
              <w:spacing w:after="0"/>
              <w:rPr>
                <w:sz w:val="24"/>
                <w:szCs w:val="24"/>
                <w:color w:val="auto"/>
              </w:rPr>
            </w:pPr>
          </w:p>
        </w:tc>
        <w:tc>
          <w:tcPr>
            <w:tcW w:w="1740" w:type="dxa"/>
            <w:vAlign w:val="bottom"/>
          </w:tcPr>
          <w:p>
            <w:pPr>
              <w:jc w:val="right"/>
              <w:ind w:right="244"/>
              <w:spacing w:after="0"/>
              <w:rPr>
                <w:sz w:val="20"/>
                <w:szCs w:val="20"/>
                <w:color w:val="auto"/>
              </w:rPr>
            </w:pPr>
            <w:r>
              <w:rPr>
                <w:rFonts w:ascii="Arial" w:cs="Arial" w:eastAsia="Arial" w:hAnsi="Arial"/>
                <w:sz w:val="15"/>
                <w:szCs w:val="15"/>
                <w:b w:val="1"/>
                <w:bCs w:val="1"/>
                <w:color w:val="auto"/>
              </w:rPr>
              <w:t>Weighted</w:t>
            </w:r>
          </w:p>
        </w:tc>
        <w:tc>
          <w:tcPr>
            <w:tcW w:w="900" w:type="dxa"/>
            <w:vAlign w:val="bottom"/>
          </w:tcPr>
          <w:p>
            <w:pPr>
              <w:spacing w:after="0"/>
              <w:rPr>
                <w:sz w:val="24"/>
                <w:szCs w:val="24"/>
                <w:color w:val="auto"/>
              </w:rPr>
            </w:pPr>
          </w:p>
        </w:tc>
        <w:tc>
          <w:tcPr>
            <w:tcW w:w="1700" w:type="dxa"/>
            <w:vAlign w:val="bottom"/>
          </w:tcPr>
          <w:p>
            <w:pPr>
              <w:jc w:val="right"/>
              <w:ind w:right="204"/>
              <w:spacing w:after="0"/>
              <w:rPr>
                <w:sz w:val="20"/>
                <w:szCs w:val="20"/>
                <w:color w:val="auto"/>
              </w:rPr>
            </w:pPr>
            <w:r>
              <w:rPr>
                <w:rFonts w:ascii="Arial" w:cs="Arial" w:eastAsia="Arial" w:hAnsi="Arial"/>
                <w:sz w:val="15"/>
                <w:szCs w:val="15"/>
                <w:b w:val="1"/>
                <w:bCs w:val="1"/>
                <w:color w:val="auto"/>
              </w:rPr>
              <w:t>Weighted</w:t>
            </w:r>
          </w:p>
        </w:tc>
        <w:tc>
          <w:tcPr>
            <w:tcW w:w="9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Weighted</w:t>
            </w:r>
          </w:p>
        </w:tc>
      </w:tr>
      <w:tr>
        <w:trPr>
          <w:trHeight w:val="210"/>
        </w:trPr>
        <w:tc>
          <w:tcPr>
            <w:tcW w:w="4740" w:type="dxa"/>
            <w:vAlign w:val="bottom"/>
          </w:tcPr>
          <w:p>
            <w:pPr>
              <w:spacing w:after="0"/>
              <w:rPr>
                <w:sz w:val="18"/>
                <w:szCs w:val="18"/>
                <w:color w:val="auto"/>
              </w:rPr>
            </w:pPr>
          </w:p>
        </w:tc>
        <w:tc>
          <w:tcPr>
            <w:tcW w:w="1740" w:type="dxa"/>
            <w:vAlign w:val="bottom"/>
          </w:tcPr>
          <w:p>
            <w:pPr>
              <w:jc w:val="right"/>
              <w:ind w:right="244"/>
              <w:spacing w:after="0"/>
              <w:rPr>
                <w:sz w:val="20"/>
                <w:szCs w:val="20"/>
                <w:color w:val="auto"/>
              </w:rPr>
            </w:pPr>
            <w:r>
              <w:rPr>
                <w:rFonts w:ascii="Arial" w:cs="Arial" w:eastAsia="Arial" w:hAnsi="Arial"/>
                <w:sz w:val="15"/>
                <w:szCs w:val="15"/>
                <w:b w:val="1"/>
                <w:bCs w:val="1"/>
                <w:color w:val="auto"/>
              </w:rPr>
              <w:t>Average</w:t>
            </w:r>
          </w:p>
        </w:tc>
        <w:tc>
          <w:tcPr>
            <w:tcW w:w="900" w:type="dxa"/>
            <w:vAlign w:val="bottom"/>
          </w:tcPr>
          <w:p>
            <w:pPr>
              <w:spacing w:after="0"/>
              <w:rPr>
                <w:sz w:val="18"/>
                <w:szCs w:val="18"/>
                <w:color w:val="auto"/>
              </w:rPr>
            </w:pPr>
          </w:p>
        </w:tc>
        <w:tc>
          <w:tcPr>
            <w:tcW w:w="1700" w:type="dxa"/>
            <w:vAlign w:val="bottom"/>
          </w:tcPr>
          <w:p>
            <w:pPr>
              <w:jc w:val="right"/>
              <w:ind w:right="204"/>
              <w:spacing w:after="0"/>
              <w:rPr>
                <w:sz w:val="20"/>
                <w:szCs w:val="20"/>
                <w:color w:val="auto"/>
              </w:rPr>
            </w:pPr>
            <w:r>
              <w:rPr>
                <w:rFonts w:ascii="Arial" w:cs="Arial" w:eastAsia="Arial" w:hAnsi="Arial"/>
                <w:sz w:val="15"/>
                <w:szCs w:val="15"/>
                <w:b w:val="1"/>
                <w:bCs w:val="1"/>
                <w:color w:val="auto"/>
              </w:rPr>
              <w:t>Average</w:t>
            </w:r>
          </w:p>
        </w:tc>
        <w:tc>
          <w:tcPr>
            <w:tcW w:w="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Average</w:t>
            </w:r>
          </w:p>
        </w:tc>
      </w:tr>
      <w:tr>
        <w:trPr>
          <w:trHeight w:val="210"/>
        </w:trPr>
        <w:tc>
          <w:tcPr>
            <w:tcW w:w="4740" w:type="dxa"/>
            <w:vAlign w:val="bottom"/>
          </w:tcPr>
          <w:p>
            <w:pPr>
              <w:spacing w:after="0"/>
              <w:rPr>
                <w:sz w:val="18"/>
                <w:szCs w:val="18"/>
                <w:color w:val="auto"/>
              </w:rPr>
            </w:pPr>
          </w:p>
        </w:tc>
        <w:tc>
          <w:tcPr>
            <w:tcW w:w="1740" w:type="dxa"/>
            <w:vAlign w:val="bottom"/>
          </w:tcPr>
          <w:p>
            <w:pPr>
              <w:jc w:val="right"/>
              <w:ind w:right="244"/>
              <w:spacing w:after="0"/>
              <w:rPr>
                <w:sz w:val="20"/>
                <w:szCs w:val="20"/>
                <w:color w:val="auto"/>
              </w:rPr>
            </w:pPr>
            <w:r>
              <w:rPr>
                <w:rFonts w:ascii="Arial" w:cs="Arial" w:eastAsia="Arial" w:hAnsi="Arial"/>
                <w:sz w:val="15"/>
                <w:szCs w:val="15"/>
                <w:b w:val="1"/>
                <w:bCs w:val="1"/>
                <w:color w:val="auto"/>
              </w:rPr>
              <w:t>Exercise</w:t>
            </w:r>
          </w:p>
        </w:tc>
        <w:tc>
          <w:tcPr>
            <w:tcW w:w="900" w:type="dxa"/>
            <w:vAlign w:val="bottom"/>
          </w:tcPr>
          <w:p>
            <w:pPr>
              <w:spacing w:after="0"/>
              <w:rPr>
                <w:sz w:val="18"/>
                <w:szCs w:val="18"/>
                <w:color w:val="auto"/>
              </w:rPr>
            </w:pPr>
          </w:p>
        </w:tc>
        <w:tc>
          <w:tcPr>
            <w:tcW w:w="1700" w:type="dxa"/>
            <w:vAlign w:val="bottom"/>
          </w:tcPr>
          <w:p>
            <w:pPr>
              <w:jc w:val="right"/>
              <w:ind w:right="204"/>
              <w:spacing w:after="0"/>
              <w:rPr>
                <w:sz w:val="20"/>
                <w:szCs w:val="20"/>
                <w:color w:val="auto"/>
              </w:rPr>
            </w:pPr>
            <w:r>
              <w:rPr>
                <w:rFonts w:ascii="Arial" w:cs="Arial" w:eastAsia="Arial" w:hAnsi="Arial"/>
                <w:sz w:val="15"/>
                <w:szCs w:val="15"/>
                <w:b w:val="1"/>
                <w:bCs w:val="1"/>
                <w:color w:val="auto"/>
              </w:rPr>
              <w:t>Exercise</w:t>
            </w:r>
          </w:p>
        </w:tc>
        <w:tc>
          <w:tcPr>
            <w:tcW w:w="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Exercise</w:t>
            </w:r>
          </w:p>
        </w:tc>
      </w:tr>
      <w:tr>
        <w:trPr>
          <w:trHeight w:val="221"/>
        </w:trPr>
        <w:tc>
          <w:tcPr>
            <w:tcW w:w="4740" w:type="dxa"/>
            <w:vAlign w:val="bottom"/>
          </w:tcPr>
          <w:p>
            <w:pPr>
              <w:ind w:left="4160"/>
              <w:spacing w:after="0"/>
              <w:rPr>
                <w:sz w:val="20"/>
                <w:szCs w:val="20"/>
                <w:color w:val="auto"/>
              </w:rPr>
            </w:pPr>
            <w:r>
              <w:rPr>
                <w:rFonts w:ascii="Arial" w:cs="Arial" w:eastAsia="Arial" w:hAnsi="Arial"/>
                <w:sz w:val="15"/>
                <w:szCs w:val="15"/>
                <w:b w:val="1"/>
                <w:bCs w:val="1"/>
                <w:color w:val="auto"/>
                <w:w w:val="98"/>
              </w:rPr>
              <w:t>Options</w:t>
            </w:r>
          </w:p>
        </w:tc>
        <w:tc>
          <w:tcPr>
            <w:tcW w:w="1740" w:type="dxa"/>
            <w:vAlign w:val="bottom"/>
          </w:tcPr>
          <w:p>
            <w:pPr>
              <w:jc w:val="right"/>
              <w:ind w:right="244"/>
              <w:spacing w:after="0"/>
              <w:rPr>
                <w:sz w:val="20"/>
                <w:szCs w:val="20"/>
                <w:color w:val="auto"/>
              </w:rPr>
            </w:pPr>
            <w:r>
              <w:rPr>
                <w:rFonts w:ascii="Arial" w:cs="Arial" w:eastAsia="Arial" w:hAnsi="Arial"/>
                <w:sz w:val="15"/>
                <w:szCs w:val="15"/>
                <w:b w:val="1"/>
                <w:bCs w:val="1"/>
                <w:color w:val="auto"/>
              </w:rPr>
              <w:t>Price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w w:val="98"/>
              </w:rPr>
              <w:t>Options</w:t>
            </w:r>
          </w:p>
        </w:tc>
        <w:tc>
          <w:tcPr>
            <w:tcW w:w="1700" w:type="dxa"/>
            <w:vAlign w:val="bottom"/>
          </w:tcPr>
          <w:p>
            <w:pPr>
              <w:jc w:val="right"/>
              <w:ind w:right="204"/>
              <w:spacing w:after="0"/>
              <w:rPr>
                <w:sz w:val="20"/>
                <w:szCs w:val="20"/>
                <w:color w:val="auto"/>
              </w:rPr>
            </w:pPr>
            <w:r>
              <w:rPr>
                <w:rFonts w:ascii="Arial" w:cs="Arial" w:eastAsia="Arial" w:hAnsi="Arial"/>
                <w:sz w:val="15"/>
                <w:szCs w:val="15"/>
                <w:b w:val="1"/>
                <w:bCs w:val="1"/>
                <w:color w:val="auto"/>
              </w:rPr>
              <w:t>Price</w:t>
            </w:r>
          </w:p>
        </w:tc>
        <w:tc>
          <w:tcPr>
            <w:tcW w:w="900" w:type="dxa"/>
            <w:vAlign w:val="bottom"/>
          </w:tcPr>
          <w:p>
            <w:pPr>
              <w:ind w:left="300"/>
              <w:spacing w:after="0"/>
              <w:rPr>
                <w:sz w:val="20"/>
                <w:szCs w:val="20"/>
                <w:color w:val="auto"/>
              </w:rPr>
            </w:pPr>
            <w:r>
              <w:rPr>
                <w:rFonts w:ascii="Arial" w:cs="Arial" w:eastAsia="Arial" w:hAnsi="Arial"/>
                <w:sz w:val="15"/>
                <w:szCs w:val="15"/>
                <w:b w:val="1"/>
                <w:bCs w:val="1"/>
                <w:color w:val="auto"/>
              </w:rPr>
              <w:t>Options</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Price</w:t>
            </w:r>
          </w:p>
        </w:tc>
      </w:tr>
      <w:tr>
        <w:trPr>
          <w:trHeight w:val="84"/>
        </w:trPr>
        <w:tc>
          <w:tcPr>
            <w:tcW w:w="47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265670" cy="133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p>
      <w:pPr>
        <w:spacing w:after="0" w:line="10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Outstanding – beginning of year</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Granted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Exercised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Cancelled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jc w:val="right"/>
              <w:ind w:right="84"/>
              <w:spacing w:after="0"/>
              <w:rPr>
                <w:sz w:val="20"/>
                <w:szCs w:val="20"/>
                <w:color w:val="auto"/>
              </w:rPr>
            </w:pPr>
            <w:r>
              <w:rPr>
                <w:rFonts w:ascii="Arial" w:cs="Arial" w:eastAsia="Arial" w:hAnsi="Arial"/>
                <w:sz w:val="15"/>
                <w:szCs w:val="15"/>
                <w:color w:val="auto"/>
              </w:rPr>
              <w:t>7,469,650</w:t>
            </w:r>
          </w:p>
        </w:tc>
        <w:tc>
          <w:tcPr>
            <w:tcW w:w="5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28.57</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8,032,587</w:t>
            </w:r>
          </w:p>
        </w:tc>
        <w:tc>
          <w:tcPr>
            <w:tcW w:w="5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28.52</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6,852,258</w:t>
            </w:r>
          </w:p>
        </w:tc>
        <w:tc>
          <w:tcPr>
            <w:tcW w:w="56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28.65</w:t>
            </w:r>
          </w:p>
        </w:tc>
      </w:tr>
      <w:tr>
        <w:trPr>
          <w:trHeight w:val="210"/>
        </w:trPr>
        <w:tc>
          <w:tcPr>
            <w:tcW w:w="880" w:type="dxa"/>
            <w:vAlign w:val="bottom"/>
          </w:tcPr>
          <w:p>
            <w:pPr>
              <w:jc w:val="right"/>
              <w:ind w:right="84"/>
              <w:spacing w:after="0"/>
              <w:rPr>
                <w:sz w:val="20"/>
                <w:szCs w:val="20"/>
                <w:color w:val="auto"/>
              </w:rPr>
            </w:pPr>
            <w:r>
              <w:rPr>
                <w:rFonts w:ascii="Arial" w:cs="Arial" w:eastAsia="Arial" w:hAnsi="Arial"/>
                <w:sz w:val="15"/>
                <w:szCs w:val="15"/>
                <w:color w:val="auto"/>
              </w:rPr>
              <w:t>851,500</w:t>
            </w:r>
          </w:p>
        </w:tc>
        <w:tc>
          <w:tcPr>
            <w:tcW w:w="54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34.67</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912,901</w:t>
            </w:r>
          </w:p>
        </w:tc>
        <w:tc>
          <w:tcPr>
            <w:tcW w:w="54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28.32</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1,599,000</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27.90</w:t>
            </w:r>
          </w:p>
        </w:tc>
      </w:tr>
      <w:tr>
        <w:trPr>
          <w:trHeight w:val="210"/>
        </w:trPr>
        <w:tc>
          <w:tcPr>
            <w:tcW w:w="880" w:type="dxa"/>
            <w:vAlign w:val="bottom"/>
          </w:tcPr>
          <w:p>
            <w:pPr>
              <w:jc w:val="right"/>
              <w:ind w:right="44"/>
              <w:spacing w:after="0"/>
              <w:rPr>
                <w:sz w:val="20"/>
                <w:szCs w:val="20"/>
                <w:color w:val="auto"/>
              </w:rPr>
            </w:pPr>
            <w:r>
              <w:rPr>
                <w:rFonts w:ascii="Arial" w:cs="Arial" w:eastAsia="Arial" w:hAnsi="Arial"/>
                <w:sz w:val="15"/>
                <w:szCs w:val="15"/>
                <w:color w:val="auto"/>
                <w:w w:val="96"/>
              </w:rPr>
              <w:t>(1,101,878)</w:t>
            </w:r>
          </w:p>
        </w:tc>
        <w:tc>
          <w:tcPr>
            <w:tcW w:w="54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23.36</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(1,038,828)</w:t>
            </w:r>
          </w:p>
        </w:tc>
        <w:tc>
          <w:tcPr>
            <w:tcW w:w="54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26.10</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(197,296)</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23.23</w:t>
            </w:r>
          </w:p>
        </w:tc>
      </w:tr>
      <w:tr>
        <w:trPr>
          <w:trHeight w:val="210"/>
        </w:trPr>
        <w:tc>
          <w:tcPr>
            <w:tcW w:w="880" w:type="dxa"/>
            <w:vAlign w:val="bottom"/>
          </w:tcPr>
          <w:p>
            <w:pPr>
              <w:jc w:val="right"/>
              <w:ind w:right="44"/>
              <w:spacing w:after="0"/>
              <w:rPr>
                <w:sz w:val="20"/>
                <w:szCs w:val="20"/>
                <w:color w:val="auto"/>
              </w:rPr>
            </w:pPr>
            <w:r>
              <w:rPr>
                <w:rFonts w:ascii="Arial" w:cs="Arial" w:eastAsia="Arial" w:hAnsi="Arial"/>
                <w:sz w:val="15"/>
                <w:szCs w:val="15"/>
                <w:color w:val="auto"/>
              </w:rPr>
              <w:t>(334,164)</w:t>
            </w:r>
          </w:p>
        </w:tc>
        <w:tc>
          <w:tcPr>
            <w:tcW w:w="54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32.81</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(437,010)</w:t>
            </w:r>
          </w:p>
        </w:tc>
        <w:tc>
          <w:tcPr>
            <w:tcW w:w="540" w:type="dxa"/>
            <w:vAlign w:val="bottom"/>
          </w:tcPr>
          <w:p>
            <w:pPr>
              <w:spacing w:after="0"/>
              <w:rPr>
                <w:sz w:val="18"/>
                <w:szCs w:val="18"/>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33.36</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(221,375)</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-271145</wp:posOffset>
            </wp:positionV>
            <wp:extent cx="7265670" cy="133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53340</wp:posOffset>
            </wp:positionV>
            <wp:extent cx="726567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320" w:space="720"/>
            <w:col w:w="7420"/>
          </w:cols>
          <w:pgMar w:left="220" w:top="132"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6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Outstanding – end of year</w:t>
            </w:r>
          </w:p>
        </w:tc>
        <w:tc>
          <w:tcPr>
            <w:tcW w:w="1920" w:type="dxa"/>
            <w:vAlign w:val="bottom"/>
            <w:shd w:val="clear" w:color="auto" w:fill="E6E6E6"/>
          </w:tcPr>
          <w:p>
            <w:pPr>
              <w:jc w:val="right"/>
              <w:ind w:right="64"/>
              <w:spacing w:after="0"/>
              <w:rPr>
                <w:sz w:val="20"/>
                <w:szCs w:val="20"/>
                <w:color w:val="auto"/>
              </w:rPr>
            </w:pPr>
            <w:r>
              <w:rPr>
                <w:rFonts w:ascii="Arial" w:cs="Arial" w:eastAsia="Arial" w:hAnsi="Arial"/>
                <w:sz w:val="15"/>
                <w:szCs w:val="15"/>
                <w:b w:val="1"/>
                <w:bCs w:val="1"/>
                <w:color w:val="auto"/>
              </w:rPr>
              <w:t>6,885,108</w:t>
            </w:r>
          </w:p>
        </w:tc>
        <w:tc>
          <w:tcPr>
            <w:tcW w:w="56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30.24</w:t>
            </w:r>
          </w:p>
        </w:tc>
        <w:tc>
          <w:tcPr>
            <w:tcW w:w="1080" w:type="dxa"/>
            <w:vAlign w:val="bottom"/>
            <w:shd w:val="clear" w:color="auto" w:fill="E6E6E6"/>
          </w:tcPr>
          <w:p>
            <w:pPr>
              <w:jc w:val="right"/>
              <w:ind w:right="64"/>
              <w:spacing w:after="0"/>
              <w:rPr>
                <w:sz w:val="20"/>
                <w:szCs w:val="20"/>
                <w:color w:val="auto"/>
              </w:rPr>
            </w:pPr>
            <w:r>
              <w:rPr>
                <w:rFonts w:ascii="Arial" w:cs="Arial" w:eastAsia="Arial" w:hAnsi="Arial"/>
                <w:sz w:val="15"/>
                <w:szCs w:val="15"/>
                <w:b w:val="1"/>
                <w:bCs w:val="1"/>
                <w:color w:val="auto"/>
              </w:rPr>
              <w:t>7,469,650</w:t>
            </w:r>
          </w:p>
        </w:tc>
        <w:tc>
          <w:tcPr>
            <w:tcW w:w="560" w:type="dxa"/>
            <w:vAlign w:val="bottom"/>
            <w:shd w:val="clear" w:color="auto" w:fill="E6E6E6"/>
          </w:tcPr>
          <w:p>
            <w:pPr>
              <w:jc w:val="right"/>
              <w:ind w:right="264"/>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E6E6E6"/>
          </w:tcPr>
          <w:p>
            <w:pPr>
              <w:jc w:val="right"/>
              <w:ind w:right="164"/>
              <w:spacing w:after="0"/>
              <w:rPr>
                <w:sz w:val="20"/>
                <w:szCs w:val="20"/>
                <w:color w:val="auto"/>
              </w:rPr>
            </w:pPr>
            <w:r>
              <w:rPr>
                <w:rFonts w:ascii="Arial" w:cs="Arial" w:eastAsia="Arial" w:hAnsi="Arial"/>
                <w:sz w:val="15"/>
                <w:szCs w:val="15"/>
                <w:b w:val="1"/>
                <w:bCs w:val="1"/>
                <w:color w:val="auto"/>
              </w:rPr>
              <w:t>28.57</w:t>
            </w: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5"/>
                <w:szCs w:val="15"/>
                <w:b w:val="1"/>
                <w:bCs w:val="1"/>
                <w:color w:val="auto"/>
              </w:rPr>
              <w:t>8,032,587</w:t>
            </w:r>
          </w:p>
        </w:tc>
        <w:tc>
          <w:tcPr>
            <w:tcW w:w="580" w:type="dxa"/>
            <w:vAlign w:val="bottom"/>
            <w:shd w:val="clear" w:color="auto" w:fill="E6E6E6"/>
          </w:tcPr>
          <w:p>
            <w:pPr>
              <w:jc w:val="right"/>
              <w:ind w:right="284"/>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28.52</w:t>
            </w:r>
          </w:p>
        </w:tc>
      </w:tr>
      <w:tr>
        <w:trPr>
          <w:trHeight w:val="112"/>
        </w:trPr>
        <w:tc>
          <w:tcPr>
            <w:tcW w:w="2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8"/>
        </w:trPr>
        <w:tc>
          <w:tcPr>
            <w:tcW w:w="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5"/>
                <w:szCs w:val="15"/>
                <w:b w:val="1"/>
                <w:bCs w:val="1"/>
                <w:color w:val="auto"/>
              </w:rPr>
              <w:t>Exercisable – end of year</w:t>
            </w:r>
          </w:p>
        </w:tc>
        <w:tc>
          <w:tcPr>
            <w:tcW w:w="1920" w:type="dxa"/>
            <w:vAlign w:val="bottom"/>
          </w:tcPr>
          <w:p>
            <w:pPr>
              <w:jc w:val="right"/>
              <w:ind w:right="64"/>
              <w:spacing w:after="0"/>
              <w:rPr>
                <w:sz w:val="20"/>
                <w:szCs w:val="20"/>
                <w:color w:val="auto"/>
              </w:rPr>
            </w:pPr>
            <w:r>
              <w:rPr>
                <w:rFonts w:ascii="Arial" w:cs="Arial" w:eastAsia="Arial" w:hAnsi="Arial"/>
                <w:sz w:val="15"/>
                <w:szCs w:val="15"/>
                <w:color w:val="auto"/>
              </w:rPr>
              <w:t>6,885,108</w:t>
            </w:r>
          </w:p>
        </w:tc>
        <w:tc>
          <w:tcPr>
            <w:tcW w:w="5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04"/>
              <w:spacing w:after="0"/>
              <w:rPr>
                <w:sz w:val="20"/>
                <w:szCs w:val="20"/>
                <w:color w:val="auto"/>
              </w:rPr>
            </w:pPr>
            <w:r>
              <w:rPr>
                <w:rFonts w:ascii="Arial" w:cs="Arial" w:eastAsia="Arial" w:hAnsi="Arial"/>
                <w:sz w:val="15"/>
                <w:szCs w:val="15"/>
                <w:color w:val="auto"/>
              </w:rPr>
              <w:t>30.24</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5,106,057</w:t>
            </w:r>
          </w:p>
        </w:tc>
        <w:tc>
          <w:tcPr>
            <w:tcW w:w="5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28.18</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5,279,912</w:t>
            </w:r>
          </w:p>
        </w:tc>
        <w:tc>
          <w:tcPr>
            <w:tcW w:w="58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27.43</w:t>
            </w:r>
          </w:p>
        </w:tc>
      </w:tr>
      <w:tr>
        <w:trPr>
          <w:trHeight w:val="84"/>
        </w:trPr>
        <w:tc>
          <w:tcPr>
            <w:tcW w:w="20" w:type="dxa"/>
            <w:vAlign w:val="bottom"/>
          </w:tcPr>
          <w:p>
            <w:pPr>
              <w:spacing w:after="0"/>
              <w:rPr>
                <w:sz w:val="7"/>
                <w:szCs w:val="7"/>
                <w:color w:val="auto"/>
              </w:rPr>
            </w:pPr>
          </w:p>
        </w:tc>
        <w:tc>
          <w:tcPr>
            <w:tcW w:w="2960" w:type="dxa"/>
            <w:vAlign w:val="bottom"/>
            <w:tcBorders>
              <w:bottom w:val="single" w:sz="8" w:color="808080"/>
            </w:tcBorders>
          </w:tcPr>
          <w:p>
            <w:pPr>
              <w:spacing w:after="0"/>
              <w:rPr>
                <w:sz w:val="7"/>
                <w:szCs w:val="7"/>
                <w:color w:val="auto"/>
              </w:rPr>
            </w:pPr>
          </w:p>
        </w:tc>
        <w:tc>
          <w:tcPr>
            <w:tcW w:w="19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-283210</wp:posOffset>
            </wp:positionV>
            <wp:extent cx="12700" cy="27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-283210</wp:posOffset>
            </wp:positionV>
            <wp:extent cx="12700" cy="27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right="160"/>
        <w:spacing w:after="0" w:line="285" w:lineRule="auto"/>
        <w:rPr>
          <w:sz w:val="20"/>
          <w:szCs w:val="20"/>
          <w:color w:val="auto"/>
        </w:rPr>
      </w:pPr>
      <w:r>
        <w:rPr>
          <w:rFonts w:ascii="Arial" w:cs="Arial" w:eastAsia="Arial" w:hAnsi="Arial"/>
          <w:sz w:val="15"/>
          <w:szCs w:val="15"/>
          <w:color w:val="auto"/>
        </w:rPr>
        <w:t>The following table sets forth information as of May 31, 2006 regarding weighted average exercise prices and weighted average remaining contractual lives for the remaining outstanding stock options, sorted by range of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99695</wp:posOffset>
            </wp:positionV>
            <wp:extent cx="726567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80" w:type="dxa"/>
            <w:vAlign w:val="bottom"/>
            <w:gridSpan w:val="2"/>
          </w:tcPr>
          <w:p>
            <w:pPr>
              <w:jc w:val="right"/>
              <w:ind w:right="604"/>
              <w:spacing w:after="0"/>
              <w:rPr>
                <w:sz w:val="20"/>
                <w:szCs w:val="20"/>
                <w:color w:val="auto"/>
              </w:rPr>
            </w:pPr>
            <w:r>
              <w:rPr>
                <w:rFonts w:ascii="Arial" w:cs="Arial" w:eastAsia="Arial" w:hAnsi="Arial"/>
                <w:sz w:val="15"/>
                <w:szCs w:val="15"/>
                <w:b w:val="1"/>
                <w:bCs w:val="1"/>
                <w:color w:val="auto"/>
              </w:rPr>
              <w:t>Options Outstanding</w:t>
            </w:r>
          </w:p>
        </w:tc>
        <w:tc>
          <w:tcPr>
            <w:tcW w:w="1640" w:type="dxa"/>
            <w:vAlign w:val="bottom"/>
          </w:tcPr>
          <w:p>
            <w:pPr>
              <w:spacing w:after="0"/>
              <w:rPr>
                <w:sz w:val="16"/>
                <w:szCs w:val="16"/>
                <w:color w:val="auto"/>
              </w:rPr>
            </w:pPr>
          </w:p>
        </w:tc>
        <w:tc>
          <w:tcPr>
            <w:tcW w:w="2420" w:type="dxa"/>
            <w:vAlign w:val="bottom"/>
          </w:tcPr>
          <w:p>
            <w:pPr>
              <w:jc w:val="right"/>
              <w:ind w:right="64"/>
              <w:spacing w:after="0"/>
              <w:rPr>
                <w:sz w:val="20"/>
                <w:szCs w:val="20"/>
                <w:color w:val="auto"/>
              </w:rPr>
            </w:pPr>
            <w:r>
              <w:rPr>
                <w:rFonts w:ascii="Arial" w:cs="Arial" w:eastAsia="Arial" w:hAnsi="Arial"/>
                <w:sz w:val="15"/>
                <w:szCs w:val="15"/>
                <w:b w:val="1"/>
                <w:bCs w:val="1"/>
                <w:color w:val="auto"/>
              </w:rPr>
              <w:t>Options Exercisable</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96"/>
        </w:trPr>
        <w:tc>
          <w:tcPr>
            <w:tcW w:w="9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292"/>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jc w:val="right"/>
              <w:ind w:right="304"/>
              <w:spacing w:after="0"/>
              <w:rPr>
                <w:sz w:val="20"/>
                <w:szCs w:val="20"/>
                <w:color w:val="auto"/>
              </w:rPr>
            </w:pPr>
            <w:r>
              <w:rPr>
                <w:rFonts w:ascii="Arial" w:cs="Arial" w:eastAsia="Arial" w:hAnsi="Arial"/>
                <w:sz w:val="15"/>
                <w:szCs w:val="15"/>
                <w:b w:val="1"/>
                <w:bCs w:val="1"/>
                <w:color w:val="auto"/>
              </w:rPr>
              <w:t>Weighted</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jc w:val="right"/>
              <w:ind w:right="304"/>
              <w:spacing w:after="0"/>
              <w:rPr>
                <w:sz w:val="20"/>
                <w:szCs w:val="20"/>
                <w:color w:val="auto"/>
              </w:rPr>
            </w:pPr>
            <w:r>
              <w:rPr>
                <w:rFonts w:ascii="Arial" w:cs="Arial" w:eastAsia="Arial" w:hAnsi="Arial"/>
                <w:sz w:val="15"/>
                <w:szCs w:val="15"/>
                <w:b w:val="1"/>
                <w:bCs w:val="1"/>
                <w:color w:val="auto"/>
              </w:rPr>
              <w:t>Average</w:t>
            </w:r>
          </w:p>
        </w:tc>
        <w:tc>
          <w:tcPr>
            <w:tcW w:w="2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Weighted</w:t>
            </w:r>
          </w:p>
        </w:tc>
      </w:tr>
      <w:tr>
        <w:trPr>
          <w:trHeight w:val="210"/>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38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Weighted</w:t>
            </w:r>
          </w:p>
        </w:tc>
        <w:tc>
          <w:tcPr>
            <w:tcW w:w="1640" w:type="dxa"/>
            <w:vAlign w:val="bottom"/>
          </w:tcPr>
          <w:p>
            <w:pPr>
              <w:jc w:val="right"/>
              <w:ind w:right="304"/>
              <w:spacing w:after="0"/>
              <w:rPr>
                <w:sz w:val="20"/>
                <w:szCs w:val="20"/>
                <w:color w:val="auto"/>
              </w:rPr>
            </w:pPr>
            <w:r>
              <w:rPr>
                <w:rFonts w:ascii="Arial" w:cs="Arial" w:eastAsia="Arial" w:hAnsi="Arial"/>
                <w:sz w:val="15"/>
                <w:szCs w:val="15"/>
                <w:b w:val="1"/>
                <w:bCs w:val="1"/>
                <w:color w:val="auto"/>
              </w:rPr>
              <w:t>Remaining</w:t>
            </w:r>
          </w:p>
        </w:tc>
        <w:tc>
          <w:tcPr>
            <w:tcW w:w="2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Average</w:t>
            </w:r>
          </w:p>
        </w:tc>
      </w:tr>
      <w:tr>
        <w:trPr>
          <w:trHeight w:val="210"/>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64"/>
              <w:spacing w:after="0"/>
              <w:rPr>
                <w:sz w:val="20"/>
                <w:szCs w:val="20"/>
                <w:color w:val="auto"/>
              </w:rPr>
            </w:pPr>
            <w:r>
              <w:rPr>
                <w:rFonts w:ascii="Arial" w:cs="Arial" w:eastAsia="Arial" w:hAnsi="Arial"/>
                <w:sz w:val="15"/>
                <w:szCs w:val="15"/>
                <w:b w:val="1"/>
                <w:bCs w:val="1"/>
                <w:color w:val="auto"/>
              </w:rPr>
              <w:t>Options</w:t>
            </w:r>
          </w:p>
        </w:tc>
        <w:tc>
          <w:tcPr>
            <w:tcW w:w="1680" w:type="dxa"/>
            <w:vAlign w:val="bottom"/>
          </w:tcPr>
          <w:p>
            <w:pPr>
              <w:spacing w:after="0"/>
              <w:rPr>
                <w:sz w:val="18"/>
                <w:szCs w:val="18"/>
                <w:color w:val="auto"/>
              </w:rPr>
            </w:pPr>
          </w:p>
        </w:tc>
        <w:tc>
          <w:tcPr>
            <w:tcW w:w="238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Average</w:t>
            </w:r>
          </w:p>
        </w:tc>
        <w:tc>
          <w:tcPr>
            <w:tcW w:w="1640" w:type="dxa"/>
            <w:vAlign w:val="bottom"/>
          </w:tcPr>
          <w:p>
            <w:pPr>
              <w:jc w:val="right"/>
              <w:ind w:right="304"/>
              <w:spacing w:after="0"/>
              <w:rPr>
                <w:sz w:val="20"/>
                <w:szCs w:val="20"/>
                <w:color w:val="auto"/>
              </w:rPr>
            </w:pPr>
            <w:r>
              <w:rPr>
                <w:rFonts w:ascii="Arial" w:cs="Arial" w:eastAsia="Arial" w:hAnsi="Arial"/>
                <w:sz w:val="15"/>
                <w:szCs w:val="15"/>
                <w:b w:val="1"/>
                <w:bCs w:val="1"/>
                <w:color w:val="auto"/>
              </w:rPr>
              <w:t>Contractual</w:t>
            </w:r>
          </w:p>
        </w:tc>
        <w:tc>
          <w:tcPr>
            <w:tcW w:w="2420" w:type="dxa"/>
            <w:vAlign w:val="bottom"/>
          </w:tcPr>
          <w:p>
            <w:pPr>
              <w:jc w:val="right"/>
              <w:ind w:right="1124"/>
              <w:spacing w:after="0"/>
              <w:rPr>
                <w:sz w:val="20"/>
                <w:szCs w:val="20"/>
                <w:color w:val="auto"/>
              </w:rPr>
            </w:pPr>
            <w:r>
              <w:rPr>
                <w:rFonts w:ascii="Arial" w:cs="Arial" w:eastAsia="Arial" w:hAnsi="Arial"/>
                <w:sz w:val="15"/>
                <w:szCs w:val="15"/>
                <w:b w:val="1"/>
                <w:bCs w:val="1"/>
                <w:color w:val="auto"/>
              </w:rPr>
              <w:t>Number</w:t>
            </w: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Exercise</w:t>
            </w:r>
          </w:p>
        </w:tc>
      </w:tr>
      <w:tr>
        <w:trPr>
          <w:trHeight w:val="210"/>
        </w:trPr>
        <w:tc>
          <w:tcPr>
            <w:tcW w:w="900" w:type="dxa"/>
            <w:vAlign w:val="bottom"/>
          </w:tcPr>
          <w:p>
            <w:pPr>
              <w:spacing w:after="0"/>
              <w:rPr>
                <w:sz w:val="18"/>
                <w:szCs w:val="18"/>
                <w:color w:val="auto"/>
              </w:rPr>
            </w:pPr>
          </w:p>
        </w:tc>
        <w:tc>
          <w:tcPr>
            <w:tcW w:w="1540" w:type="dxa"/>
            <w:vAlign w:val="bottom"/>
            <w:gridSpan w:val="2"/>
          </w:tcPr>
          <w:p>
            <w:pPr>
              <w:jc w:val="right"/>
              <w:ind w:right="564"/>
              <w:spacing w:after="0"/>
              <w:rPr>
                <w:sz w:val="20"/>
                <w:szCs w:val="20"/>
                <w:color w:val="auto"/>
              </w:rPr>
            </w:pPr>
            <w:r>
              <w:rPr>
                <w:rFonts w:ascii="Arial" w:cs="Arial" w:eastAsia="Arial" w:hAnsi="Arial"/>
                <w:sz w:val="15"/>
                <w:szCs w:val="15"/>
                <w:b w:val="1"/>
                <w:bCs w:val="1"/>
                <w:color w:val="auto"/>
              </w:rPr>
              <w:t>Price Range</w:t>
            </w:r>
          </w:p>
        </w:tc>
        <w:tc>
          <w:tcPr>
            <w:tcW w:w="1680" w:type="dxa"/>
            <w:vAlign w:val="bottom"/>
          </w:tcPr>
          <w:p>
            <w:pPr>
              <w:jc w:val="right"/>
              <w:ind w:right="284"/>
              <w:spacing w:after="0"/>
              <w:rPr>
                <w:sz w:val="20"/>
                <w:szCs w:val="20"/>
                <w:color w:val="auto"/>
              </w:rPr>
            </w:pPr>
            <w:r>
              <w:rPr>
                <w:rFonts w:ascii="Arial" w:cs="Arial" w:eastAsia="Arial" w:hAnsi="Arial"/>
                <w:sz w:val="15"/>
                <w:szCs w:val="15"/>
                <w:b w:val="1"/>
                <w:bCs w:val="1"/>
                <w:color w:val="auto"/>
              </w:rPr>
              <w:t>Number</w:t>
            </w:r>
          </w:p>
        </w:tc>
        <w:tc>
          <w:tcPr>
            <w:tcW w:w="238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Exercise Price</w:t>
            </w:r>
          </w:p>
        </w:tc>
        <w:tc>
          <w:tcPr>
            <w:tcW w:w="1640" w:type="dxa"/>
            <w:vAlign w:val="bottom"/>
          </w:tcPr>
          <w:p>
            <w:pPr>
              <w:jc w:val="right"/>
              <w:ind w:right="304"/>
              <w:spacing w:after="0"/>
              <w:rPr>
                <w:sz w:val="20"/>
                <w:szCs w:val="20"/>
                <w:color w:val="auto"/>
              </w:rPr>
            </w:pPr>
            <w:r>
              <w:rPr>
                <w:rFonts w:ascii="Arial" w:cs="Arial" w:eastAsia="Arial" w:hAnsi="Arial"/>
                <w:sz w:val="15"/>
                <w:szCs w:val="15"/>
                <w:b w:val="1"/>
                <w:bCs w:val="1"/>
                <w:color w:val="auto"/>
              </w:rPr>
              <w:t>Life</w:t>
            </w:r>
          </w:p>
        </w:tc>
        <w:tc>
          <w:tcPr>
            <w:tcW w:w="2420" w:type="dxa"/>
            <w:vAlign w:val="bottom"/>
          </w:tcPr>
          <w:p>
            <w:pPr>
              <w:jc w:val="right"/>
              <w:ind w:right="1124"/>
              <w:spacing w:after="0"/>
              <w:rPr>
                <w:sz w:val="20"/>
                <w:szCs w:val="20"/>
                <w:color w:val="auto"/>
              </w:rPr>
            </w:pPr>
            <w:r>
              <w:rPr>
                <w:rFonts w:ascii="Arial" w:cs="Arial" w:eastAsia="Arial" w:hAnsi="Arial"/>
                <w:sz w:val="15"/>
                <w:szCs w:val="15"/>
                <w:b w:val="1"/>
                <w:bCs w:val="1"/>
                <w:color w:val="auto"/>
              </w:rPr>
              <w:t>Exercisable</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Price</w:t>
            </w:r>
          </w:p>
        </w:tc>
      </w:tr>
      <w:tr>
        <w:trPr>
          <w:trHeight w:val="96"/>
        </w:trPr>
        <w:tc>
          <w:tcPr>
            <w:tcW w:w="9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85"/>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210"/>
        </w:trPr>
        <w:tc>
          <w:tcPr>
            <w:tcW w:w="9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$15.73</w:t>
            </w:r>
          </w:p>
        </w:tc>
        <w:tc>
          <w:tcPr>
            <w:tcW w:w="280" w:type="dxa"/>
            <w:vAlign w:val="bottom"/>
            <w:shd w:val="clear" w:color="auto" w:fill="E6E6E6"/>
          </w:tcPr>
          <w:p>
            <w:pPr>
              <w:ind w:left="80"/>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E6E6E6"/>
          </w:tcPr>
          <w:p>
            <w:pPr>
              <w:jc w:val="right"/>
              <w:ind w:right="564"/>
              <w:spacing w:after="0"/>
              <w:rPr>
                <w:sz w:val="20"/>
                <w:szCs w:val="20"/>
                <w:color w:val="auto"/>
              </w:rPr>
            </w:pPr>
            <w:r>
              <w:rPr>
                <w:rFonts w:ascii="Arial" w:cs="Arial" w:eastAsia="Arial" w:hAnsi="Arial"/>
                <w:sz w:val="15"/>
                <w:szCs w:val="15"/>
                <w:b w:val="1"/>
                <w:bCs w:val="1"/>
                <w:color w:val="auto"/>
              </w:rPr>
              <w:t>$20.97</w:t>
            </w:r>
          </w:p>
        </w:tc>
        <w:tc>
          <w:tcPr>
            <w:tcW w:w="1680" w:type="dxa"/>
            <w:vAlign w:val="bottom"/>
            <w:shd w:val="clear" w:color="auto" w:fill="E6E6E6"/>
          </w:tcPr>
          <w:p>
            <w:pPr>
              <w:jc w:val="right"/>
              <w:ind w:right="284"/>
              <w:spacing w:after="0"/>
              <w:rPr>
                <w:sz w:val="20"/>
                <w:szCs w:val="20"/>
                <w:color w:val="auto"/>
              </w:rPr>
            </w:pPr>
            <w:r>
              <w:rPr>
                <w:rFonts w:ascii="Arial" w:cs="Arial" w:eastAsia="Arial" w:hAnsi="Arial"/>
                <w:sz w:val="15"/>
                <w:szCs w:val="15"/>
                <w:color w:val="auto"/>
              </w:rPr>
              <w:t>841,806</w:t>
            </w:r>
          </w:p>
        </w:tc>
        <w:tc>
          <w:tcPr>
            <w:tcW w:w="14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shd w:val="clear" w:color="auto" w:fill="E6E6E6"/>
          </w:tcPr>
          <w:p>
            <w:pPr>
              <w:jc w:val="right"/>
              <w:ind w:right="364"/>
              <w:spacing w:after="0"/>
              <w:rPr>
                <w:sz w:val="20"/>
                <w:szCs w:val="20"/>
                <w:color w:val="auto"/>
              </w:rPr>
            </w:pPr>
            <w:r>
              <w:rPr>
                <w:rFonts w:ascii="Arial" w:cs="Arial" w:eastAsia="Arial" w:hAnsi="Arial"/>
                <w:sz w:val="15"/>
                <w:szCs w:val="15"/>
                <w:color w:val="auto"/>
              </w:rPr>
              <w:t>18.42</w:t>
            </w:r>
          </w:p>
        </w:tc>
        <w:tc>
          <w:tcPr>
            <w:tcW w:w="16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1.5</w:t>
            </w:r>
          </w:p>
        </w:tc>
        <w:tc>
          <w:tcPr>
            <w:tcW w:w="2420" w:type="dxa"/>
            <w:vAlign w:val="bottom"/>
            <w:shd w:val="clear" w:color="auto" w:fill="E6E6E6"/>
          </w:tcPr>
          <w:p>
            <w:pPr>
              <w:jc w:val="right"/>
              <w:ind w:right="1124"/>
              <w:spacing w:after="0"/>
              <w:rPr>
                <w:sz w:val="20"/>
                <w:szCs w:val="20"/>
                <w:color w:val="auto"/>
              </w:rPr>
            </w:pPr>
            <w:r>
              <w:rPr>
                <w:rFonts w:ascii="Arial" w:cs="Arial" w:eastAsia="Arial" w:hAnsi="Arial"/>
                <w:sz w:val="15"/>
                <w:szCs w:val="15"/>
                <w:color w:val="auto"/>
              </w:rPr>
              <w:t>841,806</w:t>
            </w:r>
          </w:p>
        </w:tc>
        <w:tc>
          <w:tcPr>
            <w:tcW w:w="34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18.42</w:t>
            </w:r>
          </w:p>
        </w:tc>
      </w:tr>
      <w:tr>
        <w:trPr>
          <w:trHeight w:val="208"/>
        </w:trPr>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$20.98</w:t>
            </w: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564"/>
              <w:spacing w:after="0"/>
              <w:rPr>
                <w:sz w:val="20"/>
                <w:szCs w:val="20"/>
                <w:color w:val="auto"/>
              </w:rPr>
            </w:pPr>
            <w:r>
              <w:rPr>
                <w:rFonts w:ascii="Arial" w:cs="Arial" w:eastAsia="Arial" w:hAnsi="Arial"/>
                <w:sz w:val="15"/>
                <w:szCs w:val="15"/>
                <w:b w:val="1"/>
                <w:bCs w:val="1"/>
                <w:color w:val="auto"/>
              </w:rPr>
              <w:t>$26.21</w:t>
            </w:r>
          </w:p>
        </w:tc>
        <w:tc>
          <w:tcPr>
            <w:tcW w:w="1680" w:type="dxa"/>
            <w:vAlign w:val="bottom"/>
          </w:tcPr>
          <w:p>
            <w:pPr>
              <w:jc w:val="right"/>
              <w:ind w:right="284"/>
              <w:spacing w:after="0"/>
              <w:rPr>
                <w:sz w:val="20"/>
                <w:szCs w:val="20"/>
                <w:color w:val="auto"/>
              </w:rPr>
            </w:pPr>
            <w:r>
              <w:rPr>
                <w:rFonts w:ascii="Arial" w:cs="Arial" w:eastAsia="Arial" w:hAnsi="Arial"/>
                <w:sz w:val="15"/>
                <w:szCs w:val="15"/>
                <w:color w:val="auto"/>
              </w:rPr>
              <w:t>899,250</w:t>
            </w:r>
          </w:p>
        </w:tc>
        <w:tc>
          <w:tcPr>
            <w:tcW w:w="1460" w:type="dxa"/>
            <w:vAlign w:val="bottom"/>
          </w:tcPr>
          <w:p>
            <w:pPr>
              <w:spacing w:after="0"/>
              <w:rPr>
                <w:sz w:val="18"/>
                <w:szCs w:val="18"/>
                <w:color w:val="auto"/>
              </w:rPr>
            </w:pPr>
          </w:p>
        </w:tc>
        <w:tc>
          <w:tcPr>
            <w:tcW w:w="920" w:type="dxa"/>
            <w:vAlign w:val="bottom"/>
          </w:tcPr>
          <w:p>
            <w:pPr>
              <w:jc w:val="right"/>
              <w:ind w:right="364"/>
              <w:spacing w:after="0"/>
              <w:rPr>
                <w:sz w:val="20"/>
                <w:szCs w:val="20"/>
                <w:color w:val="auto"/>
              </w:rPr>
            </w:pPr>
            <w:r>
              <w:rPr>
                <w:rFonts w:ascii="Arial" w:cs="Arial" w:eastAsia="Arial" w:hAnsi="Arial"/>
                <w:sz w:val="15"/>
                <w:szCs w:val="15"/>
                <w:color w:val="auto"/>
              </w:rPr>
              <w:t>25.37</w:t>
            </w:r>
          </w:p>
        </w:tc>
        <w:tc>
          <w:tcPr>
            <w:tcW w:w="1640" w:type="dxa"/>
            <w:vAlign w:val="bottom"/>
          </w:tcPr>
          <w:p>
            <w:pPr>
              <w:jc w:val="right"/>
              <w:ind w:right="304"/>
              <w:spacing w:after="0"/>
              <w:rPr>
                <w:sz w:val="20"/>
                <w:szCs w:val="20"/>
                <w:color w:val="auto"/>
              </w:rPr>
            </w:pPr>
            <w:r>
              <w:rPr>
                <w:rFonts w:ascii="Arial" w:cs="Arial" w:eastAsia="Arial" w:hAnsi="Arial"/>
                <w:sz w:val="15"/>
                <w:szCs w:val="15"/>
                <w:color w:val="auto"/>
              </w:rPr>
              <w:t>4.1</w:t>
            </w:r>
          </w:p>
        </w:tc>
        <w:tc>
          <w:tcPr>
            <w:tcW w:w="2420" w:type="dxa"/>
            <w:vAlign w:val="bottom"/>
          </w:tcPr>
          <w:p>
            <w:pPr>
              <w:jc w:val="right"/>
              <w:ind w:right="1124"/>
              <w:spacing w:after="0"/>
              <w:rPr>
                <w:sz w:val="20"/>
                <w:szCs w:val="20"/>
                <w:color w:val="auto"/>
              </w:rPr>
            </w:pPr>
            <w:r>
              <w:rPr>
                <w:rFonts w:ascii="Arial" w:cs="Arial" w:eastAsia="Arial" w:hAnsi="Arial"/>
                <w:sz w:val="15"/>
                <w:szCs w:val="15"/>
                <w:color w:val="auto"/>
              </w:rPr>
              <w:t>899,250</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25.37</w:t>
            </w:r>
          </w:p>
        </w:tc>
      </w:tr>
      <w:tr>
        <w:trPr>
          <w:trHeight w:val="211"/>
        </w:trPr>
        <w:tc>
          <w:tcPr>
            <w:tcW w:w="9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$26.22</w:t>
            </w:r>
          </w:p>
        </w:tc>
        <w:tc>
          <w:tcPr>
            <w:tcW w:w="280" w:type="dxa"/>
            <w:vAlign w:val="bottom"/>
            <w:shd w:val="clear" w:color="auto" w:fill="E6E6E6"/>
          </w:tcPr>
          <w:p>
            <w:pPr>
              <w:ind w:left="80"/>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E6E6E6"/>
          </w:tcPr>
          <w:p>
            <w:pPr>
              <w:jc w:val="right"/>
              <w:ind w:right="564"/>
              <w:spacing w:after="0"/>
              <w:rPr>
                <w:sz w:val="20"/>
                <w:szCs w:val="20"/>
                <w:color w:val="auto"/>
              </w:rPr>
            </w:pPr>
            <w:r>
              <w:rPr>
                <w:rFonts w:ascii="Arial" w:cs="Arial" w:eastAsia="Arial" w:hAnsi="Arial"/>
                <w:sz w:val="15"/>
                <w:szCs w:val="15"/>
                <w:b w:val="1"/>
                <w:bCs w:val="1"/>
                <w:color w:val="auto"/>
              </w:rPr>
              <w:t>$31.45</w:t>
            </w:r>
          </w:p>
        </w:tc>
        <w:tc>
          <w:tcPr>
            <w:tcW w:w="1680" w:type="dxa"/>
            <w:vAlign w:val="bottom"/>
            <w:shd w:val="clear" w:color="auto" w:fill="E6E6E6"/>
          </w:tcPr>
          <w:p>
            <w:pPr>
              <w:jc w:val="right"/>
              <w:ind w:right="284"/>
              <w:spacing w:after="0"/>
              <w:rPr>
                <w:sz w:val="20"/>
                <w:szCs w:val="20"/>
                <w:color w:val="auto"/>
              </w:rPr>
            </w:pPr>
            <w:r>
              <w:rPr>
                <w:rFonts w:ascii="Arial" w:cs="Arial" w:eastAsia="Arial" w:hAnsi="Arial"/>
                <w:sz w:val="15"/>
                <w:szCs w:val="15"/>
                <w:color w:val="auto"/>
              </w:rPr>
              <w:t>2,233,510</w:t>
            </w:r>
          </w:p>
        </w:tc>
        <w:tc>
          <w:tcPr>
            <w:tcW w:w="146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364"/>
              <w:spacing w:after="0"/>
              <w:rPr>
                <w:sz w:val="20"/>
                <w:szCs w:val="20"/>
                <w:color w:val="auto"/>
              </w:rPr>
            </w:pPr>
            <w:r>
              <w:rPr>
                <w:rFonts w:ascii="Arial" w:cs="Arial" w:eastAsia="Arial" w:hAnsi="Arial"/>
                <w:sz w:val="15"/>
                <w:szCs w:val="15"/>
                <w:color w:val="auto"/>
              </w:rPr>
              <w:t>28.57</w:t>
            </w:r>
          </w:p>
        </w:tc>
        <w:tc>
          <w:tcPr>
            <w:tcW w:w="16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7.0</w:t>
            </w:r>
          </w:p>
        </w:tc>
        <w:tc>
          <w:tcPr>
            <w:tcW w:w="2420" w:type="dxa"/>
            <w:vAlign w:val="bottom"/>
            <w:shd w:val="clear" w:color="auto" w:fill="E6E6E6"/>
          </w:tcPr>
          <w:p>
            <w:pPr>
              <w:jc w:val="right"/>
              <w:ind w:right="1124"/>
              <w:spacing w:after="0"/>
              <w:rPr>
                <w:sz w:val="20"/>
                <w:szCs w:val="20"/>
                <w:color w:val="auto"/>
              </w:rPr>
            </w:pPr>
            <w:r>
              <w:rPr>
                <w:rFonts w:ascii="Arial" w:cs="Arial" w:eastAsia="Arial" w:hAnsi="Arial"/>
                <w:sz w:val="15"/>
                <w:szCs w:val="15"/>
                <w:color w:val="auto"/>
              </w:rPr>
              <w:t>2,233,510</w:t>
            </w:r>
          </w:p>
        </w:tc>
        <w:tc>
          <w:tcPr>
            <w:tcW w:w="34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28.57</w:t>
            </w:r>
          </w:p>
        </w:tc>
      </w:tr>
      <w:tr>
        <w:trPr>
          <w:trHeight w:val="208"/>
        </w:trPr>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$31.46</w:t>
            </w: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564"/>
              <w:spacing w:after="0"/>
              <w:rPr>
                <w:sz w:val="20"/>
                <w:szCs w:val="20"/>
                <w:color w:val="auto"/>
              </w:rPr>
            </w:pPr>
            <w:r>
              <w:rPr>
                <w:rFonts w:ascii="Arial" w:cs="Arial" w:eastAsia="Arial" w:hAnsi="Arial"/>
                <w:sz w:val="15"/>
                <w:szCs w:val="15"/>
                <w:b w:val="1"/>
                <w:bCs w:val="1"/>
                <w:color w:val="auto"/>
              </w:rPr>
              <w:t>$36.69</w:t>
            </w:r>
          </w:p>
        </w:tc>
        <w:tc>
          <w:tcPr>
            <w:tcW w:w="1680" w:type="dxa"/>
            <w:vAlign w:val="bottom"/>
          </w:tcPr>
          <w:p>
            <w:pPr>
              <w:jc w:val="right"/>
              <w:ind w:right="284"/>
              <w:spacing w:after="0"/>
              <w:rPr>
                <w:sz w:val="20"/>
                <w:szCs w:val="20"/>
                <w:color w:val="auto"/>
              </w:rPr>
            </w:pPr>
            <w:r>
              <w:rPr>
                <w:rFonts w:ascii="Arial" w:cs="Arial" w:eastAsia="Arial" w:hAnsi="Arial"/>
                <w:sz w:val="15"/>
                <w:szCs w:val="15"/>
                <w:color w:val="auto"/>
              </w:rPr>
              <w:t>1,948,160</w:t>
            </w:r>
          </w:p>
        </w:tc>
        <w:tc>
          <w:tcPr>
            <w:tcW w:w="1460" w:type="dxa"/>
            <w:vAlign w:val="bottom"/>
          </w:tcPr>
          <w:p>
            <w:pPr>
              <w:spacing w:after="0"/>
              <w:rPr>
                <w:sz w:val="18"/>
                <w:szCs w:val="18"/>
                <w:color w:val="auto"/>
              </w:rPr>
            </w:pPr>
          </w:p>
        </w:tc>
        <w:tc>
          <w:tcPr>
            <w:tcW w:w="920" w:type="dxa"/>
            <w:vAlign w:val="bottom"/>
          </w:tcPr>
          <w:p>
            <w:pPr>
              <w:jc w:val="right"/>
              <w:ind w:right="364"/>
              <w:spacing w:after="0"/>
              <w:rPr>
                <w:sz w:val="20"/>
                <w:szCs w:val="20"/>
                <w:color w:val="auto"/>
              </w:rPr>
            </w:pPr>
            <w:r>
              <w:rPr>
                <w:rFonts w:ascii="Arial" w:cs="Arial" w:eastAsia="Arial" w:hAnsi="Arial"/>
                <w:sz w:val="15"/>
                <w:szCs w:val="15"/>
                <w:color w:val="auto"/>
              </w:rPr>
              <w:t>34.22</w:t>
            </w:r>
          </w:p>
        </w:tc>
        <w:tc>
          <w:tcPr>
            <w:tcW w:w="1640" w:type="dxa"/>
            <w:vAlign w:val="bottom"/>
          </w:tcPr>
          <w:p>
            <w:pPr>
              <w:jc w:val="right"/>
              <w:ind w:right="304"/>
              <w:spacing w:after="0"/>
              <w:rPr>
                <w:sz w:val="20"/>
                <w:szCs w:val="20"/>
                <w:color w:val="auto"/>
              </w:rPr>
            </w:pPr>
            <w:r>
              <w:rPr>
                <w:rFonts w:ascii="Arial" w:cs="Arial" w:eastAsia="Arial" w:hAnsi="Arial"/>
                <w:sz w:val="15"/>
                <w:szCs w:val="15"/>
                <w:color w:val="auto"/>
              </w:rPr>
              <w:t>6.0</w:t>
            </w:r>
          </w:p>
        </w:tc>
        <w:tc>
          <w:tcPr>
            <w:tcW w:w="2420" w:type="dxa"/>
            <w:vAlign w:val="bottom"/>
          </w:tcPr>
          <w:p>
            <w:pPr>
              <w:jc w:val="right"/>
              <w:ind w:right="1124"/>
              <w:spacing w:after="0"/>
              <w:rPr>
                <w:sz w:val="20"/>
                <w:szCs w:val="20"/>
                <w:color w:val="auto"/>
              </w:rPr>
            </w:pPr>
            <w:r>
              <w:rPr>
                <w:rFonts w:ascii="Arial" w:cs="Arial" w:eastAsia="Arial" w:hAnsi="Arial"/>
                <w:sz w:val="15"/>
                <w:szCs w:val="15"/>
                <w:color w:val="auto"/>
              </w:rPr>
              <w:t>1,948,160</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34.22</w:t>
            </w:r>
          </w:p>
        </w:tc>
      </w:tr>
      <w:tr>
        <w:trPr>
          <w:trHeight w:val="211"/>
        </w:trPr>
        <w:tc>
          <w:tcPr>
            <w:tcW w:w="9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$36.70</w:t>
            </w:r>
          </w:p>
        </w:tc>
        <w:tc>
          <w:tcPr>
            <w:tcW w:w="280" w:type="dxa"/>
            <w:vAlign w:val="bottom"/>
            <w:shd w:val="clear" w:color="auto" w:fill="E6E6E6"/>
          </w:tcPr>
          <w:p>
            <w:pPr>
              <w:ind w:left="80"/>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E6E6E6"/>
          </w:tcPr>
          <w:p>
            <w:pPr>
              <w:jc w:val="right"/>
              <w:ind w:right="564"/>
              <w:spacing w:after="0"/>
              <w:rPr>
                <w:sz w:val="20"/>
                <w:szCs w:val="20"/>
                <w:color w:val="auto"/>
              </w:rPr>
            </w:pPr>
            <w:r>
              <w:rPr>
                <w:rFonts w:ascii="Arial" w:cs="Arial" w:eastAsia="Arial" w:hAnsi="Arial"/>
                <w:sz w:val="15"/>
                <w:szCs w:val="15"/>
                <w:b w:val="1"/>
                <w:bCs w:val="1"/>
                <w:color w:val="auto"/>
              </w:rPr>
              <w:t>$41.94</w:t>
            </w:r>
          </w:p>
        </w:tc>
        <w:tc>
          <w:tcPr>
            <w:tcW w:w="1680" w:type="dxa"/>
            <w:vAlign w:val="bottom"/>
            <w:shd w:val="clear" w:color="auto" w:fill="E6E6E6"/>
          </w:tcPr>
          <w:p>
            <w:pPr>
              <w:jc w:val="right"/>
              <w:ind w:right="284"/>
              <w:spacing w:after="0"/>
              <w:rPr>
                <w:sz w:val="20"/>
                <w:szCs w:val="20"/>
                <w:color w:val="auto"/>
              </w:rPr>
            </w:pPr>
            <w:r>
              <w:rPr>
                <w:rFonts w:ascii="Arial" w:cs="Arial" w:eastAsia="Arial" w:hAnsi="Arial"/>
                <w:sz w:val="15"/>
                <w:szCs w:val="15"/>
                <w:color w:val="auto"/>
              </w:rPr>
              <w:t>445,409</w:t>
            </w:r>
          </w:p>
        </w:tc>
        <w:tc>
          <w:tcPr>
            <w:tcW w:w="146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364"/>
              <w:spacing w:after="0"/>
              <w:rPr>
                <w:sz w:val="20"/>
                <w:szCs w:val="20"/>
                <w:color w:val="auto"/>
              </w:rPr>
            </w:pPr>
            <w:r>
              <w:rPr>
                <w:rFonts w:ascii="Arial" w:cs="Arial" w:eastAsia="Arial" w:hAnsi="Arial"/>
                <w:sz w:val="15"/>
                <w:szCs w:val="15"/>
                <w:color w:val="auto"/>
              </w:rPr>
              <w:t>37.48</w:t>
            </w:r>
          </w:p>
        </w:tc>
        <w:tc>
          <w:tcPr>
            <w:tcW w:w="16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8.1</w:t>
            </w:r>
          </w:p>
        </w:tc>
        <w:tc>
          <w:tcPr>
            <w:tcW w:w="2420" w:type="dxa"/>
            <w:vAlign w:val="bottom"/>
            <w:shd w:val="clear" w:color="auto" w:fill="E6E6E6"/>
          </w:tcPr>
          <w:p>
            <w:pPr>
              <w:jc w:val="right"/>
              <w:ind w:right="1124"/>
              <w:spacing w:after="0"/>
              <w:rPr>
                <w:sz w:val="20"/>
                <w:szCs w:val="20"/>
                <w:color w:val="auto"/>
              </w:rPr>
            </w:pPr>
            <w:r>
              <w:rPr>
                <w:rFonts w:ascii="Arial" w:cs="Arial" w:eastAsia="Arial" w:hAnsi="Arial"/>
                <w:sz w:val="15"/>
                <w:szCs w:val="15"/>
                <w:color w:val="auto"/>
              </w:rPr>
              <w:t>445,409</w:t>
            </w:r>
          </w:p>
        </w:tc>
        <w:tc>
          <w:tcPr>
            <w:tcW w:w="34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37.48</w:t>
            </w:r>
          </w:p>
        </w:tc>
      </w:tr>
      <w:tr>
        <w:trPr>
          <w:trHeight w:val="208"/>
        </w:trPr>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$41.95</w:t>
            </w: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564"/>
              <w:spacing w:after="0"/>
              <w:rPr>
                <w:sz w:val="20"/>
                <w:szCs w:val="20"/>
                <w:color w:val="auto"/>
              </w:rPr>
            </w:pPr>
            <w:r>
              <w:rPr>
                <w:rFonts w:ascii="Arial" w:cs="Arial" w:eastAsia="Arial" w:hAnsi="Arial"/>
                <w:sz w:val="15"/>
                <w:szCs w:val="15"/>
                <w:b w:val="1"/>
                <w:bCs w:val="1"/>
                <w:color w:val="auto"/>
              </w:rPr>
              <w:t>$47.18</w:t>
            </w:r>
          </w:p>
        </w:tc>
        <w:tc>
          <w:tcPr>
            <w:tcW w:w="1680" w:type="dxa"/>
            <w:vAlign w:val="bottom"/>
          </w:tcPr>
          <w:p>
            <w:pPr>
              <w:jc w:val="right"/>
              <w:ind w:right="284"/>
              <w:spacing w:after="0"/>
              <w:rPr>
                <w:sz w:val="20"/>
                <w:szCs w:val="20"/>
                <w:color w:val="auto"/>
              </w:rPr>
            </w:pPr>
            <w:r>
              <w:rPr>
                <w:rFonts w:ascii="Arial" w:cs="Arial" w:eastAsia="Arial" w:hAnsi="Arial"/>
                <w:sz w:val="15"/>
                <w:szCs w:val="15"/>
                <w:color w:val="auto"/>
              </w:rPr>
              <w:t>449,913</w:t>
            </w:r>
          </w:p>
        </w:tc>
        <w:tc>
          <w:tcPr>
            <w:tcW w:w="1460" w:type="dxa"/>
            <w:vAlign w:val="bottom"/>
          </w:tcPr>
          <w:p>
            <w:pPr>
              <w:spacing w:after="0"/>
              <w:rPr>
                <w:sz w:val="18"/>
                <w:szCs w:val="18"/>
                <w:color w:val="auto"/>
              </w:rPr>
            </w:pPr>
          </w:p>
        </w:tc>
        <w:tc>
          <w:tcPr>
            <w:tcW w:w="920" w:type="dxa"/>
            <w:vAlign w:val="bottom"/>
          </w:tcPr>
          <w:p>
            <w:pPr>
              <w:jc w:val="right"/>
              <w:ind w:right="364"/>
              <w:spacing w:after="0"/>
              <w:rPr>
                <w:sz w:val="20"/>
                <w:szCs w:val="20"/>
                <w:color w:val="auto"/>
              </w:rPr>
            </w:pPr>
            <w:r>
              <w:rPr>
                <w:rFonts w:ascii="Arial" w:cs="Arial" w:eastAsia="Arial" w:hAnsi="Arial"/>
                <w:sz w:val="15"/>
                <w:szCs w:val="15"/>
                <w:color w:val="auto"/>
              </w:rPr>
              <w:t>43.06</w:t>
            </w:r>
          </w:p>
        </w:tc>
        <w:tc>
          <w:tcPr>
            <w:tcW w:w="1640" w:type="dxa"/>
            <w:vAlign w:val="bottom"/>
          </w:tcPr>
          <w:p>
            <w:pPr>
              <w:jc w:val="right"/>
              <w:ind w:right="304"/>
              <w:spacing w:after="0"/>
              <w:rPr>
                <w:sz w:val="20"/>
                <w:szCs w:val="20"/>
                <w:color w:val="auto"/>
              </w:rPr>
            </w:pPr>
            <w:r>
              <w:rPr>
                <w:rFonts w:ascii="Arial" w:cs="Arial" w:eastAsia="Arial" w:hAnsi="Arial"/>
                <w:sz w:val="15"/>
                <w:szCs w:val="15"/>
                <w:color w:val="auto"/>
              </w:rPr>
              <w:t>5.5</w:t>
            </w:r>
          </w:p>
        </w:tc>
        <w:tc>
          <w:tcPr>
            <w:tcW w:w="2420" w:type="dxa"/>
            <w:vAlign w:val="bottom"/>
          </w:tcPr>
          <w:p>
            <w:pPr>
              <w:jc w:val="right"/>
              <w:ind w:right="1124"/>
              <w:spacing w:after="0"/>
              <w:rPr>
                <w:sz w:val="20"/>
                <w:szCs w:val="20"/>
                <w:color w:val="auto"/>
              </w:rPr>
            </w:pPr>
            <w:r>
              <w:rPr>
                <w:rFonts w:ascii="Arial" w:cs="Arial" w:eastAsia="Arial" w:hAnsi="Arial"/>
                <w:sz w:val="15"/>
                <w:szCs w:val="15"/>
                <w:color w:val="auto"/>
              </w:rPr>
              <w:t>449,913</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43.06</w:t>
            </w:r>
          </w:p>
        </w:tc>
      </w:tr>
      <w:tr>
        <w:trPr>
          <w:trHeight w:val="211"/>
        </w:trPr>
        <w:tc>
          <w:tcPr>
            <w:tcW w:w="9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$47.19</w:t>
            </w:r>
          </w:p>
        </w:tc>
        <w:tc>
          <w:tcPr>
            <w:tcW w:w="280" w:type="dxa"/>
            <w:vAlign w:val="bottom"/>
            <w:shd w:val="clear" w:color="auto" w:fill="E6E6E6"/>
          </w:tcPr>
          <w:p>
            <w:pPr>
              <w:ind w:left="80"/>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E6E6E6"/>
          </w:tcPr>
          <w:p>
            <w:pPr>
              <w:jc w:val="right"/>
              <w:ind w:right="564"/>
              <w:spacing w:after="0"/>
              <w:rPr>
                <w:sz w:val="20"/>
                <w:szCs w:val="20"/>
                <w:color w:val="auto"/>
              </w:rPr>
            </w:pPr>
            <w:r>
              <w:rPr>
                <w:rFonts w:ascii="Arial" w:cs="Arial" w:eastAsia="Arial" w:hAnsi="Arial"/>
                <w:sz w:val="15"/>
                <w:szCs w:val="15"/>
                <w:b w:val="1"/>
                <w:bCs w:val="1"/>
                <w:color w:val="auto"/>
              </w:rPr>
              <w:t>$52.42</w:t>
            </w:r>
          </w:p>
        </w:tc>
        <w:tc>
          <w:tcPr>
            <w:tcW w:w="1680" w:type="dxa"/>
            <w:vAlign w:val="bottom"/>
            <w:shd w:val="clear" w:color="auto" w:fill="E6E6E6"/>
          </w:tcPr>
          <w:p>
            <w:pPr>
              <w:jc w:val="right"/>
              <w:ind w:right="284"/>
              <w:spacing w:after="0"/>
              <w:rPr>
                <w:sz w:val="20"/>
                <w:szCs w:val="20"/>
                <w:color w:val="auto"/>
              </w:rPr>
            </w:pPr>
            <w:r>
              <w:rPr>
                <w:rFonts w:ascii="Arial" w:cs="Arial" w:eastAsia="Arial" w:hAnsi="Arial"/>
                <w:sz w:val="15"/>
                <w:szCs w:val="15"/>
                <w:color w:val="auto"/>
              </w:rPr>
              <w:t>67,060</w:t>
            </w:r>
          </w:p>
        </w:tc>
        <w:tc>
          <w:tcPr>
            <w:tcW w:w="146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364"/>
              <w:spacing w:after="0"/>
              <w:rPr>
                <w:sz w:val="20"/>
                <w:szCs w:val="20"/>
                <w:color w:val="auto"/>
              </w:rPr>
            </w:pPr>
            <w:r>
              <w:rPr>
                <w:rFonts w:ascii="Arial" w:cs="Arial" w:eastAsia="Arial" w:hAnsi="Arial"/>
                <w:sz w:val="15"/>
                <w:szCs w:val="15"/>
                <w:color w:val="auto"/>
              </w:rPr>
              <w:t>49.77</w:t>
            </w:r>
          </w:p>
        </w:tc>
        <w:tc>
          <w:tcPr>
            <w:tcW w:w="1640" w:type="dxa"/>
            <w:vAlign w:val="bottom"/>
            <w:shd w:val="clear" w:color="auto" w:fill="E6E6E6"/>
          </w:tcPr>
          <w:p>
            <w:pPr>
              <w:jc w:val="right"/>
              <w:ind w:right="304"/>
              <w:spacing w:after="0"/>
              <w:rPr>
                <w:sz w:val="20"/>
                <w:szCs w:val="20"/>
                <w:color w:val="auto"/>
              </w:rPr>
            </w:pPr>
            <w:r>
              <w:rPr>
                <w:rFonts w:ascii="Arial" w:cs="Arial" w:eastAsia="Arial" w:hAnsi="Arial"/>
                <w:sz w:val="15"/>
                <w:szCs w:val="15"/>
                <w:color w:val="auto"/>
              </w:rPr>
              <w:t>5.6</w:t>
            </w:r>
          </w:p>
        </w:tc>
        <w:tc>
          <w:tcPr>
            <w:tcW w:w="2420" w:type="dxa"/>
            <w:vAlign w:val="bottom"/>
            <w:shd w:val="clear" w:color="auto" w:fill="E6E6E6"/>
          </w:tcPr>
          <w:p>
            <w:pPr>
              <w:jc w:val="right"/>
              <w:ind w:right="1124"/>
              <w:spacing w:after="0"/>
              <w:rPr>
                <w:sz w:val="20"/>
                <w:szCs w:val="20"/>
                <w:color w:val="auto"/>
              </w:rPr>
            </w:pPr>
            <w:r>
              <w:rPr>
                <w:rFonts w:ascii="Arial" w:cs="Arial" w:eastAsia="Arial" w:hAnsi="Arial"/>
                <w:sz w:val="15"/>
                <w:szCs w:val="15"/>
                <w:color w:val="auto"/>
              </w:rPr>
              <w:t>67,060</w:t>
            </w:r>
          </w:p>
        </w:tc>
        <w:tc>
          <w:tcPr>
            <w:tcW w:w="34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49.77</w:t>
            </w:r>
          </w:p>
        </w:tc>
      </w:tr>
      <w:tr>
        <w:trPr>
          <w:trHeight w:val="93"/>
        </w:trPr>
        <w:tc>
          <w:tcPr>
            <w:tcW w:w="9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310515</wp:posOffset>
            </wp:positionV>
            <wp:extent cx="1938655" cy="3403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728535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type w:val="continuous"/>
        </w:sectPr>
      </w:pPr>
    </w:p>
    <w:bookmarkStart w:id="56" w:name="page57"/>
    <w:bookmarkEnd w:id="56"/>
    <w:p>
      <w:pPr>
        <w:ind w:right="100"/>
        <w:spacing w:after="0" w:line="267" w:lineRule="auto"/>
        <w:rPr>
          <w:sz w:val="20"/>
          <w:szCs w:val="20"/>
          <w:color w:val="auto"/>
        </w:rPr>
      </w:pP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 The Company may grant restricted stock units under the 2001 Plan (“Stock Units”). During fiscal 2006 and 2005, the Company granted 1,000 and 71,731 Stock Units,</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with a weighted average grant date fair value of $26.33 and $30.81 per unit, respectively, to certain officers and key executives. The Stock Units are scheduled to vest in four equal annual installments beginning one year from the grant date. Upon vesting, Stock Units are converted automatically on a one-for-one basis into shares of Common Stock. In fiscal 2006 and 2005, the Company amortized $0.6 and $0.3, respectively, in connection with the outstanding Stock Units, recorded as a component of Selling, general and administrative expenses.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Stock Purchase Plan</w:t>
      </w:r>
    </w:p>
    <w:p>
      <w:pPr>
        <w:spacing w:after="0" w:line="2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Company maintains an Employee Stock Purchase Plan (the “ESPP”), which is offered to eligible United States employees. The ESPP previously permitted participating employees to purchase Common Stock, with after-tax payroll deductions, on a quarterly basis at a 15% discount from the lower of the closing price of the Common Stock on NASDAQ on the first or last business day of each fiscal quarter. Effective June 1, 2006, the Company amended the ESPP to provide that the 15% discount will be based solely on the closing price of the Common Stock on NASDAQ on the last business day of the fiscal quarter. During fiscal 2006, 2005 and 2004, the Company issued 77,134 shares, 98,286 shares and 121,256 shares of Common Stock under the ESPP at a weighted average price of $28.08, $26.38 and $25.01 per share, respectively. At May 31, 2006, there were 274,186 shares of Common Stock authorized to be issued under the ESPP.</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 Stock Purchase Plan</w:t>
      </w:r>
    </w:p>
    <w:p>
      <w:pPr>
        <w:spacing w:after="0" w:line="22"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Company maintains a Management Stock Purchase Plan (“MSPP”), which allows certain members of senior management to defer up to 100% of their annual cash bonus payment in the form of restricted stock units (“RSUs”). The RSUs are purchased by the employee at a 25% discount from the lowest closing price of the Common Stock on NASDAQ during the fiscal quarter in which such bonuses are payable and are converted into shares of Common Stock on a one-for-one basis at the end of the applicable deferral period. During fiscal 2006, 2005 and 2004, the Company allocated 35,211 RSUs, 13,171 RSUs and 0 RSUs to participants under the MSPP at a weighted average price of $26.64, $19.76 and $0 per RSU, respectively, resulting in an expense of $0.3, $0.5 and $0.4, respectively. At May 31, 2006 there were 273,398 shares of Common Stock authorized for issuance under the MSPP.</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EMPLOYEE BENEFIT PLANS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Pension Plans</w:t>
      </w:r>
    </w:p>
    <w:p>
      <w:pPr>
        <w:spacing w:after="0" w:line="22"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The Company has a cash balance retirement plan (the “Pension Plan”), which covers the majority of United States employees who meet certain eligibility requirements. The Company funds all of the contributions for the Pension Plan. Benefits generally are based on the Company’s contributions and interest credits allocated to participants’ accounts based on years of benefit service and annual pensionable earnings. It is the Company’s policy to fund the minimum amount required by the Employee Retirement Income Security Act of 1974, as amended (“ERISA”).</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Scholastic Ltd., an indirect subsidiary of Scholastic Corporation located in the United Kingdom, has a defined benefit pension plan (the “U.K. Pension Plan”) that covers its employees who meet various eligibility requirements. Benefits are based on years of service and on a percentage of compensation near retirement. The U.K. Pension Plan is funded by contributions from Scholastic Ltd. and its employees.</w:t>
      </w:r>
    </w:p>
    <w:p>
      <w:pPr>
        <w:spacing w:after="0" w:line="159"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Grolier Ltd., an indirect subsidiary of Scholastic Corporation located in Canada, provides a defined benefit pension plan (the “Grolier Canada Pension Plan”) that covers its employees who meet certain eligibility requirements. All full time employees are eligible to participate in the plan after two years of employment. Grolier Ltd.’s contributions to the fund have been suspended due to an actuarial surplus. Employees are not required to contribute to the fund.</w:t>
      </w:r>
    </w:p>
    <w:p>
      <w:pPr>
        <w:spacing w:after="0" w:line="159"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The Company’s pension plans have different measurement dates, as follows: for the Pension Plan—May 31, 2006; for the U.K. Pension Plan and the Grolier Canada Pension Plan—March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99695</wp:posOffset>
            </wp:positionV>
            <wp:extent cx="1938655" cy="3403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color w:val="auto"/>
        </w:rPr>
        <w:t>Post-Retirement Benefits</w:t>
      </w:r>
    </w:p>
    <w:p>
      <w:pPr>
        <w:spacing w:after="0" w:line="22"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The Company provides post-retirement benefits to retired United States-based employees (the “Post-Retirement Benefits”) consisting of certain healthcare and life insurance benefits. A majority of these employees may become eligible for these benefits after completing certain minimum age and service requirements. At May 31, 2006, the unrecognized prior service cost remaining was $8.4.</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In response to the Medicare Act, the FASB issued Staff Position 106-2, “Accounting and Disclosure Requirements Related to the Medicare Prescription Drug, Improvement and Modernization Act of 2003,” to provide additional disclosure and guidance in implementing the federal subsidy provided by the Medicare Act. Based on this guidance, the Company has determined that the Post-Retirement Benefits provided to the retiree population are in aggregate the actuarial equivalent of the benefits under Medicare. As a result, in fiscal 2006 and 2005, the Company recognized a reduction of its accumulated post-retirement benefit obligation of $9.2 and $3.2, respectively, due to the federal subsidy under the Medicare Act.</w:t>
      </w:r>
    </w:p>
    <w:p>
      <w:pPr>
        <w:spacing w:after="0" w:line="154"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The following table sets forth the weighted average actuarial assumptions utilized to determine the benefit obligations for the Pension Plan, the U.K. Pension Plan and the Grolier Canada Pension Plan (collectively the “Pension Plans”), including the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Pr>
          <w:p>
            <w:pPr>
              <w:jc w:val="center"/>
              <w:ind w:left="344"/>
              <w:spacing w:after="0"/>
              <w:rPr>
                <w:sz w:val="20"/>
                <w:szCs w:val="20"/>
                <w:color w:val="auto"/>
              </w:rPr>
            </w:pPr>
            <w:r>
              <w:rPr>
                <w:rFonts w:ascii="Arial" w:cs="Arial" w:eastAsia="Arial" w:hAnsi="Arial"/>
                <w:sz w:val="15"/>
                <w:szCs w:val="15"/>
                <w:b w:val="1"/>
                <w:bCs w:val="1"/>
                <w:color w:val="auto"/>
              </w:rPr>
              <w:t>Post-Retirement</w:t>
            </w:r>
          </w:p>
        </w:tc>
        <w:tc>
          <w:tcPr>
            <w:tcW w:w="860" w:type="dxa"/>
            <w:vAlign w:val="bottom"/>
          </w:tcPr>
          <w:p>
            <w:pPr>
              <w:spacing w:after="0"/>
              <w:rPr>
                <w:sz w:val="17"/>
                <w:szCs w:val="17"/>
                <w:color w:val="auto"/>
              </w:rPr>
            </w:pPr>
          </w:p>
        </w:tc>
      </w:tr>
      <w:tr>
        <w:trPr>
          <w:trHeight w:val="210"/>
        </w:trPr>
        <w:tc>
          <w:tcPr>
            <w:tcW w:w="7760" w:type="dxa"/>
            <w:vAlign w:val="bottom"/>
          </w:tcPr>
          <w:p>
            <w:pPr>
              <w:jc w:val="right"/>
              <w:ind w:right="44"/>
              <w:spacing w:after="0"/>
              <w:rPr>
                <w:sz w:val="20"/>
                <w:szCs w:val="20"/>
                <w:color w:val="auto"/>
              </w:rPr>
            </w:pPr>
            <w:r>
              <w:rPr>
                <w:rFonts w:ascii="Arial" w:cs="Arial" w:eastAsia="Arial" w:hAnsi="Arial"/>
                <w:sz w:val="15"/>
                <w:szCs w:val="15"/>
                <w:b w:val="1"/>
                <w:bCs w:val="1"/>
                <w:color w:val="auto"/>
              </w:rPr>
              <w:t>Pension Plans</w:t>
            </w:r>
          </w:p>
        </w:tc>
        <w:tc>
          <w:tcPr>
            <w:tcW w:w="920" w:type="dxa"/>
            <w:vAlign w:val="bottom"/>
          </w:tcPr>
          <w:p>
            <w:pPr>
              <w:spacing w:after="0"/>
              <w:rPr>
                <w:sz w:val="18"/>
                <w:szCs w:val="18"/>
                <w:color w:val="auto"/>
              </w:rPr>
            </w:pPr>
          </w:p>
        </w:tc>
        <w:tc>
          <w:tcPr>
            <w:tcW w:w="1900" w:type="dxa"/>
            <w:vAlign w:val="bottom"/>
          </w:tcPr>
          <w:p>
            <w:pPr>
              <w:jc w:val="center"/>
              <w:ind w:left="344"/>
              <w:spacing w:after="0"/>
              <w:rPr>
                <w:sz w:val="20"/>
                <w:szCs w:val="20"/>
                <w:color w:val="auto"/>
              </w:rPr>
            </w:pPr>
            <w:r>
              <w:rPr>
                <w:rFonts w:ascii="Arial" w:cs="Arial" w:eastAsia="Arial" w:hAnsi="Arial"/>
                <w:sz w:val="15"/>
                <w:szCs w:val="15"/>
                <w:b w:val="1"/>
                <w:bCs w:val="1"/>
                <w:color w:val="auto"/>
              </w:rPr>
              <w:t>Benefits</w:t>
            </w:r>
          </w:p>
        </w:tc>
        <w:tc>
          <w:tcPr>
            <w:tcW w:w="860" w:type="dxa"/>
            <w:vAlign w:val="bottom"/>
          </w:tcPr>
          <w:p>
            <w:pPr>
              <w:spacing w:after="0"/>
              <w:rPr>
                <w:sz w:val="18"/>
                <w:szCs w:val="18"/>
                <w:color w:val="auto"/>
              </w:rPr>
            </w:pPr>
          </w:p>
        </w:tc>
      </w:tr>
      <w:tr>
        <w:trPr>
          <w:trHeight w:val="84"/>
        </w:trPr>
        <w:tc>
          <w:tcPr>
            <w:tcW w:w="77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292"/>
        </w:trPr>
        <w:tc>
          <w:tcPr>
            <w:tcW w:w="7760" w:type="dxa"/>
            <w:vAlign w:val="bottom"/>
          </w:tcPr>
          <w:p>
            <w:pPr>
              <w:jc w:val="right"/>
              <w:ind w:right="844"/>
              <w:spacing w:after="0"/>
              <w:rPr>
                <w:sz w:val="20"/>
                <w:szCs w:val="20"/>
                <w:color w:val="auto"/>
              </w:rPr>
            </w:pPr>
            <w:r>
              <w:rPr>
                <w:rFonts w:ascii="Arial" w:cs="Arial" w:eastAsia="Arial" w:hAnsi="Arial"/>
                <w:sz w:val="15"/>
                <w:szCs w:val="15"/>
                <w:b w:val="1"/>
                <w:bCs w:val="1"/>
                <w:color w:val="auto"/>
              </w:rPr>
              <w:t>2006</w:t>
            </w:r>
          </w:p>
        </w:tc>
        <w:tc>
          <w:tcPr>
            <w:tcW w:w="920" w:type="dxa"/>
            <w:vAlign w:val="bottom"/>
          </w:tcPr>
          <w:p>
            <w:pPr>
              <w:jc w:val="right"/>
              <w:ind w:right="424"/>
              <w:spacing w:after="0"/>
              <w:rPr>
                <w:sz w:val="20"/>
                <w:szCs w:val="20"/>
                <w:color w:val="auto"/>
              </w:rPr>
            </w:pPr>
            <w:r>
              <w:rPr>
                <w:rFonts w:ascii="Arial" w:cs="Arial" w:eastAsia="Arial" w:hAnsi="Arial"/>
                <w:sz w:val="15"/>
                <w:szCs w:val="15"/>
                <w:b w:val="1"/>
                <w:bCs w:val="1"/>
                <w:color w:val="auto"/>
              </w:rPr>
              <w:t>2005</w:t>
            </w:r>
          </w:p>
        </w:tc>
        <w:tc>
          <w:tcPr>
            <w:tcW w:w="1900" w:type="dxa"/>
            <w:vAlign w:val="bottom"/>
          </w:tcPr>
          <w:p>
            <w:pPr>
              <w:jc w:val="right"/>
              <w:ind w:right="1024"/>
              <w:spacing w:after="0"/>
              <w:rPr>
                <w:sz w:val="20"/>
                <w:szCs w:val="20"/>
                <w:color w:val="auto"/>
              </w:rPr>
            </w:pPr>
            <w:r>
              <w:rPr>
                <w:rFonts w:ascii="Arial" w:cs="Arial" w:eastAsia="Arial" w:hAnsi="Arial"/>
                <w:sz w:val="15"/>
                <w:szCs w:val="15"/>
                <w:b w:val="1"/>
                <w:bCs w:val="1"/>
                <w:color w:val="auto"/>
              </w:rPr>
              <w:t>2006</w:t>
            </w:r>
          </w:p>
        </w:tc>
        <w:tc>
          <w:tcPr>
            <w:tcW w:w="860" w:type="dxa"/>
            <w:vAlign w:val="bottom"/>
          </w:tcPr>
          <w:p>
            <w:pPr>
              <w:jc w:val="right"/>
              <w:ind w:right="324"/>
              <w:spacing w:after="0"/>
              <w:rPr>
                <w:sz w:val="20"/>
                <w:szCs w:val="20"/>
                <w:color w:val="auto"/>
              </w:rPr>
            </w:pPr>
            <w:r>
              <w:rPr>
                <w:rFonts w:ascii="Arial" w:cs="Arial" w:eastAsia="Arial" w:hAnsi="Arial"/>
                <w:sz w:val="15"/>
                <w:szCs w:val="15"/>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133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60960</wp:posOffset>
            </wp:positionV>
            <wp:extent cx="726567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assumptions used to</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determine benefit obligations: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Discount rate</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Rate of compensation increase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assumptions used to</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determine net periodic benefit cost:</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Discount rate</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Expected long-term return on plan assets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Rate of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40" w:type="dxa"/>
            <w:vAlign w:val="bottom"/>
          </w:tcPr>
          <w:p>
            <w:pPr>
              <w:jc w:val="right"/>
              <w:ind w:right="424"/>
              <w:spacing w:after="0"/>
              <w:rPr>
                <w:sz w:val="20"/>
                <w:szCs w:val="20"/>
                <w:color w:val="auto"/>
              </w:rPr>
            </w:pPr>
            <w:r>
              <w:rPr>
                <w:rFonts w:ascii="Arial" w:cs="Arial" w:eastAsia="Arial" w:hAnsi="Arial"/>
                <w:sz w:val="15"/>
                <w:szCs w:val="15"/>
                <w:color w:val="auto"/>
                <w:w w:val="93"/>
              </w:rPr>
              <w:t>5.9%</w:t>
            </w:r>
          </w:p>
        </w:tc>
        <w:tc>
          <w:tcPr>
            <w:tcW w:w="1340" w:type="dxa"/>
            <w:vAlign w:val="bottom"/>
          </w:tcPr>
          <w:p>
            <w:pPr>
              <w:jc w:val="right"/>
              <w:ind w:right="424"/>
              <w:spacing w:after="0"/>
              <w:rPr>
                <w:sz w:val="20"/>
                <w:szCs w:val="20"/>
                <w:color w:val="auto"/>
              </w:rPr>
            </w:pPr>
            <w:r>
              <w:rPr>
                <w:rFonts w:ascii="Arial" w:cs="Arial" w:eastAsia="Arial" w:hAnsi="Arial"/>
                <w:sz w:val="15"/>
                <w:szCs w:val="15"/>
                <w:color w:val="auto"/>
              </w:rPr>
              <w:t>5.3%</w:t>
            </w:r>
          </w:p>
        </w:tc>
        <w:tc>
          <w:tcPr>
            <w:tcW w:w="1420" w:type="dxa"/>
            <w:vAlign w:val="bottom"/>
          </w:tcPr>
          <w:p>
            <w:pPr>
              <w:jc w:val="right"/>
              <w:ind w:right="524"/>
              <w:spacing w:after="0"/>
              <w:rPr>
                <w:sz w:val="20"/>
                <w:szCs w:val="20"/>
                <w:color w:val="auto"/>
              </w:rPr>
            </w:pPr>
            <w:r>
              <w:rPr>
                <w:rFonts w:ascii="Arial" w:cs="Arial" w:eastAsia="Arial" w:hAnsi="Arial"/>
                <w:sz w:val="15"/>
                <w:szCs w:val="15"/>
                <w:color w:val="auto"/>
              </w:rPr>
              <w:t>6.1%</w:t>
            </w:r>
          </w:p>
        </w:tc>
        <w:tc>
          <w:tcPr>
            <w:tcW w:w="96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10"/>
        </w:trPr>
        <w:tc>
          <w:tcPr>
            <w:tcW w:w="840" w:type="dxa"/>
            <w:vAlign w:val="bottom"/>
          </w:tcPr>
          <w:p>
            <w:pPr>
              <w:jc w:val="right"/>
              <w:ind w:right="424"/>
              <w:spacing w:after="0"/>
              <w:rPr>
                <w:sz w:val="20"/>
                <w:szCs w:val="20"/>
                <w:color w:val="auto"/>
              </w:rPr>
            </w:pPr>
            <w:r>
              <w:rPr>
                <w:rFonts w:ascii="Arial" w:cs="Arial" w:eastAsia="Arial" w:hAnsi="Arial"/>
                <w:sz w:val="15"/>
                <w:szCs w:val="15"/>
                <w:color w:val="auto"/>
                <w:w w:val="93"/>
              </w:rPr>
              <w:t>3.6%</w:t>
            </w:r>
          </w:p>
        </w:tc>
        <w:tc>
          <w:tcPr>
            <w:tcW w:w="1340" w:type="dxa"/>
            <w:vAlign w:val="bottom"/>
          </w:tcPr>
          <w:p>
            <w:pPr>
              <w:jc w:val="right"/>
              <w:ind w:right="424"/>
              <w:spacing w:after="0"/>
              <w:rPr>
                <w:sz w:val="20"/>
                <w:szCs w:val="20"/>
                <w:color w:val="auto"/>
              </w:rPr>
            </w:pPr>
            <w:r>
              <w:rPr>
                <w:rFonts w:ascii="Arial" w:cs="Arial" w:eastAsia="Arial" w:hAnsi="Arial"/>
                <w:sz w:val="15"/>
                <w:szCs w:val="15"/>
                <w:color w:val="auto"/>
              </w:rPr>
              <w:t>4.0%</w:t>
            </w:r>
          </w:p>
        </w:tc>
        <w:tc>
          <w:tcPr>
            <w:tcW w:w="1420" w:type="dxa"/>
            <w:vAlign w:val="bottom"/>
          </w:tcPr>
          <w:p>
            <w:pPr>
              <w:jc w:val="right"/>
              <w:ind w:right="6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629"/>
        </w:trPr>
        <w:tc>
          <w:tcPr>
            <w:tcW w:w="840" w:type="dxa"/>
            <w:vAlign w:val="bottom"/>
          </w:tcPr>
          <w:p>
            <w:pPr>
              <w:jc w:val="right"/>
              <w:ind w:right="424"/>
              <w:spacing w:after="0"/>
              <w:rPr>
                <w:sz w:val="20"/>
                <w:szCs w:val="20"/>
                <w:color w:val="auto"/>
              </w:rPr>
            </w:pPr>
            <w:r>
              <w:rPr>
                <w:rFonts w:ascii="Arial" w:cs="Arial" w:eastAsia="Arial" w:hAnsi="Arial"/>
                <w:sz w:val="15"/>
                <w:szCs w:val="15"/>
                <w:color w:val="auto"/>
                <w:w w:val="93"/>
              </w:rPr>
              <w:t>5.3%</w:t>
            </w:r>
          </w:p>
        </w:tc>
        <w:tc>
          <w:tcPr>
            <w:tcW w:w="1340" w:type="dxa"/>
            <w:vAlign w:val="bottom"/>
          </w:tcPr>
          <w:p>
            <w:pPr>
              <w:jc w:val="right"/>
              <w:ind w:right="424"/>
              <w:spacing w:after="0"/>
              <w:rPr>
                <w:sz w:val="20"/>
                <w:szCs w:val="20"/>
                <w:color w:val="auto"/>
              </w:rPr>
            </w:pPr>
            <w:r>
              <w:rPr>
                <w:rFonts w:ascii="Arial" w:cs="Arial" w:eastAsia="Arial" w:hAnsi="Arial"/>
                <w:sz w:val="15"/>
                <w:szCs w:val="15"/>
                <w:color w:val="auto"/>
              </w:rPr>
              <w:t>6.5%</w:t>
            </w:r>
          </w:p>
        </w:tc>
        <w:tc>
          <w:tcPr>
            <w:tcW w:w="1420" w:type="dxa"/>
            <w:vAlign w:val="bottom"/>
          </w:tcPr>
          <w:p>
            <w:pPr>
              <w:jc w:val="right"/>
              <w:ind w:right="524"/>
              <w:spacing w:after="0"/>
              <w:rPr>
                <w:sz w:val="20"/>
                <w:szCs w:val="20"/>
                <w:color w:val="auto"/>
              </w:rPr>
            </w:pPr>
            <w:r>
              <w:rPr>
                <w:rFonts w:ascii="Arial" w:cs="Arial" w:eastAsia="Arial" w:hAnsi="Arial"/>
                <w:sz w:val="15"/>
                <w:szCs w:val="15"/>
                <w:color w:val="auto"/>
              </w:rPr>
              <w:t>5.3%</w:t>
            </w:r>
          </w:p>
        </w:tc>
        <w:tc>
          <w:tcPr>
            <w:tcW w:w="96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10"/>
        </w:trPr>
        <w:tc>
          <w:tcPr>
            <w:tcW w:w="840" w:type="dxa"/>
            <w:vAlign w:val="bottom"/>
          </w:tcPr>
          <w:p>
            <w:pPr>
              <w:jc w:val="right"/>
              <w:ind w:right="424"/>
              <w:spacing w:after="0"/>
              <w:rPr>
                <w:sz w:val="20"/>
                <w:szCs w:val="20"/>
                <w:color w:val="auto"/>
              </w:rPr>
            </w:pPr>
            <w:r>
              <w:rPr>
                <w:rFonts w:ascii="Arial" w:cs="Arial" w:eastAsia="Arial" w:hAnsi="Arial"/>
                <w:sz w:val="15"/>
                <w:szCs w:val="15"/>
                <w:color w:val="auto"/>
                <w:w w:val="93"/>
              </w:rPr>
              <w:t>8.7%</w:t>
            </w:r>
          </w:p>
        </w:tc>
        <w:tc>
          <w:tcPr>
            <w:tcW w:w="1340" w:type="dxa"/>
            <w:vAlign w:val="bottom"/>
          </w:tcPr>
          <w:p>
            <w:pPr>
              <w:jc w:val="right"/>
              <w:ind w:right="424"/>
              <w:spacing w:after="0"/>
              <w:rPr>
                <w:sz w:val="20"/>
                <w:szCs w:val="20"/>
                <w:color w:val="auto"/>
              </w:rPr>
            </w:pPr>
            <w:r>
              <w:rPr>
                <w:rFonts w:ascii="Arial" w:cs="Arial" w:eastAsia="Arial" w:hAnsi="Arial"/>
                <w:sz w:val="15"/>
                <w:szCs w:val="15"/>
                <w:color w:val="auto"/>
              </w:rPr>
              <w:t>8.8%</w:t>
            </w:r>
          </w:p>
        </w:tc>
        <w:tc>
          <w:tcPr>
            <w:tcW w:w="1420" w:type="dxa"/>
            <w:vAlign w:val="bottom"/>
          </w:tcPr>
          <w:p>
            <w:pPr>
              <w:jc w:val="right"/>
              <w:ind w:right="6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10"/>
        </w:trPr>
        <w:tc>
          <w:tcPr>
            <w:tcW w:w="840" w:type="dxa"/>
            <w:vAlign w:val="bottom"/>
          </w:tcPr>
          <w:p>
            <w:pPr>
              <w:jc w:val="right"/>
              <w:ind w:right="424"/>
              <w:spacing w:after="0"/>
              <w:rPr>
                <w:sz w:val="20"/>
                <w:szCs w:val="20"/>
                <w:color w:val="auto"/>
              </w:rPr>
            </w:pPr>
            <w:r>
              <w:rPr>
                <w:rFonts w:ascii="Arial" w:cs="Arial" w:eastAsia="Arial" w:hAnsi="Arial"/>
                <w:sz w:val="15"/>
                <w:szCs w:val="15"/>
                <w:color w:val="auto"/>
                <w:w w:val="93"/>
              </w:rPr>
              <w:t>3.6%</w:t>
            </w:r>
          </w:p>
        </w:tc>
        <w:tc>
          <w:tcPr>
            <w:tcW w:w="1340" w:type="dxa"/>
            <w:vAlign w:val="bottom"/>
          </w:tcPr>
          <w:p>
            <w:pPr>
              <w:jc w:val="right"/>
              <w:ind w:right="424"/>
              <w:spacing w:after="0"/>
              <w:rPr>
                <w:sz w:val="20"/>
                <w:szCs w:val="20"/>
                <w:color w:val="auto"/>
              </w:rPr>
            </w:pPr>
            <w:r>
              <w:rPr>
                <w:rFonts w:ascii="Arial" w:cs="Arial" w:eastAsia="Arial" w:hAnsi="Arial"/>
                <w:sz w:val="15"/>
                <w:szCs w:val="15"/>
                <w:color w:val="auto"/>
              </w:rPr>
              <w:t>4.0%</w:t>
            </w:r>
          </w:p>
        </w:tc>
        <w:tc>
          <w:tcPr>
            <w:tcW w:w="1420" w:type="dxa"/>
            <w:vAlign w:val="bottom"/>
          </w:tcPr>
          <w:p>
            <w:pPr>
              <w:jc w:val="right"/>
              <w:ind w:right="66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-937260</wp:posOffset>
            </wp:positionV>
            <wp:extent cx="7265670" cy="133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-671195</wp:posOffset>
            </wp:positionV>
            <wp:extent cx="7265670" cy="133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-404495</wp:posOffset>
            </wp:positionV>
            <wp:extent cx="7265670" cy="133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-138430</wp:posOffset>
            </wp:positionV>
            <wp:extent cx="7265670" cy="133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53340</wp:posOffset>
            </wp:positionV>
            <wp:extent cx="726567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820"/>
          </w:cols>
          <w:pgMar w:left="240" w:top="124" w:right="219" w:bottom="1440" w:gutter="0" w:footer="0" w:header="0"/>
          <w:type w:val="continuous"/>
        </w:sectPr>
      </w:pPr>
    </w:p>
    <w:p>
      <w:pPr>
        <w:spacing w:after="0" w:line="378"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To develop the expected long-term rate of return on assets assumption for the Pension Plans, the Company, with the assistance of its actuaries, considers historical returns and future expectations. Over the 15-20 year periods ended May 31, 2006, the returns on the portfolio, assuming it was invested at the current target asset allocation in the prior periods, would have been a compounded annual average of 10%-12%. Considering this information and the potential for lower future returns due to a generally lower interest rate environment, the Company selected an assumed weighted average long-term rate of return of 8.7% for all of the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109220</wp:posOffset>
            </wp:positionV>
            <wp:extent cx="1938655" cy="3403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auto"/>
        </w:rPr>
        <w:t>The following table sets forth changes in benefit obligation and plan assets, the reconciliation of funded status and the (decrease) increase in the minimum pension liability included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Accumulated other comprehensive loss for the Pension Plans and the Post-Retirement Benefits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6567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Pr>
          <w:p>
            <w:pPr>
              <w:jc w:val="center"/>
              <w:ind w:left="204"/>
              <w:spacing w:after="0"/>
              <w:rPr>
                <w:sz w:val="20"/>
                <w:szCs w:val="20"/>
                <w:color w:val="auto"/>
              </w:rPr>
            </w:pPr>
            <w:r>
              <w:rPr>
                <w:rFonts w:ascii="Arial" w:cs="Arial" w:eastAsia="Arial" w:hAnsi="Arial"/>
                <w:sz w:val="15"/>
                <w:szCs w:val="15"/>
                <w:b w:val="1"/>
                <w:bCs w:val="1"/>
                <w:color w:val="auto"/>
              </w:rPr>
              <w:t>Post-Retirement</w:t>
            </w:r>
          </w:p>
        </w:tc>
        <w:tc>
          <w:tcPr>
            <w:tcW w:w="660" w:type="dxa"/>
            <w:vAlign w:val="bottom"/>
          </w:tcPr>
          <w:p>
            <w:pPr>
              <w:spacing w:after="0"/>
              <w:rPr>
                <w:sz w:val="17"/>
                <w:szCs w:val="17"/>
                <w:color w:val="auto"/>
              </w:rPr>
            </w:pPr>
          </w:p>
        </w:tc>
      </w:tr>
      <w:tr>
        <w:trPr>
          <w:trHeight w:val="210"/>
        </w:trPr>
        <w:tc>
          <w:tcPr>
            <w:tcW w:w="8060" w:type="dxa"/>
            <w:vAlign w:val="bottom"/>
          </w:tcPr>
          <w:p>
            <w:pPr>
              <w:jc w:val="right"/>
              <w:ind w:right="164"/>
              <w:spacing w:after="0"/>
              <w:rPr>
                <w:sz w:val="20"/>
                <w:szCs w:val="20"/>
                <w:color w:val="auto"/>
              </w:rPr>
            </w:pPr>
            <w:r>
              <w:rPr>
                <w:rFonts w:ascii="Arial" w:cs="Arial" w:eastAsia="Arial" w:hAnsi="Arial"/>
                <w:sz w:val="15"/>
                <w:szCs w:val="15"/>
                <w:b w:val="1"/>
                <w:bCs w:val="1"/>
                <w:color w:val="auto"/>
              </w:rPr>
              <w:t>Pension Plans</w:t>
            </w:r>
          </w:p>
        </w:tc>
        <w:tc>
          <w:tcPr>
            <w:tcW w:w="960" w:type="dxa"/>
            <w:vAlign w:val="bottom"/>
          </w:tcPr>
          <w:p>
            <w:pPr>
              <w:spacing w:after="0"/>
              <w:rPr>
                <w:sz w:val="18"/>
                <w:szCs w:val="18"/>
                <w:color w:val="auto"/>
              </w:rPr>
            </w:pPr>
          </w:p>
        </w:tc>
        <w:tc>
          <w:tcPr>
            <w:tcW w:w="1760" w:type="dxa"/>
            <w:vAlign w:val="bottom"/>
          </w:tcPr>
          <w:p>
            <w:pPr>
              <w:jc w:val="center"/>
              <w:ind w:left="204"/>
              <w:spacing w:after="0"/>
              <w:rPr>
                <w:sz w:val="20"/>
                <w:szCs w:val="20"/>
                <w:color w:val="auto"/>
              </w:rPr>
            </w:pPr>
            <w:r>
              <w:rPr>
                <w:rFonts w:ascii="Arial" w:cs="Arial" w:eastAsia="Arial" w:hAnsi="Arial"/>
                <w:sz w:val="15"/>
                <w:szCs w:val="15"/>
                <w:b w:val="1"/>
                <w:bCs w:val="1"/>
                <w:color w:val="auto"/>
              </w:rPr>
              <w:t>Benefits</w:t>
            </w:r>
          </w:p>
        </w:tc>
        <w:tc>
          <w:tcPr>
            <w:tcW w:w="660" w:type="dxa"/>
            <w:vAlign w:val="bottom"/>
          </w:tcPr>
          <w:p>
            <w:pPr>
              <w:spacing w:after="0"/>
              <w:rPr>
                <w:sz w:val="18"/>
                <w:szCs w:val="18"/>
                <w:color w:val="auto"/>
              </w:rPr>
            </w:pPr>
          </w:p>
        </w:tc>
      </w:tr>
      <w:tr>
        <w:trPr>
          <w:trHeight w:val="84"/>
        </w:trPr>
        <w:tc>
          <w:tcPr>
            <w:tcW w:w="8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292"/>
        </w:trPr>
        <w:tc>
          <w:tcPr>
            <w:tcW w:w="8060" w:type="dxa"/>
            <w:vAlign w:val="bottom"/>
          </w:tcPr>
          <w:p>
            <w:pPr>
              <w:jc w:val="right"/>
              <w:ind w:right="924"/>
              <w:spacing w:after="0"/>
              <w:rPr>
                <w:sz w:val="20"/>
                <w:szCs w:val="20"/>
                <w:color w:val="auto"/>
              </w:rPr>
            </w:pPr>
            <w:r>
              <w:rPr>
                <w:rFonts w:ascii="Arial" w:cs="Arial" w:eastAsia="Arial" w:hAnsi="Arial"/>
                <w:sz w:val="15"/>
                <w:szCs w:val="15"/>
                <w:b w:val="1"/>
                <w:bCs w:val="1"/>
                <w:color w:val="auto"/>
              </w:rPr>
              <w:t>2006</w:t>
            </w:r>
          </w:p>
        </w:tc>
        <w:tc>
          <w:tcPr>
            <w:tcW w:w="960" w:type="dxa"/>
            <w:vAlign w:val="bottom"/>
          </w:tcPr>
          <w:p>
            <w:pPr>
              <w:jc w:val="right"/>
              <w:ind w:right="364"/>
              <w:spacing w:after="0"/>
              <w:rPr>
                <w:sz w:val="20"/>
                <w:szCs w:val="20"/>
                <w:color w:val="auto"/>
              </w:rPr>
            </w:pPr>
            <w:r>
              <w:rPr>
                <w:rFonts w:ascii="Arial" w:cs="Arial" w:eastAsia="Arial" w:hAnsi="Arial"/>
                <w:sz w:val="15"/>
                <w:szCs w:val="15"/>
                <w:b w:val="1"/>
                <w:bCs w:val="1"/>
                <w:color w:val="auto"/>
              </w:rPr>
              <w:t>2005</w:t>
            </w:r>
          </w:p>
        </w:tc>
        <w:tc>
          <w:tcPr>
            <w:tcW w:w="1760" w:type="dxa"/>
            <w:vAlign w:val="bottom"/>
          </w:tcPr>
          <w:p>
            <w:pPr>
              <w:jc w:val="right"/>
              <w:ind w:right="904"/>
              <w:spacing w:after="0"/>
              <w:rPr>
                <w:sz w:val="20"/>
                <w:szCs w:val="20"/>
                <w:color w:val="auto"/>
              </w:rPr>
            </w:pPr>
            <w:r>
              <w:rPr>
                <w:rFonts w:ascii="Arial" w:cs="Arial" w:eastAsia="Arial" w:hAnsi="Arial"/>
                <w:sz w:val="15"/>
                <w:szCs w:val="15"/>
                <w:b w:val="1"/>
                <w:bCs w:val="1"/>
                <w:color w:val="auto"/>
              </w:rPr>
              <w:t>2006</w:t>
            </w:r>
          </w:p>
        </w:tc>
        <w:tc>
          <w:tcPr>
            <w:tcW w:w="660" w:type="dxa"/>
            <w:vAlign w:val="bottom"/>
          </w:tcPr>
          <w:p>
            <w:pPr>
              <w:jc w:val="right"/>
              <w:ind w:right="144"/>
              <w:spacing w:after="0"/>
              <w:rPr>
                <w:sz w:val="20"/>
                <w:szCs w:val="20"/>
                <w:color w:val="auto"/>
              </w:rPr>
            </w:pPr>
            <w:r>
              <w:rPr>
                <w:rFonts w:ascii="Arial" w:cs="Arial" w:eastAsia="Arial" w:hAnsi="Arial"/>
                <w:sz w:val="15"/>
                <w:szCs w:val="15"/>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133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60960</wp:posOffset>
            </wp:positionV>
            <wp:extent cx="726567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Change in benefit obligation</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Benefit obligation at beginning of year</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Service cost</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Interest cost</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Plan participants’ contributions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Actuarial (gains) losses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Foreign currency exchange rate changes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Benefits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158.0</w:t>
            </w:r>
          </w:p>
        </w:tc>
        <w:tc>
          <w:tcPr>
            <w:tcW w:w="58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131.2</w:t>
            </w:r>
          </w:p>
        </w:tc>
        <w:tc>
          <w:tcPr>
            <w:tcW w:w="4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64"/>
              <w:spacing w:after="0"/>
              <w:rPr>
                <w:sz w:val="20"/>
                <w:szCs w:val="20"/>
                <w:color w:val="auto"/>
              </w:rPr>
            </w:pPr>
            <w:r>
              <w:rPr>
                <w:rFonts w:ascii="Arial" w:cs="Arial" w:eastAsia="Arial" w:hAnsi="Arial"/>
                <w:sz w:val="15"/>
                <w:szCs w:val="15"/>
                <w:color w:val="auto"/>
              </w:rPr>
              <w:t>36.2</w:t>
            </w:r>
          </w:p>
        </w:tc>
        <w:tc>
          <w:tcPr>
            <w:tcW w:w="5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31.4</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8.0</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7.0</w:t>
            </w:r>
          </w:p>
        </w:tc>
        <w:tc>
          <w:tcPr>
            <w:tcW w:w="480" w:type="dxa"/>
            <w:vAlign w:val="bottom"/>
          </w:tcPr>
          <w:p>
            <w:pPr>
              <w:spacing w:after="0"/>
              <w:rPr>
                <w:sz w:val="18"/>
                <w:szCs w:val="18"/>
                <w:color w:val="auto"/>
              </w:rPr>
            </w:pPr>
          </w:p>
        </w:tc>
        <w:tc>
          <w:tcPr>
            <w:tcW w:w="820" w:type="dxa"/>
            <w:vAlign w:val="bottom"/>
          </w:tcPr>
          <w:p>
            <w:pPr>
              <w:jc w:val="right"/>
              <w:ind w:right="164"/>
              <w:spacing w:after="0"/>
              <w:rPr>
                <w:sz w:val="20"/>
                <w:szCs w:val="20"/>
                <w:color w:val="auto"/>
              </w:rPr>
            </w:pPr>
            <w:r>
              <w:rPr>
                <w:rFonts w:ascii="Arial" w:cs="Arial" w:eastAsia="Arial" w:hAnsi="Arial"/>
                <w:sz w:val="15"/>
                <w:szCs w:val="15"/>
                <w:color w:val="auto"/>
              </w:rPr>
              <w:t>0.2</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8.3</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8.3</w:t>
            </w:r>
          </w:p>
        </w:tc>
        <w:tc>
          <w:tcPr>
            <w:tcW w:w="480" w:type="dxa"/>
            <w:vAlign w:val="bottom"/>
          </w:tcPr>
          <w:p>
            <w:pPr>
              <w:spacing w:after="0"/>
              <w:rPr>
                <w:sz w:val="18"/>
                <w:szCs w:val="18"/>
                <w:color w:val="auto"/>
              </w:rPr>
            </w:pPr>
          </w:p>
        </w:tc>
        <w:tc>
          <w:tcPr>
            <w:tcW w:w="820" w:type="dxa"/>
            <w:vAlign w:val="bottom"/>
          </w:tcPr>
          <w:p>
            <w:pPr>
              <w:jc w:val="right"/>
              <w:ind w:right="164"/>
              <w:spacing w:after="0"/>
              <w:rPr>
                <w:sz w:val="20"/>
                <w:szCs w:val="20"/>
                <w:color w:val="auto"/>
              </w:rPr>
            </w:pPr>
            <w:r>
              <w:rPr>
                <w:rFonts w:ascii="Arial" w:cs="Arial" w:eastAsia="Arial" w:hAnsi="Arial"/>
                <w:sz w:val="15"/>
                <w:szCs w:val="15"/>
                <w:color w:val="auto"/>
              </w:rPr>
              <w:t>1.8</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0.4</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0.4</w:t>
            </w:r>
          </w:p>
        </w:tc>
        <w:tc>
          <w:tcPr>
            <w:tcW w:w="480" w:type="dxa"/>
            <w:vAlign w:val="bottom"/>
          </w:tcPr>
          <w:p>
            <w:pPr>
              <w:spacing w:after="0"/>
              <w:rPr>
                <w:sz w:val="18"/>
                <w:szCs w:val="18"/>
                <w:color w:val="auto"/>
              </w:rPr>
            </w:pPr>
          </w:p>
        </w:tc>
        <w:tc>
          <w:tcPr>
            <w:tcW w:w="820" w:type="dxa"/>
            <w:vAlign w:val="bottom"/>
          </w:tcPr>
          <w:p>
            <w:pPr>
              <w:jc w:val="right"/>
              <w:ind w:right="164"/>
              <w:spacing w:after="0"/>
              <w:rPr>
                <w:sz w:val="20"/>
                <w:szCs w:val="20"/>
                <w:color w:val="auto"/>
              </w:rPr>
            </w:pPr>
            <w:r>
              <w:rPr>
                <w:rFonts w:ascii="Arial" w:cs="Arial" w:eastAsia="Arial" w:hAnsi="Arial"/>
                <w:sz w:val="15"/>
                <w:szCs w:val="15"/>
                <w:color w:val="auto"/>
              </w:rPr>
              <w:t>0.2</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(2.8)</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18.6</w:t>
            </w:r>
          </w:p>
        </w:tc>
        <w:tc>
          <w:tcPr>
            <w:tcW w:w="48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(4.7)</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0.1</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1.9</w:t>
            </w:r>
          </w:p>
        </w:tc>
        <w:tc>
          <w:tcPr>
            <w:tcW w:w="480" w:type="dxa"/>
            <w:vAlign w:val="bottom"/>
          </w:tcPr>
          <w:p>
            <w:pPr>
              <w:spacing w:after="0"/>
              <w:rPr>
                <w:sz w:val="18"/>
                <w:szCs w:val="18"/>
                <w:color w:val="auto"/>
              </w:rPr>
            </w:pPr>
          </w:p>
        </w:tc>
        <w:tc>
          <w:tcPr>
            <w:tcW w:w="8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(10.0)</w:t>
            </w:r>
          </w:p>
        </w:tc>
        <w:tc>
          <w:tcPr>
            <w:tcW w:w="580" w:type="dxa"/>
            <w:vAlign w:val="bottom"/>
          </w:tcPr>
          <w:p>
            <w:pPr>
              <w:spacing w:after="0"/>
              <w:rPr>
                <w:sz w:val="18"/>
                <w:szCs w:val="18"/>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(9.4)</w:t>
            </w:r>
          </w:p>
        </w:tc>
        <w:tc>
          <w:tcPr>
            <w:tcW w:w="48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(2.6)</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-803910</wp:posOffset>
            </wp:positionV>
            <wp:extent cx="7265670" cy="133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-537845</wp:posOffset>
            </wp:positionV>
            <wp:extent cx="7265670" cy="133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-271145</wp:posOffset>
            </wp:positionV>
            <wp:extent cx="7265670" cy="133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53340</wp:posOffset>
            </wp:positionV>
            <wp:extent cx="726567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120015</wp:posOffset>
            </wp:positionV>
            <wp:extent cx="7265670" cy="133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320" w:space="720"/>
            <w:col w:w="5400"/>
          </w:cols>
          <w:pgMar w:left="240" w:top="132" w:right="219" w:bottom="1440" w:gutter="0" w:footer="0" w:header="0"/>
          <w:type w:val="continuous"/>
        </w:sectPr>
      </w:pPr>
    </w:p>
    <w:p>
      <w:pPr>
        <w:spacing w:after="0"/>
        <w:tabs>
          <w:tab w:leader="none" w:pos="6020" w:val="left"/>
          <w:tab w:leader="none" w:pos="6660" w:val="left"/>
          <w:tab w:leader="none" w:pos="7380" w:val="left"/>
          <w:tab w:leader="none" w:pos="8180" w:val="left"/>
          <w:tab w:leader="none" w:pos="8820" w:val="left"/>
          <w:tab w:leader="none" w:pos="9480" w:val="left"/>
          <w:tab w:leader="none" w:pos="10220" w:val="left"/>
          <w:tab w:leader="none" w:pos="10920" w:val="left"/>
        </w:tabs>
        <w:rPr>
          <w:sz w:val="20"/>
          <w:szCs w:val="20"/>
          <w:color w:val="auto"/>
        </w:rPr>
      </w:pPr>
      <w:r>
        <w:rPr>
          <w:rFonts w:ascii="Arial" w:cs="Arial" w:eastAsia="Arial" w:hAnsi="Arial"/>
          <w:sz w:val="15"/>
          <w:szCs w:val="15"/>
          <w:b w:val="1"/>
          <w:bCs w:val="1"/>
          <w:color w:val="auto"/>
        </w:rPr>
        <w:t>Benefit obligation at end of year</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162.0</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158.0</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31.1</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26567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Change in plan assets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Fair value of plan assets at beginning of year</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Actual gain on plan assets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Company contributions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Plan participants’ contributions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Administrative expenses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Foreign currency exchange rate changes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Benefits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120.6</w:t>
            </w:r>
          </w:p>
        </w:tc>
        <w:tc>
          <w:tcPr>
            <w:tcW w:w="58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114.7</w:t>
            </w:r>
          </w:p>
        </w:tc>
        <w:tc>
          <w:tcPr>
            <w:tcW w:w="5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13.1</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10.6</w:t>
            </w:r>
          </w:p>
        </w:tc>
        <w:tc>
          <w:tcPr>
            <w:tcW w:w="500" w:type="dxa"/>
            <w:vAlign w:val="bottom"/>
          </w:tcPr>
          <w:p>
            <w:pPr>
              <w:spacing w:after="0"/>
              <w:rPr>
                <w:sz w:val="18"/>
                <w:szCs w:val="18"/>
                <w:color w:val="auto"/>
              </w:rPr>
            </w:pPr>
          </w:p>
        </w:tc>
        <w:tc>
          <w:tcPr>
            <w:tcW w:w="8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1.5</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3.7</w:t>
            </w:r>
          </w:p>
        </w:tc>
        <w:tc>
          <w:tcPr>
            <w:tcW w:w="500" w:type="dxa"/>
            <w:vAlign w:val="bottom"/>
          </w:tcPr>
          <w:p>
            <w:pPr>
              <w:spacing w:after="0"/>
              <w:rPr>
                <w:sz w:val="18"/>
                <w:szCs w:val="18"/>
                <w:color w:val="auto"/>
              </w:rPr>
            </w:pPr>
          </w:p>
        </w:tc>
        <w:tc>
          <w:tcPr>
            <w:tcW w:w="800" w:type="dxa"/>
            <w:vAlign w:val="bottom"/>
          </w:tcPr>
          <w:p>
            <w:pPr>
              <w:jc w:val="right"/>
              <w:ind w:right="164"/>
              <w:spacing w:after="0"/>
              <w:rPr>
                <w:sz w:val="20"/>
                <w:szCs w:val="20"/>
                <w:color w:val="auto"/>
              </w:rPr>
            </w:pPr>
            <w:r>
              <w:rPr>
                <w:rFonts w:ascii="Arial" w:cs="Arial" w:eastAsia="Arial" w:hAnsi="Arial"/>
                <w:sz w:val="15"/>
                <w:szCs w:val="15"/>
                <w:color w:val="auto"/>
              </w:rPr>
              <w:t>2.6</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0.4</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0.4</w:t>
            </w:r>
          </w:p>
        </w:tc>
        <w:tc>
          <w:tcPr>
            <w:tcW w:w="500" w:type="dxa"/>
            <w:vAlign w:val="bottom"/>
          </w:tcPr>
          <w:p>
            <w:pPr>
              <w:spacing w:after="0"/>
              <w:rPr>
                <w:sz w:val="18"/>
                <w:szCs w:val="18"/>
                <w:color w:val="auto"/>
              </w:rPr>
            </w:pPr>
          </w:p>
        </w:tc>
        <w:tc>
          <w:tcPr>
            <w:tcW w:w="800" w:type="dxa"/>
            <w:vAlign w:val="bottom"/>
          </w:tcPr>
          <w:p>
            <w:pPr>
              <w:jc w:val="right"/>
              <w:ind w:right="164"/>
              <w:spacing w:after="0"/>
              <w:rPr>
                <w:sz w:val="20"/>
                <w:szCs w:val="20"/>
                <w:color w:val="auto"/>
              </w:rPr>
            </w:pPr>
            <w:r>
              <w:rPr>
                <w:rFonts w:ascii="Arial" w:cs="Arial" w:eastAsia="Arial" w:hAnsi="Arial"/>
                <w:sz w:val="15"/>
                <w:szCs w:val="15"/>
                <w:color w:val="auto"/>
              </w:rPr>
              <w:t>0.2</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(1.1)</w:t>
            </w:r>
          </w:p>
        </w:tc>
        <w:tc>
          <w:tcPr>
            <w:tcW w:w="580" w:type="dxa"/>
            <w:vAlign w:val="bottom"/>
          </w:tcPr>
          <w:p>
            <w:pPr>
              <w:spacing w:after="0"/>
              <w:rPr>
                <w:sz w:val="18"/>
                <w:szCs w:val="18"/>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500" w:type="dxa"/>
            <w:vAlign w:val="bottom"/>
          </w:tcPr>
          <w:p>
            <w:pPr>
              <w:spacing w:after="0"/>
              <w:rPr>
                <w:sz w:val="18"/>
                <w:szCs w:val="18"/>
                <w:color w:val="auto"/>
              </w:rPr>
            </w:pPr>
          </w:p>
        </w:tc>
        <w:tc>
          <w:tcPr>
            <w:tcW w:w="8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0.2</w:t>
            </w:r>
          </w:p>
        </w:tc>
        <w:tc>
          <w:tcPr>
            <w:tcW w:w="5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1.6</w:t>
            </w:r>
          </w:p>
        </w:tc>
        <w:tc>
          <w:tcPr>
            <w:tcW w:w="500" w:type="dxa"/>
            <w:vAlign w:val="bottom"/>
          </w:tcPr>
          <w:p>
            <w:pPr>
              <w:spacing w:after="0"/>
              <w:rPr>
                <w:sz w:val="18"/>
                <w:szCs w:val="18"/>
                <w:color w:val="auto"/>
              </w:rPr>
            </w:pPr>
          </w:p>
        </w:tc>
        <w:tc>
          <w:tcPr>
            <w:tcW w:w="8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60" w:type="dxa"/>
            <w:vAlign w:val="bottom"/>
          </w:tcPr>
          <w:p>
            <w:pPr>
              <w:spacing w:after="0"/>
              <w:rPr>
                <w:sz w:val="18"/>
                <w:szCs w:val="18"/>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(10.0)</w:t>
            </w:r>
          </w:p>
        </w:tc>
        <w:tc>
          <w:tcPr>
            <w:tcW w:w="580" w:type="dxa"/>
            <w:vAlign w:val="bottom"/>
          </w:tcPr>
          <w:p>
            <w:pPr>
              <w:spacing w:after="0"/>
              <w:rPr>
                <w:sz w:val="18"/>
                <w:szCs w:val="18"/>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(9.4)</w:t>
            </w:r>
          </w:p>
        </w:tc>
        <w:tc>
          <w:tcPr>
            <w:tcW w:w="500" w:type="dxa"/>
            <w:vAlign w:val="bottom"/>
          </w:tcPr>
          <w:p>
            <w:pPr>
              <w:spacing w:after="0"/>
              <w:rPr>
                <w:sz w:val="18"/>
                <w:szCs w:val="18"/>
                <w:color w:val="auto"/>
              </w:rPr>
            </w:pPr>
          </w:p>
        </w:tc>
        <w:tc>
          <w:tcPr>
            <w:tcW w:w="800" w:type="dxa"/>
            <w:vAlign w:val="bottom"/>
          </w:tcPr>
          <w:p>
            <w:pPr>
              <w:jc w:val="right"/>
              <w:ind w:right="104"/>
              <w:spacing w:after="0"/>
              <w:rPr>
                <w:sz w:val="20"/>
                <w:szCs w:val="20"/>
                <w:color w:val="auto"/>
              </w:rPr>
            </w:pPr>
            <w:r>
              <w:rPr>
                <w:rFonts w:ascii="Arial" w:cs="Arial" w:eastAsia="Arial" w:hAnsi="Arial"/>
                <w:sz w:val="15"/>
                <w:szCs w:val="15"/>
                <w:color w:val="auto"/>
              </w:rPr>
              <w:t>(2.8)</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-937260</wp:posOffset>
            </wp:positionV>
            <wp:extent cx="7265670" cy="133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-671195</wp:posOffset>
            </wp:positionV>
            <wp:extent cx="7265670" cy="133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-404495</wp:posOffset>
            </wp:positionV>
            <wp:extent cx="7265670" cy="133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-138430</wp:posOffset>
            </wp:positionV>
            <wp:extent cx="7265670" cy="133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120015</wp:posOffset>
            </wp:positionV>
            <wp:extent cx="7265670" cy="133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53340</wp:posOffset>
            </wp:positionV>
            <wp:extent cx="726567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320" w:space="720"/>
            <w:col w:w="5400"/>
          </w:cols>
          <w:pgMar w:left="240" w:top="132" w:right="219" w:bottom="1440" w:gutter="0" w:footer="0" w:header="0"/>
          <w:type w:val="continuous"/>
        </w:sectPr>
      </w:pPr>
    </w:p>
    <w:p>
      <w:pPr>
        <w:spacing w:after="0"/>
        <w:tabs>
          <w:tab w:leader="none" w:pos="6020" w:val="left"/>
          <w:tab w:leader="none" w:pos="6660" w:val="left"/>
          <w:tab w:leader="none" w:pos="7540" w:val="left"/>
          <w:tab w:leader="none" w:pos="8180" w:val="left"/>
          <w:tab w:leader="none" w:pos="8820" w:val="left"/>
          <w:tab w:leader="none" w:pos="9640" w:val="left"/>
          <w:tab w:leader="none" w:pos="10220" w:val="left"/>
          <w:tab w:leader="none" w:pos="11060" w:val="left"/>
        </w:tabs>
        <w:rPr>
          <w:sz w:val="20"/>
          <w:szCs w:val="20"/>
          <w:color w:val="auto"/>
        </w:rPr>
      </w:pPr>
      <w:r>
        <w:rPr>
          <w:rFonts w:ascii="Arial" w:cs="Arial" w:eastAsia="Arial" w:hAnsi="Arial"/>
          <w:sz w:val="15"/>
          <w:szCs w:val="15"/>
          <w:b w:val="1"/>
          <w:bCs w:val="1"/>
          <w:color w:val="auto"/>
        </w:rPr>
        <w:t>Fair value of plan assets at end of year</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124.7</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120.6</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26567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Funded status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Underfunded status of the plans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Unrecognized net actuarial loss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Unrecognized prior service cost</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Unrecognized net asset obligation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64"/>
              <w:spacing w:after="0"/>
              <w:rPr>
                <w:sz w:val="20"/>
                <w:szCs w:val="20"/>
                <w:color w:val="auto"/>
              </w:rPr>
            </w:pPr>
            <w:r>
              <w:rPr>
                <w:rFonts w:ascii="Arial" w:cs="Arial" w:eastAsia="Arial" w:hAnsi="Arial"/>
                <w:sz w:val="15"/>
                <w:szCs w:val="15"/>
                <w:color w:val="auto"/>
              </w:rPr>
              <w:t>(37.3)</w:t>
            </w:r>
          </w:p>
        </w:tc>
        <w:tc>
          <w:tcPr>
            <w:tcW w:w="6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84"/>
              <w:spacing w:after="0"/>
              <w:rPr>
                <w:sz w:val="20"/>
                <w:szCs w:val="20"/>
                <w:color w:val="auto"/>
              </w:rPr>
            </w:pPr>
            <w:r>
              <w:rPr>
                <w:rFonts w:ascii="Arial" w:cs="Arial" w:eastAsia="Arial" w:hAnsi="Arial"/>
                <w:sz w:val="15"/>
                <w:szCs w:val="15"/>
                <w:color w:val="auto"/>
              </w:rPr>
              <w:t>(37.4)   $</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(31.1)</w:t>
            </w:r>
          </w:p>
        </w:tc>
        <w:tc>
          <w:tcPr>
            <w:tcW w:w="5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(36.2)</w:t>
            </w:r>
          </w:p>
        </w:tc>
      </w:tr>
      <w:tr>
        <w:trPr>
          <w:trHeight w:val="210"/>
        </w:trPr>
        <w:tc>
          <w:tcPr>
            <w:tcW w:w="380" w:type="dxa"/>
            <w:vAlign w:val="bottom"/>
          </w:tcPr>
          <w:p>
            <w:pPr>
              <w:spacing w:after="0"/>
              <w:rPr>
                <w:sz w:val="18"/>
                <w:szCs w:val="18"/>
                <w:color w:val="auto"/>
              </w:rPr>
            </w:pPr>
          </w:p>
        </w:tc>
        <w:tc>
          <w:tcPr>
            <w:tcW w:w="920" w:type="dxa"/>
            <w:vAlign w:val="bottom"/>
          </w:tcPr>
          <w:p>
            <w:pPr>
              <w:jc w:val="right"/>
              <w:ind w:right="204"/>
              <w:spacing w:after="0"/>
              <w:rPr>
                <w:sz w:val="20"/>
                <w:szCs w:val="20"/>
                <w:color w:val="auto"/>
              </w:rPr>
            </w:pPr>
            <w:r>
              <w:rPr>
                <w:rFonts w:ascii="Arial" w:cs="Arial" w:eastAsia="Arial" w:hAnsi="Arial"/>
                <w:sz w:val="15"/>
                <w:szCs w:val="15"/>
                <w:color w:val="auto"/>
              </w:rPr>
              <w:t>43.4</w:t>
            </w:r>
          </w:p>
        </w:tc>
        <w:tc>
          <w:tcPr>
            <w:tcW w:w="600" w:type="dxa"/>
            <w:vAlign w:val="bottom"/>
          </w:tcPr>
          <w:p>
            <w:pPr>
              <w:spacing w:after="0"/>
              <w:rPr>
                <w:sz w:val="18"/>
                <w:szCs w:val="18"/>
                <w:color w:val="auto"/>
              </w:rPr>
            </w:pPr>
          </w:p>
        </w:tc>
        <w:tc>
          <w:tcPr>
            <w:tcW w:w="1260" w:type="dxa"/>
            <w:vAlign w:val="bottom"/>
          </w:tcPr>
          <w:p>
            <w:pPr>
              <w:jc w:val="right"/>
              <w:ind w:right="544"/>
              <w:spacing w:after="0"/>
              <w:rPr>
                <w:sz w:val="20"/>
                <w:szCs w:val="20"/>
                <w:color w:val="auto"/>
              </w:rPr>
            </w:pPr>
            <w:r>
              <w:rPr>
                <w:rFonts w:ascii="Arial" w:cs="Arial" w:eastAsia="Arial" w:hAnsi="Arial"/>
                <w:sz w:val="15"/>
                <w:szCs w:val="15"/>
                <w:color w:val="auto"/>
              </w:rPr>
              <w:t>53.4</w:t>
            </w: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19.3</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25.6</w:t>
            </w:r>
          </w:p>
        </w:tc>
      </w:tr>
      <w:tr>
        <w:trPr>
          <w:trHeight w:val="210"/>
        </w:trPr>
        <w:tc>
          <w:tcPr>
            <w:tcW w:w="380" w:type="dxa"/>
            <w:vAlign w:val="bottom"/>
          </w:tcPr>
          <w:p>
            <w:pPr>
              <w:spacing w:after="0"/>
              <w:rPr>
                <w:sz w:val="18"/>
                <w:szCs w:val="18"/>
                <w:color w:val="auto"/>
              </w:rPr>
            </w:pPr>
          </w:p>
        </w:tc>
        <w:tc>
          <w:tcPr>
            <w:tcW w:w="920" w:type="dxa"/>
            <w:vAlign w:val="bottom"/>
          </w:tcPr>
          <w:p>
            <w:pPr>
              <w:jc w:val="right"/>
              <w:ind w:right="164"/>
              <w:spacing w:after="0"/>
              <w:rPr>
                <w:sz w:val="20"/>
                <w:szCs w:val="20"/>
                <w:color w:val="auto"/>
              </w:rPr>
            </w:pPr>
            <w:r>
              <w:rPr>
                <w:rFonts w:ascii="Arial" w:cs="Arial" w:eastAsia="Arial" w:hAnsi="Arial"/>
                <w:sz w:val="15"/>
                <w:szCs w:val="15"/>
                <w:color w:val="auto"/>
              </w:rPr>
              <w:t>(1.3)</w:t>
            </w:r>
          </w:p>
        </w:tc>
        <w:tc>
          <w:tcPr>
            <w:tcW w:w="600" w:type="dxa"/>
            <w:vAlign w:val="bottom"/>
          </w:tcPr>
          <w:p>
            <w:pPr>
              <w:spacing w:after="0"/>
              <w:rPr>
                <w:sz w:val="18"/>
                <w:szCs w:val="18"/>
                <w:color w:val="auto"/>
              </w:rPr>
            </w:pPr>
          </w:p>
        </w:tc>
        <w:tc>
          <w:tcPr>
            <w:tcW w:w="1260" w:type="dxa"/>
            <w:vAlign w:val="bottom"/>
          </w:tcPr>
          <w:p>
            <w:pPr>
              <w:jc w:val="right"/>
              <w:ind w:right="484"/>
              <w:spacing w:after="0"/>
              <w:rPr>
                <w:sz w:val="20"/>
                <w:szCs w:val="20"/>
                <w:color w:val="auto"/>
              </w:rPr>
            </w:pPr>
            <w:r>
              <w:rPr>
                <w:rFonts w:ascii="Arial" w:cs="Arial" w:eastAsia="Arial" w:hAnsi="Arial"/>
                <w:sz w:val="15"/>
                <w:szCs w:val="15"/>
                <w:color w:val="auto"/>
              </w:rPr>
              <w:t>(1.6)</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(8.4)</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10"/>
        </w:trPr>
        <w:tc>
          <w:tcPr>
            <w:tcW w:w="380" w:type="dxa"/>
            <w:vAlign w:val="bottom"/>
          </w:tcPr>
          <w:p>
            <w:pPr>
              <w:spacing w:after="0"/>
              <w:rPr>
                <w:sz w:val="18"/>
                <w:szCs w:val="18"/>
                <w:color w:val="auto"/>
              </w:rPr>
            </w:pPr>
          </w:p>
        </w:tc>
        <w:tc>
          <w:tcPr>
            <w:tcW w:w="9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8"/>
                <w:szCs w:val="18"/>
                <w:color w:val="auto"/>
              </w:rPr>
            </w:pPr>
          </w:p>
        </w:tc>
        <w:tc>
          <w:tcPr>
            <w:tcW w:w="1260" w:type="dxa"/>
            <w:vAlign w:val="bottom"/>
          </w:tcPr>
          <w:p>
            <w:pPr>
              <w:jc w:val="right"/>
              <w:ind w:right="544"/>
              <w:spacing w:after="0"/>
              <w:rPr>
                <w:sz w:val="20"/>
                <w:szCs w:val="20"/>
                <w:color w:val="auto"/>
              </w:rPr>
            </w:pPr>
            <w:r>
              <w:rPr>
                <w:rFonts w:ascii="Arial" w:cs="Arial" w:eastAsia="Arial" w:hAnsi="Arial"/>
                <w:sz w:val="15"/>
                <w:szCs w:val="15"/>
                <w:color w:val="auto"/>
              </w:rPr>
              <w:t>0.1</w:t>
            </w: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-537845</wp:posOffset>
            </wp:positionV>
            <wp:extent cx="7265670" cy="133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-271145</wp:posOffset>
            </wp:positionV>
            <wp:extent cx="7265670" cy="133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53340</wp:posOffset>
            </wp:positionV>
            <wp:extent cx="726567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5320" w:space="720"/>
            <w:col w:w="5400"/>
          </w:cols>
          <w:pgMar w:left="240" w:top="132"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66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Accrued benefit asset (liability)</w:t>
            </w:r>
          </w:p>
        </w:tc>
        <w:tc>
          <w:tcPr>
            <w:tcW w:w="176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4.8</w:t>
            </w:r>
          </w:p>
        </w:tc>
        <w:tc>
          <w:tcPr>
            <w:tcW w:w="60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14.5</w:t>
            </w:r>
          </w:p>
        </w:tc>
        <w:tc>
          <w:tcPr>
            <w:tcW w:w="46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E6E6E6"/>
          </w:tcPr>
          <w:p>
            <w:pPr>
              <w:jc w:val="right"/>
              <w:ind w:right="104"/>
              <w:spacing w:after="0"/>
              <w:rPr>
                <w:sz w:val="20"/>
                <w:szCs w:val="20"/>
                <w:color w:val="auto"/>
              </w:rPr>
            </w:pPr>
            <w:r>
              <w:rPr>
                <w:rFonts w:ascii="Arial" w:cs="Arial" w:eastAsia="Arial" w:hAnsi="Arial"/>
                <w:sz w:val="15"/>
                <w:szCs w:val="15"/>
                <w:b w:val="1"/>
                <w:bCs w:val="1"/>
                <w:color w:val="auto"/>
              </w:rPr>
              <w:t>(20.2)</w:t>
            </w:r>
          </w:p>
        </w:tc>
        <w:tc>
          <w:tcPr>
            <w:tcW w:w="56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(19.8)</w:t>
            </w:r>
          </w:p>
        </w:tc>
      </w:tr>
      <w:tr>
        <w:trPr>
          <w:trHeight w:val="93"/>
        </w:trPr>
        <w:tc>
          <w:tcPr>
            <w:tcW w:w="466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r>
        <w:trPr>
          <w:trHeight w:val="85"/>
        </w:trPr>
        <w:tc>
          <w:tcPr>
            <w:tcW w:w="46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0"/>
        </w:trPr>
        <w:tc>
          <w:tcPr>
            <w:tcW w:w="4660" w:type="dxa"/>
            <w:vAlign w:val="bottom"/>
            <w:shd w:val="clear" w:color="auto" w:fill="E6E6E6"/>
          </w:tcPr>
          <w:p>
            <w:pPr>
              <w:spacing w:after="0"/>
              <w:rPr>
                <w:sz w:val="20"/>
                <w:szCs w:val="20"/>
                <w:color w:val="auto"/>
              </w:rPr>
            </w:pPr>
            <w:r>
              <w:rPr>
                <w:rFonts w:ascii="Arial" w:cs="Arial" w:eastAsia="Arial" w:hAnsi="Arial"/>
                <w:sz w:val="15"/>
                <w:szCs w:val="15"/>
                <w:color w:val="auto"/>
              </w:rPr>
              <w:t>Amounts recognized in the Consolidated</w:t>
            </w:r>
          </w:p>
        </w:tc>
        <w:tc>
          <w:tcPr>
            <w:tcW w:w="176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r>
      <w:tr>
        <w:trPr>
          <w:trHeight w:val="208"/>
        </w:trPr>
        <w:tc>
          <w:tcPr>
            <w:tcW w:w="4660" w:type="dxa"/>
            <w:vAlign w:val="bottom"/>
          </w:tcPr>
          <w:p>
            <w:pPr>
              <w:ind w:left="140"/>
              <w:spacing w:after="0"/>
              <w:rPr>
                <w:sz w:val="20"/>
                <w:szCs w:val="20"/>
                <w:color w:val="auto"/>
              </w:rPr>
            </w:pPr>
            <w:r>
              <w:rPr>
                <w:rFonts w:ascii="Arial" w:cs="Arial" w:eastAsia="Arial" w:hAnsi="Arial"/>
                <w:sz w:val="15"/>
                <w:szCs w:val="15"/>
                <w:color w:val="auto"/>
              </w:rPr>
              <w:t>Balance Sheets</w:t>
            </w: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4660" w:type="dxa"/>
            <w:vAlign w:val="bottom"/>
            <w:shd w:val="clear" w:color="auto" w:fill="E6E6E6"/>
          </w:tcPr>
          <w:p>
            <w:pPr>
              <w:ind w:left="320"/>
              <w:spacing w:after="0"/>
              <w:rPr>
                <w:sz w:val="20"/>
                <w:szCs w:val="20"/>
                <w:color w:val="auto"/>
              </w:rPr>
            </w:pPr>
            <w:r>
              <w:rPr>
                <w:rFonts w:ascii="Arial" w:cs="Arial" w:eastAsia="Arial" w:hAnsi="Arial"/>
                <w:sz w:val="15"/>
                <w:szCs w:val="15"/>
                <w:color w:val="auto"/>
              </w:rPr>
              <w:t>Prepaid benefit cost</w:t>
            </w:r>
          </w:p>
        </w:tc>
        <w:tc>
          <w:tcPr>
            <w:tcW w:w="176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9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4.8</w:t>
            </w:r>
          </w:p>
        </w:tc>
        <w:tc>
          <w:tcPr>
            <w:tcW w:w="60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14.5</w:t>
            </w:r>
          </w:p>
        </w:tc>
        <w:tc>
          <w:tcPr>
            <w:tcW w:w="46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w:t>
            </w:r>
          </w:p>
        </w:tc>
        <w:tc>
          <w:tcPr>
            <w:tcW w:w="56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r>
      <w:tr>
        <w:trPr>
          <w:trHeight w:val="210"/>
        </w:trPr>
        <w:tc>
          <w:tcPr>
            <w:tcW w:w="4660" w:type="dxa"/>
            <w:vAlign w:val="bottom"/>
          </w:tcPr>
          <w:p>
            <w:pPr>
              <w:ind w:left="320"/>
              <w:spacing w:after="0"/>
              <w:rPr>
                <w:sz w:val="20"/>
                <w:szCs w:val="20"/>
                <w:color w:val="auto"/>
              </w:rPr>
            </w:pPr>
            <w:r>
              <w:rPr>
                <w:rFonts w:ascii="Arial" w:cs="Arial" w:eastAsia="Arial" w:hAnsi="Arial"/>
                <w:sz w:val="15"/>
                <w:szCs w:val="15"/>
                <w:color w:val="auto"/>
              </w:rPr>
              <w:t>Accrued benefit liability</w:t>
            </w:r>
          </w:p>
        </w:tc>
        <w:tc>
          <w:tcPr>
            <w:tcW w:w="1760" w:type="dxa"/>
            <w:vAlign w:val="bottom"/>
          </w:tcPr>
          <w:p>
            <w:pPr>
              <w:spacing w:after="0"/>
              <w:rPr>
                <w:sz w:val="18"/>
                <w:szCs w:val="18"/>
                <w:color w:val="auto"/>
              </w:rPr>
            </w:pPr>
          </w:p>
        </w:tc>
        <w:tc>
          <w:tcPr>
            <w:tcW w:w="920" w:type="dxa"/>
            <w:vAlign w:val="bottom"/>
          </w:tcPr>
          <w:p>
            <w:pPr>
              <w:jc w:val="right"/>
              <w:ind w:right="164"/>
              <w:spacing w:after="0"/>
              <w:rPr>
                <w:sz w:val="20"/>
                <w:szCs w:val="20"/>
                <w:color w:val="auto"/>
              </w:rPr>
            </w:pPr>
            <w:r>
              <w:rPr>
                <w:rFonts w:ascii="Arial" w:cs="Arial" w:eastAsia="Arial" w:hAnsi="Arial"/>
                <w:sz w:val="15"/>
                <w:szCs w:val="15"/>
                <w:color w:val="auto"/>
              </w:rPr>
              <w:t>(28.7)</w:t>
            </w:r>
          </w:p>
        </w:tc>
        <w:tc>
          <w:tcPr>
            <w:tcW w:w="60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(40.7)</w:t>
            </w:r>
          </w:p>
        </w:tc>
        <w:tc>
          <w:tcPr>
            <w:tcW w:w="460" w:type="dxa"/>
            <w:vAlign w:val="bottom"/>
          </w:tcPr>
          <w:p>
            <w:pPr>
              <w:spacing w:after="0"/>
              <w:rPr>
                <w:sz w:val="18"/>
                <w:szCs w:val="18"/>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(20.2)</w:t>
            </w:r>
          </w:p>
        </w:tc>
        <w:tc>
          <w:tcPr>
            <w:tcW w:w="560" w:type="dxa"/>
            <w:vAlign w:val="bottom"/>
          </w:tcPr>
          <w:p>
            <w:pPr>
              <w:spacing w:after="0"/>
              <w:rPr>
                <w:sz w:val="18"/>
                <w:szCs w:val="18"/>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(19.8)</w:t>
            </w:r>
          </w:p>
        </w:tc>
      </w:tr>
      <w:tr>
        <w:trPr>
          <w:trHeight w:val="210"/>
        </w:trPr>
        <w:tc>
          <w:tcPr>
            <w:tcW w:w="4660" w:type="dxa"/>
            <w:vAlign w:val="bottom"/>
            <w:shd w:val="clear" w:color="auto" w:fill="E6E6E6"/>
          </w:tcPr>
          <w:p>
            <w:pPr>
              <w:ind w:left="320"/>
              <w:spacing w:after="0"/>
              <w:rPr>
                <w:sz w:val="20"/>
                <w:szCs w:val="20"/>
                <w:color w:val="auto"/>
              </w:rPr>
            </w:pPr>
            <w:r>
              <w:rPr>
                <w:rFonts w:ascii="Arial" w:cs="Arial" w:eastAsia="Arial" w:hAnsi="Arial"/>
                <w:sz w:val="15"/>
                <w:szCs w:val="15"/>
                <w:color w:val="auto"/>
              </w:rPr>
              <w:t>Intangible asset</w:t>
            </w:r>
          </w:p>
        </w:tc>
        <w:tc>
          <w:tcPr>
            <w:tcW w:w="1760" w:type="dxa"/>
            <w:vAlign w:val="bottom"/>
            <w:shd w:val="clear" w:color="auto" w:fill="E6E6E6"/>
          </w:tcPr>
          <w:p>
            <w:pPr>
              <w:spacing w:after="0"/>
              <w:rPr>
                <w:sz w:val="18"/>
                <w:szCs w:val="18"/>
                <w:color w:val="auto"/>
              </w:rPr>
            </w:pPr>
          </w:p>
        </w:tc>
        <w:tc>
          <w:tcPr>
            <w:tcW w:w="9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0.1</w:t>
            </w:r>
          </w:p>
        </w:tc>
        <w:tc>
          <w:tcPr>
            <w:tcW w:w="600" w:type="dxa"/>
            <w:vAlign w:val="bottom"/>
            <w:shd w:val="clear" w:color="auto" w:fill="E6E6E6"/>
          </w:tcPr>
          <w:p>
            <w:pPr>
              <w:spacing w:after="0"/>
              <w:rPr>
                <w:sz w:val="18"/>
                <w:szCs w:val="18"/>
                <w:color w:val="auto"/>
              </w:rPr>
            </w:pPr>
          </w:p>
        </w:tc>
        <w:tc>
          <w:tcPr>
            <w:tcW w:w="8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0.1</w:t>
            </w:r>
          </w:p>
        </w:tc>
        <w:tc>
          <w:tcPr>
            <w:tcW w:w="46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w:t>
            </w:r>
          </w:p>
        </w:tc>
        <w:tc>
          <w:tcPr>
            <w:tcW w:w="560" w:type="dxa"/>
            <w:vAlign w:val="bottom"/>
            <w:shd w:val="clear" w:color="auto" w:fill="E6E6E6"/>
          </w:tcPr>
          <w:p>
            <w:pPr>
              <w:spacing w:after="0"/>
              <w:rPr>
                <w:sz w:val="18"/>
                <w:szCs w:val="18"/>
                <w:color w:val="auto"/>
              </w:rPr>
            </w:pPr>
          </w:p>
        </w:tc>
        <w:tc>
          <w:tcPr>
            <w:tcW w:w="84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r>
      <w:tr>
        <w:trPr>
          <w:trHeight w:val="219"/>
        </w:trPr>
        <w:tc>
          <w:tcPr>
            <w:tcW w:w="4660" w:type="dxa"/>
            <w:vAlign w:val="bottom"/>
          </w:tcPr>
          <w:p>
            <w:pPr>
              <w:ind w:left="320"/>
              <w:spacing w:after="0"/>
              <w:rPr>
                <w:sz w:val="20"/>
                <w:szCs w:val="20"/>
                <w:color w:val="auto"/>
              </w:rPr>
            </w:pPr>
            <w:r>
              <w:rPr>
                <w:rFonts w:ascii="Arial" w:cs="Arial" w:eastAsia="Arial" w:hAnsi="Arial"/>
                <w:sz w:val="15"/>
                <w:szCs w:val="15"/>
                <w:color w:val="auto"/>
              </w:rPr>
              <w:t>Accumulated other comprehensive loss</w:t>
            </w:r>
          </w:p>
        </w:tc>
        <w:tc>
          <w:tcPr>
            <w:tcW w:w="1760" w:type="dxa"/>
            <w:vAlign w:val="bottom"/>
          </w:tcPr>
          <w:p>
            <w:pPr>
              <w:spacing w:after="0"/>
              <w:rPr>
                <w:sz w:val="19"/>
                <w:szCs w:val="19"/>
                <w:color w:val="auto"/>
              </w:rPr>
            </w:pPr>
          </w:p>
        </w:tc>
        <w:tc>
          <w:tcPr>
            <w:tcW w:w="920" w:type="dxa"/>
            <w:vAlign w:val="bottom"/>
          </w:tcPr>
          <w:p>
            <w:pPr>
              <w:jc w:val="right"/>
              <w:ind w:right="204"/>
              <w:spacing w:after="0"/>
              <w:rPr>
                <w:sz w:val="20"/>
                <w:szCs w:val="20"/>
                <w:color w:val="auto"/>
              </w:rPr>
            </w:pPr>
            <w:r>
              <w:rPr>
                <w:rFonts w:ascii="Arial" w:cs="Arial" w:eastAsia="Arial" w:hAnsi="Arial"/>
                <w:sz w:val="15"/>
                <w:szCs w:val="15"/>
                <w:color w:val="auto"/>
              </w:rPr>
              <w:t>28.6</w:t>
            </w:r>
          </w:p>
        </w:tc>
        <w:tc>
          <w:tcPr>
            <w:tcW w:w="600" w:type="dxa"/>
            <w:vAlign w:val="bottom"/>
          </w:tcPr>
          <w:p>
            <w:pPr>
              <w:spacing w:after="0"/>
              <w:rPr>
                <w:sz w:val="19"/>
                <w:szCs w:val="19"/>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40.6</w:t>
            </w:r>
          </w:p>
        </w:tc>
        <w:tc>
          <w:tcPr>
            <w:tcW w:w="460" w:type="dxa"/>
            <w:vAlign w:val="bottom"/>
          </w:tcPr>
          <w:p>
            <w:pPr>
              <w:spacing w:after="0"/>
              <w:rPr>
                <w:sz w:val="19"/>
                <w:szCs w:val="19"/>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8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84"/>
        </w:trPr>
        <w:tc>
          <w:tcPr>
            <w:tcW w:w="466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85"/>
        </w:trPr>
        <w:tc>
          <w:tcPr>
            <w:tcW w:w="46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0"/>
        </w:trPr>
        <w:tc>
          <w:tcPr>
            <w:tcW w:w="466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Net amount recognized</w:t>
            </w:r>
          </w:p>
        </w:tc>
        <w:tc>
          <w:tcPr>
            <w:tcW w:w="176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4.8</w:t>
            </w:r>
          </w:p>
        </w:tc>
        <w:tc>
          <w:tcPr>
            <w:tcW w:w="60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14.5</w:t>
            </w:r>
          </w:p>
        </w:tc>
        <w:tc>
          <w:tcPr>
            <w:tcW w:w="460" w:type="dxa"/>
            <w:vAlign w:val="bottom"/>
            <w:shd w:val="clear" w:color="auto" w:fill="E6E6E6"/>
          </w:tcPr>
          <w:p>
            <w:pPr>
              <w:jc w:val="right"/>
              <w:ind w:right="18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E6E6E6"/>
          </w:tcPr>
          <w:p>
            <w:pPr>
              <w:jc w:val="right"/>
              <w:ind w:right="104"/>
              <w:spacing w:after="0"/>
              <w:rPr>
                <w:sz w:val="20"/>
                <w:szCs w:val="20"/>
                <w:color w:val="auto"/>
              </w:rPr>
            </w:pPr>
            <w:r>
              <w:rPr>
                <w:rFonts w:ascii="Arial" w:cs="Arial" w:eastAsia="Arial" w:hAnsi="Arial"/>
                <w:sz w:val="15"/>
                <w:szCs w:val="15"/>
                <w:b w:val="1"/>
                <w:bCs w:val="1"/>
                <w:color w:val="auto"/>
              </w:rPr>
              <w:t>(20.2)</w:t>
            </w:r>
          </w:p>
        </w:tc>
        <w:tc>
          <w:tcPr>
            <w:tcW w:w="560" w:type="dxa"/>
            <w:vAlign w:val="bottom"/>
            <w:shd w:val="clear" w:color="auto" w:fill="E6E6E6"/>
          </w:tcPr>
          <w:p>
            <w:pPr>
              <w:jc w:val="right"/>
              <w:ind w:right="20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E6E6E6"/>
          </w:tcPr>
          <w:p>
            <w:pPr>
              <w:jc w:val="right"/>
              <w:ind w:right="84"/>
              <w:spacing w:after="0"/>
              <w:rPr>
                <w:sz w:val="20"/>
                <w:szCs w:val="20"/>
                <w:color w:val="auto"/>
              </w:rPr>
            </w:pPr>
            <w:r>
              <w:rPr>
                <w:rFonts w:ascii="Arial" w:cs="Arial" w:eastAsia="Arial" w:hAnsi="Arial"/>
                <w:sz w:val="15"/>
                <w:szCs w:val="15"/>
                <w:b w:val="1"/>
                <w:bCs w:val="1"/>
                <w:color w:val="auto"/>
              </w:rPr>
              <w:t>(19.8)</w:t>
            </w:r>
          </w:p>
        </w:tc>
      </w:tr>
      <w:tr>
        <w:trPr>
          <w:trHeight w:val="93"/>
        </w:trPr>
        <w:tc>
          <w:tcPr>
            <w:tcW w:w="466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r>
        <w:trPr>
          <w:trHeight w:val="292"/>
        </w:trPr>
        <w:tc>
          <w:tcPr>
            <w:tcW w:w="4660" w:type="dxa"/>
            <w:vAlign w:val="bottom"/>
          </w:tcPr>
          <w:p>
            <w:pPr>
              <w:spacing w:after="0"/>
              <w:rPr>
                <w:sz w:val="20"/>
                <w:szCs w:val="20"/>
                <w:color w:val="auto"/>
              </w:rPr>
            </w:pPr>
            <w:r>
              <w:rPr>
                <w:rFonts w:ascii="Arial" w:cs="Arial" w:eastAsia="Arial" w:hAnsi="Arial"/>
                <w:sz w:val="15"/>
                <w:szCs w:val="15"/>
                <w:color w:val="auto"/>
              </w:rPr>
              <w:t>Decrease (increase) in minimum liability included</w:t>
            </w: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1"/>
        </w:trPr>
        <w:tc>
          <w:tcPr>
            <w:tcW w:w="4660" w:type="dxa"/>
            <w:vAlign w:val="bottom"/>
          </w:tcPr>
          <w:p>
            <w:pPr>
              <w:ind w:left="140"/>
              <w:spacing w:after="0"/>
              <w:rPr>
                <w:sz w:val="20"/>
                <w:szCs w:val="20"/>
                <w:color w:val="auto"/>
              </w:rPr>
            </w:pPr>
            <w:r>
              <w:rPr>
                <w:rFonts w:ascii="Arial" w:cs="Arial" w:eastAsia="Arial" w:hAnsi="Arial"/>
                <w:sz w:val="15"/>
                <w:szCs w:val="15"/>
                <w:color w:val="auto"/>
              </w:rPr>
              <w:t>in other comprehensive income</w:t>
            </w:r>
          </w:p>
        </w:tc>
        <w:tc>
          <w:tcPr>
            <w:tcW w:w="176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04"/>
              <w:spacing w:after="0"/>
              <w:rPr>
                <w:sz w:val="20"/>
                <w:szCs w:val="20"/>
                <w:color w:val="auto"/>
              </w:rPr>
            </w:pPr>
            <w:r>
              <w:rPr>
                <w:rFonts w:ascii="Arial" w:cs="Arial" w:eastAsia="Arial" w:hAnsi="Arial"/>
                <w:sz w:val="15"/>
                <w:szCs w:val="15"/>
                <w:color w:val="auto"/>
              </w:rPr>
              <w:t>12.0</w:t>
            </w:r>
          </w:p>
        </w:tc>
        <w:tc>
          <w:tcPr>
            <w:tcW w:w="6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(14.6)</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84"/>
        </w:trPr>
        <w:tc>
          <w:tcPr>
            <w:tcW w:w="466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310515</wp:posOffset>
            </wp:positionV>
            <wp:extent cx="1938655" cy="3403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59" w:name="page60"/>
    <w:bookmarkEnd w:id="59"/>
    <w:p>
      <w:pPr>
        <w:ind w:left="20"/>
        <w:spacing w:after="0"/>
        <w:rPr>
          <w:sz w:val="20"/>
          <w:szCs w:val="20"/>
          <w:color w:val="auto"/>
        </w:rPr>
      </w:pPr>
      <w:r>
        <w:rPr>
          <w:rFonts w:ascii="Arial" w:cs="Arial" w:eastAsia="Arial" w:hAnsi="Arial"/>
          <w:sz w:val="14"/>
          <w:szCs w:val="14"/>
          <w:color w:val="auto"/>
        </w:rPr>
        <w:t>The accumulated benefit obligation for the Pension Plans was $149.4 and $148.4 at May 31, 2006 and 2005, respectively. The following table sets forth information with respect to the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Pension Plans with accumulated benefit obligations in excess of plan assets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26567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40" w:type="dxa"/>
            <w:vAlign w:val="bottom"/>
          </w:tcPr>
          <w:p>
            <w:pPr>
              <w:jc w:val="right"/>
              <w:ind w:right="484"/>
              <w:spacing w:after="0"/>
              <w:rPr>
                <w:sz w:val="20"/>
                <w:szCs w:val="20"/>
                <w:color w:val="auto"/>
              </w:rPr>
            </w:pPr>
            <w:r>
              <w:rPr>
                <w:rFonts w:ascii="Arial" w:cs="Arial" w:eastAsia="Arial" w:hAnsi="Arial"/>
                <w:sz w:val="15"/>
                <w:szCs w:val="15"/>
                <w:b w:val="1"/>
                <w:bCs w:val="1"/>
                <w:color w:val="auto"/>
              </w:rPr>
              <w:t>2006</w:t>
            </w:r>
          </w:p>
        </w:tc>
        <w:tc>
          <w:tcPr>
            <w:tcW w:w="9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2005</w:t>
            </w:r>
          </w:p>
        </w:tc>
      </w:tr>
      <w:tr>
        <w:trPr>
          <w:trHeight w:val="96"/>
        </w:trPr>
        <w:tc>
          <w:tcPr>
            <w:tcW w:w="516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85"/>
        </w:trPr>
        <w:tc>
          <w:tcPr>
            <w:tcW w:w="51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210"/>
        </w:trPr>
        <w:tc>
          <w:tcPr>
            <w:tcW w:w="5160" w:type="dxa"/>
            <w:vAlign w:val="bottom"/>
            <w:shd w:val="clear" w:color="auto" w:fill="E6E6E6"/>
          </w:tcPr>
          <w:p>
            <w:pPr>
              <w:spacing w:after="0"/>
              <w:rPr>
                <w:sz w:val="20"/>
                <w:szCs w:val="20"/>
                <w:color w:val="auto"/>
              </w:rPr>
            </w:pPr>
            <w:r>
              <w:rPr>
                <w:rFonts w:ascii="Arial" w:cs="Arial" w:eastAsia="Arial" w:hAnsi="Arial"/>
                <w:sz w:val="15"/>
                <w:szCs w:val="15"/>
                <w:color w:val="auto"/>
              </w:rPr>
              <w:t>Projected benefit obligations</w:t>
            </w:r>
          </w:p>
        </w:tc>
        <w:tc>
          <w:tcPr>
            <w:tcW w:w="34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6E6"/>
          </w:tcPr>
          <w:p>
            <w:pPr>
              <w:jc w:val="right"/>
              <w:ind w:right="484"/>
              <w:spacing w:after="0"/>
              <w:rPr>
                <w:sz w:val="20"/>
                <w:szCs w:val="20"/>
                <w:color w:val="auto"/>
              </w:rPr>
            </w:pPr>
            <w:r>
              <w:rPr>
                <w:rFonts w:ascii="Arial" w:cs="Arial" w:eastAsia="Arial" w:hAnsi="Arial"/>
                <w:sz w:val="15"/>
                <w:szCs w:val="15"/>
                <w:color w:val="auto"/>
              </w:rPr>
              <w:t>153.9</w:t>
            </w:r>
          </w:p>
        </w:tc>
        <w:tc>
          <w:tcPr>
            <w:tcW w:w="92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150.1</w:t>
            </w:r>
          </w:p>
        </w:tc>
      </w:tr>
      <w:tr>
        <w:trPr>
          <w:trHeight w:val="208"/>
        </w:trPr>
        <w:tc>
          <w:tcPr>
            <w:tcW w:w="5160" w:type="dxa"/>
            <w:vAlign w:val="bottom"/>
          </w:tcPr>
          <w:p>
            <w:pPr>
              <w:spacing w:after="0"/>
              <w:rPr>
                <w:sz w:val="20"/>
                <w:szCs w:val="20"/>
                <w:color w:val="auto"/>
              </w:rPr>
            </w:pPr>
            <w:r>
              <w:rPr>
                <w:rFonts w:ascii="Arial" w:cs="Arial" w:eastAsia="Arial" w:hAnsi="Arial"/>
                <w:sz w:val="15"/>
                <w:szCs w:val="15"/>
                <w:color w:val="auto"/>
              </w:rPr>
              <w:t>Accumulated benefit obligations</w:t>
            </w:r>
          </w:p>
        </w:tc>
        <w:tc>
          <w:tcPr>
            <w:tcW w:w="3400" w:type="dxa"/>
            <w:vAlign w:val="bottom"/>
          </w:tcPr>
          <w:p>
            <w:pPr>
              <w:spacing w:after="0"/>
              <w:rPr>
                <w:sz w:val="18"/>
                <w:szCs w:val="18"/>
                <w:color w:val="auto"/>
              </w:rPr>
            </w:pPr>
          </w:p>
        </w:tc>
        <w:tc>
          <w:tcPr>
            <w:tcW w:w="1240" w:type="dxa"/>
            <w:vAlign w:val="bottom"/>
          </w:tcPr>
          <w:p>
            <w:pPr>
              <w:jc w:val="right"/>
              <w:ind w:right="484"/>
              <w:spacing w:after="0"/>
              <w:rPr>
                <w:sz w:val="20"/>
                <w:szCs w:val="20"/>
                <w:color w:val="auto"/>
              </w:rPr>
            </w:pPr>
            <w:r>
              <w:rPr>
                <w:rFonts w:ascii="Arial" w:cs="Arial" w:eastAsia="Arial" w:hAnsi="Arial"/>
                <w:sz w:val="15"/>
                <w:szCs w:val="15"/>
                <w:color w:val="auto"/>
              </w:rPr>
              <w:t>142.3</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141.6</w:t>
            </w:r>
          </w:p>
        </w:tc>
      </w:tr>
      <w:tr>
        <w:trPr>
          <w:trHeight w:val="211"/>
        </w:trPr>
        <w:tc>
          <w:tcPr>
            <w:tcW w:w="5160" w:type="dxa"/>
            <w:vAlign w:val="bottom"/>
            <w:shd w:val="clear" w:color="auto" w:fill="E6E6E6"/>
          </w:tcPr>
          <w:p>
            <w:pPr>
              <w:spacing w:after="0"/>
              <w:rPr>
                <w:sz w:val="20"/>
                <w:szCs w:val="20"/>
                <w:color w:val="auto"/>
              </w:rPr>
            </w:pPr>
            <w:r>
              <w:rPr>
                <w:rFonts w:ascii="Arial" w:cs="Arial" w:eastAsia="Arial" w:hAnsi="Arial"/>
                <w:sz w:val="15"/>
                <w:szCs w:val="15"/>
                <w:color w:val="auto"/>
              </w:rPr>
              <w:t>Fair value of plan assets</w:t>
            </w:r>
          </w:p>
        </w:tc>
        <w:tc>
          <w:tcPr>
            <w:tcW w:w="3400" w:type="dxa"/>
            <w:vAlign w:val="bottom"/>
            <w:shd w:val="clear" w:color="auto" w:fill="E6E6E6"/>
          </w:tcPr>
          <w:p>
            <w:pPr>
              <w:spacing w:after="0"/>
              <w:rPr>
                <w:sz w:val="18"/>
                <w:szCs w:val="18"/>
                <w:color w:val="auto"/>
              </w:rPr>
            </w:pPr>
          </w:p>
        </w:tc>
        <w:tc>
          <w:tcPr>
            <w:tcW w:w="1240" w:type="dxa"/>
            <w:vAlign w:val="bottom"/>
            <w:shd w:val="clear" w:color="auto" w:fill="E6E6E6"/>
          </w:tcPr>
          <w:p>
            <w:pPr>
              <w:jc w:val="right"/>
              <w:ind w:right="484"/>
              <w:spacing w:after="0"/>
              <w:rPr>
                <w:sz w:val="20"/>
                <w:szCs w:val="20"/>
                <w:color w:val="auto"/>
              </w:rPr>
            </w:pPr>
            <w:r>
              <w:rPr>
                <w:rFonts w:ascii="Arial" w:cs="Arial" w:eastAsia="Arial" w:hAnsi="Arial"/>
                <w:sz w:val="15"/>
                <w:szCs w:val="15"/>
                <w:color w:val="auto"/>
              </w:rPr>
              <w:t>115.7</w:t>
            </w:r>
          </w:p>
        </w:tc>
        <w:tc>
          <w:tcPr>
            <w:tcW w:w="92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112.1</w:t>
            </w:r>
          </w:p>
        </w:tc>
      </w:tr>
      <w:tr>
        <w:trPr>
          <w:trHeight w:val="93"/>
        </w:trPr>
        <w:tc>
          <w:tcPr>
            <w:tcW w:w="5160" w:type="dxa"/>
            <w:vAlign w:val="bottom"/>
            <w:tcBorders>
              <w:bottom w:val="single" w:sz="8" w:color="808080"/>
            </w:tcBorders>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sets forth the components of the net periodic benefit costs under the Pension Plans and the Post-Retirement Benefits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131445</wp:posOffset>
            </wp:positionV>
            <wp:extent cx="726567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Pension Plans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4"/>
          </w:tcPr>
          <w:p>
            <w:pPr>
              <w:jc w:val="right"/>
              <w:ind w:right="144"/>
              <w:spacing w:after="0"/>
              <w:rPr>
                <w:sz w:val="20"/>
                <w:szCs w:val="20"/>
                <w:color w:val="auto"/>
              </w:rPr>
            </w:pPr>
            <w:r>
              <w:rPr>
                <w:rFonts w:ascii="Arial" w:cs="Arial" w:eastAsia="Arial" w:hAnsi="Arial"/>
                <w:sz w:val="15"/>
                <w:szCs w:val="15"/>
                <w:b w:val="1"/>
                <w:bCs w:val="1"/>
                <w:color w:val="auto"/>
              </w:rPr>
              <w:t>Post-Retirement Benefits</w:t>
            </w:r>
          </w:p>
        </w:tc>
        <w:tc>
          <w:tcPr>
            <w:tcW w:w="560" w:type="dxa"/>
            <w:vAlign w:val="bottom"/>
          </w:tcPr>
          <w:p>
            <w:pPr>
              <w:spacing w:after="0"/>
              <w:rPr>
                <w:sz w:val="18"/>
                <w:szCs w:val="18"/>
                <w:color w:val="auto"/>
              </w:rPr>
            </w:pPr>
          </w:p>
        </w:tc>
      </w:tr>
      <w:tr>
        <w:trPr>
          <w:trHeight w:val="84"/>
        </w:trPr>
        <w:tc>
          <w:tcPr>
            <w:tcW w:w="20" w:type="dxa"/>
            <w:vAlign w:val="bottom"/>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9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b w:val="1"/>
                <w:bCs w:val="1"/>
                <w:color w:val="auto"/>
              </w:rPr>
              <w:t>2006</w:t>
            </w:r>
          </w:p>
        </w:tc>
        <w:tc>
          <w:tcPr>
            <w:tcW w:w="480" w:type="dxa"/>
            <w:vAlign w:val="bottom"/>
          </w:tcPr>
          <w:p>
            <w:pPr>
              <w:spacing w:after="0"/>
              <w:rPr>
                <w:sz w:val="24"/>
                <w:szCs w:val="24"/>
                <w:color w:val="auto"/>
              </w:rPr>
            </w:pPr>
          </w:p>
        </w:tc>
        <w:tc>
          <w:tcPr>
            <w:tcW w:w="700" w:type="dxa"/>
            <w:vAlign w:val="bottom"/>
          </w:tcPr>
          <w:p>
            <w:pPr>
              <w:jc w:val="right"/>
              <w:ind w:right="164"/>
              <w:spacing w:after="0"/>
              <w:rPr>
                <w:sz w:val="20"/>
                <w:szCs w:val="20"/>
                <w:color w:val="auto"/>
              </w:rPr>
            </w:pPr>
            <w:r>
              <w:rPr>
                <w:rFonts w:ascii="Arial" w:cs="Arial" w:eastAsia="Arial" w:hAnsi="Arial"/>
                <w:sz w:val="15"/>
                <w:szCs w:val="15"/>
                <w:b w:val="1"/>
                <w:bCs w:val="1"/>
                <w:color w:val="auto"/>
              </w:rPr>
              <w:t>2005</w:t>
            </w:r>
          </w:p>
        </w:tc>
        <w:tc>
          <w:tcPr>
            <w:tcW w:w="340" w:type="dxa"/>
            <w:vAlign w:val="bottom"/>
          </w:tcPr>
          <w:p>
            <w:pPr>
              <w:spacing w:after="0"/>
              <w:rPr>
                <w:sz w:val="24"/>
                <w:szCs w:val="24"/>
                <w:color w:val="auto"/>
              </w:rPr>
            </w:pP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2004</w:t>
            </w:r>
          </w:p>
        </w:tc>
        <w:tc>
          <w:tcPr>
            <w:tcW w:w="480" w:type="dxa"/>
            <w:vAlign w:val="bottom"/>
          </w:tcPr>
          <w:p>
            <w:pPr>
              <w:spacing w:after="0"/>
              <w:rPr>
                <w:sz w:val="24"/>
                <w:szCs w:val="24"/>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b w:val="1"/>
                <w:bCs w:val="1"/>
                <w:color w:val="auto"/>
              </w:rPr>
              <w:t>2006</w:t>
            </w:r>
          </w:p>
        </w:tc>
        <w:tc>
          <w:tcPr>
            <w:tcW w:w="440" w:type="dxa"/>
            <w:vAlign w:val="bottom"/>
          </w:tcPr>
          <w:p>
            <w:pPr>
              <w:spacing w:after="0"/>
              <w:rPr>
                <w:sz w:val="24"/>
                <w:szCs w:val="24"/>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b w:val="1"/>
                <w:bCs w:val="1"/>
                <w:color w:val="auto"/>
              </w:rPr>
              <w:t>2005</w:t>
            </w:r>
          </w:p>
        </w:tc>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2004</w:t>
            </w:r>
          </w:p>
        </w:tc>
      </w:tr>
      <w:tr>
        <w:trPr>
          <w:trHeight w:val="96"/>
        </w:trPr>
        <w:tc>
          <w:tcPr>
            <w:tcW w:w="3980" w:type="dxa"/>
            <w:vAlign w:val="bottom"/>
            <w:gridSpan w:val="2"/>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85"/>
        </w:trPr>
        <w:tc>
          <w:tcPr>
            <w:tcW w:w="20" w:type="dxa"/>
            <w:vAlign w:val="bottom"/>
          </w:tcPr>
          <w:p>
            <w:pPr>
              <w:spacing w:after="0"/>
              <w:rPr>
                <w:sz w:val="7"/>
                <w:szCs w:val="7"/>
                <w:color w:val="auto"/>
              </w:rPr>
            </w:pPr>
          </w:p>
        </w:tc>
        <w:tc>
          <w:tcPr>
            <w:tcW w:w="396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E6E6E6"/>
          </w:tcPr>
          <w:p>
            <w:pPr>
              <w:spacing w:after="0"/>
              <w:rPr>
                <w:sz w:val="20"/>
                <w:szCs w:val="20"/>
                <w:color w:val="auto"/>
              </w:rPr>
            </w:pPr>
            <w:r>
              <w:rPr>
                <w:rFonts w:ascii="Arial" w:cs="Arial" w:eastAsia="Arial" w:hAnsi="Arial"/>
                <w:sz w:val="15"/>
                <w:szCs w:val="15"/>
                <w:color w:val="auto"/>
              </w:rPr>
              <w:t>Components of Net Periodic Benefit Cost:</w:t>
            </w:r>
          </w:p>
        </w:tc>
        <w:tc>
          <w:tcPr>
            <w:tcW w:w="1400" w:type="dxa"/>
            <w:vAlign w:val="bottom"/>
            <w:shd w:val="clear" w:color="auto" w:fill="E6E6E6"/>
          </w:tcPr>
          <w:p>
            <w:pPr>
              <w:spacing w:after="0"/>
              <w:rPr>
                <w:sz w:val="18"/>
                <w:szCs w:val="18"/>
                <w:color w:val="auto"/>
              </w:rPr>
            </w:pPr>
          </w:p>
        </w:tc>
        <w:tc>
          <w:tcPr>
            <w:tcW w:w="5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5"/>
                <w:szCs w:val="15"/>
                <w:color w:val="auto"/>
              </w:rPr>
              <w:t>Service cost</w:t>
            </w:r>
          </w:p>
        </w:tc>
        <w:tc>
          <w:tcPr>
            <w:tcW w:w="14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8.0</w:t>
            </w:r>
          </w:p>
        </w:tc>
        <w:tc>
          <w:tcPr>
            <w:tcW w:w="4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4"/>
              <w:spacing w:after="0"/>
              <w:rPr>
                <w:sz w:val="20"/>
                <w:szCs w:val="20"/>
                <w:color w:val="auto"/>
              </w:rPr>
            </w:pPr>
            <w:r>
              <w:rPr>
                <w:rFonts w:ascii="Arial" w:cs="Arial" w:eastAsia="Arial" w:hAnsi="Arial"/>
                <w:sz w:val="15"/>
                <w:szCs w:val="15"/>
                <w:color w:val="auto"/>
              </w:rPr>
              <w:t>7.0</w:t>
            </w:r>
          </w:p>
        </w:tc>
        <w:tc>
          <w:tcPr>
            <w:tcW w:w="3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color w:val="auto"/>
              </w:rPr>
              <w:t>7.0</w:t>
            </w:r>
          </w:p>
        </w:tc>
        <w:tc>
          <w:tcPr>
            <w:tcW w:w="4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0.2</w:t>
            </w:r>
          </w:p>
        </w:tc>
        <w:tc>
          <w:tcPr>
            <w:tcW w:w="4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0.4</w:t>
            </w:r>
          </w:p>
        </w:tc>
        <w:tc>
          <w:tcPr>
            <w:tcW w:w="56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10"/>
        </w:trPr>
        <w:tc>
          <w:tcPr>
            <w:tcW w:w="20" w:type="dxa"/>
            <w:vAlign w:val="bottom"/>
          </w:tcPr>
          <w:p>
            <w:pPr>
              <w:spacing w:after="0"/>
              <w:rPr>
                <w:sz w:val="18"/>
                <w:szCs w:val="18"/>
                <w:color w:val="auto"/>
              </w:rPr>
            </w:pPr>
          </w:p>
        </w:tc>
        <w:tc>
          <w:tcPr>
            <w:tcW w:w="3960" w:type="dxa"/>
            <w:vAlign w:val="bottom"/>
            <w:shd w:val="clear" w:color="auto" w:fill="E6E6E6"/>
          </w:tcPr>
          <w:p>
            <w:pPr>
              <w:ind w:left="140"/>
              <w:spacing w:after="0"/>
              <w:rPr>
                <w:sz w:val="20"/>
                <w:szCs w:val="20"/>
                <w:color w:val="auto"/>
              </w:rPr>
            </w:pPr>
            <w:r>
              <w:rPr>
                <w:rFonts w:ascii="Arial" w:cs="Arial" w:eastAsia="Arial" w:hAnsi="Arial"/>
                <w:sz w:val="15"/>
                <w:szCs w:val="15"/>
                <w:color w:val="auto"/>
              </w:rPr>
              <w:t>Interest cost</w:t>
            </w:r>
          </w:p>
        </w:tc>
        <w:tc>
          <w:tcPr>
            <w:tcW w:w="1400" w:type="dxa"/>
            <w:vAlign w:val="bottom"/>
            <w:shd w:val="clear" w:color="auto" w:fill="E6E6E6"/>
          </w:tcPr>
          <w:p>
            <w:pPr>
              <w:spacing w:after="0"/>
              <w:rPr>
                <w:sz w:val="18"/>
                <w:szCs w:val="18"/>
                <w:color w:val="auto"/>
              </w:rPr>
            </w:pPr>
          </w:p>
        </w:tc>
        <w:tc>
          <w:tcPr>
            <w:tcW w:w="5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8.3</w:t>
            </w:r>
          </w:p>
        </w:tc>
        <w:tc>
          <w:tcPr>
            <w:tcW w:w="48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8.3</w:t>
            </w:r>
          </w:p>
        </w:tc>
        <w:tc>
          <w:tcPr>
            <w:tcW w:w="34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7.7</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1.8</w:t>
            </w:r>
          </w:p>
        </w:tc>
        <w:tc>
          <w:tcPr>
            <w:tcW w:w="44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2.0</w:t>
            </w:r>
          </w:p>
        </w:tc>
        <w:tc>
          <w:tcPr>
            <w:tcW w:w="56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2.0</w:t>
            </w:r>
          </w:p>
        </w:tc>
      </w:tr>
      <w:tr>
        <w:trPr>
          <w:trHeight w:val="210"/>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5"/>
                <w:szCs w:val="15"/>
                <w:color w:val="auto"/>
              </w:rPr>
              <w:t>Expected return on assets</w:t>
            </w:r>
          </w:p>
        </w:tc>
        <w:tc>
          <w:tcPr>
            <w:tcW w:w="1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(8.8)</w:t>
            </w:r>
          </w:p>
        </w:tc>
        <w:tc>
          <w:tcPr>
            <w:tcW w:w="480" w:type="dxa"/>
            <w:vAlign w:val="bottom"/>
          </w:tcPr>
          <w:p>
            <w:pPr>
              <w:spacing w:after="0"/>
              <w:rPr>
                <w:sz w:val="18"/>
                <w:szCs w:val="18"/>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(8.7)</w:t>
            </w:r>
          </w:p>
        </w:tc>
        <w:tc>
          <w:tcPr>
            <w:tcW w:w="34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(8.0)</w:t>
            </w:r>
          </w:p>
        </w:tc>
        <w:tc>
          <w:tcPr>
            <w:tcW w:w="480" w:type="dxa"/>
            <w:vAlign w:val="bottom"/>
          </w:tcPr>
          <w:p>
            <w:pPr>
              <w:spacing w:after="0"/>
              <w:rPr>
                <w:sz w:val="18"/>
                <w:szCs w:val="18"/>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20" w:type="dxa"/>
            <w:vAlign w:val="bottom"/>
          </w:tcPr>
          <w:p>
            <w:pPr>
              <w:spacing w:after="0"/>
              <w:rPr>
                <w:sz w:val="18"/>
                <w:szCs w:val="18"/>
                <w:color w:val="auto"/>
              </w:rPr>
            </w:pPr>
          </w:p>
        </w:tc>
        <w:tc>
          <w:tcPr>
            <w:tcW w:w="3960" w:type="dxa"/>
            <w:vAlign w:val="bottom"/>
            <w:shd w:val="clear" w:color="auto" w:fill="E6E6E6"/>
          </w:tcPr>
          <w:p>
            <w:pPr>
              <w:ind w:left="140"/>
              <w:spacing w:after="0"/>
              <w:rPr>
                <w:sz w:val="20"/>
                <w:szCs w:val="20"/>
                <w:color w:val="auto"/>
              </w:rPr>
            </w:pPr>
            <w:r>
              <w:rPr>
                <w:rFonts w:ascii="Arial" w:cs="Arial" w:eastAsia="Arial" w:hAnsi="Arial"/>
                <w:sz w:val="15"/>
                <w:szCs w:val="15"/>
                <w:color w:val="auto"/>
              </w:rPr>
              <w:t>Net amortization and deferrals</w:t>
            </w:r>
          </w:p>
        </w:tc>
        <w:tc>
          <w:tcPr>
            <w:tcW w:w="1400" w:type="dxa"/>
            <w:vAlign w:val="bottom"/>
            <w:shd w:val="clear" w:color="auto" w:fill="E6E6E6"/>
          </w:tcPr>
          <w:p>
            <w:pPr>
              <w:spacing w:after="0"/>
              <w:rPr>
                <w:sz w:val="18"/>
                <w:szCs w:val="18"/>
                <w:color w:val="auto"/>
              </w:rPr>
            </w:pPr>
          </w:p>
        </w:tc>
        <w:tc>
          <w:tcPr>
            <w:tcW w:w="5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0.2</w:t>
            </w:r>
          </w:p>
        </w:tc>
        <w:tc>
          <w:tcPr>
            <w:tcW w:w="48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0.2</w:t>
            </w:r>
          </w:p>
        </w:tc>
        <w:tc>
          <w:tcPr>
            <w:tcW w:w="34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0.3</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1.0</w:t>
            </w:r>
          </w:p>
        </w:tc>
        <w:tc>
          <w:tcPr>
            <w:tcW w:w="44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0.8</w:t>
            </w:r>
          </w:p>
        </w:tc>
        <w:tc>
          <w:tcPr>
            <w:tcW w:w="56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w:t>
            </w:r>
          </w:p>
        </w:tc>
      </w:tr>
      <w:tr>
        <w:trPr>
          <w:trHeight w:val="210"/>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5"/>
                <w:szCs w:val="15"/>
                <w:color w:val="auto"/>
              </w:rPr>
              <w:t>Decrease in valuation allowance</w:t>
            </w:r>
          </w:p>
        </w:tc>
        <w:tc>
          <w:tcPr>
            <w:tcW w:w="140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7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(1.2)</w:t>
            </w:r>
          </w:p>
        </w:tc>
        <w:tc>
          <w:tcPr>
            <w:tcW w:w="480" w:type="dxa"/>
            <w:vAlign w:val="bottom"/>
          </w:tcPr>
          <w:p>
            <w:pPr>
              <w:spacing w:after="0"/>
              <w:rPr>
                <w:sz w:val="18"/>
                <w:szCs w:val="18"/>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20" w:type="dxa"/>
            <w:vAlign w:val="bottom"/>
          </w:tcPr>
          <w:p>
            <w:pPr>
              <w:spacing w:after="0"/>
              <w:rPr>
                <w:sz w:val="18"/>
                <w:szCs w:val="18"/>
                <w:color w:val="auto"/>
              </w:rPr>
            </w:pPr>
          </w:p>
        </w:tc>
        <w:tc>
          <w:tcPr>
            <w:tcW w:w="3960" w:type="dxa"/>
            <w:vAlign w:val="bottom"/>
            <w:shd w:val="clear" w:color="auto" w:fill="E6E6E6"/>
          </w:tcPr>
          <w:p>
            <w:pPr>
              <w:ind w:left="140"/>
              <w:spacing w:after="0"/>
              <w:rPr>
                <w:sz w:val="20"/>
                <w:szCs w:val="20"/>
                <w:color w:val="auto"/>
              </w:rPr>
            </w:pPr>
            <w:r>
              <w:rPr>
                <w:rFonts w:ascii="Arial" w:cs="Arial" w:eastAsia="Arial" w:hAnsi="Arial"/>
                <w:sz w:val="15"/>
                <w:szCs w:val="15"/>
                <w:color w:val="auto"/>
              </w:rPr>
              <w:t>Recognized net actuarial loss</w:t>
            </w:r>
          </w:p>
        </w:tc>
        <w:tc>
          <w:tcPr>
            <w:tcW w:w="1400" w:type="dxa"/>
            <w:vAlign w:val="bottom"/>
            <w:shd w:val="clear" w:color="auto" w:fill="E6E6E6"/>
          </w:tcPr>
          <w:p>
            <w:pPr>
              <w:spacing w:after="0"/>
              <w:rPr>
                <w:sz w:val="18"/>
                <w:szCs w:val="18"/>
                <w:color w:val="auto"/>
              </w:rPr>
            </w:pPr>
          </w:p>
        </w:tc>
        <w:tc>
          <w:tcPr>
            <w:tcW w:w="54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3.7</w:t>
            </w:r>
          </w:p>
        </w:tc>
        <w:tc>
          <w:tcPr>
            <w:tcW w:w="48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2.3</w:t>
            </w:r>
          </w:p>
        </w:tc>
        <w:tc>
          <w:tcPr>
            <w:tcW w:w="34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2.5</w:t>
            </w: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56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r>
      <w:tr>
        <w:trPr>
          <w:trHeight w:val="93"/>
        </w:trPr>
        <w:tc>
          <w:tcPr>
            <w:tcW w:w="20" w:type="dxa"/>
            <w:vAlign w:val="bottom"/>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r>
        <w:trPr>
          <w:trHeight w:val="304"/>
        </w:trPr>
        <w:tc>
          <w:tcPr>
            <w:tcW w:w="398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periodic benefit cost</w:t>
            </w:r>
          </w:p>
        </w:tc>
        <w:tc>
          <w:tcPr>
            <w:tcW w:w="140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4"/>
              <w:spacing w:after="0"/>
              <w:rPr>
                <w:sz w:val="20"/>
                <w:szCs w:val="20"/>
                <w:color w:val="auto"/>
              </w:rPr>
            </w:pPr>
            <w:r>
              <w:rPr>
                <w:rFonts w:ascii="Arial" w:cs="Arial" w:eastAsia="Arial" w:hAnsi="Arial"/>
                <w:sz w:val="15"/>
                <w:szCs w:val="15"/>
                <w:b w:val="1"/>
                <w:bCs w:val="1"/>
                <w:color w:val="auto"/>
              </w:rPr>
              <w:t>11.4</w:t>
            </w:r>
          </w:p>
        </w:tc>
        <w:tc>
          <w:tcPr>
            <w:tcW w:w="48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164"/>
              <w:spacing w:after="0"/>
              <w:rPr>
                <w:sz w:val="20"/>
                <w:szCs w:val="20"/>
                <w:color w:val="auto"/>
              </w:rPr>
            </w:pPr>
            <w:r>
              <w:rPr>
                <w:rFonts w:ascii="Arial" w:cs="Arial" w:eastAsia="Arial" w:hAnsi="Arial"/>
                <w:sz w:val="15"/>
                <w:szCs w:val="15"/>
                <w:b w:val="1"/>
                <w:bCs w:val="1"/>
                <w:color w:val="auto"/>
              </w:rPr>
              <w:t>9.1</w:t>
            </w:r>
          </w:p>
        </w:tc>
        <w:tc>
          <w:tcPr>
            <w:tcW w:w="3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8.3</w:t>
            </w:r>
          </w:p>
        </w:tc>
        <w:tc>
          <w:tcPr>
            <w:tcW w:w="48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b w:val="1"/>
                <w:bCs w:val="1"/>
                <w:color w:val="auto"/>
              </w:rPr>
              <w:t>3.0</w:t>
            </w:r>
          </w:p>
        </w:tc>
        <w:tc>
          <w:tcPr>
            <w:tcW w:w="44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b w:val="1"/>
                <w:bCs w:val="1"/>
                <w:color w:val="auto"/>
              </w:rPr>
              <w:t>3.2</w:t>
            </w:r>
          </w:p>
        </w:tc>
        <w:tc>
          <w:tcPr>
            <w:tcW w:w="560" w:type="dxa"/>
            <w:vAlign w:val="bottom"/>
          </w:tcPr>
          <w:p>
            <w:pPr>
              <w:jc w:val="right"/>
              <w:ind w:right="284"/>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3.6</w:t>
            </w:r>
          </w:p>
        </w:tc>
      </w:tr>
      <w:tr>
        <w:trPr>
          <w:trHeight w:val="103"/>
        </w:trPr>
        <w:tc>
          <w:tcPr>
            <w:tcW w:w="20" w:type="dxa"/>
            <w:vAlign w:val="bottom"/>
            <w:tcBorders>
              <w:bottom w:val="single" w:sz="8" w:color="808080"/>
            </w:tcBorders>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-26670</wp:posOffset>
            </wp:positionV>
            <wp:extent cx="12700" cy="27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12700" cy="27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Plan Assets</w:t>
      </w:r>
    </w:p>
    <w:p>
      <w:pPr>
        <w:spacing w:after="0" w:line="22" w:lineRule="exact"/>
        <w:rPr>
          <w:sz w:val="20"/>
          <w:szCs w:val="20"/>
          <w:color w:val="auto"/>
        </w:rPr>
      </w:pPr>
    </w:p>
    <w:p>
      <w:pPr>
        <w:ind w:left="20" w:right="160"/>
        <w:spacing w:after="0" w:line="268" w:lineRule="auto"/>
        <w:rPr>
          <w:sz w:val="20"/>
          <w:szCs w:val="20"/>
          <w:color w:val="auto"/>
        </w:rPr>
      </w:pPr>
      <w:r>
        <w:rPr>
          <w:rFonts w:ascii="Arial" w:cs="Arial" w:eastAsia="Arial" w:hAnsi="Arial"/>
          <w:sz w:val="15"/>
          <w:szCs w:val="15"/>
          <w:color w:val="auto"/>
        </w:rPr>
        <w:t>The Company’s investment policy with regard to the assets in the Pension Plans is to actively manage, within acceptable risk parameters, certain asset classes where the potential exists to outperform the broader market.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sets forth the total weighted average asset allocations for the Pension Plans by asset category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132080</wp:posOffset>
            </wp:positionV>
            <wp:extent cx="726567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4540" w:type="dxa"/>
            <w:vAlign w:val="bottom"/>
          </w:tcPr>
          <w:p>
            <w:pPr>
              <w:jc w:val="right"/>
              <w:ind w:right="364"/>
              <w:spacing w:after="0"/>
              <w:rPr>
                <w:sz w:val="20"/>
                <w:szCs w:val="20"/>
                <w:color w:val="auto"/>
              </w:rPr>
            </w:pPr>
            <w:r>
              <w:rPr>
                <w:rFonts w:ascii="Arial" w:cs="Arial" w:eastAsia="Arial" w:hAnsi="Arial"/>
                <w:sz w:val="15"/>
                <w:szCs w:val="15"/>
                <w:b w:val="1"/>
                <w:bCs w:val="1"/>
                <w:color w:val="auto"/>
              </w:rPr>
              <w:t>2006</w:t>
            </w:r>
          </w:p>
        </w:tc>
        <w:tc>
          <w:tcPr>
            <w:tcW w:w="920" w:type="dxa"/>
            <w:vAlign w:val="bottom"/>
          </w:tcPr>
          <w:p>
            <w:pPr>
              <w:jc w:val="right"/>
              <w:ind w:right="144"/>
              <w:spacing w:after="0"/>
              <w:rPr>
                <w:sz w:val="20"/>
                <w:szCs w:val="20"/>
                <w:color w:val="auto"/>
              </w:rPr>
            </w:pPr>
            <w:r>
              <w:rPr>
                <w:rFonts w:ascii="Arial" w:cs="Arial" w:eastAsia="Arial" w:hAnsi="Arial"/>
                <w:sz w:val="15"/>
                <w:szCs w:val="15"/>
                <w:b w:val="1"/>
                <w:bCs w:val="1"/>
                <w:color w:val="auto"/>
              </w:rPr>
              <w:t>2005</w:t>
            </w:r>
          </w:p>
        </w:tc>
      </w:tr>
      <w:tr>
        <w:trPr>
          <w:trHeight w:val="96"/>
        </w:trPr>
        <w:tc>
          <w:tcPr>
            <w:tcW w:w="598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85"/>
        </w:trPr>
        <w:tc>
          <w:tcPr>
            <w:tcW w:w="5980" w:type="dxa"/>
            <w:vAlign w:val="bottom"/>
          </w:tcPr>
          <w:p>
            <w:pPr>
              <w:spacing w:after="0"/>
              <w:rPr>
                <w:sz w:val="7"/>
                <w:szCs w:val="7"/>
                <w:color w:val="auto"/>
              </w:rPr>
            </w:pPr>
          </w:p>
        </w:tc>
        <w:tc>
          <w:tcPr>
            <w:tcW w:w="45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10"/>
        </w:trPr>
        <w:tc>
          <w:tcPr>
            <w:tcW w:w="5980" w:type="dxa"/>
            <w:vAlign w:val="bottom"/>
            <w:shd w:val="clear" w:color="auto" w:fill="E6E6E6"/>
          </w:tcPr>
          <w:p>
            <w:pPr>
              <w:spacing w:after="0"/>
              <w:rPr>
                <w:sz w:val="20"/>
                <w:szCs w:val="20"/>
                <w:color w:val="auto"/>
              </w:rPr>
            </w:pPr>
            <w:r>
              <w:rPr>
                <w:rFonts w:ascii="Arial" w:cs="Arial" w:eastAsia="Arial" w:hAnsi="Arial"/>
                <w:sz w:val="15"/>
                <w:szCs w:val="15"/>
                <w:color w:val="auto"/>
              </w:rPr>
              <w:t>Small cap equities</w:t>
            </w:r>
          </w:p>
        </w:tc>
        <w:tc>
          <w:tcPr>
            <w:tcW w:w="454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12.1%</w:t>
            </w:r>
          </w:p>
        </w:tc>
        <w:tc>
          <w:tcPr>
            <w:tcW w:w="92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16.6%</w:t>
            </w:r>
          </w:p>
        </w:tc>
      </w:tr>
      <w:tr>
        <w:trPr>
          <w:trHeight w:val="210"/>
        </w:trPr>
        <w:tc>
          <w:tcPr>
            <w:tcW w:w="5980" w:type="dxa"/>
            <w:vAlign w:val="bottom"/>
          </w:tcPr>
          <w:p>
            <w:pPr>
              <w:spacing w:after="0"/>
              <w:rPr>
                <w:sz w:val="20"/>
                <w:szCs w:val="20"/>
                <w:color w:val="auto"/>
              </w:rPr>
            </w:pPr>
            <w:r>
              <w:rPr>
                <w:rFonts w:ascii="Arial" w:cs="Arial" w:eastAsia="Arial" w:hAnsi="Arial"/>
                <w:sz w:val="15"/>
                <w:szCs w:val="15"/>
                <w:color w:val="auto"/>
              </w:rPr>
              <w:t>International equities</w:t>
            </w:r>
          </w:p>
        </w:tc>
        <w:tc>
          <w:tcPr>
            <w:tcW w:w="4540" w:type="dxa"/>
            <w:vAlign w:val="bottom"/>
          </w:tcPr>
          <w:p>
            <w:pPr>
              <w:jc w:val="right"/>
              <w:ind w:right="364"/>
              <w:spacing w:after="0"/>
              <w:rPr>
                <w:sz w:val="20"/>
                <w:szCs w:val="20"/>
                <w:color w:val="auto"/>
              </w:rPr>
            </w:pPr>
            <w:r>
              <w:rPr>
                <w:rFonts w:ascii="Arial" w:cs="Arial" w:eastAsia="Arial" w:hAnsi="Arial"/>
                <w:sz w:val="15"/>
                <w:szCs w:val="15"/>
                <w:color w:val="auto"/>
              </w:rPr>
              <w:t>13.8</w:t>
            </w: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9.8</w:t>
            </w:r>
          </w:p>
        </w:tc>
      </w:tr>
      <w:tr>
        <w:trPr>
          <w:trHeight w:val="210"/>
        </w:trPr>
        <w:tc>
          <w:tcPr>
            <w:tcW w:w="5980" w:type="dxa"/>
            <w:vAlign w:val="bottom"/>
            <w:shd w:val="clear" w:color="auto" w:fill="E6E6E6"/>
          </w:tcPr>
          <w:p>
            <w:pPr>
              <w:spacing w:after="0"/>
              <w:rPr>
                <w:sz w:val="20"/>
                <w:szCs w:val="20"/>
                <w:color w:val="auto"/>
              </w:rPr>
            </w:pPr>
            <w:r>
              <w:rPr>
                <w:rFonts w:ascii="Arial" w:cs="Arial" w:eastAsia="Arial" w:hAnsi="Arial"/>
                <w:sz w:val="15"/>
                <w:szCs w:val="15"/>
                <w:color w:val="auto"/>
              </w:rPr>
              <w:t>Index fund equities</w:t>
            </w:r>
          </w:p>
        </w:tc>
        <w:tc>
          <w:tcPr>
            <w:tcW w:w="4540" w:type="dxa"/>
            <w:vAlign w:val="bottom"/>
            <w:shd w:val="clear" w:color="auto" w:fill="E6E6E6"/>
          </w:tcPr>
          <w:p>
            <w:pPr>
              <w:jc w:val="right"/>
              <w:ind w:right="364"/>
              <w:spacing w:after="0"/>
              <w:rPr>
                <w:sz w:val="20"/>
                <w:szCs w:val="20"/>
                <w:color w:val="auto"/>
              </w:rPr>
            </w:pPr>
            <w:r>
              <w:rPr>
                <w:rFonts w:ascii="Arial" w:cs="Arial" w:eastAsia="Arial" w:hAnsi="Arial"/>
                <w:sz w:val="15"/>
                <w:szCs w:val="15"/>
                <w:color w:val="auto"/>
              </w:rPr>
              <w:t>41.3</w:t>
            </w:r>
          </w:p>
        </w:tc>
        <w:tc>
          <w:tcPr>
            <w:tcW w:w="9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44.0</w:t>
            </w:r>
          </w:p>
        </w:tc>
      </w:tr>
      <w:tr>
        <w:trPr>
          <w:trHeight w:val="210"/>
        </w:trPr>
        <w:tc>
          <w:tcPr>
            <w:tcW w:w="5980" w:type="dxa"/>
            <w:vAlign w:val="bottom"/>
          </w:tcPr>
          <w:p>
            <w:pPr>
              <w:spacing w:after="0"/>
              <w:rPr>
                <w:sz w:val="20"/>
                <w:szCs w:val="20"/>
                <w:color w:val="auto"/>
              </w:rPr>
            </w:pPr>
            <w:r>
              <w:rPr>
                <w:rFonts w:ascii="Arial" w:cs="Arial" w:eastAsia="Arial" w:hAnsi="Arial"/>
                <w:sz w:val="15"/>
                <w:szCs w:val="15"/>
                <w:color w:val="auto"/>
              </w:rPr>
              <w:t>Bonds and fixed interest products</w:t>
            </w:r>
          </w:p>
        </w:tc>
        <w:tc>
          <w:tcPr>
            <w:tcW w:w="4540" w:type="dxa"/>
            <w:vAlign w:val="bottom"/>
          </w:tcPr>
          <w:p>
            <w:pPr>
              <w:jc w:val="right"/>
              <w:ind w:right="364"/>
              <w:spacing w:after="0"/>
              <w:rPr>
                <w:sz w:val="20"/>
                <w:szCs w:val="20"/>
                <w:color w:val="auto"/>
              </w:rPr>
            </w:pPr>
            <w:r>
              <w:rPr>
                <w:rFonts w:ascii="Arial" w:cs="Arial" w:eastAsia="Arial" w:hAnsi="Arial"/>
                <w:sz w:val="15"/>
                <w:szCs w:val="15"/>
                <w:color w:val="auto"/>
              </w:rPr>
              <w:t>31.8</w:t>
            </w: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29.0</w:t>
            </w:r>
          </w:p>
        </w:tc>
      </w:tr>
      <w:tr>
        <w:trPr>
          <w:trHeight w:val="210"/>
        </w:trPr>
        <w:tc>
          <w:tcPr>
            <w:tcW w:w="5980" w:type="dxa"/>
            <w:vAlign w:val="bottom"/>
            <w:shd w:val="clear" w:color="auto" w:fill="E6E6E6"/>
          </w:tcPr>
          <w:p>
            <w:pPr>
              <w:spacing w:after="0"/>
              <w:rPr>
                <w:sz w:val="20"/>
                <w:szCs w:val="20"/>
                <w:color w:val="auto"/>
              </w:rPr>
            </w:pPr>
            <w:r>
              <w:rPr>
                <w:rFonts w:ascii="Arial" w:cs="Arial" w:eastAsia="Arial" w:hAnsi="Arial"/>
                <w:sz w:val="15"/>
                <w:szCs w:val="15"/>
                <w:color w:val="auto"/>
              </w:rPr>
              <w:t>Real estate</w:t>
            </w:r>
          </w:p>
        </w:tc>
        <w:tc>
          <w:tcPr>
            <w:tcW w:w="4540" w:type="dxa"/>
            <w:vAlign w:val="bottom"/>
            <w:shd w:val="clear" w:color="auto" w:fill="E6E6E6"/>
          </w:tcPr>
          <w:p>
            <w:pPr>
              <w:jc w:val="right"/>
              <w:ind w:right="364"/>
              <w:spacing w:after="0"/>
              <w:rPr>
                <w:sz w:val="20"/>
                <w:szCs w:val="20"/>
                <w:color w:val="auto"/>
              </w:rPr>
            </w:pPr>
            <w:r>
              <w:rPr>
                <w:rFonts w:ascii="Arial" w:cs="Arial" w:eastAsia="Arial" w:hAnsi="Arial"/>
                <w:sz w:val="15"/>
                <w:szCs w:val="15"/>
                <w:color w:val="auto"/>
              </w:rPr>
              <w:t>0.9</w:t>
            </w:r>
          </w:p>
        </w:tc>
        <w:tc>
          <w:tcPr>
            <w:tcW w:w="9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0.5</w:t>
            </w:r>
          </w:p>
        </w:tc>
      </w:tr>
      <w:tr>
        <w:trPr>
          <w:trHeight w:val="219"/>
        </w:trPr>
        <w:tc>
          <w:tcPr>
            <w:tcW w:w="5980" w:type="dxa"/>
            <w:vAlign w:val="bottom"/>
          </w:tcPr>
          <w:p>
            <w:pPr>
              <w:spacing w:after="0"/>
              <w:rPr>
                <w:sz w:val="20"/>
                <w:szCs w:val="20"/>
                <w:color w:val="auto"/>
              </w:rPr>
            </w:pPr>
            <w:r>
              <w:rPr>
                <w:rFonts w:ascii="Arial" w:cs="Arial" w:eastAsia="Arial" w:hAnsi="Arial"/>
                <w:sz w:val="15"/>
                <w:szCs w:val="15"/>
                <w:color w:val="auto"/>
              </w:rPr>
              <w:t>Other</w:t>
            </w:r>
          </w:p>
        </w:tc>
        <w:tc>
          <w:tcPr>
            <w:tcW w:w="4540" w:type="dxa"/>
            <w:vAlign w:val="bottom"/>
          </w:tcPr>
          <w:p>
            <w:pPr>
              <w:jc w:val="right"/>
              <w:ind w:right="364"/>
              <w:spacing w:after="0"/>
              <w:rPr>
                <w:sz w:val="20"/>
                <w:szCs w:val="20"/>
                <w:color w:val="auto"/>
              </w:rPr>
            </w:pPr>
            <w:r>
              <w:rPr>
                <w:rFonts w:ascii="Arial" w:cs="Arial" w:eastAsia="Arial" w:hAnsi="Arial"/>
                <w:sz w:val="15"/>
                <w:szCs w:val="15"/>
                <w:color w:val="auto"/>
              </w:rPr>
              <w:t>0.1</w:t>
            </w: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0.1</w:t>
            </w:r>
          </w:p>
        </w:tc>
      </w:tr>
      <w:tr>
        <w:trPr>
          <w:trHeight w:val="84"/>
        </w:trPr>
        <w:tc>
          <w:tcPr>
            <w:tcW w:w="5980" w:type="dxa"/>
            <w:vAlign w:val="bottom"/>
            <w:tcBorders>
              <w:bottom w:val="single" w:sz="8" w:color="808080"/>
            </w:tcBorders>
          </w:tcPr>
          <w:p>
            <w:pPr>
              <w:spacing w:after="0"/>
              <w:rPr>
                <w:sz w:val="7"/>
                <w:szCs w:val="7"/>
                <w:color w:val="auto"/>
              </w:rPr>
            </w:pPr>
          </w:p>
        </w:tc>
        <w:tc>
          <w:tcPr>
            <w:tcW w:w="45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r>
      <w:tr>
        <w:trPr>
          <w:trHeight w:val="85"/>
        </w:trPr>
        <w:tc>
          <w:tcPr>
            <w:tcW w:w="5980" w:type="dxa"/>
            <w:vAlign w:val="bottom"/>
          </w:tcPr>
          <w:p>
            <w:pPr>
              <w:spacing w:after="0"/>
              <w:rPr>
                <w:sz w:val="7"/>
                <w:szCs w:val="7"/>
                <w:color w:val="auto"/>
              </w:rPr>
            </w:pPr>
          </w:p>
        </w:tc>
        <w:tc>
          <w:tcPr>
            <w:tcW w:w="45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10"/>
        </w:trPr>
        <w:tc>
          <w:tcPr>
            <w:tcW w:w="5980" w:type="dxa"/>
            <w:vAlign w:val="bottom"/>
            <w:shd w:val="clear" w:color="auto" w:fill="E6E6E6"/>
          </w:tcPr>
          <w:p>
            <w:pPr>
              <w:spacing w:after="0"/>
              <w:rPr>
                <w:sz w:val="18"/>
                <w:szCs w:val="18"/>
                <w:color w:val="auto"/>
              </w:rPr>
            </w:pPr>
          </w:p>
        </w:tc>
        <w:tc>
          <w:tcPr>
            <w:tcW w:w="4540" w:type="dxa"/>
            <w:vAlign w:val="bottom"/>
            <w:shd w:val="clear" w:color="auto" w:fill="E6E6E6"/>
          </w:tcPr>
          <w:p>
            <w:pPr>
              <w:jc w:val="right"/>
              <w:ind w:right="224"/>
              <w:spacing w:after="0"/>
              <w:rPr>
                <w:sz w:val="20"/>
                <w:szCs w:val="20"/>
                <w:color w:val="auto"/>
              </w:rPr>
            </w:pPr>
            <w:r>
              <w:rPr>
                <w:rFonts w:ascii="Arial" w:cs="Arial" w:eastAsia="Arial" w:hAnsi="Arial"/>
                <w:sz w:val="15"/>
                <w:szCs w:val="15"/>
                <w:b w:val="1"/>
                <w:bCs w:val="1"/>
                <w:color w:val="auto"/>
              </w:rPr>
              <w:t>100.0%</w:t>
            </w:r>
          </w:p>
        </w:tc>
        <w:tc>
          <w:tcPr>
            <w:tcW w:w="920" w:type="dxa"/>
            <w:vAlign w:val="bottom"/>
            <w:shd w:val="clear" w:color="auto" w:fill="E6E6E6"/>
          </w:tcPr>
          <w:p>
            <w:pPr>
              <w:jc w:val="right"/>
              <w:ind w:right="24"/>
              <w:spacing w:after="0"/>
              <w:rPr>
                <w:sz w:val="20"/>
                <w:szCs w:val="20"/>
                <w:color w:val="auto"/>
              </w:rPr>
            </w:pPr>
            <w:r>
              <w:rPr>
                <w:rFonts w:ascii="Arial" w:cs="Arial" w:eastAsia="Arial" w:hAnsi="Arial"/>
                <w:sz w:val="15"/>
                <w:szCs w:val="15"/>
                <w:b w:val="1"/>
                <w:bCs w:val="1"/>
                <w:color w:val="auto"/>
              </w:rPr>
              <w:t>100.0%</w:t>
            </w:r>
          </w:p>
        </w:tc>
      </w:tr>
      <w:tr>
        <w:trPr>
          <w:trHeight w:val="93"/>
        </w:trPr>
        <w:tc>
          <w:tcPr>
            <w:tcW w:w="5980" w:type="dxa"/>
            <w:vAlign w:val="bottom"/>
            <w:tcBorders>
              <w:bottom w:val="single" w:sz="8" w:color="808080"/>
            </w:tcBorders>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sets forth the weighted average target asset allocations for the Pension Plans included in the Company’s investment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132080</wp:posOffset>
            </wp:positionV>
            <wp:extent cx="726567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43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60" w:type="dxa"/>
            <w:vAlign w:val="bottom"/>
          </w:tcPr>
          <w:p>
            <w:pPr>
              <w:jc w:val="right"/>
              <w:ind w:right="144"/>
              <w:spacing w:after="0"/>
              <w:rPr>
                <w:sz w:val="20"/>
                <w:szCs w:val="20"/>
                <w:color w:val="auto"/>
              </w:rPr>
            </w:pPr>
            <w:r>
              <w:rPr>
                <w:rFonts w:ascii="Arial" w:cs="Arial" w:eastAsia="Arial" w:hAnsi="Arial"/>
                <w:sz w:val="15"/>
                <w:szCs w:val="15"/>
                <w:b w:val="1"/>
                <w:bCs w:val="1"/>
                <w:color w:val="auto"/>
              </w:rPr>
              <w:t>Grolier</w:t>
            </w:r>
          </w:p>
        </w:tc>
      </w:tr>
      <w:tr>
        <w:trPr>
          <w:trHeight w:val="210"/>
        </w:trPr>
        <w:tc>
          <w:tcPr>
            <w:tcW w:w="4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80" w:type="dxa"/>
            <w:vAlign w:val="bottom"/>
          </w:tcPr>
          <w:p>
            <w:pPr>
              <w:jc w:val="right"/>
              <w:ind w:right="604"/>
              <w:spacing w:after="0"/>
              <w:rPr>
                <w:sz w:val="20"/>
                <w:szCs w:val="20"/>
                <w:color w:val="auto"/>
              </w:rPr>
            </w:pPr>
            <w:r>
              <w:rPr>
                <w:rFonts w:ascii="Arial" w:cs="Arial" w:eastAsia="Arial" w:hAnsi="Arial"/>
                <w:sz w:val="15"/>
                <w:szCs w:val="15"/>
                <w:b w:val="1"/>
                <w:bCs w:val="1"/>
                <w:color w:val="auto"/>
              </w:rPr>
              <w:t>U.K.</w:t>
            </w:r>
          </w:p>
        </w:tc>
        <w:tc>
          <w:tcPr>
            <w:tcW w:w="1360" w:type="dxa"/>
            <w:vAlign w:val="bottom"/>
          </w:tcPr>
          <w:p>
            <w:pPr>
              <w:jc w:val="right"/>
              <w:ind w:right="144"/>
              <w:spacing w:after="0"/>
              <w:rPr>
                <w:sz w:val="20"/>
                <w:szCs w:val="20"/>
                <w:color w:val="auto"/>
              </w:rPr>
            </w:pPr>
            <w:r>
              <w:rPr>
                <w:rFonts w:ascii="Arial" w:cs="Arial" w:eastAsia="Arial" w:hAnsi="Arial"/>
                <w:sz w:val="15"/>
                <w:szCs w:val="15"/>
                <w:b w:val="1"/>
                <w:bCs w:val="1"/>
                <w:color w:val="auto"/>
              </w:rPr>
              <w:t>Canada</w:t>
            </w:r>
          </w:p>
        </w:tc>
      </w:tr>
      <w:tr>
        <w:trPr>
          <w:trHeight w:val="210"/>
        </w:trPr>
        <w:tc>
          <w:tcPr>
            <w:tcW w:w="4340" w:type="dxa"/>
            <w:vAlign w:val="bottom"/>
          </w:tcPr>
          <w:p>
            <w:pPr>
              <w:spacing w:after="0"/>
              <w:rPr>
                <w:sz w:val="18"/>
                <w:szCs w:val="18"/>
                <w:color w:val="auto"/>
              </w:rPr>
            </w:pPr>
          </w:p>
        </w:tc>
        <w:tc>
          <w:tcPr>
            <w:tcW w:w="3860" w:type="dxa"/>
            <w:vAlign w:val="bottom"/>
          </w:tcPr>
          <w:p>
            <w:pPr>
              <w:jc w:val="right"/>
              <w:ind w:right="664"/>
              <w:spacing w:after="0"/>
              <w:rPr>
                <w:sz w:val="20"/>
                <w:szCs w:val="20"/>
                <w:color w:val="auto"/>
              </w:rPr>
            </w:pPr>
            <w:r>
              <w:rPr>
                <w:rFonts w:ascii="Arial" w:cs="Arial" w:eastAsia="Arial" w:hAnsi="Arial"/>
                <w:sz w:val="15"/>
                <w:szCs w:val="15"/>
                <w:b w:val="1"/>
                <w:bCs w:val="1"/>
                <w:color w:val="auto"/>
              </w:rPr>
              <w:t>Pension</w:t>
            </w:r>
          </w:p>
        </w:tc>
        <w:tc>
          <w:tcPr>
            <w:tcW w:w="1880" w:type="dxa"/>
            <w:vAlign w:val="bottom"/>
          </w:tcPr>
          <w:p>
            <w:pPr>
              <w:jc w:val="right"/>
              <w:ind w:right="604"/>
              <w:spacing w:after="0"/>
              <w:rPr>
                <w:sz w:val="20"/>
                <w:szCs w:val="20"/>
                <w:color w:val="auto"/>
              </w:rPr>
            </w:pPr>
            <w:r>
              <w:rPr>
                <w:rFonts w:ascii="Arial" w:cs="Arial" w:eastAsia="Arial" w:hAnsi="Arial"/>
                <w:sz w:val="15"/>
                <w:szCs w:val="15"/>
                <w:b w:val="1"/>
                <w:bCs w:val="1"/>
                <w:color w:val="auto"/>
              </w:rPr>
              <w:t>Pension</w:t>
            </w:r>
          </w:p>
        </w:tc>
        <w:tc>
          <w:tcPr>
            <w:tcW w:w="1360" w:type="dxa"/>
            <w:vAlign w:val="bottom"/>
          </w:tcPr>
          <w:p>
            <w:pPr>
              <w:jc w:val="right"/>
              <w:ind w:right="144"/>
              <w:spacing w:after="0"/>
              <w:rPr>
                <w:sz w:val="20"/>
                <w:szCs w:val="20"/>
                <w:color w:val="auto"/>
              </w:rPr>
            </w:pPr>
            <w:r>
              <w:rPr>
                <w:rFonts w:ascii="Arial" w:cs="Arial" w:eastAsia="Arial" w:hAnsi="Arial"/>
                <w:sz w:val="15"/>
                <w:szCs w:val="15"/>
                <w:b w:val="1"/>
                <w:bCs w:val="1"/>
                <w:color w:val="auto"/>
              </w:rPr>
              <w:t>Pension</w:t>
            </w:r>
          </w:p>
        </w:tc>
      </w:tr>
      <w:tr>
        <w:trPr>
          <w:trHeight w:val="210"/>
        </w:trPr>
        <w:tc>
          <w:tcPr>
            <w:tcW w:w="4340" w:type="dxa"/>
            <w:vAlign w:val="bottom"/>
          </w:tcPr>
          <w:p>
            <w:pPr>
              <w:spacing w:after="0"/>
              <w:rPr>
                <w:sz w:val="18"/>
                <w:szCs w:val="18"/>
                <w:color w:val="auto"/>
              </w:rPr>
            </w:pPr>
          </w:p>
        </w:tc>
        <w:tc>
          <w:tcPr>
            <w:tcW w:w="3860" w:type="dxa"/>
            <w:vAlign w:val="bottom"/>
          </w:tcPr>
          <w:p>
            <w:pPr>
              <w:jc w:val="right"/>
              <w:ind w:right="664"/>
              <w:spacing w:after="0"/>
              <w:rPr>
                <w:sz w:val="20"/>
                <w:szCs w:val="20"/>
                <w:color w:val="auto"/>
              </w:rPr>
            </w:pPr>
            <w:r>
              <w:rPr>
                <w:rFonts w:ascii="Arial" w:cs="Arial" w:eastAsia="Arial" w:hAnsi="Arial"/>
                <w:sz w:val="15"/>
                <w:szCs w:val="15"/>
                <w:b w:val="1"/>
                <w:bCs w:val="1"/>
                <w:color w:val="auto"/>
              </w:rPr>
              <w:t>Plan</w:t>
            </w:r>
          </w:p>
        </w:tc>
        <w:tc>
          <w:tcPr>
            <w:tcW w:w="1880" w:type="dxa"/>
            <w:vAlign w:val="bottom"/>
          </w:tcPr>
          <w:p>
            <w:pPr>
              <w:jc w:val="right"/>
              <w:ind w:right="604"/>
              <w:spacing w:after="0"/>
              <w:rPr>
                <w:sz w:val="20"/>
                <w:szCs w:val="20"/>
                <w:color w:val="auto"/>
              </w:rPr>
            </w:pPr>
            <w:r>
              <w:rPr>
                <w:rFonts w:ascii="Arial" w:cs="Arial" w:eastAsia="Arial" w:hAnsi="Arial"/>
                <w:sz w:val="15"/>
                <w:szCs w:val="15"/>
                <w:b w:val="1"/>
                <w:bCs w:val="1"/>
                <w:color w:val="auto"/>
              </w:rPr>
              <w:t>Plan</w:t>
            </w:r>
          </w:p>
        </w:tc>
        <w:tc>
          <w:tcPr>
            <w:tcW w:w="1360" w:type="dxa"/>
            <w:vAlign w:val="bottom"/>
          </w:tcPr>
          <w:p>
            <w:pPr>
              <w:jc w:val="right"/>
              <w:ind w:right="144"/>
              <w:spacing w:after="0"/>
              <w:rPr>
                <w:sz w:val="20"/>
                <w:szCs w:val="20"/>
                <w:color w:val="auto"/>
              </w:rPr>
            </w:pPr>
            <w:r>
              <w:rPr>
                <w:rFonts w:ascii="Arial" w:cs="Arial" w:eastAsia="Arial" w:hAnsi="Arial"/>
                <w:sz w:val="15"/>
                <w:szCs w:val="15"/>
                <w:b w:val="1"/>
                <w:bCs w:val="1"/>
                <w:color w:val="auto"/>
              </w:rPr>
              <w:t>Plan</w:t>
            </w:r>
          </w:p>
        </w:tc>
      </w:tr>
      <w:tr>
        <w:trPr>
          <w:trHeight w:val="84"/>
        </w:trPr>
        <w:tc>
          <w:tcPr>
            <w:tcW w:w="434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85"/>
        </w:trPr>
        <w:tc>
          <w:tcPr>
            <w:tcW w:w="43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0"/>
        </w:trPr>
        <w:tc>
          <w:tcPr>
            <w:tcW w:w="4340" w:type="dxa"/>
            <w:vAlign w:val="bottom"/>
            <w:shd w:val="clear" w:color="auto" w:fill="E6E6E6"/>
          </w:tcPr>
          <w:p>
            <w:pPr>
              <w:spacing w:after="0"/>
              <w:rPr>
                <w:sz w:val="20"/>
                <w:szCs w:val="20"/>
                <w:color w:val="auto"/>
              </w:rPr>
            </w:pPr>
            <w:r>
              <w:rPr>
                <w:rFonts w:ascii="Arial" w:cs="Arial" w:eastAsia="Arial" w:hAnsi="Arial"/>
                <w:sz w:val="15"/>
                <w:szCs w:val="15"/>
                <w:color w:val="auto"/>
              </w:rPr>
              <w:t>Equity</w:t>
            </w:r>
          </w:p>
        </w:tc>
        <w:tc>
          <w:tcPr>
            <w:tcW w:w="3860" w:type="dxa"/>
            <w:vAlign w:val="bottom"/>
            <w:shd w:val="clear" w:color="auto" w:fill="E6E6E6"/>
          </w:tcPr>
          <w:p>
            <w:pPr>
              <w:jc w:val="right"/>
              <w:ind w:right="544"/>
              <w:spacing w:after="0"/>
              <w:rPr>
                <w:sz w:val="20"/>
                <w:szCs w:val="20"/>
                <w:color w:val="auto"/>
              </w:rPr>
            </w:pPr>
            <w:r>
              <w:rPr>
                <w:rFonts w:ascii="Arial" w:cs="Arial" w:eastAsia="Arial" w:hAnsi="Arial"/>
                <w:sz w:val="15"/>
                <w:szCs w:val="15"/>
                <w:color w:val="auto"/>
              </w:rPr>
              <w:t>65.0%</w:t>
            </w:r>
          </w:p>
        </w:tc>
        <w:tc>
          <w:tcPr>
            <w:tcW w:w="1880" w:type="dxa"/>
            <w:vAlign w:val="bottom"/>
            <w:shd w:val="clear" w:color="auto" w:fill="E6E6E6"/>
          </w:tcPr>
          <w:p>
            <w:pPr>
              <w:jc w:val="right"/>
              <w:ind w:right="464"/>
              <w:spacing w:after="0"/>
              <w:rPr>
                <w:sz w:val="20"/>
                <w:szCs w:val="20"/>
                <w:color w:val="auto"/>
              </w:rPr>
            </w:pPr>
            <w:r>
              <w:rPr>
                <w:rFonts w:ascii="Arial" w:cs="Arial" w:eastAsia="Arial" w:hAnsi="Arial"/>
                <w:sz w:val="15"/>
                <w:szCs w:val="15"/>
                <w:color w:val="auto"/>
              </w:rPr>
              <w:t>68.0%</w:t>
            </w:r>
          </w:p>
        </w:tc>
        <w:tc>
          <w:tcPr>
            <w:tcW w:w="1360" w:type="dxa"/>
            <w:vAlign w:val="bottom"/>
            <w:shd w:val="clear" w:color="auto" w:fill="E6E6E6"/>
          </w:tcPr>
          <w:p>
            <w:pPr>
              <w:jc w:val="right"/>
              <w:ind w:right="24"/>
              <w:spacing w:after="0"/>
              <w:rPr>
                <w:sz w:val="20"/>
                <w:szCs w:val="20"/>
                <w:color w:val="auto"/>
              </w:rPr>
            </w:pPr>
            <w:r>
              <w:rPr>
                <w:rFonts w:ascii="Arial" w:cs="Arial" w:eastAsia="Arial" w:hAnsi="Arial"/>
                <w:sz w:val="15"/>
                <w:szCs w:val="15"/>
                <w:color w:val="auto"/>
              </w:rPr>
              <w:t>35.0%</w:t>
            </w:r>
          </w:p>
        </w:tc>
      </w:tr>
      <w:tr>
        <w:trPr>
          <w:trHeight w:val="210"/>
        </w:trPr>
        <w:tc>
          <w:tcPr>
            <w:tcW w:w="4340" w:type="dxa"/>
            <w:vAlign w:val="bottom"/>
          </w:tcPr>
          <w:p>
            <w:pPr>
              <w:spacing w:after="0"/>
              <w:rPr>
                <w:sz w:val="20"/>
                <w:szCs w:val="20"/>
                <w:color w:val="auto"/>
              </w:rPr>
            </w:pPr>
            <w:r>
              <w:rPr>
                <w:rFonts w:ascii="Arial" w:cs="Arial" w:eastAsia="Arial" w:hAnsi="Arial"/>
                <w:sz w:val="15"/>
                <w:szCs w:val="15"/>
                <w:color w:val="auto"/>
              </w:rPr>
              <w:t>Debt and Cash Equivalents</w:t>
            </w:r>
          </w:p>
        </w:tc>
        <w:tc>
          <w:tcPr>
            <w:tcW w:w="3860" w:type="dxa"/>
            <w:vAlign w:val="bottom"/>
          </w:tcPr>
          <w:p>
            <w:pPr>
              <w:jc w:val="right"/>
              <w:ind w:right="664"/>
              <w:spacing w:after="0"/>
              <w:rPr>
                <w:sz w:val="20"/>
                <w:szCs w:val="20"/>
                <w:color w:val="auto"/>
              </w:rPr>
            </w:pPr>
            <w:r>
              <w:rPr>
                <w:rFonts w:ascii="Arial" w:cs="Arial" w:eastAsia="Arial" w:hAnsi="Arial"/>
                <w:sz w:val="15"/>
                <w:szCs w:val="15"/>
                <w:color w:val="auto"/>
              </w:rPr>
              <w:t>35.0</w:t>
            </w:r>
          </w:p>
        </w:tc>
        <w:tc>
          <w:tcPr>
            <w:tcW w:w="1880" w:type="dxa"/>
            <w:vAlign w:val="bottom"/>
          </w:tcPr>
          <w:p>
            <w:pPr>
              <w:jc w:val="right"/>
              <w:ind w:right="604"/>
              <w:spacing w:after="0"/>
              <w:rPr>
                <w:sz w:val="20"/>
                <w:szCs w:val="20"/>
                <w:color w:val="auto"/>
              </w:rPr>
            </w:pPr>
            <w:r>
              <w:rPr>
                <w:rFonts w:ascii="Arial" w:cs="Arial" w:eastAsia="Arial" w:hAnsi="Arial"/>
                <w:sz w:val="15"/>
                <w:szCs w:val="15"/>
                <w:color w:val="auto"/>
              </w:rPr>
              <w:t>25.0</w:t>
            </w:r>
          </w:p>
        </w:tc>
        <w:tc>
          <w:tcPr>
            <w:tcW w:w="1360" w:type="dxa"/>
            <w:vAlign w:val="bottom"/>
          </w:tcPr>
          <w:p>
            <w:pPr>
              <w:jc w:val="right"/>
              <w:ind w:right="144"/>
              <w:spacing w:after="0"/>
              <w:rPr>
                <w:sz w:val="20"/>
                <w:szCs w:val="20"/>
                <w:color w:val="auto"/>
              </w:rPr>
            </w:pPr>
            <w:r>
              <w:rPr>
                <w:rFonts w:ascii="Arial" w:cs="Arial" w:eastAsia="Arial" w:hAnsi="Arial"/>
                <w:sz w:val="15"/>
                <w:szCs w:val="15"/>
                <w:color w:val="auto"/>
              </w:rPr>
              <w:t>65.0</w:t>
            </w:r>
          </w:p>
        </w:tc>
      </w:tr>
      <w:tr>
        <w:trPr>
          <w:trHeight w:val="210"/>
        </w:trPr>
        <w:tc>
          <w:tcPr>
            <w:tcW w:w="4340" w:type="dxa"/>
            <w:vAlign w:val="bottom"/>
            <w:shd w:val="clear" w:color="auto" w:fill="E6E6E6"/>
          </w:tcPr>
          <w:p>
            <w:pPr>
              <w:spacing w:after="0"/>
              <w:rPr>
                <w:sz w:val="20"/>
                <w:szCs w:val="20"/>
                <w:color w:val="auto"/>
              </w:rPr>
            </w:pPr>
            <w:r>
              <w:rPr>
                <w:rFonts w:ascii="Arial" w:cs="Arial" w:eastAsia="Arial" w:hAnsi="Arial"/>
                <w:sz w:val="15"/>
                <w:szCs w:val="15"/>
                <w:color w:val="auto"/>
              </w:rPr>
              <w:t>Real Estate</w:t>
            </w:r>
          </w:p>
        </w:tc>
        <w:tc>
          <w:tcPr>
            <w:tcW w:w="3860" w:type="dxa"/>
            <w:vAlign w:val="bottom"/>
            <w:shd w:val="clear" w:color="auto" w:fill="E6E6E6"/>
          </w:tcPr>
          <w:p>
            <w:pPr>
              <w:jc w:val="right"/>
              <w:ind w:right="664"/>
              <w:spacing w:after="0"/>
              <w:rPr>
                <w:sz w:val="20"/>
                <w:szCs w:val="20"/>
                <w:color w:val="auto"/>
              </w:rPr>
            </w:pPr>
            <w:r>
              <w:rPr>
                <w:rFonts w:ascii="Arial" w:cs="Arial" w:eastAsia="Arial" w:hAnsi="Arial"/>
                <w:sz w:val="15"/>
                <w:szCs w:val="15"/>
                <w:color w:val="auto"/>
              </w:rPr>
              <w:t>—</w:t>
            </w:r>
          </w:p>
        </w:tc>
        <w:tc>
          <w:tcPr>
            <w:tcW w:w="1880" w:type="dxa"/>
            <w:vAlign w:val="bottom"/>
            <w:shd w:val="clear" w:color="auto" w:fill="E6E6E6"/>
          </w:tcPr>
          <w:p>
            <w:pPr>
              <w:jc w:val="right"/>
              <w:ind w:right="604"/>
              <w:spacing w:after="0"/>
              <w:rPr>
                <w:sz w:val="20"/>
                <w:szCs w:val="20"/>
                <w:color w:val="auto"/>
              </w:rPr>
            </w:pPr>
            <w:r>
              <w:rPr>
                <w:rFonts w:ascii="Arial" w:cs="Arial" w:eastAsia="Arial" w:hAnsi="Arial"/>
                <w:sz w:val="15"/>
                <w:szCs w:val="15"/>
                <w:color w:val="auto"/>
              </w:rPr>
              <w:t>7.0</w:t>
            </w:r>
          </w:p>
        </w:tc>
        <w:tc>
          <w:tcPr>
            <w:tcW w:w="136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w:t>
            </w:r>
          </w:p>
        </w:tc>
      </w:tr>
      <w:tr>
        <w:trPr>
          <w:trHeight w:val="93"/>
        </w:trPr>
        <w:tc>
          <w:tcPr>
            <w:tcW w:w="4340" w:type="dxa"/>
            <w:vAlign w:val="bottom"/>
            <w:tcBorders>
              <w:bottom w:val="single" w:sz="8" w:color="808080"/>
            </w:tcBorders>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r>
        <w:trPr>
          <w:trHeight w:val="304"/>
        </w:trPr>
        <w:tc>
          <w:tcPr>
            <w:tcW w:w="4340" w:type="dxa"/>
            <w:vAlign w:val="bottom"/>
          </w:tcPr>
          <w:p>
            <w:pPr>
              <w:spacing w:after="0"/>
              <w:rPr>
                <w:sz w:val="24"/>
                <w:szCs w:val="24"/>
                <w:color w:val="auto"/>
              </w:rPr>
            </w:pPr>
          </w:p>
        </w:tc>
        <w:tc>
          <w:tcPr>
            <w:tcW w:w="3860" w:type="dxa"/>
            <w:vAlign w:val="bottom"/>
          </w:tcPr>
          <w:p>
            <w:pPr>
              <w:jc w:val="right"/>
              <w:ind w:right="544"/>
              <w:spacing w:after="0"/>
              <w:rPr>
                <w:sz w:val="20"/>
                <w:szCs w:val="20"/>
                <w:color w:val="auto"/>
              </w:rPr>
            </w:pPr>
            <w:r>
              <w:rPr>
                <w:rFonts w:ascii="Arial" w:cs="Arial" w:eastAsia="Arial" w:hAnsi="Arial"/>
                <w:sz w:val="15"/>
                <w:szCs w:val="15"/>
                <w:b w:val="1"/>
                <w:bCs w:val="1"/>
                <w:color w:val="auto"/>
              </w:rPr>
              <w:t>100.0%</w:t>
            </w:r>
          </w:p>
        </w:tc>
        <w:tc>
          <w:tcPr>
            <w:tcW w:w="1880" w:type="dxa"/>
            <w:vAlign w:val="bottom"/>
          </w:tcPr>
          <w:p>
            <w:pPr>
              <w:jc w:val="right"/>
              <w:ind w:right="464"/>
              <w:spacing w:after="0"/>
              <w:rPr>
                <w:sz w:val="20"/>
                <w:szCs w:val="20"/>
                <w:color w:val="auto"/>
              </w:rPr>
            </w:pPr>
            <w:r>
              <w:rPr>
                <w:rFonts w:ascii="Arial" w:cs="Arial" w:eastAsia="Arial" w:hAnsi="Arial"/>
                <w:sz w:val="15"/>
                <w:szCs w:val="15"/>
                <w:b w:val="1"/>
                <w:bCs w:val="1"/>
                <w:color w:val="auto"/>
              </w:rPr>
              <w:t>100.0%</w:t>
            </w:r>
          </w:p>
        </w:tc>
        <w:tc>
          <w:tcPr>
            <w:tcW w:w="1360" w:type="dxa"/>
            <w:vAlign w:val="bottom"/>
          </w:tcPr>
          <w:p>
            <w:pPr>
              <w:jc w:val="right"/>
              <w:ind w:right="24"/>
              <w:spacing w:after="0"/>
              <w:rPr>
                <w:sz w:val="20"/>
                <w:szCs w:val="20"/>
                <w:color w:val="auto"/>
              </w:rPr>
            </w:pPr>
            <w:r>
              <w:rPr>
                <w:rFonts w:ascii="Arial" w:cs="Arial" w:eastAsia="Arial" w:hAnsi="Arial"/>
                <w:sz w:val="15"/>
                <w:szCs w:val="15"/>
                <w:b w:val="1"/>
                <w:bCs w:val="1"/>
                <w:color w:val="auto"/>
              </w:rPr>
              <w:t>100.0%</w:t>
            </w:r>
          </w:p>
        </w:tc>
      </w:tr>
      <w:tr>
        <w:trPr>
          <w:trHeight w:val="84"/>
        </w:trPr>
        <w:tc>
          <w:tcPr>
            <w:tcW w:w="4340" w:type="dxa"/>
            <w:vAlign w:val="bottom"/>
            <w:tcBorders>
              <w:bottom w:val="single" w:sz="8" w:color="808080"/>
            </w:tcBorders>
          </w:tcPr>
          <w:p>
            <w:pPr>
              <w:spacing w:after="0"/>
              <w:rPr>
                <w:sz w:val="7"/>
                <w:szCs w:val="7"/>
                <w:color w:val="auto"/>
              </w:rPr>
            </w:pPr>
          </w:p>
        </w:tc>
        <w:tc>
          <w:tcPr>
            <w:tcW w:w="3860" w:type="dxa"/>
            <w:vAlign w:val="bottom"/>
            <w:tcBorders>
              <w:bottom w:val="single" w:sz="8" w:color="808080"/>
            </w:tcBorders>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310515</wp:posOffset>
            </wp:positionV>
            <wp:extent cx="1938655" cy="3403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153670</wp:posOffset>
            </wp:positionV>
            <wp:extent cx="7285355" cy="349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type w:val="continuous"/>
        </w:sectPr>
      </w:pPr>
    </w:p>
    <w:bookmarkStart w:id="60" w:name="page61"/>
    <w:bookmarkEnd w:id="60"/>
    <w:p>
      <w:pPr>
        <w:ind w:left="20"/>
        <w:spacing w:after="0"/>
        <w:rPr>
          <w:sz w:val="20"/>
          <w:szCs w:val="20"/>
          <w:color w:val="auto"/>
        </w:rPr>
      </w:pPr>
      <w:r>
        <w:rPr>
          <w:rFonts w:ascii="Arial" w:cs="Arial" w:eastAsia="Arial" w:hAnsi="Arial"/>
          <w:sz w:val="15"/>
          <w:szCs w:val="15"/>
          <w:b w:val="1"/>
          <w:bCs w:val="1"/>
          <w:color w:val="auto"/>
        </w:rPr>
        <w:t>Contributions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 fiscal 2007, the Company expects to contribute $8.4 to the Pension Plan and Scholastic Ltd. expects to contribute $1.1 to the U.K. Pension Plan.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Estimated Future Benefit Payments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sets forth the expected future benefit payments under the Pension Plans and the Post-Retirement Benefits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124460</wp:posOffset>
            </wp:positionV>
            <wp:extent cx="726567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4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2"/>
          </w:tcPr>
          <w:p>
            <w:pPr>
              <w:jc w:val="right"/>
              <w:ind w:right="122"/>
              <w:spacing w:after="0"/>
              <w:rPr>
                <w:sz w:val="20"/>
                <w:szCs w:val="20"/>
                <w:color w:val="auto"/>
              </w:rPr>
            </w:pPr>
            <w:r>
              <w:rPr>
                <w:rFonts w:ascii="Arial" w:cs="Arial" w:eastAsia="Arial" w:hAnsi="Arial"/>
                <w:sz w:val="15"/>
                <w:szCs w:val="15"/>
                <w:b w:val="1"/>
                <w:bCs w:val="1"/>
                <w:color w:val="auto"/>
              </w:rPr>
              <w:t>Post-Retirement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344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60" w:type="dxa"/>
            <w:vAlign w:val="bottom"/>
            <w:vMerge w:val="restart"/>
          </w:tcPr>
          <w:p>
            <w:pPr>
              <w:jc w:val="right"/>
              <w:ind w:right="657"/>
              <w:spacing w:after="0"/>
              <w:rPr>
                <w:sz w:val="20"/>
                <w:szCs w:val="20"/>
                <w:color w:val="auto"/>
              </w:rPr>
            </w:pPr>
            <w:r>
              <w:rPr>
                <w:rFonts w:ascii="Arial" w:cs="Arial" w:eastAsia="Arial" w:hAnsi="Arial"/>
                <w:sz w:val="15"/>
                <w:szCs w:val="15"/>
                <w:b w:val="1"/>
                <w:bCs w:val="1"/>
                <w:color w:val="auto"/>
              </w:rPr>
              <w:t>Pension</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jc w:val="right"/>
              <w:ind w:right="156"/>
              <w:spacing w:after="0"/>
              <w:rPr>
                <w:sz w:val="20"/>
                <w:szCs w:val="20"/>
                <w:color w:val="auto"/>
              </w:rPr>
            </w:pPr>
            <w:r>
              <w:rPr>
                <w:rFonts w:ascii="Arial" w:cs="Arial" w:eastAsia="Arial" w:hAnsi="Arial"/>
                <w:sz w:val="15"/>
                <w:szCs w:val="15"/>
                <w:b w:val="1"/>
                <w:bCs w:val="1"/>
                <w:color w:val="auto"/>
              </w:rPr>
              <w:t>Medicare</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316"/>
              <w:spacing w:after="0"/>
              <w:rPr>
                <w:sz w:val="20"/>
                <w:szCs w:val="20"/>
                <w:color w:val="auto"/>
              </w:rPr>
            </w:pPr>
            <w:r>
              <w:rPr>
                <w:rFonts w:ascii="Arial" w:cs="Arial" w:eastAsia="Arial" w:hAnsi="Arial"/>
                <w:sz w:val="15"/>
                <w:szCs w:val="15"/>
                <w:b w:val="1"/>
                <w:bCs w:val="1"/>
                <w:color w:val="auto"/>
              </w:rPr>
              <w:t>Benefit</w:t>
            </w:r>
          </w:p>
        </w:tc>
        <w:tc>
          <w:tcPr>
            <w:tcW w:w="760" w:type="dxa"/>
            <w:vAlign w:val="bottom"/>
          </w:tcPr>
          <w:p>
            <w:pPr>
              <w:spacing w:after="0"/>
              <w:rPr>
                <w:sz w:val="18"/>
                <w:szCs w:val="18"/>
                <w:color w:val="auto"/>
              </w:rPr>
            </w:pPr>
          </w:p>
        </w:tc>
        <w:tc>
          <w:tcPr>
            <w:tcW w:w="1060" w:type="dxa"/>
            <w:vAlign w:val="bottom"/>
          </w:tcPr>
          <w:p>
            <w:pPr>
              <w:jc w:val="right"/>
              <w:ind w:right="156"/>
              <w:spacing w:after="0"/>
              <w:rPr>
                <w:sz w:val="20"/>
                <w:szCs w:val="20"/>
                <w:color w:val="auto"/>
              </w:rPr>
            </w:pPr>
            <w:r>
              <w:rPr>
                <w:rFonts w:ascii="Arial" w:cs="Arial" w:eastAsia="Arial" w:hAnsi="Arial"/>
                <w:sz w:val="15"/>
                <w:szCs w:val="15"/>
                <w:b w:val="1"/>
                <w:bCs w:val="1"/>
                <w:color w:val="auto"/>
              </w:rPr>
              <w:t>Subsidy</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60" w:type="dxa"/>
            <w:vAlign w:val="bottom"/>
          </w:tcPr>
          <w:p>
            <w:pPr>
              <w:jc w:val="right"/>
              <w:ind w:right="657"/>
              <w:spacing w:after="0"/>
              <w:rPr>
                <w:sz w:val="20"/>
                <w:szCs w:val="20"/>
                <w:color w:val="auto"/>
              </w:rPr>
            </w:pPr>
            <w:r>
              <w:rPr>
                <w:rFonts w:ascii="Arial" w:cs="Arial" w:eastAsia="Arial" w:hAnsi="Arial"/>
                <w:sz w:val="15"/>
                <w:szCs w:val="15"/>
                <w:b w:val="1"/>
                <w:bCs w:val="1"/>
                <w:color w:val="auto"/>
              </w:rPr>
              <w:t>Benefits</w:t>
            </w:r>
          </w:p>
        </w:tc>
        <w:tc>
          <w:tcPr>
            <w:tcW w:w="320" w:type="dxa"/>
            <w:vAlign w:val="bottom"/>
          </w:tcPr>
          <w:p>
            <w:pPr>
              <w:spacing w:after="0"/>
              <w:rPr>
                <w:sz w:val="18"/>
                <w:szCs w:val="18"/>
                <w:color w:val="auto"/>
              </w:rPr>
            </w:pPr>
          </w:p>
        </w:tc>
        <w:tc>
          <w:tcPr>
            <w:tcW w:w="1300" w:type="dxa"/>
            <w:vAlign w:val="bottom"/>
          </w:tcPr>
          <w:p>
            <w:pPr>
              <w:jc w:val="right"/>
              <w:ind w:right="316"/>
              <w:spacing w:after="0"/>
              <w:rPr>
                <w:sz w:val="20"/>
                <w:szCs w:val="20"/>
                <w:color w:val="auto"/>
              </w:rPr>
            </w:pPr>
            <w:r>
              <w:rPr>
                <w:rFonts w:ascii="Arial" w:cs="Arial" w:eastAsia="Arial" w:hAnsi="Arial"/>
                <w:sz w:val="15"/>
                <w:szCs w:val="15"/>
                <w:b w:val="1"/>
                <w:bCs w:val="1"/>
                <w:color w:val="auto"/>
              </w:rPr>
              <w:t>Payments</w:t>
            </w:r>
          </w:p>
        </w:tc>
        <w:tc>
          <w:tcPr>
            <w:tcW w:w="760" w:type="dxa"/>
            <w:vAlign w:val="bottom"/>
          </w:tcPr>
          <w:p>
            <w:pPr>
              <w:spacing w:after="0"/>
              <w:rPr>
                <w:sz w:val="18"/>
                <w:szCs w:val="18"/>
                <w:color w:val="auto"/>
              </w:rPr>
            </w:pPr>
          </w:p>
        </w:tc>
        <w:tc>
          <w:tcPr>
            <w:tcW w:w="1060" w:type="dxa"/>
            <w:vAlign w:val="bottom"/>
          </w:tcPr>
          <w:p>
            <w:pPr>
              <w:jc w:val="right"/>
              <w:ind w:right="156"/>
              <w:spacing w:after="0"/>
              <w:rPr>
                <w:sz w:val="20"/>
                <w:szCs w:val="20"/>
                <w:color w:val="auto"/>
              </w:rPr>
            </w:pPr>
            <w:r>
              <w:rPr>
                <w:rFonts w:ascii="Arial" w:cs="Arial" w:eastAsia="Arial" w:hAnsi="Arial"/>
                <w:sz w:val="15"/>
                <w:szCs w:val="15"/>
                <w:b w:val="1"/>
                <w:bCs w:val="1"/>
                <w:color w:val="auto"/>
              </w:rPr>
              <w:t>Receipts</w:t>
            </w:r>
          </w:p>
        </w:tc>
        <w:tc>
          <w:tcPr>
            <w:tcW w:w="0" w:type="dxa"/>
            <w:vAlign w:val="bottom"/>
          </w:tcPr>
          <w:p>
            <w:pPr>
              <w:spacing w:after="0"/>
              <w:rPr>
                <w:sz w:val="1"/>
                <w:szCs w:val="1"/>
                <w:color w:val="auto"/>
              </w:rPr>
            </w:pPr>
          </w:p>
        </w:tc>
      </w:tr>
      <w:tr>
        <w:trPr>
          <w:trHeight w:val="84"/>
        </w:trPr>
        <w:tc>
          <w:tcPr>
            <w:tcW w:w="344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E6E6E6"/>
          </w:tcPr>
          <w:p>
            <w:pPr>
              <w:spacing w:after="0"/>
              <w:rPr>
                <w:sz w:val="20"/>
                <w:szCs w:val="20"/>
                <w:color w:val="auto"/>
              </w:rPr>
            </w:pPr>
            <w:r>
              <w:rPr>
                <w:rFonts w:ascii="Arial" w:cs="Arial" w:eastAsia="Arial" w:hAnsi="Arial"/>
                <w:sz w:val="12"/>
                <w:szCs w:val="12"/>
                <w:color w:val="auto"/>
              </w:rPr>
              <w:t>2007</w:t>
            </w:r>
          </w:p>
        </w:tc>
        <w:tc>
          <w:tcPr>
            <w:tcW w:w="3100" w:type="dxa"/>
            <w:vAlign w:val="bottom"/>
            <w:shd w:val="clear" w:color="auto" w:fill="E6E6E6"/>
          </w:tcPr>
          <w:p>
            <w:pPr>
              <w:jc w:val="right"/>
              <w:ind w:right="62"/>
              <w:spacing w:after="0"/>
              <w:rPr>
                <w:sz w:val="20"/>
                <w:szCs w:val="20"/>
                <w:color w:val="auto"/>
              </w:rPr>
            </w:pPr>
            <w:r>
              <w:rPr>
                <w:rFonts w:ascii="Arial" w:cs="Arial" w:eastAsia="Arial" w:hAnsi="Arial"/>
                <w:sz w:val="12"/>
                <w:szCs w:val="12"/>
                <w:color w:val="auto"/>
              </w:rPr>
              <w:t>$</w:t>
            </w:r>
          </w:p>
        </w:tc>
        <w:tc>
          <w:tcPr>
            <w:tcW w:w="1460" w:type="dxa"/>
            <w:vAlign w:val="bottom"/>
            <w:shd w:val="clear" w:color="auto" w:fill="E6E6E6"/>
          </w:tcPr>
          <w:p>
            <w:pPr>
              <w:jc w:val="right"/>
              <w:ind w:right="657"/>
              <w:spacing w:after="0"/>
              <w:rPr>
                <w:sz w:val="20"/>
                <w:szCs w:val="20"/>
                <w:color w:val="auto"/>
              </w:rPr>
            </w:pPr>
            <w:r>
              <w:rPr>
                <w:rFonts w:ascii="Arial" w:cs="Arial" w:eastAsia="Arial" w:hAnsi="Arial"/>
                <w:sz w:val="12"/>
                <w:szCs w:val="12"/>
                <w:color w:val="auto"/>
              </w:rPr>
              <w:t>11.3</w:t>
            </w:r>
          </w:p>
        </w:tc>
        <w:tc>
          <w:tcPr>
            <w:tcW w:w="320" w:type="dxa"/>
            <w:vAlign w:val="bottom"/>
            <w:shd w:val="clear" w:color="auto" w:fill="E6E6E6"/>
          </w:tcPr>
          <w:p>
            <w:pPr>
              <w:jc w:val="right"/>
              <w:ind w:right="162"/>
              <w:spacing w:after="0"/>
              <w:rPr>
                <w:sz w:val="20"/>
                <w:szCs w:val="20"/>
                <w:color w:val="auto"/>
              </w:rPr>
            </w:pPr>
            <w:r>
              <w:rPr>
                <w:rFonts w:ascii="Arial" w:cs="Arial" w:eastAsia="Arial" w:hAnsi="Arial"/>
                <w:sz w:val="12"/>
                <w:szCs w:val="12"/>
                <w:color w:val="auto"/>
              </w:rPr>
              <w:t>$</w:t>
            </w:r>
          </w:p>
        </w:tc>
        <w:tc>
          <w:tcPr>
            <w:tcW w:w="1300" w:type="dxa"/>
            <w:vAlign w:val="bottom"/>
            <w:shd w:val="clear" w:color="auto" w:fill="E6E6E6"/>
          </w:tcPr>
          <w:p>
            <w:pPr>
              <w:jc w:val="right"/>
              <w:ind w:right="316"/>
              <w:spacing w:after="0"/>
              <w:rPr>
                <w:sz w:val="20"/>
                <w:szCs w:val="20"/>
                <w:color w:val="auto"/>
              </w:rPr>
            </w:pPr>
            <w:r>
              <w:rPr>
                <w:rFonts w:ascii="Arial" w:cs="Arial" w:eastAsia="Arial" w:hAnsi="Arial"/>
                <w:sz w:val="12"/>
                <w:szCs w:val="12"/>
                <w:color w:val="auto"/>
              </w:rPr>
              <w:t>2.7</w:t>
            </w:r>
          </w:p>
        </w:tc>
        <w:tc>
          <w:tcPr>
            <w:tcW w:w="760" w:type="dxa"/>
            <w:vAlign w:val="bottom"/>
            <w:shd w:val="clear" w:color="auto" w:fill="E6E6E6"/>
          </w:tcPr>
          <w:p>
            <w:pPr>
              <w:jc w:val="right"/>
              <w:ind w:right="242"/>
              <w:spacing w:after="0"/>
              <w:rPr>
                <w:sz w:val="20"/>
                <w:szCs w:val="20"/>
                <w:color w:val="auto"/>
              </w:rPr>
            </w:pPr>
            <w:r>
              <w:rPr>
                <w:rFonts w:ascii="Arial" w:cs="Arial" w:eastAsia="Arial" w:hAnsi="Arial"/>
                <w:sz w:val="12"/>
                <w:szCs w:val="12"/>
                <w:color w:val="auto"/>
              </w:rPr>
              <w:t>$</w:t>
            </w:r>
          </w:p>
        </w:tc>
        <w:tc>
          <w:tcPr>
            <w:tcW w:w="1060" w:type="dxa"/>
            <w:vAlign w:val="bottom"/>
            <w:shd w:val="clear" w:color="auto" w:fill="E6E6E6"/>
          </w:tcPr>
          <w:p>
            <w:pPr>
              <w:jc w:val="right"/>
              <w:ind w:right="156"/>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2"/>
                <w:szCs w:val="12"/>
                <w:color w:val="auto"/>
              </w:rPr>
              <w:t>2008</w:t>
            </w:r>
          </w:p>
        </w:tc>
        <w:tc>
          <w:tcPr>
            <w:tcW w:w="3100" w:type="dxa"/>
            <w:vAlign w:val="bottom"/>
          </w:tcPr>
          <w:p>
            <w:pPr>
              <w:spacing w:after="0"/>
              <w:rPr>
                <w:sz w:val="18"/>
                <w:szCs w:val="18"/>
                <w:color w:val="auto"/>
              </w:rPr>
            </w:pPr>
          </w:p>
        </w:tc>
        <w:tc>
          <w:tcPr>
            <w:tcW w:w="1460" w:type="dxa"/>
            <w:vAlign w:val="bottom"/>
          </w:tcPr>
          <w:p>
            <w:pPr>
              <w:jc w:val="right"/>
              <w:ind w:right="657"/>
              <w:spacing w:after="0"/>
              <w:rPr>
                <w:sz w:val="20"/>
                <w:szCs w:val="20"/>
                <w:color w:val="auto"/>
              </w:rPr>
            </w:pPr>
            <w:r>
              <w:rPr>
                <w:rFonts w:ascii="Arial" w:cs="Arial" w:eastAsia="Arial" w:hAnsi="Arial"/>
                <w:sz w:val="12"/>
                <w:szCs w:val="12"/>
                <w:color w:val="auto"/>
              </w:rPr>
              <w:t>10.4</w:t>
            </w:r>
          </w:p>
        </w:tc>
        <w:tc>
          <w:tcPr>
            <w:tcW w:w="320" w:type="dxa"/>
            <w:vAlign w:val="bottom"/>
          </w:tcPr>
          <w:p>
            <w:pPr>
              <w:spacing w:after="0"/>
              <w:rPr>
                <w:sz w:val="18"/>
                <w:szCs w:val="18"/>
                <w:color w:val="auto"/>
              </w:rPr>
            </w:pPr>
          </w:p>
        </w:tc>
        <w:tc>
          <w:tcPr>
            <w:tcW w:w="1300" w:type="dxa"/>
            <w:vAlign w:val="bottom"/>
          </w:tcPr>
          <w:p>
            <w:pPr>
              <w:jc w:val="right"/>
              <w:ind w:right="316"/>
              <w:spacing w:after="0"/>
              <w:rPr>
                <w:sz w:val="20"/>
                <w:szCs w:val="20"/>
                <w:color w:val="auto"/>
              </w:rPr>
            </w:pPr>
            <w:r>
              <w:rPr>
                <w:rFonts w:ascii="Arial" w:cs="Arial" w:eastAsia="Arial" w:hAnsi="Arial"/>
                <w:sz w:val="12"/>
                <w:szCs w:val="12"/>
                <w:color w:val="auto"/>
              </w:rPr>
              <w:t>2.8</w:t>
            </w:r>
          </w:p>
        </w:tc>
        <w:tc>
          <w:tcPr>
            <w:tcW w:w="760" w:type="dxa"/>
            <w:vAlign w:val="bottom"/>
          </w:tcPr>
          <w:p>
            <w:pPr>
              <w:spacing w:after="0"/>
              <w:rPr>
                <w:sz w:val="18"/>
                <w:szCs w:val="18"/>
                <w:color w:val="auto"/>
              </w:rPr>
            </w:pPr>
          </w:p>
        </w:tc>
        <w:tc>
          <w:tcPr>
            <w:tcW w:w="1060" w:type="dxa"/>
            <w:vAlign w:val="bottom"/>
          </w:tcPr>
          <w:p>
            <w:pPr>
              <w:jc w:val="right"/>
              <w:ind w:right="156"/>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10"/>
        </w:trPr>
        <w:tc>
          <w:tcPr>
            <w:tcW w:w="3440" w:type="dxa"/>
            <w:vAlign w:val="bottom"/>
            <w:shd w:val="clear" w:color="auto" w:fill="E6E6E6"/>
          </w:tcPr>
          <w:p>
            <w:pPr>
              <w:spacing w:after="0"/>
              <w:rPr>
                <w:sz w:val="20"/>
                <w:szCs w:val="20"/>
                <w:color w:val="auto"/>
              </w:rPr>
            </w:pPr>
            <w:r>
              <w:rPr>
                <w:rFonts w:ascii="Arial" w:cs="Arial" w:eastAsia="Arial" w:hAnsi="Arial"/>
                <w:sz w:val="12"/>
                <w:szCs w:val="12"/>
                <w:color w:val="auto"/>
              </w:rPr>
              <w:t>2009</w:t>
            </w:r>
          </w:p>
        </w:tc>
        <w:tc>
          <w:tcPr>
            <w:tcW w:w="3100" w:type="dxa"/>
            <w:vAlign w:val="bottom"/>
            <w:shd w:val="clear" w:color="auto" w:fill="E6E6E6"/>
          </w:tcPr>
          <w:p>
            <w:pPr>
              <w:spacing w:after="0"/>
              <w:rPr>
                <w:sz w:val="18"/>
                <w:szCs w:val="18"/>
                <w:color w:val="auto"/>
              </w:rPr>
            </w:pPr>
          </w:p>
        </w:tc>
        <w:tc>
          <w:tcPr>
            <w:tcW w:w="1460" w:type="dxa"/>
            <w:vAlign w:val="bottom"/>
            <w:shd w:val="clear" w:color="auto" w:fill="E6E6E6"/>
          </w:tcPr>
          <w:p>
            <w:pPr>
              <w:jc w:val="right"/>
              <w:ind w:right="657"/>
              <w:spacing w:after="0"/>
              <w:rPr>
                <w:sz w:val="20"/>
                <w:szCs w:val="20"/>
                <w:color w:val="auto"/>
              </w:rPr>
            </w:pPr>
            <w:r>
              <w:rPr>
                <w:rFonts w:ascii="Arial" w:cs="Arial" w:eastAsia="Arial" w:hAnsi="Arial"/>
                <w:sz w:val="12"/>
                <w:szCs w:val="12"/>
                <w:color w:val="auto"/>
              </w:rPr>
              <w:t>11.1</w:t>
            </w:r>
          </w:p>
        </w:tc>
        <w:tc>
          <w:tcPr>
            <w:tcW w:w="320" w:type="dxa"/>
            <w:vAlign w:val="bottom"/>
            <w:shd w:val="clear" w:color="auto" w:fill="E6E6E6"/>
          </w:tcPr>
          <w:p>
            <w:pPr>
              <w:spacing w:after="0"/>
              <w:rPr>
                <w:sz w:val="18"/>
                <w:szCs w:val="18"/>
                <w:color w:val="auto"/>
              </w:rPr>
            </w:pPr>
          </w:p>
        </w:tc>
        <w:tc>
          <w:tcPr>
            <w:tcW w:w="1300" w:type="dxa"/>
            <w:vAlign w:val="bottom"/>
            <w:shd w:val="clear" w:color="auto" w:fill="E6E6E6"/>
          </w:tcPr>
          <w:p>
            <w:pPr>
              <w:jc w:val="right"/>
              <w:ind w:right="316"/>
              <w:spacing w:after="0"/>
              <w:rPr>
                <w:sz w:val="20"/>
                <w:szCs w:val="20"/>
                <w:color w:val="auto"/>
              </w:rPr>
            </w:pPr>
            <w:r>
              <w:rPr>
                <w:rFonts w:ascii="Arial" w:cs="Arial" w:eastAsia="Arial" w:hAnsi="Arial"/>
                <w:sz w:val="12"/>
                <w:szCs w:val="12"/>
                <w:color w:val="auto"/>
              </w:rPr>
              <w:t>2.9</w:t>
            </w:r>
          </w:p>
        </w:tc>
        <w:tc>
          <w:tcPr>
            <w:tcW w:w="760" w:type="dxa"/>
            <w:vAlign w:val="bottom"/>
            <w:shd w:val="clear" w:color="auto" w:fill="E6E6E6"/>
          </w:tcPr>
          <w:p>
            <w:pPr>
              <w:spacing w:after="0"/>
              <w:rPr>
                <w:sz w:val="18"/>
                <w:szCs w:val="18"/>
                <w:color w:val="auto"/>
              </w:rPr>
            </w:pPr>
          </w:p>
        </w:tc>
        <w:tc>
          <w:tcPr>
            <w:tcW w:w="1060" w:type="dxa"/>
            <w:vAlign w:val="bottom"/>
            <w:shd w:val="clear" w:color="auto" w:fill="E6E6E6"/>
          </w:tcPr>
          <w:p>
            <w:pPr>
              <w:jc w:val="right"/>
              <w:ind w:right="156"/>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2"/>
                <w:szCs w:val="12"/>
                <w:color w:val="auto"/>
              </w:rPr>
              <w:t>2010</w:t>
            </w:r>
          </w:p>
        </w:tc>
        <w:tc>
          <w:tcPr>
            <w:tcW w:w="3100" w:type="dxa"/>
            <w:vAlign w:val="bottom"/>
          </w:tcPr>
          <w:p>
            <w:pPr>
              <w:spacing w:after="0"/>
              <w:rPr>
                <w:sz w:val="18"/>
                <w:szCs w:val="18"/>
                <w:color w:val="auto"/>
              </w:rPr>
            </w:pPr>
          </w:p>
        </w:tc>
        <w:tc>
          <w:tcPr>
            <w:tcW w:w="1460" w:type="dxa"/>
            <w:vAlign w:val="bottom"/>
          </w:tcPr>
          <w:p>
            <w:pPr>
              <w:jc w:val="right"/>
              <w:ind w:right="657"/>
              <w:spacing w:after="0"/>
              <w:rPr>
                <w:sz w:val="20"/>
                <w:szCs w:val="20"/>
                <w:color w:val="auto"/>
              </w:rPr>
            </w:pPr>
            <w:r>
              <w:rPr>
                <w:rFonts w:ascii="Arial" w:cs="Arial" w:eastAsia="Arial" w:hAnsi="Arial"/>
                <w:sz w:val="12"/>
                <w:szCs w:val="12"/>
                <w:color w:val="auto"/>
              </w:rPr>
              <w:t>10.7</w:t>
            </w:r>
          </w:p>
        </w:tc>
        <w:tc>
          <w:tcPr>
            <w:tcW w:w="320" w:type="dxa"/>
            <w:vAlign w:val="bottom"/>
          </w:tcPr>
          <w:p>
            <w:pPr>
              <w:spacing w:after="0"/>
              <w:rPr>
                <w:sz w:val="18"/>
                <w:szCs w:val="18"/>
                <w:color w:val="auto"/>
              </w:rPr>
            </w:pPr>
          </w:p>
        </w:tc>
        <w:tc>
          <w:tcPr>
            <w:tcW w:w="1300" w:type="dxa"/>
            <w:vAlign w:val="bottom"/>
          </w:tcPr>
          <w:p>
            <w:pPr>
              <w:jc w:val="right"/>
              <w:ind w:right="316"/>
              <w:spacing w:after="0"/>
              <w:rPr>
                <w:sz w:val="20"/>
                <w:szCs w:val="20"/>
                <w:color w:val="auto"/>
              </w:rPr>
            </w:pPr>
            <w:r>
              <w:rPr>
                <w:rFonts w:ascii="Arial" w:cs="Arial" w:eastAsia="Arial" w:hAnsi="Arial"/>
                <w:sz w:val="12"/>
                <w:szCs w:val="12"/>
                <w:color w:val="auto"/>
              </w:rPr>
              <w:t>3.0</w:t>
            </w:r>
          </w:p>
        </w:tc>
        <w:tc>
          <w:tcPr>
            <w:tcW w:w="760" w:type="dxa"/>
            <w:vAlign w:val="bottom"/>
          </w:tcPr>
          <w:p>
            <w:pPr>
              <w:spacing w:after="0"/>
              <w:rPr>
                <w:sz w:val="18"/>
                <w:szCs w:val="18"/>
                <w:color w:val="auto"/>
              </w:rPr>
            </w:pPr>
          </w:p>
        </w:tc>
        <w:tc>
          <w:tcPr>
            <w:tcW w:w="1060" w:type="dxa"/>
            <w:vAlign w:val="bottom"/>
          </w:tcPr>
          <w:p>
            <w:pPr>
              <w:jc w:val="right"/>
              <w:ind w:right="156"/>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210"/>
        </w:trPr>
        <w:tc>
          <w:tcPr>
            <w:tcW w:w="3440" w:type="dxa"/>
            <w:vAlign w:val="bottom"/>
            <w:shd w:val="clear" w:color="auto" w:fill="E6E6E6"/>
          </w:tcPr>
          <w:p>
            <w:pPr>
              <w:spacing w:after="0"/>
              <w:rPr>
                <w:sz w:val="20"/>
                <w:szCs w:val="20"/>
                <w:color w:val="auto"/>
              </w:rPr>
            </w:pPr>
            <w:r>
              <w:rPr>
                <w:rFonts w:ascii="Arial" w:cs="Arial" w:eastAsia="Arial" w:hAnsi="Arial"/>
                <w:sz w:val="12"/>
                <w:szCs w:val="12"/>
                <w:color w:val="auto"/>
              </w:rPr>
              <w:t>2011</w:t>
            </w:r>
          </w:p>
        </w:tc>
        <w:tc>
          <w:tcPr>
            <w:tcW w:w="3100" w:type="dxa"/>
            <w:vAlign w:val="bottom"/>
            <w:shd w:val="clear" w:color="auto" w:fill="E6E6E6"/>
          </w:tcPr>
          <w:p>
            <w:pPr>
              <w:spacing w:after="0"/>
              <w:rPr>
                <w:sz w:val="18"/>
                <w:szCs w:val="18"/>
                <w:color w:val="auto"/>
              </w:rPr>
            </w:pPr>
          </w:p>
        </w:tc>
        <w:tc>
          <w:tcPr>
            <w:tcW w:w="1460" w:type="dxa"/>
            <w:vAlign w:val="bottom"/>
            <w:shd w:val="clear" w:color="auto" w:fill="E6E6E6"/>
          </w:tcPr>
          <w:p>
            <w:pPr>
              <w:jc w:val="right"/>
              <w:ind w:right="657"/>
              <w:spacing w:after="0"/>
              <w:rPr>
                <w:sz w:val="20"/>
                <w:szCs w:val="20"/>
                <w:color w:val="auto"/>
              </w:rPr>
            </w:pPr>
            <w:r>
              <w:rPr>
                <w:rFonts w:ascii="Arial" w:cs="Arial" w:eastAsia="Arial" w:hAnsi="Arial"/>
                <w:sz w:val="12"/>
                <w:szCs w:val="12"/>
                <w:color w:val="auto"/>
              </w:rPr>
              <w:t>10.5</w:t>
            </w:r>
          </w:p>
        </w:tc>
        <w:tc>
          <w:tcPr>
            <w:tcW w:w="320" w:type="dxa"/>
            <w:vAlign w:val="bottom"/>
            <w:shd w:val="clear" w:color="auto" w:fill="E6E6E6"/>
          </w:tcPr>
          <w:p>
            <w:pPr>
              <w:spacing w:after="0"/>
              <w:rPr>
                <w:sz w:val="18"/>
                <w:szCs w:val="18"/>
                <w:color w:val="auto"/>
              </w:rPr>
            </w:pPr>
          </w:p>
        </w:tc>
        <w:tc>
          <w:tcPr>
            <w:tcW w:w="1300" w:type="dxa"/>
            <w:vAlign w:val="bottom"/>
            <w:shd w:val="clear" w:color="auto" w:fill="E6E6E6"/>
          </w:tcPr>
          <w:p>
            <w:pPr>
              <w:jc w:val="right"/>
              <w:ind w:right="316"/>
              <w:spacing w:after="0"/>
              <w:rPr>
                <w:sz w:val="20"/>
                <w:szCs w:val="20"/>
                <w:color w:val="auto"/>
              </w:rPr>
            </w:pPr>
            <w:r>
              <w:rPr>
                <w:rFonts w:ascii="Arial" w:cs="Arial" w:eastAsia="Arial" w:hAnsi="Arial"/>
                <w:sz w:val="12"/>
                <w:szCs w:val="12"/>
                <w:color w:val="auto"/>
              </w:rPr>
              <w:t>3.1</w:t>
            </w:r>
          </w:p>
        </w:tc>
        <w:tc>
          <w:tcPr>
            <w:tcW w:w="760" w:type="dxa"/>
            <w:vAlign w:val="bottom"/>
            <w:shd w:val="clear" w:color="auto" w:fill="E6E6E6"/>
          </w:tcPr>
          <w:p>
            <w:pPr>
              <w:spacing w:after="0"/>
              <w:rPr>
                <w:sz w:val="18"/>
                <w:szCs w:val="18"/>
                <w:color w:val="auto"/>
              </w:rPr>
            </w:pPr>
          </w:p>
        </w:tc>
        <w:tc>
          <w:tcPr>
            <w:tcW w:w="1060" w:type="dxa"/>
            <w:vAlign w:val="bottom"/>
            <w:shd w:val="clear" w:color="auto" w:fill="E6E6E6"/>
          </w:tcPr>
          <w:p>
            <w:pPr>
              <w:jc w:val="right"/>
              <w:ind w:right="156"/>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220"/>
        </w:trPr>
        <w:tc>
          <w:tcPr>
            <w:tcW w:w="3440" w:type="dxa"/>
            <w:vAlign w:val="bottom"/>
          </w:tcPr>
          <w:p>
            <w:pPr>
              <w:spacing w:after="0"/>
              <w:rPr>
                <w:sz w:val="20"/>
                <w:szCs w:val="20"/>
                <w:color w:val="auto"/>
              </w:rPr>
            </w:pPr>
            <w:r>
              <w:rPr>
                <w:rFonts w:ascii="Arial" w:cs="Arial" w:eastAsia="Arial" w:hAnsi="Arial"/>
                <w:sz w:val="12"/>
                <w:szCs w:val="12"/>
                <w:color w:val="auto"/>
              </w:rPr>
              <w:t>2012-2016</w:t>
            </w:r>
          </w:p>
        </w:tc>
        <w:tc>
          <w:tcPr>
            <w:tcW w:w="3100" w:type="dxa"/>
            <w:vAlign w:val="bottom"/>
          </w:tcPr>
          <w:p>
            <w:pPr>
              <w:spacing w:after="0"/>
              <w:rPr>
                <w:sz w:val="19"/>
                <w:szCs w:val="19"/>
                <w:color w:val="auto"/>
              </w:rPr>
            </w:pPr>
          </w:p>
        </w:tc>
        <w:tc>
          <w:tcPr>
            <w:tcW w:w="1460" w:type="dxa"/>
            <w:vAlign w:val="bottom"/>
          </w:tcPr>
          <w:p>
            <w:pPr>
              <w:jc w:val="right"/>
              <w:ind w:right="657"/>
              <w:spacing w:after="0"/>
              <w:rPr>
                <w:sz w:val="20"/>
                <w:szCs w:val="20"/>
                <w:color w:val="auto"/>
              </w:rPr>
            </w:pPr>
            <w:r>
              <w:rPr>
                <w:rFonts w:ascii="Arial" w:cs="Arial" w:eastAsia="Arial" w:hAnsi="Arial"/>
                <w:sz w:val="12"/>
                <w:szCs w:val="12"/>
                <w:color w:val="auto"/>
              </w:rPr>
              <w:t>54.8</w:t>
            </w:r>
          </w:p>
        </w:tc>
        <w:tc>
          <w:tcPr>
            <w:tcW w:w="320" w:type="dxa"/>
            <w:vAlign w:val="bottom"/>
          </w:tcPr>
          <w:p>
            <w:pPr>
              <w:spacing w:after="0"/>
              <w:rPr>
                <w:sz w:val="19"/>
                <w:szCs w:val="19"/>
                <w:color w:val="auto"/>
              </w:rPr>
            </w:pPr>
          </w:p>
        </w:tc>
        <w:tc>
          <w:tcPr>
            <w:tcW w:w="1300" w:type="dxa"/>
            <w:vAlign w:val="bottom"/>
          </w:tcPr>
          <w:p>
            <w:pPr>
              <w:jc w:val="right"/>
              <w:ind w:right="316"/>
              <w:spacing w:after="0"/>
              <w:rPr>
                <w:sz w:val="20"/>
                <w:szCs w:val="20"/>
                <w:color w:val="auto"/>
              </w:rPr>
            </w:pPr>
            <w:r>
              <w:rPr>
                <w:rFonts w:ascii="Arial" w:cs="Arial" w:eastAsia="Arial" w:hAnsi="Arial"/>
                <w:sz w:val="12"/>
                <w:szCs w:val="12"/>
                <w:color w:val="auto"/>
              </w:rPr>
              <w:t>15.7</w:t>
            </w:r>
          </w:p>
        </w:tc>
        <w:tc>
          <w:tcPr>
            <w:tcW w:w="76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83"/>
        </w:trPr>
        <w:tc>
          <w:tcPr>
            <w:tcW w:w="3440" w:type="dxa"/>
            <w:vAlign w:val="bottom"/>
            <w:tcBorders>
              <w:bottom w:val="single" w:sz="8" w:color="808080"/>
            </w:tcBorders>
          </w:tcPr>
          <w:p>
            <w:pPr>
              <w:spacing w:after="0"/>
              <w:rPr>
                <w:sz w:val="7"/>
                <w:szCs w:val="7"/>
                <w:color w:val="auto"/>
              </w:rPr>
            </w:pPr>
          </w:p>
        </w:tc>
        <w:tc>
          <w:tcPr>
            <w:tcW w:w="31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Assumed health care cost trend rates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210820</wp:posOffset>
            </wp:positionV>
            <wp:extent cx="726567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60"/>
          </w:cols>
          <w:pgMar w:left="220" w:top="124"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Health care cost trend rate assumed for</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2"/>
          <w:szCs w:val="12"/>
          <w:color w:val="auto"/>
        </w:rPr>
        <w:t>the next fiscal year</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Rate to which the cost trend is assumed</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 decline (the ultimate trend rate)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0"/>
          <w:szCs w:val="10"/>
          <w:color w:val="auto"/>
        </w:rPr>
        <w:t>Year that the rate reaches the ultimate trend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jc w:val="right"/>
              <w:ind w:right="817"/>
              <w:spacing w:after="0"/>
              <w:rPr>
                <w:sz w:val="20"/>
                <w:szCs w:val="20"/>
                <w:color w:val="auto"/>
              </w:rPr>
            </w:pPr>
            <w:r>
              <w:rPr>
                <w:rFonts w:ascii="Arial" w:cs="Arial" w:eastAsia="Arial" w:hAnsi="Arial"/>
                <w:sz w:val="15"/>
                <w:szCs w:val="15"/>
                <w:b w:val="1"/>
                <w:bCs w:val="1"/>
                <w:color w:val="auto"/>
              </w:rPr>
              <w:t>2006</w:t>
            </w:r>
          </w:p>
        </w:tc>
        <w:tc>
          <w:tcPr>
            <w:tcW w:w="1320" w:type="dxa"/>
            <w:vAlign w:val="bottom"/>
          </w:tcPr>
          <w:p>
            <w:pPr>
              <w:jc w:val="right"/>
              <w:ind w:right="157"/>
              <w:spacing w:after="0"/>
              <w:rPr>
                <w:sz w:val="20"/>
                <w:szCs w:val="20"/>
                <w:color w:val="auto"/>
              </w:rPr>
            </w:pPr>
            <w:r>
              <w:rPr>
                <w:rFonts w:ascii="Arial" w:cs="Arial" w:eastAsia="Arial" w:hAnsi="Arial"/>
                <w:sz w:val="15"/>
                <w:szCs w:val="15"/>
                <w:b w:val="1"/>
                <w:bCs w:val="1"/>
                <w:color w:val="auto"/>
              </w:rPr>
              <w:t>2005</w:t>
            </w:r>
          </w:p>
        </w:tc>
      </w:tr>
      <w:tr>
        <w:trPr>
          <w:trHeight w:val="201"/>
        </w:trPr>
        <w:tc>
          <w:tcPr>
            <w:tcW w:w="2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28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r>
      <w:tr>
        <w:trPr>
          <w:trHeight w:val="355"/>
        </w:trPr>
        <w:tc>
          <w:tcPr>
            <w:tcW w:w="2800" w:type="dxa"/>
            <w:vAlign w:val="bottom"/>
          </w:tcPr>
          <w:p>
            <w:pPr>
              <w:jc w:val="right"/>
              <w:ind w:right="717"/>
              <w:spacing w:after="0"/>
              <w:rPr>
                <w:sz w:val="20"/>
                <w:szCs w:val="20"/>
                <w:color w:val="auto"/>
              </w:rPr>
            </w:pPr>
            <w:r>
              <w:rPr>
                <w:rFonts w:ascii="Arial" w:cs="Arial" w:eastAsia="Arial" w:hAnsi="Arial"/>
                <w:sz w:val="12"/>
                <w:szCs w:val="12"/>
                <w:color w:val="auto"/>
              </w:rPr>
              <w:t>9.0</w:t>
            </w:r>
            <w:r>
              <w:rPr>
                <w:rFonts w:ascii="Arial" w:cs="Arial" w:eastAsia="Arial" w:hAnsi="Arial"/>
                <w:sz w:val="23"/>
                <w:szCs w:val="23"/>
                <w:color w:val="auto"/>
                <w:vertAlign w:val="superscript"/>
              </w:rPr>
              <w:t>%</w:t>
            </w:r>
          </w:p>
        </w:tc>
        <w:tc>
          <w:tcPr>
            <w:tcW w:w="1320" w:type="dxa"/>
            <w:vAlign w:val="bottom"/>
          </w:tcPr>
          <w:p>
            <w:pPr>
              <w:jc w:val="right"/>
              <w:ind w:right="57"/>
              <w:spacing w:after="0"/>
              <w:rPr>
                <w:sz w:val="20"/>
                <w:szCs w:val="20"/>
                <w:color w:val="auto"/>
              </w:rPr>
            </w:pPr>
            <w:r>
              <w:rPr>
                <w:rFonts w:ascii="Arial" w:cs="Arial" w:eastAsia="Arial" w:hAnsi="Arial"/>
                <w:sz w:val="12"/>
                <w:szCs w:val="12"/>
                <w:color w:val="auto"/>
              </w:rPr>
              <w:t>11.0</w:t>
            </w:r>
            <w:r>
              <w:rPr>
                <w:rFonts w:ascii="Arial" w:cs="Arial" w:eastAsia="Arial" w:hAnsi="Arial"/>
                <w:sz w:val="23"/>
                <w:szCs w:val="23"/>
                <w:color w:val="auto"/>
                <w:vertAlign w:val="superscript"/>
              </w:rPr>
              <w:t>%</w:t>
            </w:r>
          </w:p>
        </w:tc>
      </w:tr>
      <w:tr>
        <w:trPr>
          <w:trHeight w:val="355"/>
        </w:trPr>
        <w:tc>
          <w:tcPr>
            <w:tcW w:w="2800" w:type="dxa"/>
            <w:vAlign w:val="bottom"/>
          </w:tcPr>
          <w:p>
            <w:pPr>
              <w:jc w:val="right"/>
              <w:ind w:right="717"/>
              <w:spacing w:after="0"/>
              <w:rPr>
                <w:sz w:val="20"/>
                <w:szCs w:val="20"/>
                <w:color w:val="auto"/>
              </w:rPr>
            </w:pPr>
            <w:r>
              <w:rPr>
                <w:rFonts w:ascii="Arial" w:cs="Arial" w:eastAsia="Arial" w:hAnsi="Arial"/>
                <w:sz w:val="12"/>
                <w:szCs w:val="12"/>
                <w:color w:val="auto"/>
              </w:rPr>
              <w:t>5.0</w:t>
            </w:r>
            <w:r>
              <w:rPr>
                <w:rFonts w:ascii="Arial" w:cs="Arial" w:eastAsia="Arial" w:hAnsi="Arial"/>
                <w:sz w:val="23"/>
                <w:szCs w:val="23"/>
                <w:color w:val="auto"/>
                <w:vertAlign w:val="superscript"/>
              </w:rPr>
              <w:t>%</w:t>
            </w:r>
          </w:p>
        </w:tc>
        <w:tc>
          <w:tcPr>
            <w:tcW w:w="1320" w:type="dxa"/>
            <w:vAlign w:val="bottom"/>
          </w:tcPr>
          <w:p>
            <w:pPr>
              <w:jc w:val="right"/>
              <w:ind w:right="57"/>
              <w:spacing w:after="0"/>
              <w:rPr>
                <w:sz w:val="20"/>
                <w:szCs w:val="20"/>
                <w:color w:val="auto"/>
              </w:rPr>
            </w:pPr>
            <w:r>
              <w:rPr>
                <w:rFonts w:ascii="Arial" w:cs="Arial" w:eastAsia="Arial" w:hAnsi="Arial"/>
                <w:sz w:val="12"/>
                <w:szCs w:val="12"/>
                <w:color w:val="auto"/>
              </w:rPr>
              <w:t>5.0</w:t>
            </w:r>
            <w:r>
              <w:rPr>
                <w:rFonts w:ascii="Arial" w:cs="Arial" w:eastAsia="Arial" w:hAnsi="Arial"/>
                <w:sz w:val="23"/>
                <w:szCs w:val="23"/>
                <w:color w:val="auto"/>
                <w:vertAlign w:val="superscript"/>
              </w:rPr>
              <w:t>%</w:t>
            </w:r>
          </w:p>
        </w:tc>
      </w:tr>
      <w:tr>
        <w:trPr>
          <w:trHeight w:val="139"/>
        </w:trPr>
        <w:tc>
          <w:tcPr>
            <w:tcW w:w="2800" w:type="dxa"/>
            <w:vAlign w:val="bottom"/>
          </w:tcPr>
          <w:p>
            <w:pPr>
              <w:jc w:val="right"/>
              <w:ind w:right="817"/>
              <w:spacing w:after="0"/>
              <w:rPr>
                <w:sz w:val="20"/>
                <w:szCs w:val="20"/>
                <w:color w:val="auto"/>
              </w:rPr>
            </w:pPr>
            <w:r>
              <w:rPr>
                <w:rFonts w:ascii="Arial" w:cs="Arial" w:eastAsia="Arial" w:hAnsi="Arial"/>
                <w:sz w:val="12"/>
                <w:szCs w:val="12"/>
                <w:color w:val="auto"/>
              </w:rPr>
              <w:t>2012</w:t>
            </w:r>
          </w:p>
        </w:tc>
        <w:tc>
          <w:tcPr>
            <w:tcW w:w="1320" w:type="dxa"/>
            <w:vAlign w:val="bottom"/>
          </w:tcPr>
          <w:p>
            <w:pPr>
              <w:jc w:val="right"/>
              <w:ind w:right="157"/>
              <w:spacing w:after="0"/>
              <w:rPr>
                <w:sz w:val="20"/>
                <w:szCs w:val="20"/>
                <w:color w:val="auto"/>
              </w:rPr>
            </w:pPr>
            <w:r>
              <w:rPr>
                <w:rFonts w:ascii="Arial" w:cs="Arial" w:eastAsia="Arial" w:hAnsi="Arial"/>
                <w:sz w:val="12"/>
                <w:szCs w:val="12"/>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-738505</wp:posOffset>
            </wp:positionV>
            <wp:extent cx="726567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-671830</wp:posOffset>
            </wp:positionV>
            <wp:extent cx="7265670" cy="2660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5670" cy="26606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-139065</wp:posOffset>
            </wp:positionV>
            <wp:extent cx="7265670" cy="133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5670" cy="13335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52705</wp:posOffset>
            </wp:positionV>
            <wp:extent cx="726567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4120"/>
          </w:cols>
          <w:pgMar w:left="220" w:top="124" w:right="219" w:bottom="0" w:gutter="0" w:footer="0" w:header="0"/>
          <w:type w:val="continuous"/>
        </w:sectPr>
      </w:pPr>
    </w:p>
    <w:p>
      <w:pPr>
        <w:spacing w:after="0" w:line="376" w:lineRule="exact"/>
        <w:rPr>
          <w:sz w:val="20"/>
          <w:szCs w:val="20"/>
          <w:color w:val="auto"/>
        </w:rPr>
      </w:pPr>
    </w:p>
    <w:p>
      <w:pPr>
        <w:ind w:left="20" w:right="20"/>
        <w:spacing w:after="0" w:line="285" w:lineRule="auto"/>
        <w:rPr>
          <w:sz w:val="20"/>
          <w:szCs w:val="20"/>
          <w:color w:val="auto"/>
        </w:rPr>
      </w:pPr>
      <w:r>
        <w:rPr>
          <w:rFonts w:ascii="Arial" w:cs="Arial" w:eastAsia="Arial" w:hAnsi="Arial"/>
          <w:sz w:val="15"/>
          <w:szCs w:val="15"/>
          <w:color w:val="auto"/>
        </w:rPr>
        <w:t>Assumed health care cost trend rates have a significant effect on the amounts reported for the Company’s health care plans.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99695</wp:posOffset>
            </wp:positionV>
            <wp:extent cx="726567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100" w:type="dxa"/>
            <w:vAlign w:val="bottom"/>
          </w:tcPr>
          <w:p>
            <w:pPr>
              <w:jc w:val="right"/>
              <w:ind w:right="276"/>
              <w:spacing w:after="0"/>
              <w:rPr>
                <w:sz w:val="20"/>
                <w:szCs w:val="20"/>
                <w:color w:val="auto"/>
              </w:rPr>
            </w:pPr>
            <w:r>
              <w:rPr>
                <w:rFonts w:ascii="Arial" w:cs="Arial" w:eastAsia="Arial" w:hAnsi="Arial"/>
                <w:sz w:val="15"/>
                <w:szCs w:val="15"/>
                <w:b w:val="1"/>
                <w:bCs w:val="1"/>
                <w:color w:val="auto"/>
              </w:rPr>
              <w:t>2006</w:t>
            </w:r>
          </w:p>
        </w:tc>
        <w:tc>
          <w:tcPr>
            <w:tcW w:w="840" w:type="dxa"/>
            <w:vAlign w:val="bottom"/>
          </w:tcPr>
          <w:p>
            <w:pPr>
              <w:spacing w:after="0"/>
              <w:rPr>
                <w:sz w:val="16"/>
                <w:szCs w:val="16"/>
                <w:color w:val="auto"/>
              </w:rPr>
            </w:pPr>
          </w:p>
        </w:tc>
        <w:tc>
          <w:tcPr>
            <w:tcW w:w="1020" w:type="dxa"/>
            <w:vAlign w:val="bottom"/>
          </w:tcPr>
          <w:p>
            <w:pPr>
              <w:jc w:val="right"/>
              <w:ind w:right="216"/>
              <w:spacing w:after="0"/>
              <w:rPr>
                <w:sz w:val="20"/>
                <w:szCs w:val="20"/>
                <w:color w:val="auto"/>
              </w:rPr>
            </w:pPr>
            <w:r>
              <w:rPr>
                <w:rFonts w:ascii="Arial" w:cs="Arial" w:eastAsia="Arial" w:hAnsi="Arial"/>
                <w:sz w:val="15"/>
                <w:szCs w:val="15"/>
                <w:b w:val="1"/>
                <w:bCs w:val="1"/>
                <w:color w:val="auto"/>
              </w:rPr>
              <w:t>2005</w:t>
            </w:r>
          </w:p>
        </w:tc>
      </w:tr>
      <w:tr>
        <w:trPr>
          <w:trHeight w:val="96"/>
        </w:trPr>
        <w:tc>
          <w:tcPr>
            <w:tcW w:w="482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85"/>
        </w:trPr>
        <w:tc>
          <w:tcPr>
            <w:tcW w:w="48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10"/>
        </w:trPr>
        <w:tc>
          <w:tcPr>
            <w:tcW w:w="4820" w:type="dxa"/>
            <w:vAlign w:val="bottom"/>
            <w:shd w:val="clear" w:color="auto" w:fill="E6E6E6"/>
          </w:tcPr>
          <w:p>
            <w:pPr>
              <w:spacing w:after="0"/>
              <w:rPr>
                <w:sz w:val="20"/>
                <w:szCs w:val="20"/>
                <w:color w:val="auto"/>
              </w:rPr>
            </w:pPr>
            <w:r>
              <w:rPr>
                <w:rFonts w:ascii="Arial" w:cs="Arial" w:eastAsia="Arial" w:hAnsi="Arial"/>
                <w:sz w:val="12"/>
                <w:szCs w:val="12"/>
                <w:color w:val="auto"/>
              </w:rPr>
              <w:t>Total service and interest cost</w:t>
            </w:r>
          </w:p>
        </w:tc>
        <w:tc>
          <w:tcPr>
            <w:tcW w:w="3660" w:type="dxa"/>
            <w:vAlign w:val="bottom"/>
            <w:shd w:val="clear" w:color="auto" w:fill="E6E6E6"/>
          </w:tcPr>
          <w:p>
            <w:pPr>
              <w:jc w:val="right"/>
              <w:ind w:right="402"/>
              <w:spacing w:after="0"/>
              <w:rPr>
                <w:sz w:val="20"/>
                <w:szCs w:val="20"/>
                <w:color w:val="auto"/>
              </w:rPr>
            </w:pPr>
            <w:r>
              <w:rPr>
                <w:rFonts w:ascii="Arial" w:cs="Arial" w:eastAsia="Arial" w:hAnsi="Arial"/>
                <w:sz w:val="12"/>
                <w:szCs w:val="12"/>
                <w:color w:val="auto"/>
              </w:rPr>
              <w:t>$</w:t>
            </w:r>
          </w:p>
        </w:tc>
        <w:tc>
          <w:tcPr>
            <w:tcW w:w="1100" w:type="dxa"/>
            <w:vAlign w:val="bottom"/>
            <w:shd w:val="clear" w:color="auto" w:fill="E6E6E6"/>
          </w:tcPr>
          <w:p>
            <w:pPr>
              <w:jc w:val="right"/>
              <w:ind w:right="276"/>
              <w:spacing w:after="0"/>
              <w:rPr>
                <w:sz w:val="20"/>
                <w:szCs w:val="20"/>
                <w:color w:val="auto"/>
              </w:rPr>
            </w:pPr>
            <w:r>
              <w:rPr>
                <w:rFonts w:ascii="Arial" w:cs="Arial" w:eastAsia="Arial" w:hAnsi="Arial"/>
                <w:sz w:val="12"/>
                <w:szCs w:val="12"/>
                <w:color w:val="auto"/>
              </w:rPr>
              <w:t>0.2</w:t>
            </w:r>
          </w:p>
        </w:tc>
        <w:tc>
          <w:tcPr>
            <w:tcW w:w="840" w:type="dxa"/>
            <w:vAlign w:val="bottom"/>
            <w:shd w:val="clear" w:color="auto" w:fill="E6E6E6"/>
          </w:tcPr>
          <w:p>
            <w:pPr>
              <w:jc w:val="right"/>
              <w:ind w:right="402"/>
              <w:spacing w:after="0"/>
              <w:rPr>
                <w:sz w:val="20"/>
                <w:szCs w:val="20"/>
                <w:color w:val="auto"/>
              </w:rPr>
            </w:pPr>
            <w:r>
              <w:rPr>
                <w:rFonts w:ascii="Arial" w:cs="Arial" w:eastAsia="Arial" w:hAnsi="Arial"/>
                <w:sz w:val="12"/>
                <w:szCs w:val="12"/>
                <w:color w:val="auto"/>
              </w:rPr>
              <w:t>$</w:t>
            </w:r>
          </w:p>
        </w:tc>
        <w:tc>
          <w:tcPr>
            <w:tcW w:w="1020" w:type="dxa"/>
            <w:vAlign w:val="bottom"/>
            <w:shd w:val="clear" w:color="auto" w:fill="E6E6E6"/>
          </w:tcPr>
          <w:p>
            <w:pPr>
              <w:jc w:val="right"/>
              <w:ind w:right="216"/>
              <w:spacing w:after="0"/>
              <w:rPr>
                <w:sz w:val="20"/>
                <w:szCs w:val="20"/>
                <w:color w:val="auto"/>
              </w:rPr>
            </w:pPr>
            <w:r>
              <w:rPr>
                <w:rFonts w:ascii="Arial" w:cs="Arial" w:eastAsia="Arial" w:hAnsi="Arial"/>
                <w:sz w:val="12"/>
                <w:szCs w:val="12"/>
                <w:color w:val="auto"/>
              </w:rPr>
              <w:t>0.2</w:t>
            </w:r>
          </w:p>
        </w:tc>
      </w:tr>
      <w:tr>
        <w:trPr>
          <w:trHeight w:val="197"/>
        </w:trPr>
        <w:tc>
          <w:tcPr>
            <w:tcW w:w="4820" w:type="dxa"/>
            <w:vAlign w:val="bottom"/>
          </w:tcPr>
          <w:p>
            <w:pPr>
              <w:spacing w:after="0"/>
              <w:rPr>
                <w:sz w:val="20"/>
                <w:szCs w:val="20"/>
                <w:color w:val="auto"/>
              </w:rPr>
            </w:pPr>
            <w:r>
              <w:rPr>
                <w:rFonts w:ascii="Arial" w:cs="Arial" w:eastAsia="Arial" w:hAnsi="Arial"/>
                <w:sz w:val="12"/>
                <w:szCs w:val="12"/>
                <w:color w:val="auto"/>
              </w:rPr>
              <w:t>Post-retirement benefit obligation</w:t>
            </w:r>
          </w:p>
        </w:tc>
        <w:tc>
          <w:tcPr>
            <w:tcW w:w="3660" w:type="dxa"/>
            <w:vAlign w:val="bottom"/>
          </w:tcPr>
          <w:p>
            <w:pPr>
              <w:spacing w:after="0"/>
              <w:rPr>
                <w:sz w:val="17"/>
                <w:szCs w:val="17"/>
                <w:color w:val="auto"/>
              </w:rPr>
            </w:pPr>
          </w:p>
        </w:tc>
        <w:tc>
          <w:tcPr>
            <w:tcW w:w="1100" w:type="dxa"/>
            <w:vAlign w:val="bottom"/>
          </w:tcPr>
          <w:p>
            <w:pPr>
              <w:jc w:val="right"/>
              <w:ind w:right="276"/>
              <w:spacing w:after="0"/>
              <w:rPr>
                <w:sz w:val="20"/>
                <w:szCs w:val="20"/>
                <w:color w:val="auto"/>
              </w:rPr>
            </w:pPr>
            <w:r>
              <w:rPr>
                <w:rFonts w:ascii="Arial" w:cs="Arial" w:eastAsia="Arial" w:hAnsi="Arial"/>
                <w:sz w:val="12"/>
                <w:szCs w:val="12"/>
                <w:color w:val="auto"/>
              </w:rPr>
              <w:t>2.5</w:t>
            </w:r>
          </w:p>
        </w:tc>
        <w:tc>
          <w:tcPr>
            <w:tcW w:w="840" w:type="dxa"/>
            <w:vAlign w:val="bottom"/>
          </w:tcPr>
          <w:p>
            <w:pPr>
              <w:spacing w:after="0"/>
              <w:rPr>
                <w:sz w:val="17"/>
                <w:szCs w:val="17"/>
                <w:color w:val="auto"/>
              </w:rPr>
            </w:pPr>
          </w:p>
        </w:tc>
        <w:tc>
          <w:tcPr>
            <w:tcW w:w="1020" w:type="dxa"/>
            <w:vAlign w:val="bottom"/>
          </w:tcPr>
          <w:p>
            <w:pPr>
              <w:jc w:val="right"/>
              <w:ind w:right="216"/>
              <w:spacing w:after="0"/>
              <w:rPr>
                <w:sz w:val="20"/>
                <w:szCs w:val="20"/>
                <w:color w:val="auto"/>
              </w:rPr>
            </w:pPr>
            <w:r>
              <w:rPr>
                <w:rFonts w:ascii="Arial" w:cs="Arial" w:eastAsia="Arial" w:hAnsi="Arial"/>
                <w:sz w:val="12"/>
                <w:szCs w:val="12"/>
                <w:color w:val="auto"/>
              </w:rPr>
              <w:t>3.1</w:t>
            </w:r>
          </w:p>
        </w:tc>
      </w:tr>
      <w:tr>
        <w:trPr>
          <w:trHeight w:val="106"/>
        </w:trPr>
        <w:tc>
          <w:tcPr>
            <w:tcW w:w="482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Defined Contribution Plans</w:t>
      </w:r>
    </w:p>
    <w:p>
      <w:pPr>
        <w:spacing w:after="0" w:line="22" w:lineRule="exact"/>
        <w:rPr>
          <w:sz w:val="20"/>
          <w:szCs w:val="20"/>
          <w:color w:val="auto"/>
        </w:rPr>
      </w:pPr>
    </w:p>
    <w:p>
      <w:pPr>
        <w:ind w:left="20" w:right="160"/>
        <w:spacing w:after="0" w:line="263" w:lineRule="auto"/>
        <w:rPr>
          <w:sz w:val="20"/>
          <w:szCs w:val="20"/>
          <w:color w:val="auto"/>
        </w:rPr>
      </w:pPr>
      <w:r>
        <w:rPr>
          <w:rFonts w:ascii="Arial" w:cs="Arial" w:eastAsia="Arial" w:hAnsi="Arial"/>
          <w:sz w:val="15"/>
          <w:szCs w:val="15"/>
          <w:color w:val="auto"/>
        </w:rPr>
        <w:t>The Company also provides defined contribution plans for certain eligible employees. In the United States, the Company sponsors a 401(k) retirement plan and has contributed $6.8, $6.2 and $5.9 for fiscal 2006, 2005 and 2004, respectively. For its internationally-based employees, the contributions under these plans totaled $6.1, $4.6 and $2.3 for fiscal 2006, 2005 and 2004, respectively.</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10. EARNINGS PER SHARE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sets forth the computation of basic and diluted earnings per share for the fiscal years ended May 31: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53340</wp:posOffset>
            </wp:positionV>
            <wp:extent cx="726567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1" w:lineRule="exact"/>
        <w:rPr>
          <w:sz w:val="20"/>
          <w:szCs w:val="20"/>
          <w:color w:val="auto"/>
        </w:rPr>
      </w:pPr>
    </w:p>
    <w:p>
      <w:pPr>
        <w:ind w:left="7700"/>
        <w:spacing w:after="0"/>
        <w:tabs>
          <w:tab w:leader="none" w:pos="9260" w:val="left"/>
          <w:tab w:leader="none" w:pos="11080" w:val="left"/>
        </w:tabs>
        <w:rPr>
          <w:sz w:val="20"/>
          <w:szCs w:val="20"/>
          <w:color w:val="auto"/>
        </w:rPr>
      </w:pPr>
      <w:r>
        <w:rPr>
          <w:rFonts w:ascii="Arial" w:cs="Arial" w:eastAsia="Arial" w:hAnsi="Arial"/>
          <w:sz w:val="15"/>
          <w:szCs w:val="15"/>
          <w:b w:val="1"/>
          <w:bCs w:val="1"/>
          <w:color w:val="auto"/>
        </w:rPr>
        <w:t>2006</w:t>
      </w:r>
      <w:r>
        <w:rPr>
          <w:sz w:val="20"/>
          <w:szCs w:val="20"/>
          <w:color w:val="auto"/>
        </w:rPr>
        <w:tab/>
      </w:r>
      <w:r>
        <w:rPr>
          <w:rFonts w:ascii="Arial" w:cs="Arial" w:eastAsia="Arial" w:hAnsi="Arial"/>
          <w:sz w:val="15"/>
          <w:szCs w:val="15"/>
          <w:b w:val="1"/>
          <w:bCs w:val="1"/>
          <w:color w:val="auto"/>
        </w:rPr>
        <w:t>2005</w:t>
      </w:r>
      <w:r>
        <w:rPr>
          <w:sz w:val="20"/>
          <w:szCs w:val="20"/>
          <w:color w:val="auto"/>
        </w:rPr>
        <w:tab/>
      </w:r>
      <w:r>
        <w:rPr>
          <w:rFonts w:ascii="Arial" w:cs="Arial" w:eastAsia="Arial" w:hAnsi="Arial"/>
          <w:sz w:val="13"/>
          <w:szCs w:val="13"/>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265670" cy="2660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5670" cy="2660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74930</wp:posOffset>
            </wp:positionV>
            <wp:extent cx="726567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60"/>
          </w:cols>
          <w:pgMar w:left="220" w:top="124" w:right="219" w:bottom="0" w:gutter="0" w:footer="0" w:header="0"/>
          <w:type w:val="continuous"/>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income for basic and</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2"/>
          <w:szCs w:val="12"/>
          <w:color w:val="auto"/>
        </w:rPr>
        <w:t>diluted earnings per share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0"/>
          <w:szCs w:val="10"/>
          <w:color w:val="auto"/>
        </w:rPr>
        <w:t>Weighted average Shares of Class A</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Stock and Common Stock</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2"/>
          <w:szCs w:val="12"/>
          <w:color w:val="auto"/>
        </w:rPr>
        <w:t>outstanding for basic earnings</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2"/>
          <w:szCs w:val="12"/>
          <w:color w:val="auto"/>
        </w:rPr>
        <w:t>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0" w:type="dxa"/>
            <w:vAlign w:val="bottom"/>
            <w:shd w:val="clear" w:color="auto" w:fill="E6E6E6"/>
          </w:tcPr>
          <w:p>
            <w:pPr>
              <w:jc w:val="right"/>
              <w:ind w:right="382"/>
              <w:spacing w:after="0"/>
              <w:rPr>
                <w:sz w:val="20"/>
                <w:szCs w:val="20"/>
                <w:color w:val="auto"/>
              </w:rPr>
            </w:pPr>
            <w:r>
              <w:rPr>
                <w:rFonts w:ascii="Arial" w:cs="Arial" w:eastAsia="Arial" w:hAnsi="Arial"/>
                <w:sz w:val="12"/>
                <w:szCs w:val="12"/>
                <w:color w:val="auto"/>
              </w:rPr>
              <w:t>$</w:t>
            </w:r>
          </w:p>
        </w:tc>
        <w:tc>
          <w:tcPr>
            <w:tcW w:w="1060" w:type="dxa"/>
            <w:vAlign w:val="bottom"/>
            <w:shd w:val="clear" w:color="auto" w:fill="E6E6E6"/>
          </w:tcPr>
          <w:p>
            <w:pPr>
              <w:jc w:val="right"/>
              <w:ind w:right="342"/>
              <w:spacing w:after="0"/>
              <w:rPr>
                <w:sz w:val="20"/>
                <w:szCs w:val="20"/>
                <w:color w:val="auto"/>
              </w:rPr>
            </w:pPr>
            <w:r>
              <w:rPr>
                <w:rFonts w:ascii="Arial" w:cs="Arial" w:eastAsia="Arial" w:hAnsi="Arial"/>
                <w:sz w:val="12"/>
                <w:szCs w:val="12"/>
                <w:color w:val="auto"/>
              </w:rPr>
              <w:t>68.6</w:t>
            </w:r>
          </w:p>
        </w:tc>
        <w:tc>
          <w:tcPr>
            <w:tcW w:w="700" w:type="dxa"/>
            <w:vAlign w:val="bottom"/>
            <w:shd w:val="clear" w:color="auto" w:fill="E6E6E6"/>
          </w:tcPr>
          <w:p>
            <w:pPr>
              <w:jc w:val="right"/>
              <w:ind w:right="202"/>
              <w:spacing w:after="0"/>
              <w:rPr>
                <w:sz w:val="20"/>
                <w:szCs w:val="20"/>
                <w:color w:val="auto"/>
              </w:rPr>
            </w:pPr>
            <w:r>
              <w:rPr>
                <w:rFonts w:ascii="Arial" w:cs="Arial" w:eastAsia="Arial" w:hAnsi="Arial"/>
                <w:sz w:val="12"/>
                <w:szCs w:val="12"/>
                <w:color w:val="auto"/>
              </w:rPr>
              <w:t>$</w:t>
            </w:r>
          </w:p>
        </w:tc>
        <w:tc>
          <w:tcPr>
            <w:tcW w:w="940" w:type="dxa"/>
            <w:vAlign w:val="bottom"/>
            <w:shd w:val="clear" w:color="auto" w:fill="E6E6E6"/>
          </w:tcPr>
          <w:p>
            <w:pPr>
              <w:jc w:val="right"/>
              <w:ind w:right="382"/>
              <w:spacing w:after="0"/>
              <w:rPr>
                <w:sz w:val="20"/>
                <w:szCs w:val="20"/>
                <w:color w:val="auto"/>
              </w:rPr>
            </w:pPr>
            <w:r>
              <w:rPr>
                <w:rFonts w:ascii="Arial" w:cs="Arial" w:eastAsia="Arial" w:hAnsi="Arial"/>
                <w:sz w:val="12"/>
                <w:szCs w:val="12"/>
                <w:color w:val="auto"/>
              </w:rPr>
              <w:t>64.3</w:t>
            </w:r>
          </w:p>
        </w:tc>
        <w:tc>
          <w:tcPr>
            <w:tcW w:w="820" w:type="dxa"/>
            <w:vAlign w:val="bottom"/>
            <w:shd w:val="clear" w:color="auto" w:fill="E6E6E6"/>
          </w:tcPr>
          <w:p>
            <w:pPr>
              <w:jc w:val="right"/>
              <w:ind w:right="262"/>
              <w:spacing w:after="0"/>
              <w:rPr>
                <w:sz w:val="20"/>
                <w:szCs w:val="20"/>
                <w:color w:val="auto"/>
              </w:rPr>
            </w:pPr>
            <w:r>
              <w:rPr>
                <w:rFonts w:ascii="Arial" w:cs="Arial" w:eastAsia="Arial" w:hAnsi="Arial"/>
                <w:sz w:val="12"/>
                <w:szCs w:val="12"/>
                <w:color w:val="auto"/>
              </w:rPr>
              <w:t>$</w:t>
            </w:r>
          </w:p>
        </w:tc>
        <w:tc>
          <w:tcPr>
            <w:tcW w:w="60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57.8</w:t>
            </w:r>
          </w:p>
        </w:tc>
      </w:tr>
      <w:tr>
        <w:trPr>
          <w:trHeight w:val="826"/>
        </w:trPr>
        <w:tc>
          <w:tcPr>
            <w:tcW w:w="1600" w:type="dxa"/>
            <w:vAlign w:val="bottom"/>
          </w:tcPr>
          <w:p>
            <w:pPr>
              <w:spacing w:after="0"/>
              <w:rPr>
                <w:sz w:val="24"/>
                <w:szCs w:val="24"/>
                <w:color w:val="auto"/>
              </w:rPr>
            </w:pPr>
          </w:p>
        </w:tc>
        <w:tc>
          <w:tcPr>
            <w:tcW w:w="1060" w:type="dxa"/>
            <w:vAlign w:val="bottom"/>
          </w:tcPr>
          <w:p>
            <w:pPr>
              <w:jc w:val="right"/>
              <w:ind w:right="342"/>
              <w:spacing w:after="0"/>
              <w:rPr>
                <w:sz w:val="20"/>
                <w:szCs w:val="20"/>
                <w:color w:val="auto"/>
              </w:rPr>
            </w:pPr>
            <w:r>
              <w:rPr>
                <w:rFonts w:ascii="Arial" w:cs="Arial" w:eastAsia="Arial" w:hAnsi="Arial"/>
                <w:sz w:val="12"/>
                <w:szCs w:val="12"/>
                <w:color w:val="auto"/>
              </w:rPr>
              <w:t>41.6</w:t>
            </w:r>
          </w:p>
        </w:tc>
        <w:tc>
          <w:tcPr>
            <w:tcW w:w="700" w:type="dxa"/>
            <w:vAlign w:val="bottom"/>
          </w:tcPr>
          <w:p>
            <w:pPr>
              <w:spacing w:after="0"/>
              <w:rPr>
                <w:sz w:val="24"/>
                <w:szCs w:val="24"/>
                <w:color w:val="auto"/>
              </w:rPr>
            </w:pPr>
          </w:p>
        </w:tc>
        <w:tc>
          <w:tcPr>
            <w:tcW w:w="940" w:type="dxa"/>
            <w:vAlign w:val="bottom"/>
          </w:tcPr>
          <w:p>
            <w:pPr>
              <w:jc w:val="right"/>
              <w:ind w:right="382"/>
              <w:spacing w:after="0"/>
              <w:rPr>
                <w:sz w:val="20"/>
                <w:szCs w:val="20"/>
                <w:color w:val="auto"/>
              </w:rPr>
            </w:pPr>
            <w:r>
              <w:rPr>
                <w:rFonts w:ascii="Arial" w:cs="Arial" w:eastAsia="Arial" w:hAnsi="Arial"/>
                <w:sz w:val="12"/>
                <w:szCs w:val="12"/>
                <w:color w:val="auto"/>
              </w:rPr>
              <w:t>40.0</w:t>
            </w:r>
          </w:p>
        </w:tc>
        <w:tc>
          <w:tcPr>
            <w:tcW w:w="820" w:type="dxa"/>
            <w:vAlign w:val="bottom"/>
          </w:tcPr>
          <w:p>
            <w:pPr>
              <w:spacing w:after="0"/>
              <w:rPr>
                <w:sz w:val="24"/>
                <w:szCs w:val="2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67310</wp:posOffset>
            </wp:positionV>
            <wp:extent cx="726567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720"/>
          </w:cols>
          <w:pgMar w:left="220" w:top="124" w:right="219" w:bottom="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720" w:type="dxa"/>
            <w:vAlign w:val="bottom"/>
            <w:shd w:val="clear" w:color="auto" w:fill="E6E6E6"/>
          </w:tcPr>
          <w:p>
            <w:pPr>
              <w:spacing w:after="0"/>
              <w:rPr>
                <w:sz w:val="20"/>
                <w:szCs w:val="20"/>
                <w:color w:val="auto"/>
              </w:rPr>
            </w:pPr>
            <w:r>
              <w:rPr>
                <w:rFonts w:ascii="Arial" w:cs="Arial" w:eastAsia="Arial" w:hAnsi="Arial"/>
                <w:sz w:val="12"/>
                <w:szCs w:val="12"/>
                <w:color w:val="auto"/>
              </w:rPr>
              <w:t>Dilutive effect of Common Stock issued</w:t>
            </w:r>
          </w:p>
        </w:tc>
        <w:tc>
          <w:tcPr>
            <w:tcW w:w="160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E6E6E6"/>
          </w:tcPr>
          <w:p>
            <w:pPr>
              <w:ind w:left="40"/>
              <w:spacing w:after="0"/>
              <w:rPr>
                <w:sz w:val="20"/>
                <w:szCs w:val="20"/>
                <w:color w:val="auto"/>
              </w:rPr>
            </w:pPr>
            <w:r>
              <w:rPr>
                <w:rFonts w:ascii="Arial" w:cs="Arial" w:eastAsia="Arial" w:hAnsi="Arial"/>
                <w:sz w:val="12"/>
                <w:szCs w:val="12"/>
                <w:color w:val="auto"/>
              </w:rPr>
              <w:t>pursuant to stock-based</w:t>
            </w:r>
          </w:p>
        </w:tc>
        <w:tc>
          <w:tcPr>
            <w:tcW w:w="16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20" w:type="dxa"/>
            <w:vAlign w:val="bottom"/>
            <w:shd w:val="clear" w:color="auto" w:fill="E6E6E6"/>
          </w:tcPr>
          <w:p>
            <w:pPr>
              <w:ind w:left="40"/>
              <w:spacing w:after="0"/>
              <w:rPr>
                <w:sz w:val="20"/>
                <w:szCs w:val="20"/>
                <w:color w:val="auto"/>
              </w:rPr>
            </w:pPr>
            <w:r>
              <w:rPr>
                <w:rFonts w:ascii="Arial" w:cs="Arial" w:eastAsia="Arial" w:hAnsi="Arial"/>
                <w:sz w:val="12"/>
                <w:szCs w:val="12"/>
                <w:color w:val="auto"/>
              </w:rPr>
              <w:t>benefit plans</w:t>
            </w:r>
          </w:p>
        </w:tc>
        <w:tc>
          <w:tcPr>
            <w:tcW w:w="1600" w:type="dxa"/>
            <w:vAlign w:val="bottom"/>
            <w:shd w:val="clear" w:color="auto" w:fill="E6E6E6"/>
          </w:tcPr>
          <w:p>
            <w:pPr>
              <w:spacing w:after="0"/>
              <w:rPr>
                <w:sz w:val="19"/>
                <w:szCs w:val="19"/>
                <w:color w:val="auto"/>
              </w:rPr>
            </w:pPr>
          </w:p>
        </w:tc>
        <w:tc>
          <w:tcPr>
            <w:tcW w:w="1060" w:type="dxa"/>
            <w:vAlign w:val="bottom"/>
            <w:shd w:val="clear" w:color="auto" w:fill="E6E6E6"/>
          </w:tcPr>
          <w:p>
            <w:pPr>
              <w:jc w:val="right"/>
              <w:ind w:right="342"/>
              <w:spacing w:after="0"/>
              <w:rPr>
                <w:sz w:val="20"/>
                <w:szCs w:val="20"/>
                <w:color w:val="auto"/>
              </w:rPr>
            </w:pPr>
            <w:r>
              <w:rPr>
                <w:rFonts w:ascii="Arial" w:cs="Arial" w:eastAsia="Arial" w:hAnsi="Arial"/>
                <w:sz w:val="12"/>
                <w:szCs w:val="12"/>
                <w:color w:val="auto"/>
              </w:rPr>
              <w:t>0.6</w:t>
            </w:r>
          </w:p>
        </w:tc>
        <w:tc>
          <w:tcPr>
            <w:tcW w:w="700" w:type="dxa"/>
            <w:vAlign w:val="bottom"/>
            <w:shd w:val="clear" w:color="auto" w:fill="E6E6E6"/>
          </w:tcPr>
          <w:p>
            <w:pPr>
              <w:spacing w:after="0"/>
              <w:rPr>
                <w:sz w:val="19"/>
                <w:szCs w:val="19"/>
                <w:color w:val="auto"/>
              </w:rPr>
            </w:pPr>
          </w:p>
        </w:tc>
        <w:tc>
          <w:tcPr>
            <w:tcW w:w="940" w:type="dxa"/>
            <w:vAlign w:val="bottom"/>
            <w:shd w:val="clear" w:color="auto" w:fill="E6E6E6"/>
          </w:tcPr>
          <w:p>
            <w:pPr>
              <w:jc w:val="right"/>
              <w:ind w:right="382"/>
              <w:spacing w:after="0"/>
              <w:rPr>
                <w:sz w:val="20"/>
                <w:szCs w:val="20"/>
                <w:color w:val="auto"/>
              </w:rPr>
            </w:pPr>
            <w:r>
              <w:rPr>
                <w:rFonts w:ascii="Arial" w:cs="Arial" w:eastAsia="Arial" w:hAnsi="Arial"/>
                <w:sz w:val="12"/>
                <w:szCs w:val="12"/>
                <w:color w:val="auto"/>
              </w:rPr>
              <w:t>0.8</w:t>
            </w:r>
          </w:p>
        </w:tc>
        <w:tc>
          <w:tcPr>
            <w:tcW w:w="820" w:type="dxa"/>
            <w:vAlign w:val="bottom"/>
            <w:shd w:val="clear" w:color="auto" w:fill="E6E6E6"/>
          </w:tcPr>
          <w:p>
            <w:pPr>
              <w:spacing w:after="0"/>
              <w:rPr>
                <w:sz w:val="19"/>
                <w:szCs w:val="19"/>
                <w:color w:val="auto"/>
              </w:rPr>
            </w:pPr>
          </w:p>
        </w:tc>
        <w:tc>
          <w:tcPr>
            <w:tcW w:w="60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0.7</w:t>
            </w:r>
          </w:p>
        </w:tc>
      </w:tr>
      <w:tr>
        <w:trPr>
          <w:trHeight w:val="93"/>
        </w:trPr>
        <w:tc>
          <w:tcPr>
            <w:tcW w:w="20" w:type="dxa"/>
            <w:vAlign w:val="bottom"/>
          </w:tcPr>
          <w:p>
            <w:pPr>
              <w:spacing w:after="0"/>
              <w:rPr>
                <w:sz w:val="8"/>
                <w:szCs w:val="8"/>
                <w:color w:val="auto"/>
              </w:rPr>
            </w:pPr>
          </w:p>
        </w:tc>
        <w:tc>
          <w:tcPr>
            <w:tcW w:w="572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282"/>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Adjusted weighted average Shares</w:t>
            </w: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40"/>
              <w:spacing w:after="0"/>
              <w:rPr>
                <w:sz w:val="20"/>
                <w:szCs w:val="20"/>
                <w:color w:val="auto"/>
              </w:rPr>
            </w:pPr>
            <w:r>
              <w:rPr>
                <w:rFonts w:ascii="Arial" w:cs="Arial" w:eastAsia="Arial" w:hAnsi="Arial"/>
                <w:sz w:val="12"/>
                <w:szCs w:val="12"/>
                <w:color w:val="auto"/>
              </w:rPr>
              <w:t>of Class A Stock and Common</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40"/>
              <w:spacing w:after="0"/>
              <w:rPr>
                <w:sz w:val="20"/>
                <w:szCs w:val="20"/>
                <w:color w:val="auto"/>
              </w:rPr>
            </w:pPr>
            <w:r>
              <w:rPr>
                <w:rFonts w:ascii="Arial" w:cs="Arial" w:eastAsia="Arial" w:hAnsi="Arial"/>
                <w:sz w:val="12"/>
                <w:szCs w:val="12"/>
                <w:color w:val="auto"/>
              </w:rPr>
              <w:t>Stock outstanding for diluted</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40"/>
              <w:spacing w:after="0"/>
              <w:rPr>
                <w:sz w:val="20"/>
                <w:szCs w:val="20"/>
                <w:color w:val="auto"/>
              </w:rPr>
            </w:pPr>
            <w:r>
              <w:rPr>
                <w:rFonts w:ascii="Arial" w:cs="Arial" w:eastAsia="Arial" w:hAnsi="Arial"/>
                <w:sz w:val="12"/>
                <w:szCs w:val="12"/>
                <w:color w:val="auto"/>
              </w:rPr>
              <w:t>earnings per share</w:t>
            </w:r>
          </w:p>
        </w:tc>
        <w:tc>
          <w:tcPr>
            <w:tcW w:w="1600" w:type="dxa"/>
            <w:vAlign w:val="bottom"/>
          </w:tcPr>
          <w:p>
            <w:pPr>
              <w:spacing w:after="0"/>
              <w:rPr>
                <w:sz w:val="18"/>
                <w:szCs w:val="18"/>
                <w:color w:val="auto"/>
              </w:rPr>
            </w:pPr>
          </w:p>
        </w:tc>
        <w:tc>
          <w:tcPr>
            <w:tcW w:w="1060" w:type="dxa"/>
            <w:vAlign w:val="bottom"/>
          </w:tcPr>
          <w:p>
            <w:pPr>
              <w:jc w:val="right"/>
              <w:ind w:right="342"/>
              <w:spacing w:after="0"/>
              <w:rPr>
                <w:sz w:val="20"/>
                <w:szCs w:val="20"/>
                <w:color w:val="auto"/>
              </w:rPr>
            </w:pPr>
            <w:r>
              <w:rPr>
                <w:rFonts w:ascii="Arial" w:cs="Arial" w:eastAsia="Arial" w:hAnsi="Arial"/>
                <w:sz w:val="12"/>
                <w:szCs w:val="12"/>
                <w:color w:val="auto"/>
              </w:rPr>
              <w:t>42.2</w:t>
            </w:r>
          </w:p>
        </w:tc>
        <w:tc>
          <w:tcPr>
            <w:tcW w:w="700" w:type="dxa"/>
            <w:vAlign w:val="bottom"/>
          </w:tcPr>
          <w:p>
            <w:pPr>
              <w:spacing w:after="0"/>
              <w:rPr>
                <w:sz w:val="18"/>
                <w:szCs w:val="18"/>
                <w:color w:val="auto"/>
              </w:rPr>
            </w:pPr>
          </w:p>
        </w:tc>
        <w:tc>
          <w:tcPr>
            <w:tcW w:w="940" w:type="dxa"/>
            <w:vAlign w:val="bottom"/>
          </w:tcPr>
          <w:p>
            <w:pPr>
              <w:jc w:val="right"/>
              <w:ind w:right="382"/>
              <w:spacing w:after="0"/>
              <w:rPr>
                <w:sz w:val="20"/>
                <w:szCs w:val="20"/>
                <w:color w:val="auto"/>
              </w:rPr>
            </w:pPr>
            <w:r>
              <w:rPr>
                <w:rFonts w:ascii="Arial" w:cs="Arial" w:eastAsia="Arial" w:hAnsi="Arial"/>
                <w:sz w:val="12"/>
                <w:szCs w:val="12"/>
                <w:color w:val="auto"/>
              </w:rPr>
              <w:t>40.8</w:t>
            </w:r>
          </w:p>
        </w:tc>
        <w:tc>
          <w:tcPr>
            <w:tcW w:w="82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40.1</w:t>
            </w:r>
          </w:p>
        </w:tc>
      </w:tr>
      <w:tr>
        <w:trPr>
          <w:trHeight w:val="125"/>
        </w:trPr>
        <w:tc>
          <w:tcPr>
            <w:tcW w:w="20" w:type="dxa"/>
            <w:vAlign w:val="bottom"/>
            <w:tcBorders>
              <w:bottom w:val="single" w:sz="8" w:color="808080"/>
            </w:tcBorders>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89"/>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E6E6E6"/>
          </w:tcPr>
          <w:p>
            <w:pPr>
              <w:spacing w:after="0"/>
              <w:rPr>
                <w:sz w:val="20"/>
                <w:szCs w:val="20"/>
                <w:color w:val="auto"/>
              </w:rPr>
            </w:pPr>
            <w:r>
              <w:rPr>
                <w:rFonts w:ascii="Arial" w:cs="Arial" w:eastAsia="Arial" w:hAnsi="Arial"/>
                <w:sz w:val="12"/>
                <w:szCs w:val="12"/>
                <w:color w:val="auto"/>
              </w:rPr>
              <w:t>Earnings per share of Class A Stock</w:t>
            </w:r>
          </w:p>
        </w:tc>
        <w:tc>
          <w:tcPr>
            <w:tcW w:w="16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40"/>
              <w:spacing w:after="0"/>
              <w:rPr>
                <w:sz w:val="20"/>
                <w:szCs w:val="20"/>
                <w:color w:val="auto"/>
              </w:rPr>
            </w:pPr>
            <w:r>
              <w:rPr>
                <w:rFonts w:ascii="Arial" w:cs="Arial" w:eastAsia="Arial" w:hAnsi="Arial"/>
                <w:sz w:val="12"/>
                <w:szCs w:val="12"/>
                <w:color w:val="auto"/>
              </w:rPr>
              <w:t>and Common Stock:</w:t>
            </w: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6E6E6"/>
          </w:tcPr>
          <w:p>
            <w:pPr>
              <w:spacing w:after="0"/>
              <w:rPr>
                <w:sz w:val="20"/>
                <w:szCs w:val="20"/>
                <w:color w:val="auto"/>
              </w:rPr>
            </w:pPr>
            <w:r>
              <w:rPr>
                <w:rFonts w:ascii="Arial" w:cs="Arial" w:eastAsia="Arial" w:hAnsi="Arial"/>
                <w:sz w:val="12"/>
                <w:szCs w:val="12"/>
                <w:color w:val="auto"/>
              </w:rPr>
              <w:t>Basic</w:t>
            </w:r>
          </w:p>
        </w:tc>
        <w:tc>
          <w:tcPr>
            <w:tcW w:w="1600" w:type="dxa"/>
            <w:vAlign w:val="bottom"/>
            <w:shd w:val="clear" w:color="auto" w:fill="E6E6E6"/>
          </w:tcPr>
          <w:p>
            <w:pPr>
              <w:jc w:val="right"/>
              <w:ind w:right="382"/>
              <w:spacing w:after="0"/>
              <w:rPr>
                <w:sz w:val="20"/>
                <w:szCs w:val="20"/>
                <w:color w:val="auto"/>
              </w:rPr>
            </w:pPr>
            <w:r>
              <w:rPr>
                <w:rFonts w:ascii="Arial" w:cs="Arial" w:eastAsia="Arial" w:hAnsi="Arial"/>
                <w:sz w:val="12"/>
                <w:szCs w:val="12"/>
                <w:color w:val="auto"/>
              </w:rPr>
              <w:t>$</w:t>
            </w:r>
          </w:p>
        </w:tc>
        <w:tc>
          <w:tcPr>
            <w:tcW w:w="1060" w:type="dxa"/>
            <w:vAlign w:val="bottom"/>
            <w:shd w:val="clear" w:color="auto" w:fill="E6E6E6"/>
          </w:tcPr>
          <w:p>
            <w:pPr>
              <w:jc w:val="right"/>
              <w:ind w:right="342"/>
              <w:spacing w:after="0"/>
              <w:rPr>
                <w:sz w:val="20"/>
                <w:szCs w:val="20"/>
                <w:color w:val="auto"/>
              </w:rPr>
            </w:pPr>
            <w:r>
              <w:rPr>
                <w:rFonts w:ascii="Arial" w:cs="Arial" w:eastAsia="Arial" w:hAnsi="Arial"/>
                <w:sz w:val="12"/>
                <w:szCs w:val="12"/>
                <w:color w:val="auto"/>
              </w:rPr>
              <w:t>1.65</w:t>
            </w:r>
          </w:p>
        </w:tc>
        <w:tc>
          <w:tcPr>
            <w:tcW w:w="700" w:type="dxa"/>
            <w:vAlign w:val="bottom"/>
            <w:shd w:val="clear" w:color="auto" w:fill="E6E6E6"/>
          </w:tcPr>
          <w:p>
            <w:pPr>
              <w:jc w:val="right"/>
              <w:ind w:right="202"/>
              <w:spacing w:after="0"/>
              <w:rPr>
                <w:sz w:val="20"/>
                <w:szCs w:val="20"/>
                <w:color w:val="auto"/>
              </w:rPr>
            </w:pPr>
            <w:r>
              <w:rPr>
                <w:rFonts w:ascii="Arial" w:cs="Arial" w:eastAsia="Arial" w:hAnsi="Arial"/>
                <w:sz w:val="12"/>
                <w:szCs w:val="12"/>
                <w:color w:val="auto"/>
              </w:rPr>
              <w:t>$</w:t>
            </w:r>
          </w:p>
        </w:tc>
        <w:tc>
          <w:tcPr>
            <w:tcW w:w="940" w:type="dxa"/>
            <w:vAlign w:val="bottom"/>
            <w:shd w:val="clear" w:color="auto" w:fill="E6E6E6"/>
          </w:tcPr>
          <w:p>
            <w:pPr>
              <w:jc w:val="right"/>
              <w:ind w:right="382"/>
              <w:spacing w:after="0"/>
              <w:rPr>
                <w:sz w:val="20"/>
                <w:szCs w:val="20"/>
                <w:color w:val="auto"/>
              </w:rPr>
            </w:pPr>
            <w:r>
              <w:rPr>
                <w:rFonts w:ascii="Arial" w:cs="Arial" w:eastAsia="Arial" w:hAnsi="Arial"/>
                <w:sz w:val="12"/>
                <w:szCs w:val="12"/>
                <w:color w:val="auto"/>
              </w:rPr>
              <w:t>1.61</w:t>
            </w:r>
          </w:p>
        </w:tc>
        <w:tc>
          <w:tcPr>
            <w:tcW w:w="820" w:type="dxa"/>
            <w:vAlign w:val="bottom"/>
            <w:shd w:val="clear" w:color="auto" w:fill="E6E6E6"/>
          </w:tcPr>
          <w:p>
            <w:pPr>
              <w:jc w:val="right"/>
              <w:ind w:right="262"/>
              <w:spacing w:after="0"/>
              <w:rPr>
                <w:sz w:val="20"/>
                <w:szCs w:val="20"/>
                <w:color w:val="auto"/>
              </w:rPr>
            </w:pPr>
            <w:r>
              <w:rPr>
                <w:rFonts w:ascii="Arial" w:cs="Arial" w:eastAsia="Arial" w:hAnsi="Arial"/>
                <w:sz w:val="12"/>
                <w:szCs w:val="12"/>
                <w:color w:val="auto"/>
              </w:rPr>
              <w:t>$</w:t>
            </w:r>
          </w:p>
        </w:tc>
        <w:tc>
          <w:tcPr>
            <w:tcW w:w="600" w:type="dxa"/>
            <w:vAlign w:val="bottom"/>
            <w:shd w:val="clear" w:color="auto" w:fill="E6E6E6"/>
          </w:tcPr>
          <w:p>
            <w:pPr>
              <w:jc w:val="right"/>
              <w:ind w:right="2"/>
              <w:spacing w:after="0"/>
              <w:rPr>
                <w:sz w:val="20"/>
                <w:szCs w:val="20"/>
                <w:color w:val="auto"/>
              </w:rPr>
            </w:pPr>
            <w:r>
              <w:rPr>
                <w:rFonts w:ascii="Arial" w:cs="Arial" w:eastAsia="Arial" w:hAnsi="Arial"/>
                <w:sz w:val="12"/>
                <w:szCs w:val="12"/>
                <w:color w:val="auto"/>
              </w:rPr>
              <w:t>1.47</w:t>
            </w:r>
          </w:p>
        </w:tc>
      </w:tr>
      <w:tr>
        <w:trPr>
          <w:trHeight w:val="22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Diluted</w:t>
            </w:r>
          </w:p>
        </w:tc>
        <w:tc>
          <w:tcPr>
            <w:tcW w:w="1600" w:type="dxa"/>
            <w:vAlign w:val="bottom"/>
          </w:tcPr>
          <w:p>
            <w:pPr>
              <w:jc w:val="right"/>
              <w:ind w:right="382"/>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342"/>
              <w:spacing w:after="0"/>
              <w:rPr>
                <w:sz w:val="20"/>
                <w:szCs w:val="20"/>
                <w:color w:val="auto"/>
              </w:rPr>
            </w:pPr>
            <w:r>
              <w:rPr>
                <w:rFonts w:ascii="Arial" w:cs="Arial" w:eastAsia="Arial" w:hAnsi="Arial"/>
                <w:sz w:val="12"/>
                <w:szCs w:val="12"/>
                <w:color w:val="auto"/>
              </w:rPr>
              <w:t>1.63</w:t>
            </w:r>
          </w:p>
        </w:tc>
        <w:tc>
          <w:tcPr>
            <w:tcW w:w="70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82"/>
              <w:spacing w:after="0"/>
              <w:rPr>
                <w:sz w:val="20"/>
                <w:szCs w:val="20"/>
                <w:color w:val="auto"/>
              </w:rPr>
            </w:pPr>
            <w:r>
              <w:rPr>
                <w:rFonts w:ascii="Arial" w:cs="Arial" w:eastAsia="Arial" w:hAnsi="Arial"/>
                <w:sz w:val="12"/>
                <w:szCs w:val="12"/>
                <w:color w:val="auto"/>
              </w:rPr>
              <w:t>1.58</w:t>
            </w:r>
          </w:p>
        </w:tc>
        <w:tc>
          <w:tcPr>
            <w:tcW w:w="8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1.44</w:t>
            </w:r>
          </w:p>
        </w:tc>
      </w:tr>
      <w:tr>
        <w:trPr>
          <w:trHeight w:val="83"/>
        </w:trPr>
        <w:tc>
          <w:tcPr>
            <w:tcW w:w="20" w:type="dxa"/>
            <w:vAlign w:val="bottom"/>
          </w:tcPr>
          <w:p>
            <w:pPr>
              <w:spacing w:after="0"/>
              <w:rPr>
                <w:sz w:val="7"/>
                <w:szCs w:val="7"/>
                <w:color w:val="auto"/>
              </w:rPr>
            </w:pPr>
          </w:p>
        </w:tc>
        <w:tc>
          <w:tcPr>
            <w:tcW w:w="572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-682625</wp:posOffset>
            </wp:positionV>
            <wp:extent cx="12700" cy="27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-682625</wp:posOffset>
            </wp:positionV>
            <wp:extent cx="12700" cy="27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60"/>
          </w:cols>
          <w:pgMar w:left="220" w:top="124" w:right="21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11. COST OF GOODS SOLD—REFERENCE SETS</w:t>
      </w:r>
    </w:p>
    <w:p>
      <w:pPr>
        <w:sectPr>
          <w:pgSz w:w="11900" w:h="16838" w:orient="portrait"/>
          <w:cols w:equalWidth="0" w:num="1">
            <w:col w:w="11460"/>
          </w:cols>
          <w:pgMar w:left="220" w:top="124" w:right="219" w:bottom="0" w:gutter="0" w:footer="0" w:header="0"/>
          <w:type w:val="continuous"/>
        </w:sectPr>
      </w:pPr>
    </w:p>
    <w:bookmarkStart w:id="61" w:name="page62"/>
    <w:bookmarkEnd w:id="61"/>
    <w:p>
      <w:pPr>
        <w:ind w:right="420"/>
        <w:spacing w:after="0" w:line="285" w:lineRule="auto"/>
        <w:rPr>
          <w:sz w:val="20"/>
          <w:szCs w:val="20"/>
          <w:color w:val="auto"/>
        </w:rPr>
      </w:pPr>
      <w:r>
        <w:rPr>
          <w:rFonts w:ascii="Arial" w:cs="Arial" w:eastAsia="Arial" w:hAnsi="Arial"/>
          <w:sz w:val="15"/>
          <w:szCs w:val="15"/>
          <w:color w:val="auto"/>
        </w:rPr>
        <w:t>In fiscal 2006, the Company recorded pre-tax costs primarily related to the accelerated amortization of prepublication costs of $3.2, or $0.05 per diluted share, in connection with its decision not to update certain print versions of reference sets.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BAD DEBT EXPENSE—EDUCATIONAL PUBLISHING</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In fiscal 2006, the Company recorded bad debt expense totaling of $2.9, or $0.04 per diluted share, related to the bankruptcy of a for-profit educational services customer.</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SPECIAL SEVERANCE CHARGES</w:t>
      </w:r>
    </w:p>
    <w:p>
      <w:pPr>
        <w:spacing w:after="0" w:line="204"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 May 2003, the Company announced a reduction in its global work force. The majority of the affected employees were notified in the fiscal year ended May 31, 2003. In the fiscal year ended May 31, 2004, the Company established additional liabilities of $3.3 for severance and other related costs with respect to the affected employees notified in that fiscal year, which is reflected in the Company’s income statement as the Special severance charges for the year ended May 31, 2004. As of May 31, 2006, substantially all of the established liabilities had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109220</wp:posOffset>
            </wp:positionV>
            <wp:extent cx="1938655" cy="3403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color w:val="auto"/>
        </w:rPr>
        <w:t>14. OTHER INCOME (EXPENSE)</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In fiscal 2004, the Company received a payment of $10.0 in connection with the early termination of a sublease by one of its tenants. This transaction resulted in a pre-tax net gain of $8.0.</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impact of this gain on earnings per diluted share was $0.13.</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CONTINUITY CHARGES</w:t>
      </w:r>
    </w:p>
    <w:p>
      <w:pPr>
        <w:spacing w:after="0" w:line="204"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In fiscal 2004, the Company recorded pre-tax charges of $25.4 in connection with a review of its continuity business. These charges represent write-downs of deferred promotion costs of $12.7 and inventory from discontinued programs of $6.8, and an increase in bad debts of $2.0, as well as modest increases in returns provisions and related severance costs. These charges are primarily reflected as Cost of goods sold; Selling, general and administrative expenses; and Bad debt expense. In fiscal 2004, the impact of these charges on earnings per diluted share was $0.41. In fiscal 2005, the Company recorded additional pre-tax charges of $3.8, or $0.06 per diluted share, primarily for severance costs due to the prior year review of its continuity business, which are reflected as Selling, general and administrative expenses.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OTHER FINANCIAL DATA</w:t>
      </w:r>
    </w:p>
    <w:p>
      <w:pPr>
        <w:spacing w:after="0" w:line="204" w:lineRule="exact"/>
        <w:rPr>
          <w:sz w:val="20"/>
          <w:szCs w:val="20"/>
          <w:color w:val="auto"/>
        </w:rPr>
      </w:pPr>
    </w:p>
    <w:p>
      <w:pPr>
        <w:jc w:val="both"/>
        <w:ind w:right="40"/>
        <w:spacing w:after="0" w:line="272" w:lineRule="auto"/>
        <w:rPr>
          <w:sz w:val="20"/>
          <w:szCs w:val="20"/>
          <w:color w:val="auto"/>
        </w:rPr>
      </w:pPr>
      <w:r>
        <w:rPr>
          <w:rFonts w:ascii="Arial" w:cs="Arial" w:eastAsia="Arial" w:hAnsi="Arial"/>
          <w:sz w:val="15"/>
          <w:szCs w:val="15"/>
          <w:color w:val="auto"/>
        </w:rPr>
        <w:t>Deferred promotion costs were $49.8 and $38.6 at May 31, 2006 and 2005, respectively. Promotion costs expensed were $85.5, $81.1 and $119.2 for the fiscal years ended May 31, 2006, 2005 and 2004, respectively. Promotional expense consists of $77.9, $73.9 and $111.1 for continuity program promotions and $7.6, $7.2 and $8.1 for magazine advertising for fiscal 2006, 2005 and 2004,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Other advertising expenses were $160.5, $156.5 and $160.1 for the fiscal years ended May 31, 2006, 2005 and 2004, respectively.</w:t>
      </w:r>
    </w:p>
    <w:p>
      <w:pPr>
        <w:spacing w:after="0" w:line="200" w:lineRule="exact"/>
        <w:rPr>
          <w:sz w:val="20"/>
          <w:szCs w:val="20"/>
          <w:color w:val="auto"/>
        </w:rPr>
      </w:pPr>
    </w:p>
    <w:p>
      <w:pPr>
        <w:ind w:right="240"/>
        <w:spacing w:after="0" w:line="285" w:lineRule="auto"/>
        <w:rPr>
          <w:sz w:val="20"/>
          <w:szCs w:val="20"/>
          <w:color w:val="auto"/>
        </w:rPr>
      </w:pPr>
      <w:r>
        <w:rPr>
          <w:rFonts w:ascii="Arial" w:cs="Arial" w:eastAsia="Arial" w:hAnsi="Arial"/>
          <w:sz w:val="15"/>
          <w:szCs w:val="15"/>
          <w:color w:val="auto"/>
        </w:rPr>
        <w:t>Prepublication costs were $115.9 and $120.2 at May 31, 2006 and 2005, respectively. The Company amortized $50.9, $53.9 and $57.8 of prepublication costs for the fiscal years ended May 31, 2006, 2005 and 2004, respectively.</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Other accrued expenses include a reserve for unredeemed credits issued in conjunction with the Company’s school-based book club and book fair operations of $11.9 and $11.6 at May 31, 2006 and 2005,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99695</wp:posOffset>
            </wp:positionV>
            <wp:extent cx="1938655" cy="3403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360"/>
          </w:cols>
          <w:pgMar w:left="240" w:top="128" w:right="29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 SCHOLASTIC CORPORATION</w:t>
      </w:r>
    </w:p>
    <w:p>
      <w:pPr>
        <w:spacing w:after="0" w:line="179" w:lineRule="exact"/>
        <w:rPr>
          <w:sz w:val="20"/>
          <w:szCs w:val="20"/>
          <w:color w:val="auto"/>
        </w:rPr>
      </w:pPr>
    </w:p>
    <w:p>
      <w:pPr>
        <w:jc w:val="both"/>
        <w:ind w:right="280"/>
        <w:spacing w:after="0" w:line="267" w:lineRule="auto"/>
        <w:rPr>
          <w:sz w:val="20"/>
          <w:szCs w:val="20"/>
          <w:color w:val="auto"/>
        </w:rPr>
      </w:pPr>
      <w:r>
        <w:rPr>
          <w:rFonts w:ascii="Arial" w:cs="Arial" w:eastAsia="Arial" w:hAnsi="Arial"/>
          <w:sz w:val="15"/>
          <w:szCs w:val="15"/>
          <w:color w:val="auto"/>
        </w:rPr>
        <w:t>We have audited the accompanying consolidated balance sheets of Scholastic Corporation as of May 31, 2006 and 2005, and the related consolidated statements of income, changes in stockholders’ equity and comprehensive income and cash flows for each of the three years in the period ended May 31, 2006. Our audits also included the financial statement schedule included in the Index at Item 15(a). These financial statements and schedule are the responsibility of the Company’s management. Our responsibility is to express an opinion on these financial statements based on our audits.</w:t>
      </w:r>
    </w:p>
    <w:p>
      <w:pPr>
        <w:spacing w:after="0" w:line="165"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Scholastic Corporation at May 31, 2006 and 2005, and the consolidated results of its operations and its cash flows for each of the three years in the period ended May 31, 2006, in conformity with U.S. generally accepted accounting principles. Also, in our opinion, the related financial statements schedule, when considered in relation to the basic financial statements taken as a whole, presents fairly in all material respects the information set forth therein.</w:t>
      </w:r>
    </w:p>
    <w:p>
      <w:pPr>
        <w:spacing w:after="0" w:line="165" w:lineRule="exact"/>
        <w:rPr>
          <w:sz w:val="20"/>
          <w:szCs w:val="20"/>
          <w:color w:val="auto"/>
        </w:rPr>
      </w:pPr>
    </w:p>
    <w:p>
      <w:pPr>
        <w:jc w:val="both"/>
        <w:ind w:right="60"/>
        <w:spacing w:after="0" w:line="272"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effectiveness of Scholastic Corporation’s internal control over financial reporting as of May 31, 2006, based on criteria established in Internal Control-Integrated Framework issued by the Committee of Sponsoring Organizations of the Treadway Commission and our report dated August 4, 2006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760"/>
        <w:spacing w:after="0"/>
        <w:rPr>
          <w:sz w:val="20"/>
          <w:szCs w:val="20"/>
          <w:color w:val="auto"/>
        </w:rPr>
      </w:pPr>
      <w:r>
        <w:rPr>
          <w:rFonts w:ascii="Arial" w:cs="Arial" w:eastAsia="Arial" w:hAnsi="Arial"/>
          <w:sz w:val="15"/>
          <w:szCs w:val="15"/>
          <w:color w:val="auto"/>
        </w:rPr>
        <w:t>Ernst &amp; Young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August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380365</wp:posOffset>
            </wp:positionV>
            <wp:extent cx="1938655" cy="3403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380"/>
          </w:cols>
          <w:pgMar w:left="240" w:top="128" w:right="279" w:bottom="1440" w:gutter="0" w:footer="0" w:header="0"/>
        </w:sectPr>
      </w:pPr>
    </w:p>
    <w:bookmarkStart w:id="64" w:name="page65"/>
    <w:bookmarkEnd w:id="64"/>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 SCHOLASTIC CORPORATION</w:t>
      </w:r>
    </w:p>
    <w:p>
      <w:pPr>
        <w:spacing w:after="0" w:line="179"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We have audited management’s assessment, included in the accompanying Management’s Report on Internal Control Over Financial Reporting, that Scholastic Corporation maintained effective internal control over financial reporting as of May 31, 2006 based on criteria established in Internal Control-Integrated Framework issued by the Committee of Sponsoring Organizations of the Treadway Commission (the COSO criteria). Scholastic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66"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9" w:lineRule="exact"/>
        <w:rPr>
          <w:sz w:val="20"/>
          <w:szCs w:val="20"/>
          <w:color w:val="auto"/>
        </w:rPr>
      </w:pPr>
    </w:p>
    <w:p>
      <w:pPr>
        <w:ind w:right="100"/>
        <w:spacing w:after="0" w:line="31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ind w:right="180"/>
        <w:spacing w:after="0" w:line="365"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In our opinion, management’s assessment that the Scholastic Corporation maintained effective internal control over financial reporting as of May 31, 2006 is fairly stated, in all material respects, based on the COSO criteria. Also, in our opinion, Scholastic Corporation maintained, in all material respects, effective internal control over financial reporting as of May 31, 2006 based on the COSO criteria.</w:t>
      </w:r>
    </w:p>
    <w:p>
      <w:pPr>
        <w:spacing w:after="0" w:line="159"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Scholastic Corporation as of May 31, 2006 and 2005 and the related consolidated statements of income, changes in stockholders’ equity and comprehensive income, and cash flows for each of the three years in the period ended May 31, 2006 and our report dated August 4, 2006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105410</wp:posOffset>
            </wp:positionV>
            <wp:extent cx="1487170" cy="414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87170" cy="41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740"/>
        <w:spacing w:after="0"/>
        <w:rPr>
          <w:sz w:val="20"/>
          <w:szCs w:val="20"/>
          <w:color w:val="auto"/>
        </w:rPr>
      </w:pPr>
      <w:r>
        <w:rPr>
          <w:rFonts w:ascii="Arial" w:cs="Arial" w:eastAsia="Arial" w:hAnsi="Arial"/>
          <w:sz w:val="15"/>
          <w:szCs w:val="15"/>
          <w:color w:val="auto"/>
        </w:rPr>
        <w:t>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August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262255</wp:posOffset>
            </wp:positionV>
            <wp:extent cx="1938655" cy="3403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65" w:name="page66"/>
    <w:bookmarkEnd w:id="65"/>
    <w:p>
      <w:pPr>
        <w:ind w:left="7"/>
        <w:spacing w:after="0"/>
        <w:rPr>
          <w:sz w:val="20"/>
          <w:szCs w:val="20"/>
          <w:color w:val="auto"/>
        </w:rPr>
      </w:pPr>
      <w:r>
        <w:rPr>
          <w:rFonts w:ascii="Arial" w:cs="Arial" w:eastAsia="Arial" w:hAnsi="Arial"/>
          <w:sz w:val="15"/>
          <w:szCs w:val="15"/>
          <w:b w:val="1"/>
          <w:bCs w:val="1"/>
          <w:color w:val="auto"/>
        </w:rPr>
        <w:t>Supplementary Financial Information</w:t>
      </w:r>
    </w:p>
    <w:p>
      <w:pPr>
        <w:spacing w:after="0" w:line="292" w:lineRule="exact"/>
        <w:rPr>
          <w:sz w:val="20"/>
          <w:szCs w:val="20"/>
          <w:color w:val="auto"/>
        </w:rPr>
      </w:pPr>
    </w:p>
    <w:p>
      <w:pPr>
        <w:ind w:left="9107"/>
        <w:spacing w:after="0"/>
        <w:rPr>
          <w:sz w:val="20"/>
          <w:szCs w:val="20"/>
          <w:color w:val="auto"/>
        </w:rPr>
      </w:pPr>
      <w:r>
        <w:rPr>
          <w:rFonts w:ascii="Arial" w:cs="Arial" w:eastAsia="Arial" w:hAnsi="Arial"/>
          <w:sz w:val="10"/>
          <w:szCs w:val="10"/>
          <w:color w:val="auto"/>
        </w:rPr>
        <w:t>Summary of Quarterly Results of Operations</w:t>
      </w:r>
    </w:p>
    <w:p>
      <w:pPr>
        <w:spacing w:after="0" w:line="95" w:lineRule="exact"/>
        <w:rPr>
          <w:sz w:val="20"/>
          <w:szCs w:val="20"/>
          <w:color w:val="auto"/>
        </w:rPr>
      </w:pPr>
    </w:p>
    <w:p>
      <w:pPr>
        <w:ind w:left="8567"/>
        <w:spacing w:after="0"/>
        <w:rPr>
          <w:sz w:val="20"/>
          <w:szCs w:val="20"/>
          <w:color w:val="auto"/>
        </w:rPr>
      </w:pPr>
      <w:r>
        <w:rPr>
          <w:rFonts w:ascii="Arial" w:cs="Arial" w:eastAsia="Arial" w:hAnsi="Arial"/>
          <w:sz w:val="10"/>
          <w:szCs w:val="10"/>
          <w:color w:val="auto"/>
        </w:rPr>
        <w:t>(Unaudited,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6567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Fiscal</w:t>
            </w:r>
          </w:p>
        </w:tc>
      </w:tr>
      <w:tr>
        <w:trPr>
          <w:trHeight w:val="210"/>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Year</w:t>
            </w:r>
          </w:p>
        </w:tc>
      </w:tr>
      <w:tr>
        <w:trPr>
          <w:trHeight w:val="197"/>
        </w:trPr>
        <w:tc>
          <w:tcPr>
            <w:tcW w:w="3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564"/>
              <w:spacing w:after="0"/>
              <w:rPr>
                <w:sz w:val="20"/>
                <w:szCs w:val="20"/>
                <w:color w:val="auto"/>
              </w:rPr>
            </w:pPr>
            <w:r>
              <w:rPr>
                <w:rFonts w:ascii="Arial" w:cs="Arial" w:eastAsia="Arial" w:hAnsi="Arial"/>
                <w:sz w:val="15"/>
                <w:szCs w:val="15"/>
                <w:b w:val="1"/>
                <w:bCs w:val="1"/>
                <w:color w:val="auto"/>
              </w:rPr>
              <w:t>First</w:t>
            </w:r>
          </w:p>
        </w:tc>
        <w:tc>
          <w:tcPr>
            <w:tcW w:w="240" w:type="dxa"/>
            <w:vAlign w:val="bottom"/>
          </w:tcPr>
          <w:p>
            <w:pPr>
              <w:spacing w:after="0"/>
              <w:rPr>
                <w:sz w:val="17"/>
                <w:szCs w:val="17"/>
                <w:color w:val="auto"/>
              </w:rPr>
            </w:pPr>
          </w:p>
        </w:tc>
        <w:tc>
          <w:tcPr>
            <w:tcW w:w="1080" w:type="dxa"/>
            <w:vAlign w:val="bottom"/>
          </w:tcPr>
          <w:p>
            <w:pPr>
              <w:jc w:val="right"/>
              <w:ind w:right="444"/>
              <w:spacing w:after="0"/>
              <w:rPr>
                <w:sz w:val="20"/>
                <w:szCs w:val="20"/>
                <w:color w:val="auto"/>
              </w:rPr>
            </w:pPr>
            <w:r>
              <w:rPr>
                <w:rFonts w:ascii="Arial" w:cs="Arial" w:eastAsia="Arial" w:hAnsi="Arial"/>
                <w:sz w:val="15"/>
                <w:szCs w:val="15"/>
                <w:b w:val="1"/>
                <w:bCs w:val="1"/>
                <w:color w:val="auto"/>
                <w:w w:val="99"/>
              </w:rPr>
              <w:t>Second</w:t>
            </w:r>
          </w:p>
        </w:tc>
        <w:tc>
          <w:tcPr>
            <w:tcW w:w="400" w:type="dxa"/>
            <w:vAlign w:val="bottom"/>
          </w:tcPr>
          <w:p>
            <w:pPr>
              <w:spacing w:after="0"/>
              <w:rPr>
                <w:sz w:val="17"/>
                <w:szCs w:val="17"/>
                <w:color w:val="auto"/>
              </w:rPr>
            </w:pPr>
          </w:p>
        </w:tc>
        <w:tc>
          <w:tcPr>
            <w:tcW w:w="1300" w:type="dxa"/>
            <w:vAlign w:val="bottom"/>
          </w:tcPr>
          <w:p>
            <w:pPr>
              <w:jc w:val="right"/>
              <w:ind w:right="664"/>
              <w:spacing w:after="0"/>
              <w:rPr>
                <w:sz w:val="20"/>
                <w:szCs w:val="20"/>
                <w:color w:val="auto"/>
              </w:rPr>
            </w:pPr>
            <w:r>
              <w:rPr>
                <w:rFonts w:ascii="Arial" w:cs="Arial" w:eastAsia="Arial" w:hAnsi="Arial"/>
                <w:sz w:val="15"/>
                <w:szCs w:val="15"/>
                <w:b w:val="1"/>
                <w:bCs w:val="1"/>
                <w:color w:val="auto"/>
              </w:rPr>
              <w:t>Third</w:t>
            </w:r>
          </w:p>
        </w:tc>
        <w:tc>
          <w:tcPr>
            <w:tcW w:w="380" w:type="dxa"/>
            <w:vAlign w:val="bottom"/>
          </w:tcPr>
          <w:p>
            <w:pPr>
              <w:spacing w:after="0"/>
              <w:rPr>
                <w:sz w:val="17"/>
                <w:szCs w:val="17"/>
                <w:color w:val="auto"/>
              </w:rPr>
            </w:pPr>
          </w:p>
        </w:tc>
        <w:tc>
          <w:tcPr>
            <w:tcW w:w="1320" w:type="dxa"/>
            <w:vAlign w:val="bottom"/>
          </w:tcPr>
          <w:p>
            <w:pPr>
              <w:jc w:val="right"/>
              <w:ind w:right="524"/>
              <w:spacing w:after="0"/>
              <w:rPr>
                <w:sz w:val="20"/>
                <w:szCs w:val="20"/>
                <w:color w:val="auto"/>
              </w:rPr>
            </w:pPr>
            <w:r>
              <w:rPr>
                <w:rFonts w:ascii="Arial" w:cs="Arial" w:eastAsia="Arial" w:hAnsi="Arial"/>
                <w:sz w:val="15"/>
                <w:szCs w:val="15"/>
                <w:b w:val="1"/>
                <w:bCs w:val="1"/>
                <w:color w:val="auto"/>
              </w:rPr>
              <w:t>Fourth</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Ended</w:t>
            </w:r>
          </w:p>
        </w:tc>
      </w:tr>
      <w:tr>
        <w:trPr>
          <w:trHeight w:val="353"/>
        </w:trPr>
        <w:tc>
          <w:tcPr>
            <w:tcW w:w="3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w w:val="88"/>
              </w:rPr>
              <w:t>Quarter</w:t>
            </w:r>
            <w:r>
              <w:rPr>
                <w:rFonts w:ascii="Arial" w:cs="Arial" w:eastAsia="Arial" w:hAnsi="Arial"/>
                <w:sz w:val="30"/>
                <w:szCs w:val="30"/>
                <w:b w:val="1"/>
                <w:bCs w:val="1"/>
                <w:color w:val="auto"/>
                <w:w w:val="88"/>
                <w:vertAlign w:val="superscript"/>
              </w:rPr>
              <w:t>(1)</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w w:val="99"/>
              </w:rPr>
              <w:t>Quarter</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w w:val="91"/>
              </w:rPr>
              <w:t>Quarter</w:t>
            </w:r>
            <w:r>
              <w:rPr>
                <w:rFonts w:ascii="Arial" w:cs="Arial" w:eastAsia="Arial" w:hAnsi="Arial"/>
                <w:sz w:val="30"/>
                <w:szCs w:val="30"/>
                <w:b w:val="1"/>
                <w:bCs w:val="1"/>
                <w:color w:val="auto"/>
                <w:w w:val="91"/>
                <w:vertAlign w:val="superscript"/>
              </w:rPr>
              <w:t>(2)</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30"/>
                <w:szCs w:val="30"/>
                <w:b w:val="1"/>
                <w:bCs w:val="1"/>
                <w:color w:val="auto"/>
                <w:w w:val="87"/>
                <w:vertAlign w:val="subscript"/>
              </w:rPr>
              <w:t>Quarter</w:t>
            </w:r>
            <w:r>
              <w:rPr>
                <w:rFonts w:ascii="Arial" w:cs="Arial" w:eastAsia="Arial" w:hAnsi="Arial"/>
                <w:sz w:val="15"/>
                <w:szCs w:val="15"/>
                <w:b w:val="1"/>
                <w:bCs w:val="1"/>
                <w:color w:val="auto"/>
                <w:w w:val="87"/>
              </w:rPr>
              <w:t>(2)(3)(4)</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May 31,</w:t>
            </w:r>
          </w:p>
        </w:tc>
      </w:tr>
      <w:tr>
        <w:trPr>
          <w:trHeight w:val="292"/>
        </w:trPr>
        <w:tc>
          <w:tcPr>
            <w:tcW w:w="3380" w:type="dxa"/>
            <w:vAlign w:val="bottom"/>
          </w:tcPr>
          <w:p>
            <w:pPr>
              <w:spacing w:after="0"/>
              <w:rPr>
                <w:sz w:val="20"/>
                <w:szCs w:val="20"/>
                <w:color w:val="auto"/>
              </w:rPr>
            </w:pPr>
            <w:r>
              <w:rPr>
                <w:rFonts w:ascii="Arial" w:cs="Arial" w:eastAsia="Arial" w:hAnsi="Arial"/>
                <w:sz w:val="15"/>
                <w:szCs w:val="15"/>
                <w:b w:val="1"/>
                <w:bCs w:val="1"/>
                <w:color w:val="auto"/>
              </w:rPr>
              <w:t>2006</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6"/>
        </w:trPr>
        <w:tc>
          <w:tcPr>
            <w:tcW w:w="3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85"/>
        </w:trPr>
        <w:tc>
          <w:tcPr>
            <w:tcW w:w="3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10"/>
        </w:trPr>
        <w:tc>
          <w:tcPr>
            <w:tcW w:w="3380" w:type="dxa"/>
            <w:vAlign w:val="bottom"/>
            <w:shd w:val="clear" w:color="auto" w:fill="E6E6E6"/>
          </w:tcPr>
          <w:p>
            <w:pPr>
              <w:spacing w:after="0"/>
              <w:rPr>
                <w:sz w:val="20"/>
                <w:szCs w:val="20"/>
                <w:color w:val="auto"/>
              </w:rPr>
            </w:pPr>
            <w:r>
              <w:rPr>
                <w:rFonts w:ascii="Arial" w:cs="Arial" w:eastAsia="Arial" w:hAnsi="Arial"/>
                <w:sz w:val="15"/>
                <w:szCs w:val="15"/>
                <w:color w:val="auto"/>
              </w:rPr>
              <w:t>Revenues</w:t>
            </w:r>
          </w:p>
        </w:tc>
        <w:tc>
          <w:tcPr>
            <w:tcW w:w="10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498.4</w:t>
            </w: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696.7</w:t>
            </w:r>
          </w:p>
        </w:tc>
        <w:tc>
          <w:tcPr>
            <w:tcW w:w="4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487.7</w:t>
            </w:r>
          </w:p>
        </w:tc>
        <w:tc>
          <w:tcPr>
            <w:tcW w:w="3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601.0</w:t>
            </w:r>
          </w:p>
        </w:tc>
        <w:tc>
          <w:tcPr>
            <w:tcW w:w="4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2,283.8</w:t>
            </w:r>
          </w:p>
        </w:tc>
      </w:tr>
      <w:tr>
        <w:trPr>
          <w:trHeight w:val="210"/>
        </w:trPr>
        <w:tc>
          <w:tcPr>
            <w:tcW w:w="3380" w:type="dxa"/>
            <w:vAlign w:val="bottom"/>
          </w:tcPr>
          <w:p>
            <w:pPr>
              <w:spacing w:after="0"/>
              <w:rPr>
                <w:sz w:val="20"/>
                <w:szCs w:val="20"/>
                <w:color w:val="auto"/>
              </w:rPr>
            </w:pPr>
            <w:r>
              <w:rPr>
                <w:rFonts w:ascii="Arial" w:cs="Arial" w:eastAsia="Arial" w:hAnsi="Arial"/>
                <w:sz w:val="15"/>
                <w:szCs w:val="15"/>
                <w:color w:val="auto"/>
              </w:rPr>
              <w:t>Cost of goods sold</w:t>
            </w:r>
          </w:p>
        </w:tc>
        <w:tc>
          <w:tcPr>
            <w:tcW w:w="104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293.0</w:t>
            </w:r>
          </w:p>
        </w:tc>
        <w:tc>
          <w:tcPr>
            <w:tcW w:w="240" w:type="dxa"/>
            <w:vAlign w:val="bottom"/>
          </w:tcPr>
          <w:p>
            <w:pPr>
              <w:spacing w:after="0"/>
              <w:rPr>
                <w:sz w:val="18"/>
                <w:szCs w:val="18"/>
                <w:color w:val="auto"/>
              </w:rPr>
            </w:pP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302.0</w:t>
            </w:r>
          </w:p>
        </w:tc>
        <w:tc>
          <w:tcPr>
            <w:tcW w:w="400" w:type="dxa"/>
            <w:vAlign w:val="bottom"/>
          </w:tcPr>
          <w:p>
            <w:pPr>
              <w:spacing w:after="0"/>
              <w:rPr>
                <w:sz w:val="18"/>
                <w:szCs w:val="18"/>
                <w:color w:val="auto"/>
              </w:rPr>
            </w:pPr>
          </w:p>
        </w:tc>
        <w:tc>
          <w:tcPr>
            <w:tcW w:w="1300" w:type="dxa"/>
            <w:vAlign w:val="bottom"/>
          </w:tcPr>
          <w:p>
            <w:pPr>
              <w:jc w:val="right"/>
              <w:ind w:right="224"/>
              <w:spacing w:after="0"/>
              <w:rPr>
                <w:sz w:val="20"/>
                <w:szCs w:val="20"/>
                <w:color w:val="auto"/>
              </w:rPr>
            </w:pPr>
            <w:r>
              <w:rPr>
                <w:rFonts w:ascii="Arial" w:cs="Arial" w:eastAsia="Arial" w:hAnsi="Arial"/>
                <w:sz w:val="15"/>
                <w:szCs w:val="15"/>
                <w:color w:val="auto"/>
              </w:rPr>
              <w:t>244.6</w:t>
            </w:r>
          </w:p>
        </w:tc>
        <w:tc>
          <w:tcPr>
            <w:tcW w:w="380" w:type="dxa"/>
            <w:vAlign w:val="bottom"/>
          </w:tcPr>
          <w:p>
            <w:pPr>
              <w:spacing w:after="0"/>
              <w:rPr>
                <w:sz w:val="18"/>
                <w:szCs w:val="18"/>
                <w:color w:val="auto"/>
              </w:rPr>
            </w:pP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263.5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1,103.1</w:t>
            </w:r>
          </w:p>
        </w:tc>
      </w:tr>
      <w:tr>
        <w:trPr>
          <w:trHeight w:val="210"/>
        </w:trPr>
        <w:tc>
          <w:tcPr>
            <w:tcW w:w="3380" w:type="dxa"/>
            <w:vAlign w:val="bottom"/>
            <w:shd w:val="clear" w:color="auto" w:fill="E6E6E6"/>
          </w:tcPr>
          <w:p>
            <w:pPr>
              <w:spacing w:after="0"/>
              <w:rPr>
                <w:sz w:val="20"/>
                <w:szCs w:val="20"/>
                <w:color w:val="auto"/>
              </w:rPr>
            </w:pPr>
            <w:r>
              <w:rPr>
                <w:rFonts w:ascii="Arial" w:cs="Arial" w:eastAsia="Arial" w:hAnsi="Arial"/>
                <w:sz w:val="15"/>
                <w:szCs w:val="15"/>
                <w:color w:val="auto"/>
              </w:rPr>
              <w:t>Net income (loss)</w:t>
            </w:r>
          </w:p>
        </w:tc>
        <w:tc>
          <w:tcPr>
            <w:tcW w:w="1040" w:type="dxa"/>
            <w:vAlign w:val="bottom"/>
            <w:shd w:val="clear" w:color="auto" w:fill="E6E6E6"/>
          </w:tcPr>
          <w:p>
            <w:pPr>
              <w:spacing w:after="0"/>
              <w:rPr>
                <w:sz w:val="18"/>
                <w:szCs w:val="18"/>
                <w:color w:val="auto"/>
              </w:rPr>
            </w:pPr>
          </w:p>
        </w:tc>
        <w:tc>
          <w:tcPr>
            <w:tcW w:w="116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(21.2)</w:t>
            </w:r>
          </w:p>
        </w:tc>
        <w:tc>
          <w:tcPr>
            <w:tcW w:w="240" w:type="dxa"/>
            <w:vAlign w:val="bottom"/>
            <w:shd w:val="clear" w:color="auto" w:fill="E6E6E6"/>
          </w:tcPr>
          <w:p>
            <w:pPr>
              <w:spacing w:after="0"/>
              <w:rPr>
                <w:sz w:val="18"/>
                <w:szCs w:val="18"/>
                <w:color w:val="auto"/>
              </w:rPr>
            </w:pPr>
          </w:p>
        </w:tc>
        <w:tc>
          <w:tcPr>
            <w:tcW w:w="10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66.9</w:t>
            </w:r>
          </w:p>
        </w:tc>
        <w:tc>
          <w:tcPr>
            <w:tcW w:w="400" w:type="dxa"/>
            <w:vAlign w:val="bottom"/>
            <w:shd w:val="clear" w:color="auto" w:fill="E6E6E6"/>
          </w:tcPr>
          <w:p>
            <w:pPr>
              <w:spacing w:after="0"/>
              <w:rPr>
                <w:sz w:val="18"/>
                <w:szCs w:val="18"/>
                <w:color w:val="auto"/>
              </w:rPr>
            </w:pPr>
          </w:p>
        </w:tc>
        <w:tc>
          <w:tcPr>
            <w:tcW w:w="13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(15.5)</w:t>
            </w:r>
          </w:p>
        </w:tc>
        <w:tc>
          <w:tcPr>
            <w:tcW w:w="380" w:type="dxa"/>
            <w:vAlign w:val="bottom"/>
            <w:shd w:val="clear" w:color="auto" w:fill="E6E6E6"/>
          </w:tcPr>
          <w:p>
            <w:pPr>
              <w:spacing w:after="0"/>
              <w:rPr>
                <w:sz w:val="18"/>
                <w:szCs w:val="18"/>
                <w:color w:val="auto"/>
              </w:rPr>
            </w:pPr>
          </w:p>
        </w:tc>
        <w:tc>
          <w:tcPr>
            <w:tcW w:w="13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38.4</w:t>
            </w:r>
          </w:p>
        </w:tc>
        <w:tc>
          <w:tcPr>
            <w:tcW w:w="400" w:type="dxa"/>
            <w:vAlign w:val="bottom"/>
            <w:shd w:val="clear" w:color="auto" w:fill="E6E6E6"/>
          </w:tcPr>
          <w:p>
            <w:pPr>
              <w:spacing w:after="0"/>
              <w:rPr>
                <w:sz w:val="18"/>
                <w:szCs w:val="18"/>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68.6</w:t>
            </w:r>
          </w:p>
        </w:tc>
      </w:tr>
      <w:tr>
        <w:trPr>
          <w:trHeight w:val="219"/>
        </w:trPr>
        <w:tc>
          <w:tcPr>
            <w:tcW w:w="3380" w:type="dxa"/>
            <w:vAlign w:val="bottom"/>
          </w:tcPr>
          <w:p>
            <w:pPr>
              <w:spacing w:after="0"/>
              <w:rPr>
                <w:sz w:val="20"/>
                <w:szCs w:val="20"/>
                <w:color w:val="auto"/>
              </w:rPr>
            </w:pPr>
            <w:r>
              <w:rPr>
                <w:rFonts w:ascii="Arial" w:cs="Arial" w:eastAsia="Arial" w:hAnsi="Arial"/>
                <w:sz w:val="15"/>
                <w:szCs w:val="15"/>
                <w:color w:val="auto"/>
              </w:rPr>
              <w:t>Earnings (loss) per share of Class A</w:t>
            </w: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1"/>
        </w:trPr>
        <w:tc>
          <w:tcPr>
            <w:tcW w:w="3380" w:type="dxa"/>
            <w:vAlign w:val="bottom"/>
          </w:tcPr>
          <w:p>
            <w:pPr>
              <w:ind w:left="200"/>
              <w:spacing w:after="0"/>
              <w:rPr>
                <w:sz w:val="20"/>
                <w:szCs w:val="20"/>
                <w:color w:val="auto"/>
              </w:rPr>
            </w:pPr>
            <w:r>
              <w:rPr>
                <w:rFonts w:ascii="Arial" w:cs="Arial" w:eastAsia="Arial" w:hAnsi="Arial"/>
                <w:sz w:val="15"/>
                <w:szCs w:val="15"/>
                <w:color w:val="auto"/>
              </w:rPr>
              <w:t>and Common Stock:</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3380" w:type="dxa"/>
            <w:vAlign w:val="bottom"/>
            <w:shd w:val="clear" w:color="auto" w:fill="E6E6E6"/>
          </w:tcPr>
          <w:p>
            <w:pPr>
              <w:ind w:left="420"/>
              <w:spacing w:after="0" w:line="210" w:lineRule="exact"/>
              <w:rPr>
                <w:sz w:val="20"/>
                <w:szCs w:val="20"/>
                <w:color w:val="auto"/>
              </w:rPr>
            </w:pPr>
            <w:r>
              <w:rPr>
                <w:rFonts w:ascii="Arial" w:cs="Arial" w:eastAsia="Arial" w:hAnsi="Arial"/>
                <w:sz w:val="15"/>
                <w:szCs w:val="15"/>
                <w:color w:val="auto"/>
              </w:rPr>
              <w:t>Basic</w:t>
            </w:r>
            <w:r>
              <w:rPr>
                <w:rFonts w:ascii="Arial" w:cs="Arial" w:eastAsia="Arial" w:hAnsi="Arial"/>
                <w:sz w:val="24"/>
                <w:szCs w:val="24"/>
                <w:color w:val="auto"/>
                <w:vertAlign w:val="superscript"/>
              </w:rPr>
              <w:t>(5)</w:t>
            </w:r>
          </w:p>
        </w:tc>
        <w:tc>
          <w:tcPr>
            <w:tcW w:w="10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(0.52)</w:t>
            </w: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1.61</w:t>
            </w:r>
          </w:p>
        </w:tc>
        <w:tc>
          <w:tcPr>
            <w:tcW w:w="4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(0.37)</w:t>
            </w:r>
          </w:p>
        </w:tc>
        <w:tc>
          <w:tcPr>
            <w:tcW w:w="3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0.92</w:t>
            </w:r>
          </w:p>
        </w:tc>
        <w:tc>
          <w:tcPr>
            <w:tcW w:w="4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1.65</w:t>
            </w:r>
          </w:p>
        </w:tc>
      </w:tr>
      <w:tr>
        <w:trPr>
          <w:trHeight w:val="389"/>
        </w:trPr>
        <w:tc>
          <w:tcPr>
            <w:tcW w:w="3380" w:type="dxa"/>
            <w:vAlign w:val="bottom"/>
          </w:tcPr>
          <w:p>
            <w:pPr>
              <w:ind w:left="420"/>
              <w:spacing w:after="0"/>
              <w:rPr>
                <w:sz w:val="20"/>
                <w:szCs w:val="20"/>
                <w:color w:val="auto"/>
              </w:rPr>
            </w:pPr>
            <w:r>
              <w:rPr>
                <w:rFonts w:ascii="Arial" w:cs="Arial" w:eastAsia="Arial" w:hAnsi="Arial"/>
                <w:sz w:val="15"/>
                <w:szCs w:val="15"/>
                <w:color w:val="auto"/>
              </w:rPr>
              <w:t>Diluted</w:t>
            </w:r>
            <w:r>
              <w:rPr>
                <w:rFonts w:ascii="Arial" w:cs="Arial" w:eastAsia="Arial" w:hAnsi="Arial"/>
                <w:sz w:val="30"/>
                <w:szCs w:val="30"/>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(0.52)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1.58</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164"/>
              <w:spacing w:after="0"/>
              <w:rPr>
                <w:sz w:val="20"/>
                <w:szCs w:val="20"/>
                <w:color w:val="auto"/>
              </w:rPr>
            </w:pPr>
            <w:r>
              <w:rPr>
                <w:rFonts w:ascii="Arial" w:cs="Arial" w:eastAsia="Arial" w:hAnsi="Arial"/>
                <w:sz w:val="15"/>
                <w:szCs w:val="15"/>
                <w:color w:val="auto"/>
              </w:rPr>
              <w:t>(0.37)</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0.91</w:t>
            </w:r>
          </w:p>
        </w:tc>
        <w:tc>
          <w:tcPr>
            <w:tcW w:w="4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1.63</w:t>
            </w:r>
          </w:p>
        </w:tc>
      </w:tr>
      <w:tr>
        <w:trPr>
          <w:trHeight w:val="158"/>
        </w:trPr>
        <w:tc>
          <w:tcPr>
            <w:tcW w:w="3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292"/>
        </w:trPr>
        <w:tc>
          <w:tcPr>
            <w:tcW w:w="3380" w:type="dxa"/>
            <w:vAlign w:val="bottom"/>
          </w:tcPr>
          <w:p>
            <w:pPr>
              <w:spacing w:after="0"/>
              <w:rPr>
                <w:sz w:val="20"/>
                <w:szCs w:val="20"/>
                <w:color w:val="auto"/>
              </w:rPr>
            </w:pPr>
            <w:r>
              <w:rPr>
                <w:rFonts w:ascii="Arial" w:cs="Arial" w:eastAsia="Arial" w:hAnsi="Arial"/>
                <w:sz w:val="15"/>
                <w:szCs w:val="15"/>
                <w:b w:val="1"/>
                <w:bCs w:val="1"/>
                <w:color w:val="auto"/>
              </w:rPr>
              <w:t>2005</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6"/>
        </w:trPr>
        <w:tc>
          <w:tcPr>
            <w:tcW w:w="3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85"/>
        </w:trPr>
        <w:tc>
          <w:tcPr>
            <w:tcW w:w="3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10"/>
        </w:trPr>
        <w:tc>
          <w:tcPr>
            <w:tcW w:w="3380" w:type="dxa"/>
            <w:vAlign w:val="bottom"/>
            <w:shd w:val="clear" w:color="auto" w:fill="E6E6E6"/>
          </w:tcPr>
          <w:p>
            <w:pPr>
              <w:spacing w:after="0"/>
              <w:rPr>
                <w:sz w:val="20"/>
                <w:szCs w:val="20"/>
                <w:color w:val="auto"/>
              </w:rPr>
            </w:pPr>
            <w:r>
              <w:rPr>
                <w:rFonts w:ascii="Arial" w:cs="Arial" w:eastAsia="Arial" w:hAnsi="Arial"/>
                <w:sz w:val="15"/>
                <w:szCs w:val="15"/>
                <w:color w:val="auto"/>
              </w:rPr>
              <w:t>Revenues</w:t>
            </w:r>
          </w:p>
        </w:tc>
        <w:tc>
          <w:tcPr>
            <w:tcW w:w="10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rPr>
              <w:t>323.7</w:t>
            </w: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683.3</w:t>
            </w:r>
          </w:p>
        </w:tc>
        <w:tc>
          <w:tcPr>
            <w:tcW w:w="4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480.8</w:t>
            </w:r>
          </w:p>
        </w:tc>
        <w:tc>
          <w:tcPr>
            <w:tcW w:w="3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592.1</w:t>
            </w:r>
          </w:p>
        </w:tc>
        <w:tc>
          <w:tcPr>
            <w:tcW w:w="4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2,079.9</w:t>
            </w:r>
          </w:p>
        </w:tc>
      </w:tr>
      <w:tr>
        <w:trPr>
          <w:trHeight w:val="210"/>
        </w:trPr>
        <w:tc>
          <w:tcPr>
            <w:tcW w:w="3380" w:type="dxa"/>
            <w:vAlign w:val="bottom"/>
          </w:tcPr>
          <w:p>
            <w:pPr>
              <w:spacing w:after="0"/>
              <w:rPr>
                <w:sz w:val="20"/>
                <w:szCs w:val="20"/>
                <w:color w:val="auto"/>
              </w:rPr>
            </w:pPr>
            <w:r>
              <w:rPr>
                <w:rFonts w:ascii="Arial" w:cs="Arial" w:eastAsia="Arial" w:hAnsi="Arial"/>
                <w:sz w:val="15"/>
                <w:szCs w:val="15"/>
                <w:color w:val="auto"/>
              </w:rPr>
              <w:t>Cost of goods sold</w:t>
            </w:r>
          </w:p>
        </w:tc>
        <w:tc>
          <w:tcPr>
            <w:tcW w:w="104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176.8</w:t>
            </w:r>
          </w:p>
        </w:tc>
        <w:tc>
          <w:tcPr>
            <w:tcW w:w="240" w:type="dxa"/>
            <w:vAlign w:val="bottom"/>
          </w:tcPr>
          <w:p>
            <w:pPr>
              <w:spacing w:after="0"/>
              <w:rPr>
                <w:sz w:val="18"/>
                <w:szCs w:val="18"/>
                <w:color w:val="auto"/>
              </w:rPr>
            </w:pP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304.5</w:t>
            </w:r>
          </w:p>
        </w:tc>
        <w:tc>
          <w:tcPr>
            <w:tcW w:w="400" w:type="dxa"/>
            <w:vAlign w:val="bottom"/>
          </w:tcPr>
          <w:p>
            <w:pPr>
              <w:spacing w:after="0"/>
              <w:rPr>
                <w:sz w:val="18"/>
                <w:szCs w:val="18"/>
                <w:color w:val="auto"/>
              </w:rPr>
            </w:pPr>
          </w:p>
        </w:tc>
        <w:tc>
          <w:tcPr>
            <w:tcW w:w="1300" w:type="dxa"/>
            <w:vAlign w:val="bottom"/>
          </w:tcPr>
          <w:p>
            <w:pPr>
              <w:jc w:val="right"/>
              <w:ind w:right="224"/>
              <w:spacing w:after="0"/>
              <w:rPr>
                <w:sz w:val="20"/>
                <w:szCs w:val="20"/>
                <w:color w:val="auto"/>
              </w:rPr>
            </w:pPr>
            <w:r>
              <w:rPr>
                <w:rFonts w:ascii="Arial" w:cs="Arial" w:eastAsia="Arial" w:hAnsi="Arial"/>
                <w:sz w:val="15"/>
                <w:szCs w:val="15"/>
                <w:color w:val="auto"/>
              </w:rPr>
              <w:t>236.5</w:t>
            </w:r>
          </w:p>
        </w:tc>
        <w:tc>
          <w:tcPr>
            <w:tcW w:w="380" w:type="dxa"/>
            <w:vAlign w:val="bottom"/>
          </w:tcPr>
          <w:p>
            <w:pPr>
              <w:spacing w:after="0"/>
              <w:rPr>
                <w:sz w:val="18"/>
                <w:szCs w:val="18"/>
                <w:color w:val="auto"/>
              </w:rPr>
            </w:pP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261.2</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979.0</w:t>
            </w:r>
          </w:p>
        </w:tc>
      </w:tr>
      <w:tr>
        <w:trPr>
          <w:trHeight w:val="210"/>
        </w:trPr>
        <w:tc>
          <w:tcPr>
            <w:tcW w:w="3380" w:type="dxa"/>
            <w:vAlign w:val="bottom"/>
            <w:shd w:val="clear" w:color="auto" w:fill="E6E6E6"/>
          </w:tcPr>
          <w:p>
            <w:pPr>
              <w:spacing w:after="0"/>
              <w:rPr>
                <w:sz w:val="20"/>
                <w:szCs w:val="20"/>
                <w:color w:val="auto"/>
              </w:rPr>
            </w:pPr>
            <w:r>
              <w:rPr>
                <w:rFonts w:ascii="Arial" w:cs="Arial" w:eastAsia="Arial" w:hAnsi="Arial"/>
                <w:sz w:val="15"/>
                <w:szCs w:val="15"/>
                <w:color w:val="auto"/>
              </w:rPr>
              <w:t>Net income (loss)</w:t>
            </w:r>
          </w:p>
        </w:tc>
        <w:tc>
          <w:tcPr>
            <w:tcW w:w="1040" w:type="dxa"/>
            <w:vAlign w:val="bottom"/>
            <w:shd w:val="clear" w:color="auto" w:fill="E6E6E6"/>
          </w:tcPr>
          <w:p>
            <w:pPr>
              <w:spacing w:after="0"/>
              <w:rPr>
                <w:sz w:val="18"/>
                <w:szCs w:val="18"/>
                <w:color w:val="auto"/>
              </w:rPr>
            </w:pPr>
          </w:p>
        </w:tc>
        <w:tc>
          <w:tcPr>
            <w:tcW w:w="116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(50.5)</w:t>
            </w:r>
          </w:p>
        </w:tc>
        <w:tc>
          <w:tcPr>
            <w:tcW w:w="240" w:type="dxa"/>
            <w:vAlign w:val="bottom"/>
            <w:shd w:val="clear" w:color="auto" w:fill="E6E6E6"/>
          </w:tcPr>
          <w:p>
            <w:pPr>
              <w:spacing w:after="0"/>
              <w:rPr>
                <w:sz w:val="18"/>
                <w:szCs w:val="18"/>
                <w:color w:val="auto"/>
              </w:rPr>
            </w:pPr>
          </w:p>
        </w:tc>
        <w:tc>
          <w:tcPr>
            <w:tcW w:w="10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72.5</w:t>
            </w:r>
          </w:p>
        </w:tc>
        <w:tc>
          <w:tcPr>
            <w:tcW w:w="400" w:type="dxa"/>
            <w:vAlign w:val="bottom"/>
            <w:shd w:val="clear" w:color="auto" w:fill="E6E6E6"/>
          </w:tcPr>
          <w:p>
            <w:pPr>
              <w:spacing w:after="0"/>
              <w:rPr>
                <w:sz w:val="18"/>
                <w:szCs w:val="18"/>
                <w:color w:val="auto"/>
              </w:rPr>
            </w:pPr>
          </w:p>
        </w:tc>
        <w:tc>
          <w:tcPr>
            <w:tcW w:w="13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(0.8)</w:t>
            </w:r>
          </w:p>
        </w:tc>
        <w:tc>
          <w:tcPr>
            <w:tcW w:w="380" w:type="dxa"/>
            <w:vAlign w:val="bottom"/>
            <w:shd w:val="clear" w:color="auto" w:fill="E6E6E6"/>
          </w:tcPr>
          <w:p>
            <w:pPr>
              <w:spacing w:after="0"/>
              <w:rPr>
                <w:sz w:val="18"/>
                <w:szCs w:val="18"/>
                <w:color w:val="auto"/>
              </w:rPr>
            </w:pPr>
          </w:p>
        </w:tc>
        <w:tc>
          <w:tcPr>
            <w:tcW w:w="13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43.1</w:t>
            </w:r>
          </w:p>
        </w:tc>
        <w:tc>
          <w:tcPr>
            <w:tcW w:w="400" w:type="dxa"/>
            <w:vAlign w:val="bottom"/>
            <w:shd w:val="clear" w:color="auto" w:fill="E6E6E6"/>
          </w:tcPr>
          <w:p>
            <w:pPr>
              <w:spacing w:after="0"/>
              <w:rPr>
                <w:sz w:val="18"/>
                <w:szCs w:val="18"/>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64.3</w:t>
            </w:r>
          </w:p>
        </w:tc>
      </w:tr>
      <w:tr>
        <w:trPr>
          <w:trHeight w:val="219"/>
        </w:trPr>
        <w:tc>
          <w:tcPr>
            <w:tcW w:w="3380" w:type="dxa"/>
            <w:vAlign w:val="bottom"/>
          </w:tcPr>
          <w:p>
            <w:pPr>
              <w:spacing w:after="0"/>
              <w:rPr>
                <w:sz w:val="20"/>
                <w:szCs w:val="20"/>
                <w:color w:val="auto"/>
              </w:rPr>
            </w:pPr>
            <w:r>
              <w:rPr>
                <w:rFonts w:ascii="Arial" w:cs="Arial" w:eastAsia="Arial" w:hAnsi="Arial"/>
                <w:sz w:val="15"/>
                <w:szCs w:val="15"/>
                <w:color w:val="auto"/>
              </w:rPr>
              <w:t>Earnings (loss) per share of Class A</w:t>
            </w: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1"/>
        </w:trPr>
        <w:tc>
          <w:tcPr>
            <w:tcW w:w="3380" w:type="dxa"/>
            <w:vAlign w:val="bottom"/>
          </w:tcPr>
          <w:p>
            <w:pPr>
              <w:ind w:left="200"/>
              <w:spacing w:after="0"/>
              <w:rPr>
                <w:sz w:val="20"/>
                <w:szCs w:val="20"/>
                <w:color w:val="auto"/>
              </w:rPr>
            </w:pPr>
            <w:r>
              <w:rPr>
                <w:rFonts w:ascii="Arial" w:cs="Arial" w:eastAsia="Arial" w:hAnsi="Arial"/>
                <w:sz w:val="15"/>
                <w:szCs w:val="15"/>
                <w:color w:val="auto"/>
              </w:rPr>
              <w:t>and Common Stock:</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3380" w:type="dxa"/>
            <w:vAlign w:val="bottom"/>
            <w:shd w:val="clear" w:color="auto" w:fill="E6E6E6"/>
          </w:tcPr>
          <w:p>
            <w:pPr>
              <w:ind w:left="420"/>
              <w:spacing w:after="0"/>
              <w:rPr>
                <w:sz w:val="20"/>
                <w:szCs w:val="20"/>
                <w:color w:val="auto"/>
              </w:rPr>
            </w:pPr>
            <w:r>
              <w:rPr>
                <w:rFonts w:ascii="Arial" w:cs="Arial" w:eastAsia="Arial" w:hAnsi="Arial"/>
                <w:sz w:val="15"/>
                <w:szCs w:val="15"/>
                <w:color w:val="auto"/>
              </w:rPr>
              <w:t>Basic</w:t>
            </w:r>
          </w:p>
        </w:tc>
        <w:tc>
          <w:tcPr>
            <w:tcW w:w="10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rPr>
              <w:t>(1.28)</w:t>
            </w:r>
          </w:p>
        </w:tc>
        <w:tc>
          <w:tcPr>
            <w:tcW w:w="2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1.83</w:t>
            </w:r>
          </w:p>
        </w:tc>
        <w:tc>
          <w:tcPr>
            <w:tcW w:w="4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E6E6E6"/>
          </w:tcPr>
          <w:p>
            <w:pPr>
              <w:jc w:val="right"/>
              <w:ind w:right="164"/>
              <w:spacing w:after="0"/>
              <w:rPr>
                <w:sz w:val="20"/>
                <w:szCs w:val="20"/>
                <w:color w:val="auto"/>
              </w:rPr>
            </w:pPr>
            <w:r>
              <w:rPr>
                <w:rFonts w:ascii="Arial" w:cs="Arial" w:eastAsia="Arial" w:hAnsi="Arial"/>
                <w:sz w:val="15"/>
                <w:szCs w:val="15"/>
                <w:color w:val="auto"/>
              </w:rPr>
              <w:t>(0.02)</w:t>
            </w:r>
          </w:p>
        </w:tc>
        <w:tc>
          <w:tcPr>
            <w:tcW w:w="3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E6E6E6"/>
          </w:tcPr>
          <w:p>
            <w:pPr>
              <w:jc w:val="right"/>
              <w:ind w:right="144"/>
              <w:spacing w:after="0"/>
              <w:rPr>
                <w:sz w:val="20"/>
                <w:szCs w:val="20"/>
                <w:color w:val="auto"/>
              </w:rPr>
            </w:pPr>
            <w:r>
              <w:rPr>
                <w:rFonts w:ascii="Arial" w:cs="Arial" w:eastAsia="Arial" w:hAnsi="Arial"/>
                <w:sz w:val="15"/>
                <w:szCs w:val="15"/>
                <w:color w:val="auto"/>
              </w:rPr>
              <w:t>1.06</w:t>
            </w:r>
          </w:p>
        </w:tc>
        <w:tc>
          <w:tcPr>
            <w:tcW w:w="40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1.61</w:t>
            </w:r>
          </w:p>
        </w:tc>
      </w:tr>
      <w:tr>
        <w:trPr>
          <w:trHeight w:val="219"/>
        </w:trPr>
        <w:tc>
          <w:tcPr>
            <w:tcW w:w="3380" w:type="dxa"/>
            <w:vAlign w:val="bottom"/>
          </w:tcPr>
          <w:p>
            <w:pPr>
              <w:ind w:left="420"/>
              <w:spacing w:after="0"/>
              <w:rPr>
                <w:sz w:val="20"/>
                <w:szCs w:val="20"/>
                <w:color w:val="auto"/>
              </w:rPr>
            </w:pPr>
            <w:r>
              <w:rPr>
                <w:rFonts w:ascii="Arial" w:cs="Arial" w:eastAsia="Arial" w:hAnsi="Arial"/>
                <w:sz w:val="15"/>
                <w:szCs w:val="15"/>
                <w:color w:val="auto"/>
              </w:rPr>
              <w:t>Diluted</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(1.28)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24"/>
              <w:spacing w:after="0"/>
              <w:rPr>
                <w:sz w:val="20"/>
                <w:szCs w:val="20"/>
                <w:color w:val="auto"/>
              </w:rPr>
            </w:pPr>
            <w:r>
              <w:rPr>
                <w:rFonts w:ascii="Arial" w:cs="Arial" w:eastAsia="Arial" w:hAnsi="Arial"/>
                <w:sz w:val="15"/>
                <w:szCs w:val="15"/>
                <w:color w:val="auto"/>
              </w:rPr>
              <w:t>1.80</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164"/>
              <w:spacing w:after="0"/>
              <w:rPr>
                <w:sz w:val="20"/>
                <w:szCs w:val="20"/>
                <w:color w:val="auto"/>
              </w:rPr>
            </w:pPr>
            <w:r>
              <w:rPr>
                <w:rFonts w:ascii="Arial" w:cs="Arial" w:eastAsia="Arial" w:hAnsi="Arial"/>
                <w:sz w:val="15"/>
                <w:szCs w:val="15"/>
                <w:color w:val="auto"/>
              </w:rPr>
              <w:t>(0.02)</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1.03</w:t>
            </w:r>
          </w:p>
        </w:tc>
        <w:tc>
          <w:tcPr>
            <w:tcW w:w="4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1.58</w:t>
            </w:r>
          </w:p>
        </w:tc>
      </w:tr>
      <w:tr>
        <w:trPr>
          <w:trHeight w:val="84"/>
        </w:trPr>
        <w:tc>
          <w:tcPr>
            <w:tcW w:w="33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r>
    </w:tbl>
    <w:p>
      <w:pPr>
        <w:spacing w:after="0" w:line="119" w:lineRule="exact"/>
        <w:rPr>
          <w:sz w:val="20"/>
          <w:szCs w:val="20"/>
          <w:color w:val="auto"/>
        </w:rPr>
      </w:pPr>
    </w:p>
    <w:p>
      <w:pPr>
        <w:ind w:left="7"/>
        <w:spacing w:after="0"/>
        <w:rPr>
          <w:sz w:val="20"/>
          <w:szCs w:val="20"/>
          <w:color w:val="auto"/>
        </w:rPr>
      </w:pPr>
      <w:r>
        <w:rPr>
          <w:rFonts w:ascii="Arial" w:cs="Arial" w:eastAsia="Arial" w:hAnsi="Arial"/>
          <w:sz w:val="15"/>
          <w:szCs w:val="15"/>
          <w:color w:val="auto"/>
        </w:rPr>
        <w:t>Certain prior year period amounts have been reclassified to conform with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26567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ind w:left="487" w:hanging="487"/>
        <w:spacing w:after="0"/>
        <w:tabs>
          <w:tab w:leader="none" w:pos="48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first quarter of fiscal 2005 includes additional pre-tax charges of $3.6, or $0.06 per diluted share, in connection with the Company’s prior year review of its continuity business.</w:t>
      </w:r>
    </w:p>
    <w:p>
      <w:pPr>
        <w:spacing w:after="0" w:line="199" w:lineRule="exact"/>
        <w:rPr>
          <w:rFonts w:ascii="Arial" w:cs="Arial" w:eastAsia="Arial" w:hAnsi="Arial"/>
          <w:sz w:val="12"/>
          <w:szCs w:val="12"/>
          <w:color w:val="auto"/>
        </w:rPr>
      </w:pPr>
    </w:p>
    <w:p>
      <w:pPr>
        <w:ind w:left="487" w:hanging="487"/>
        <w:spacing w:after="0"/>
        <w:tabs>
          <w:tab w:leader="none" w:pos="487"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third and fourth quarters of fiscal 2006 include pre-tax bad debt expense of $1.5, or $0.02 per diluted share, and $1.4, or $0.02 per diluted share, respectively, associated with the bankruptcy of a customer.</w:t>
      </w:r>
    </w:p>
    <w:p>
      <w:pPr>
        <w:spacing w:after="0" w:line="222" w:lineRule="exact"/>
        <w:rPr>
          <w:rFonts w:ascii="Arial" w:cs="Arial" w:eastAsia="Arial" w:hAnsi="Arial"/>
          <w:sz w:val="10"/>
          <w:szCs w:val="10"/>
          <w:color w:val="auto"/>
        </w:rPr>
      </w:pPr>
    </w:p>
    <w:p>
      <w:pPr>
        <w:ind w:left="487" w:hanging="487"/>
        <w:spacing w:after="0"/>
        <w:tabs>
          <w:tab w:leader="none" w:pos="48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fourth quarter of fiscal 2006 includes pre-tax costs of $3.2, or $0.05 per diluted share, related to the write-down of certain print reference set assets.</w:t>
      </w:r>
    </w:p>
    <w:p>
      <w:pPr>
        <w:spacing w:after="0" w:line="199" w:lineRule="exact"/>
        <w:rPr>
          <w:rFonts w:ascii="Arial" w:cs="Arial" w:eastAsia="Arial" w:hAnsi="Arial"/>
          <w:sz w:val="12"/>
          <w:szCs w:val="12"/>
          <w:color w:val="auto"/>
        </w:rPr>
      </w:pPr>
    </w:p>
    <w:p>
      <w:pPr>
        <w:ind w:left="487" w:hanging="487"/>
        <w:spacing w:after="0"/>
        <w:tabs>
          <w:tab w:leader="none" w:pos="48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fourth quarter of fiscal 2005 includes additional pre-tax charges of $0.2 in connection with the Company’s prior year review of its continuity business.</w:t>
      </w:r>
    </w:p>
    <w:p>
      <w:pPr>
        <w:spacing w:after="0" w:line="199" w:lineRule="exact"/>
        <w:rPr>
          <w:rFonts w:ascii="Arial" w:cs="Arial" w:eastAsia="Arial" w:hAnsi="Arial"/>
          <w:sz w:val="12"/>
          <w:szCs w:val="12"/>
          <w:color w:val="auto"/>
        </w:rPr>
      </w:pPr>
    </w:p>
    <w:p>
      <w:pPr>
        <w:ind w:left="487" w:right="160" w:hanging="487"/>
        <w:spacing w:after="0" w:line="227" w:lineRule="auto"/>
        <w:tabs>
          <w:tab w:leader="none" w:pos="48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Company has restated certain earnings per share information included in its previously issued fiscal 2006 interim consolidated financial statements to correct calculation errors. The restatement resulted in a decrease of diluted earnings per share of $0.01 for the second quarter of fiscal 2006. The restatement also resulted in a $0.01 decrease in basic earnings per share and a $0.02 decrease in diluted earnings per share for both the six and nine month periods ended November 30, 2005 and February 28, 2006, respectively. All other earnings (loss) per share information included in the Company’s previously issued fiscal 2006 interim consolidated financial statements was unaffected by the restatement.</w:t>
      </w:r>
    </w:p>
    <w:p>
      <w:pPr>
        <w:spacing w:after="0" w:line="372" w:lineRule="exact"/>
        <w:rPr>
          <w:sz w:val="20"/>
          <w:szCs w:val="20"/>
          <w:color w:val="auto"/>
        </w:rPr>
      </w:pPr>
    </w:p>
    <w:p>
      <w:pPr>
        <w:ind w:left="7"/>
        <w:spacing w:after="0"/>
        <w:tabs>
          <w:tab w:leader="none" w:pos="966" w:val="left"/>
        </w:tabs>
        <w:rPr>
          <w:sz w:val="20"/>
          <w:szCs w:val="20"/>
          <w:color w:val="auto"/>
        </w:rPr>
      </w:pPr>
      <w:r>
        <w:rPr>
          <w:rFonts w:ascii="Arial" w:cs="Arial" w:eastAsia="Arial" w:hAnsi="Arial"/>
          <w:sz w:val="15"/>
          <w:szCs w:val="15"/>
          <w:b w:val="1"/>
          <w:bCs w:val="1"/>
          <w:color w:val="auto"/>
        </w:rPr>
        <w:t>Item 9 |</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97" w:lineRule="exact"/>
        <w:rPr>
          <w:sz w:val="20"/>
          <w:szCs w:val="20"/>
          <w:color w:val="auto"/>
        </w:rPr>
      </w:pPr>
    </w:p>
    <w:p>
      <w:pPr>
        <w:ind w:left="7"/>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132080</wp:posOffset>
            </wp:positionV>
            <wp:extent cx="1938655" cy="3403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7"/>
          </w:cols>
          <w:pgMar w:left="233" w:top="152" w:right="219" w:bottom="1440" w:gutter="0" w:footer="0" w:header="0"/>
        </w:sectPr>
      </w:pPr>
    </w:p>
    <w:bookmarkStart w:id="66" w:name="page67"/>
    <w:bookmarkEnd w:id="66"/>
    <w:p>
      <w:pPr>
        <w:spacing w:after="0"/>
        <w:tabs>
          <w:tab w:leader="none" w:pos="1060" w:val="left"/>
        </w:tabs>
        <w:rPr>
          <w:sz w:val="20"/>
          <w:szCs w:val="20"/>
          <w:color w:val="auto"/>
        </w:rPr>
      </w:pPr>
      <w:r>
        <w:rPr>
          <w:rFonts w:ascii="Arial" w:cs="Arial" w:eastAsia="Arial" w:hAnsi="Arial"/>
          <w:sz w:val="15"/>
          <w:szCs w:val="15"/>
          <w:b w:val="1"/>
          <w:bCs w:val="1"/>
          <w:color w:val="auto"/>
        </w:rPr>
        <w:t>Item 9A |</w:t>
      </w:r>
      <w:r>
        <w:rPr>
          <w:sz w:val="20"/>
          <w:szCs w:val="20"/>
          <w:color w:val="auto"/>
        </w:rPr>
        <w:tab/>
      </w:r>
      <w:r>
        <w:rPr>
          <w:rFonts w:ascii="Arial" w:cs="Arial" w:eastAsia="Arial" w:hAnsi="Arial"/>
          <w:sz w:val="15"/>
          <w:szCs w:val="15"/>
          <w:b w:val="1"/>
          <w:bCs w:val="1"/>
          <w:color w:val="auto"/>
        </w:rPr>
        <w:t>Controls and Procedures</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2006,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 xml:space="preserve">The management of the Company is responsible for establishing and maintaining adequate internal control over financial reporting for the Corporation.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Corporation’s Chief Executive Officer and Chief Financial Officer, after conducting an evaluation, together with other members of Scholastic management, of the effectiveness of the Corporation’s internal control over financial reporting based on the framework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w:t>
      </w:r>
      <w:r>
        <w:rPr>
          <w:rFonts w:ascii="Arial" w:cs="Arial" w:eastAsia="Arial" w:hAnsi="Arial"/>
          <w:sz w:val="15"/>
          <w:szCs w:val="15"/>
          <w:i w:val="1"/>
          <w:iCs w:val="1"/>
          <w:color w:val="auto"/>
        </w:rPr>
        <w:t>issued by the Committee of Sponsoring Organizations of the Treadway Commission</w:t>
      </w:r>
      <w:r>
        <w:rPr>
          <w:rFonts w:ascii="Arial" w:cs="Arial" w:eastAsia="Arial" w:hAnsi="Arial"/>
          <w:sz w:val="15"/>
          <w:szCs w:val="15"/>
          <w:color w:val="auto"/>
        </w:rPr>
        <w:t>, concluded that the Corporation’s internal control over financial reporting was effective as of May 31,</w:t>
      </w:r>
      <w:r>
        <w:rPr>
          <w:rFonts w:ascii="Arial" w:cs="Arial" w:eastAsia="Arial" w:hAnsi="Arial"/>
          <w:sz w:val="15"/>
          <w:szCs w:val="15"/>
          <w:i w:val="1"/>
          <w:iCs w:val="1"/>
          <w:color w:val="auto"/>
        </w:rPr>
        <w:t xml:space="preserve"> </w:t>
      </w:r>
      <w:r>
        <w:rPr>
          <w:rFonts w:ascii="Arial" w:cs="Arial" w:eastAsia="Arial" w:hAnsi="Arial"/>
          <w:sz w:val="15"/>
          <w:szCs w:val="15"/>
          <w:color w:val="auto"/>
        </w:rPr>
        <w:t>2006.</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Ernst &amp; Young LLP, an independent registered public accounting firm, has issued an attestation report on this assessment of the effectiveness of the Corporation’s internal control over financial reporting as of May 31, 2006, which is included herein. There was no change in the Corporation’s internal control over financial reporting that occurred during the quarter ended May 31, 2006 that materially affected, or is reasonably likely to materially affect, the Corporation’s internal control over financial reporting, except that the Corporation implemented a new computer-based order entry, customer service, accounts receivable and collection system for certain of the Company’s operations and, in connection with this implementation, designed and put into place new automated and manual internal control procedures to obtain reasonable assurance that sales transactions processed through the new system would be recorded in accordance with generally accepted accounting principles.</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9B |</w:t>
      </w:r>
      <w:r>
        <w:rPr>
          <w:sz w:val="20"/>
          <w:szCs w:val="20"/>
          <w:color w:val="auto"/>
        </w:rPr>
        <w:tab/>
      </w:r>
      <w:r>
        <w:rPr>
          <w:rFonts w:ascii="Arial" w:cs="Arial" w:eastAsia="Arial" w:hAnsi="Arial"/>
          <w:sz w:val="15"/>
          <w:szCs w:val="15"/>
          <w:b w:val="1"/>
          <w:bCs w:val="1"/>
          <w:color w:val="auto"/>
        </w:rPr>
        <w:t>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132080</wp:posOffset>
            </wp:positionV>
            <wp:extent cx="1938655" cy="3403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7" w:name="page68"/>
    <w:bookmarkEnd w:id="67"/>
    <w:p>
      <w:pPr>
        <w:jc w:val="center"/>
        <w:ind w:right="-319"/>
        <w:spacing w:after="0"/>
        <w:rPr>
          <w:sz w:val="20"/>
          <w:szCs w:val="20"/>
          <w:color w:val="auto"/>
        </w:rPr>
      </w:pPr>
      <w:r>
        <w:rPr>
          <w:rFonts w:ascii="Arial" w:cs="Arial" w:eastAsia="Arial" w:hAnsi="Arial"/>
          <w:sz w:val="37"/>
          <w:szCs w:val="37"/>
          <w:b w:val="1"/>
          <w:bCs w:val="1"/>
          <w:color w:val="auto"/>
        </w:rPr>
        <w:t>Part III</w:t>
      </w:r>
    </w:p>
    <w:p>
      <w:pPr>
        <w:spacing w:after="0" w:line="213"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10 |</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197"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Information required by this item is incorporated herein by reference from the Corporation’s definitive proxy statement to be filed with the SEC pursuant to Regulation 14A under the Exchange Act. Certain information regarding the Corporation’s Executive Officers is set forth in Part I – Item 1 – Business.</w:t>
      </w:r>
    </w:p>
    <w:p>
      <w:pPr>
        <w:spacing w:after="0" w:line="141"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11 |</w:t>
      </w:r>
      <w:r>
        <w:rPr>
          <w:sz w:val="20"/>
          <w:szCs w:val="20"/>
          <w:color w:val="auto"/>
        </w:rPr>
        <w:tab/>
      </w:r>
      <w:r>
        <w:rPr>
          <w:rFonts w:ascii="Arial" w:cs="Arial" w:eastAsia="Arial" w:hAnsi="Arial"/>
          <w:sz w:val="15"/>
          <w:szCs w:val="15"/>
          <w:b w:val="1"/>
          <w:bCs w:val="1"/>
          <w:color w:val="auto"/>
        </w:rPr>
        <w:t>Executive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Incorporated herein by reference from the Corporation’s definitive proxy statement to be filed pursuant to Regulation 14A under the Exchange Act.</w:t>
      </w:r>
    </w:p>
    <w:p>
      <w:pPr>
        <w:spacing w:after="0" w:line="192"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12 |</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Incorporated herein by reference from the Corporation’s definitive proxy statement to be filed pursuant to Regulation 14A under the Exchange Act.</w:t>
      </w:r>
    </w:p>
    <w:p>
      <w:pPr>
        <w:spacing w:after="0" w:line="20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additional information required by this item is incorporated herein by reference from the Corporation’s definitive proxy statement to be filed pursuant to Regulation 14A under the Exchange Act.</w:t>
      </w:r>
    </w:p>
    <w:p>
      <w:pPr>
        <w:spacing w:after="0" w:line="141"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13 |</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Incorporated herein by reference from the Corporation’s definitive proxy statement to be filed pursuant to Regulation 14A under the Exchange Act.</w:t>
      </w:r>
    </w:p>
    <w:p>
      <w:pPr>
        <w:spacing w:after="0" w:line="192"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14 |</w:t>
      </w:r>
      <w:r>
        <w:rPr>
          <w:sz w:val="20"/>
          <w:szCs w:val="20"/>
          <w:color w:val="auto"/>
        </w:rPr>
        <w:tab/>
      </w:r>
      <w:r>
        <w:rPr>
          <w:rFonts w:ascii="Arial" w:cs="Arial" w:eastAsia="Arial" w:hAnsi="Arial"/>
          <w:sz w:val="15"/>
          <w:szCs w:val="15"/>
          <w:b w:val="1"/>
          <w:bCs w:val="1"/>
          <w:color w:val="auto"/>
        </w:rPr>
        <w:t>Principal Accountant Fees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Incorporated herein by reference from the Corporation’s definitive proxy statement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131445</wp:posOffset>
            </wp:positionV>
            <wp:extent cx="1938655" cy="3403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100"/>
          </w:cols>
          <w:pgMar w:left="240" w:top="103" w:right="5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486"/>
        </w:trPr>
        <w:tc>
          <w:tcPr>
            <w:tcW w:w="940" w:type="dxa"/>
            <w:vAlign w:val="bottom"/>
          </w:tcPr>
          <w:p>
            <w:pPr>
              <w:spacing w:after="0"/>
              <w:rPr>
                <w:sz w:val="24"/>
                <w:szCs w:val="24"/>
                <w:color w:val="auto"/>
              </w:rPr>
            </w:pPr>
          </w:p>
        </w:tc>
        <w:tc>
          <w:tcPr>
            <w:tcW w:w="6740" w:type="dxa"/>
            <w:vAlign w:val="bottom"/>
          </w:tcPr>
          <w:p>
            <w:pPr>
              <w:ind w:left="4160"/>
              <w:spacing w:after="0"/>
              <w:rPr>
                <w:sz w:val="20"/>
                <w:szCs w:val="20"/>
                <w:color w:val="auto"/>
              </w:rPr>
            </w:pPr>
            <w:r>
              <w:rPr>
                <w:rFonts w:ascii="Arial" w:cs="Arial" w:eastAsia="Arial" w:hAnsi="Arial"/>
                <w:sz w:val="37"/>
                <w:szCs w:val="37"/>
                <w:b w:val="1"/>
                <w:bCs w:val="1"/>
                <w:color w:val="auto"/>
              </w:rPr>
              <w:t>Part IV</w:t>
            </w:r>
          </w:p>
        </w:tc>
      </w:tr>
      <w:tr>
        <w:trPr>
          <w:trHeight w:val="351"/>
        </w:trPr>
        <w:tc>
          <w:tcPr>
            <w:tcW w:w="940" w:type="dxa"/>
            <w:vAlign w:val="bottom"/>
          </w:tcPr>
          <w:p>
            <w:pPr>
              <w:spacing w:after="0"/>
              <w:rPr>
                <w:sz w:val="20"/>
                <w:szCs w:val="20"/>
                <w:color w:val="auto"/>
              </w:rPr>
            </w:pPr>
            <w:r>
              <w:rPr>
                <w:rFonts w:ascii="Arial" w:cs="Arial" w:eastAsia="Arial" w:hAnsi="Arial"/>
                <w:sz w:val="15"/>
                <w:szCs w:val="15"/>
                <w:b w:val="1"/>
                <w:bCs w:val="1"/>
                <w:color w:val="auto"/>
              </w:rPr>
              <w:t>Item 15 |</w:t>
            </w:r>
          </w:p>
        </w:tc>
        <w:tc>
          <w:tcPr>
            <w:tcW w:w="6740" w:type="dxa"/>
            <w:vAlign w:val="bottom"/>
          </w:tcPr>
          <w:p>
            <w:pPr>
              <w:ind w:left="120"/>
              <w:spacing w:after="0"/>
              <w:rPr>
                <w:sz w:val="20"/>
                <w:szCs w:val="20"/>
                <w:color w:val="auto"/>
              </w:rPr>
            </w:pPr>
            <w:r>
              <w:rPr>
                <w:rFonts w:ascii="Arial" w:cs="Arial" w:eastAsia="Arial" w:hAnsi="Arial"/>
                <w:sz w:val="15"/>
                <w:szCs w:val="15"/>
                <w:b w:val="1"/>
                <w:bCs w:val="1"/>
                <w:color w:val="auto"/>
              </w:rPr>
              <w:t>Exhibits, Financial Statement Schedules and Reports on Form 8-K</w:t>
            </w:r>
          </w:p>
        </w:tc>
      </w:tr>
      <w:tr>
        <w:trPr>
          <w:trHeight w:val="384"/>
        </w:trPr>
        <w:tc>
          <w:tcPr>
            <w:tcW w:w="940" w:type="dxa"/>
            <w:vAlign w:val="bottom"/>
          </w:tcPr>
          <w:p>
            <w:pPr>
              <w:spacing w:after="0"/>
              <w:rPr>
                <w:sz w:val="20"/>
                <w:szCs w:val="20"/>
                <w:color w:val="auto"/>
              </w:rPr>
            </w:pPr>
            <w:r>
              <w:rPr>
                <w:rFonts w:ascii="Arial" w:cs="Arial" w:eastAsia="Arial" w:hAnsi="Arial"/>
                <w:sz w:val="15"/>
                <w:szCs w:val="15"/>
                <w:color w:val="auto"/>
              </w:rPr>
              <w:t>(a)(1)</w:t>
            </w:r>
          </w:p>
        </w:tc>
        <w:tc>
          <w:tcPr>
            <w:tcW w:w="6740" w:type="dxa"/>
            <w:vAlign w:val="bottom"/>
          </w:tcPr>
          <w:p>
            <w:pPr>
              <w:ind w:left="200"/>
              <w:spacing w:after="0"/>
              <w:rPr>
                <w:sz w:val="20"/>
                <w:szCs w:val="20"/>
                <w:color w:val="auto"/>
              </w:rPr>
            </w:pPr>
            <w:r>
              <w:rPr>
                <w:rFonts w:ascii="Arial" w:cs="Arial" w:eastAsia="Arial" w:hAnsi="Arial"/>
                <w:sz w:val="15"/>
                <w:szCs w:val="15"/>
                <w:color w:val="auto"/>
              </w:rPr>
              <w:t>Financial Statements:</w:t>
            </w:r>
          </w:p>
        </w:tc>
      </w:tr>
      <w:tr>
        <w:trPr>
          <w:trHeight w:val="419"/>
        </w:trPr>
        <w:tc>
          <w:tcPr>
            <w:tcW w:w="940" w:type="dxa"/>
            <w:vAlign w:val="bottom"/>
          </w:tcPr>
          <w:p>
            <w:pPr>
              <w:spacing w:after="0"/>
              <w:rPr>
                <w:sz w:val="24"/>
                <w:szCs w:val="24"/>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6"/>
              </w:rPr>
              <w:t>The following consolidated financial statements are included in Part II, Item 8, “Consolidated Financial</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Statements and Supplementary Data”:</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Consolidated Statements of Income for the years ended May 31, 2006, 2005 and 2004</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Consolidated Balance Sheets at May 31, 2006 and 2005</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5"/>
              </w:rPr>
              <w:t>Consolidated Statements of Changes in Stockholders’ Equity and Comprehensive Income for the years</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ended May 31, 2006, 2005 and 2004</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Consolidated Statements of Cash Flows for the years ended May 31, 2006, 2005 and 2004</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Notes to Consolidated Financial Statements</w:t>
            </w:r>
          </w:p>
        </w:tc>
      </w:tr>
      <w:tr>
        <w:trPr>
          <w:trHeight w:val="419"/>
        </w:trPr>
        <w:tc>
          <w:tcPr>
            <w:tcW w:w="940" w:type="dxa"/>
            <w:vAlign w:val="bottom"/>
          </w:tcPr>
          <w:p>
            <w:pPr>
              <w:spacing w:after="0"/>
              <w:rPr>
                <w:sz w:val="20"/>
                <w:szCs w:val="20"/>
                <w:color w:val="auto"/>
              </w:rPr>
            </w:pPr>
            <w:r>
              <w:rPr>
                <w:rFonts w:ascii="Arial" w:cs="Arial" w:eastAsia="Arial" w:hAnsi="Arial"/>
                <w:sz w:val="15"/>
                <w:szCs w:val="15"/>
                <w:color w:val="auto"/>
              </w:rPr>
              <w:t>(a)(2) and (c)</w:t>
            </w:r>
          </w:p>
        </w:tc>
        <w:tc>
          <w:tcPr>
            <w:tcW w:w="6740" w:type="dxa"/>
            <w:vAlign w:val="bottom"/>
          </w:tcPr>
          <w:p>
            <w:pPr>
              <w:ind w:left="200"/>
              <w:spacing w:after="0"/>
              <w:rPr>
                <w:sz w:val="20"/>
                <w:szCs w:val="20"/>
                <w:color w:val="auto"/>
              </w:rPr>
            </w:pPr>
            <w:r>
              <w:rPr>
                <w:rFonts w:ascii="Arial" w:cs="Arial" w:eastAsia="Arial" w:hAnsi="Arial"/>
                <w:sz w:val="15"/>
                <w:szCs w:val="15"/>
                <w:color w:val="auto"/>
              </w:rPr>
              <w:t>Financial Statement Schedule:</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The following consolidated financial statement schedule is included with this report: Schedule II-</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Valuation and Qualifying Accounts and Reserves</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6"/>
              </w:rPr>
              <w:t>All other schedules have been omitted since the required information is not present or is not present in</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3"/>
              </w:rPr>
              <w:t>amounts sufficient to require submission of the schedule, or because the information required is included</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in the Consolidated Financial Statements or the Notes thereto.</w:t>
            </w:r>
          </w:p>
        </w:tc>
      </w:tr>
      <w:tr>
        <w:trPr>
          <w:trHeight w:val="769"/>
        </w:trPr>
        <w:tc>
          <w:tcPr>
            <w:tcW w:w="940" w:type="dxa"/>
            <w:vAlign w:val="bottom"/>
          </w:tcPr>
          <w:p>
            <w:pPr>
              <w:spacing w:after="0"/>
              <w:rPr>
                <w:sz w:val="20"/>
                <w:szCs w:val="20"/>
                <w:color w:val="auto"/>
              </w:rPr>
            </w:pPr>
            <w:r>
              <w:rPr>
                <w:rFonts w:ascii="Arial" w:cs="Arial" w:eastAsia="Arial" w:hAnsi="Arial"/>
                <w:sz w:val="15"/>
                <w:szCs w:val="15"/>
                <w:color w:val="auto"/>
              </w:rPr>
              <w:t>(a)(3) and (b)</w:t>
            </w:r>
          </w:p>
        </w:tc>
        <w:tc>
          <w:tcPr>
            <w:tcW w:w="6740" w:type="dxa"/>
            <w:vAlign w:val="bottom"/>
          </w:tcPr>
          <w:p>
            <w:pPr>
              <w:ind w:left="200"/>
              <w:spacing w:after="0"/>
              <w:rPr>
                <w:sz w:val="20"/>
                <w:szCs w:val="20"/>
                <w:color w:val="auto"/>
              </w:rPr>
            </w:pPr>
            <w:r>
              <w:rPr>
                <w:rFonts w:ascii="Arial" w:cs="Arial" w:eastAsia="Arial" w:hAnsi="Arial"/>
                <w:sz w:val="15"/>
                <w:szCs w:val="15"/>
                <w:color w:val="auto"/>
              </w:rPr>
              <w:t>Exhibits:</w:t>
            </w:r>
          </w:p>
        </w:tc>
      </w:tr>
      <w:tr>
        <w:trPr>
          <w:trHeight w:val="419"/>
        </w:trPr>
        <w:tc>
          <w:tcPr>
            <w:tcW w:w="940" w:type="dxa"/>
            <w:vAlign w:val="bottom"/>
          </w:tcPr>
          <w:p>
            <w:pPr>
              <w:spacing w:after="0"/>
              <w:rPr>
                <w:sz w:val="20"/>
                <w:szCs w:val="20"/>
                <w:color w:val="auto"/>
              </w:rPr>
            </w:pPr>
            <w:r>
              <w:rPr>
                <w:rFonts w:ascii="Arial" w:cs="Arial" w:eastAsia="Arial" w:hAnsi="Arial"/>
                <w:sz w:val="15"/>
                <w:szCs w:val="15"/>
                <w:color w:val="auto"/>
              </w:rPr>
              <w:t>3.1</w:t>
            </w:r>
          </w:p>
        </w:tc>
        <w:tc>
          <w:tcPr>
            <w:tcW w:w="6740" w:type="dxa"/>
            <w:vAlign w:val="bottom"/>
          </w:tcPr>
          <w:p>
            <w:pPr>
              <w:ind w:left="200"/>
              <w:spacing w:after="0"/>
              <w:rPr>
                <w:sz w:val="20"/>
                <w:szCs w:val="20"/>
                <w:color w:val="auto"/>
              </w:rPr>
            </w:pPr>
            <w:r>
              <w:rPr>
                <w:rFonts w:ascii="Arial" w:cs="Arial" w:eastAsia="Arial" w:hAnsi="Arial"/>
                <w:sz w:val="15"/>
                <w:szCs w:val="15"/>
                <w:color w:val="auto"/>
                <w:w w:val="91"/>
              </w:rPr>
              <w:t>Amended and Restated Certificate of Incorporation of the Corporation, as amended to date (incorporated by</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7"/>
              </w:rPr>
              <w:t>reference to the Corporation’s Annual Report on Form 10-K as filed with the SEC on August 2, 2004).</w:t>
            </w:r>
          </w:p>
        </w:tc>
      </w:tr>
      <w:tr>
        <w:trPr>
          <w:trHeight w:val="419"/>
        </w:trPr>
        <w:tc>
          <w:tcPr>
            <w:tcW w:w="940" w:type="dxa"/>
            <w:vAlign w:val="bottom"/>
          </w:tcPr>
          <w:p>
            <w:pPr>
              <w:spacing w:after="0"/>
              <w:rPr>
                <w:sz w:val="20"/>
                <w:szCs w:val="20"/>
                <w:color w:val="auto"/>
              </w:rPr>
            </w:pPr>
            <w:r>
              <w:rPr>
                <w:rFonts w:ascii="Arial" w:cs="Arial" w:eastAsia="Arial" w:hAnsi="Arial"/>
                <w:sz w:val="15"/>
                <w:szCs w:val="15"/>
                <w:color w:val="auto"/>
              </w:rPr>
              <w:t>3.2</w:t>
            </w:r>
          </w:p>
        </w:tc>
        <w:tc>
          <w:tcPr>
            <w:tcW w:w="6740" w:type="dxa"/>
            <w:vAlign w:val="bottom"/>
          </w:tcPr>
          <w:p>
            <w:pPr>
              <w:ind w:left="200"/>
              <w:spacing w:after="0"/>
              <w:rPr>
                <w:sz w:val="20"/>
                <w:szCs w:val="20"/>
                <w:color w:val="auto"/>
              </w:rPr>
            </w:pPr>
            <w:r>
              <w:rPr>
                <w:rFonts w:ascii="Arial" w:cs="Arial" w:eastAsia="Arial" w:hAnsi="Arial"/>
                <w:sz w:val="15"/>
                <w:szCs w:val="15"/>
                <w:color w:val="auto"/>
                <w:w w:val="93"/>
              </w:rPr>
              <w:t>Bylaws of the Corporation, amended and restated as of March 16, 2000 (incorporated by reference to the</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4"/>
              </w:rPr>
              <w:t>Corporation’s Quarterly Report on Form 10-Q as filed with the SEC on April 14, 2000, SEC File No. 000-</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19860).</w:t>
            </w:r>
          </w:p>
        </w:tc>
      </w:tr>
      <w:tr>
        <w:trPr>
          <w:trHeight w:val="419"/>
        </w:trPr>
        <w:tc>
          <w:tcPr>
            <w:tcW w:w="940" w:type="dxa"/>
            <w:vAlign w:val="bottom"/>
          </w:tcPr>
          <w:p>
            <w:pPr>
              <w:spacing w:after="0"/>
              <w:rPr>
                <w:sz w:val="20"/>
                <w:szCs w:val="20"/>
                <w:color w:val="auto"/>
              </w:rPr>
            </w:pPr>
            <w:r>
              <w:rPr>
                <w:rFonts w:ascii="Arial" w:cs="Arial" w:eastAsia="Arial" w:hAnsi="Arial"/>
                <w:sz w:val="15"/>
                <w:szCs w:val="15"/>
                <w:color w:val="auto"/>
              </w:rPr>
              <w:t>4.1*</w:t>
            </w:r>
          </w:p>
        </w:tc>
        <w:tc>
          <w:tcPr>
            <w:tcW w:w="6740" w:type="dxa"/>
            <w:vAlign w:val="bottom"/>
          </w:tcPr>
          <w:p>
            <w:pPr>
              <w:ind w:left="200"/>
              <w:spacing w:after="0"/>
              <w:rPr>
                <w:sz w:val="20"/>
                <w:szCs w:val="20"/>
                <w:color w:val="auto"/>
              </w:rPr>
            </w:pPr>
            <w:r>
              <w:rPr>
                <w:rFonts w:ascii="Arial" w:cs="Arial" w:eastAsia="Arial" w:hAnsi="Arial"/>
                <w:sz w:val="15"/>
                <w:szCs w:val="15"/>
                <w:color w:val="auto"/>
                <w:w w:val="93"/>
              </w:rPr>
              <w:t>Credit Agreement, dated as of March 31, 2004, among the Corporation and Scholastic Inc., as borrowers,</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5"/>
              </w:rPr>
              <w:t>the Initial Lenders named therein, Citibank, N.A., as administrative agent, Citigroup Global Markets Inc.</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2"/>
              </w:rPr>
              <w:t>and J.P. Morgan Securities Inc., as joint lead arrangers, and JPMorgan Chase Bank, N.A. and Fleet Bank,</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N.A., as syndication agents.</w:t>
            </w:r>
          </w:p>
        </w:tc>
      </w:tr>
      <w:tr>
        <w:trPr>
          <w:trHeight w:val="419"/>
        </w:trPr>
        <w:tc>
          <w:tcPr>
            <w:tcW w:w="940" w:type="dxa"/>
            <w:vAlign w:val="bottom"/>
          </w:tcPr>
          <w:p>
            <w:pPr>
              <w:spacing w:after="0"/>
              <w:rPr>
                <w:sz w:val="20"/>
                <w:szCs w:val="20"/>
                <w:color w:val="auto"/>
              </w:rPr>
            </w:pPr>
            <w:r>
              <w:rPr>
                <w:rFonts w:ascii="Arial" w:cs="Arial" w:eastAsia="Arial" w:hAnsi="Arial"/>
                <w:sz w:val="15"/>
                <w:szCs w:val="15"/>
                <w:color w:val="auto"/>
              </w:rPr>
              <w:t>4.2*</w:t>
            </w:r>
          </w:p>
        </w:tc>
        <w:tc>
          <w:tcPr>
            <w:tcW w:w="6740" w:type="dxa"/>
            <w:vAlign w:val="bottom"/>
          </w:tcPr>
          <w:p>
            <w:pPr>
              <w:ind w:left="200"/>
              <w:spacing w:after="0"/>
              <w:rPr>
                <w:sz w:val="20"/>
                <w:szCs w:val="20"/>
                <w:color w:val="auto"/>
              </w:rPr>
            </w:pPr>
            <w:r>
              <w:rPr>
                <w:rFonts w:ascii="Arial" w:cs="Arial" w:eastAsia="Arial" w:hAnsi="Arial"/>
                <w:sz w:val="15"/>
                <w:szCs w:val="15"/>
                <w:color w:val="auto"/>
                <w:w w:val="94"/>
              </w:rPr>
              <w:t>Amended and Restated Revolving Loan Agreement, dated November 10, 1999, among the Corporation,</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2"/>
              </w:rPr>
              <w:t>Scholastic Inc. and Sun Bank, National Association, together with Amendment No. 1, dated June 22, 2000,</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and Amendment No. 2, dated as of April 30, 2004.</w:t>
            </w:r>
          </w:p>
        </w:tc>
      </w:tr>
      <w:tr>
        <w:trPr>
          <w:trHeight w:val="419"/>
        </w:trPr>
        <w:tc>
          <w:tcPr>
            <w:tcW w:w="940" w:type="dxa"/>
            <w:vAlign w:val="bottom"/>
          </w:tcPr>
          <w:p>
            <w:pPr>
              <w:spacing w:after="0"/>
              <w:rPr>
                <w:sz w:val="20"/>
                <w:szCs w:val="20"/>
                <w:color w:val="auto"/>
              </w:rPr>
            </w:pPr>
            <w:r>
              <w:rPr>
                <w:rFonts w:ascii="Arial" w:cs="Arial" w:eastAsia="Arial" w:hAnsi="Arial"/>
                <w:sz w:val="15"/>
                <w:szCs w:val="15"/>
                <w:color w:val="auto"/>
              </w:rPr>
              <w:t>4.3</w:t>
            </w:r>
          </w:p>
        </w:tc>
        <w:tc>
          <w:tcPr>
            <w:tcW w:w="6740" w:type="dxa"/>
            <w:vAlign w:val="bottom"/>
          </w:tcPr>
          <w:p>
            <w:pPr>
              <w:ind w:left="200"/>
              <w:spacing w:after="0"/>
              <w:rPr>
                <w:sz w:val="20"/>
                <w:szCs w:val="20"/>
                <w:color w:val="auto"/>
              </w:rPr>
            </w:pPr>
            <w:r>
              <w:rPr>
                <w:rFonts w:ascii="Arial" w:cs="Arial" w:eastAsia="Arial" w:hAnsi="Arial"/>
                <w:sz w:val="15"/>
                <w:szCs w:val="15"/>
                <w:color w:val="auto"/>
                <w:w w:val="98"/>
              </w:rPr>
              <w:t>Indenture dated January 23, 2002 for 5.75% Notes due January 15, 2007 issued by the Corporation</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w w:val="92"/>
              </w:rPr>
              <w:t>(incorporated by reference to the Corporation’s Registration Statement on Form S-3 (Registration No. 333-</w:t>
            </w:r>
          </w:p>
        </w:tc>
      </w:tr>
      <w:tr>
        <w:trPr>
          <w:trHeight w:val="210"/>
        </w:trPr>
        <w:tc>
          <w:tcPr>
            <w:tcW w:w="94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5"/>
                <w:szCs w:val="15"/>
                <w:color w:val="auto"/>
              </w:rPr>
              <w:t>55238) as filed with the SEC on February 8, 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253365</wp:posOffset>
            </wp:positionV>
            <wp:extent cx="1938655" cy="3403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0219"/>
          </w:cols>
          <w:pgMar w:left="240" w:top="103"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Arial" w:cs="Arial" w:eastAsia="Arial" w:hAnsi="Arial"/>
                <w:sz w:val="15"/>
                <w:szCs w:val="15"/>
                <w:color w:val="auto"/>
              </w:rPr>
              <w:t>4.4*</w:t>
            </w:r>
          </w:p>
        </w:tc>
        <w:tc>
          <w:tcPr>
            <w:tcW w:w="6880" w:type="dxa"/>
            <w:vAlign w:val="bottom"/>
          </w:tcPr>
          <w:p>
            <w:pPr>
              <w:ind w:left="320"/>
              <w:spacing w:after="0"/>
              <w:rPr>
                <w:sz w:val="20"/>
                <w:szCs w:val="20"/>
                <w:color w:val="auto"/>
              </w:rPr>
            </w:pPr>
            <w:r>
              <w:rPr>
                <w:rFonts w:ascii="Arial" w:cs="Arial" w:eastAsia="Arial" w:hAnsi="Arial"/>
                <w:sz w:val="15"/>
                <w:szCs w:val="15"/>
                <w:color w:val="auto"/>
              </w:rPr>
              <w:t>Indenture dated April 4, 2003 for 5% Notes due 2013 issued by the Corporation.</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10.1**</w:t>
            </w:r>
          </w:p>
        </w:tc>
        <w:tc>
          <w:tcPr>
            <w:tcW w:w="6880" w:type="dxa"/>
            <w:vAlign w:val="bottom"/>
          </w:tcPr>
          <w:p>
            <w:pPr>
              <w:ind w:left="320"/>
              <w:spacing w:after="0"/>
              <w:rPr>
                <w:sz w:val="20"/>
                <w:szCs w:val="20"/>
                <w:color w:val="auto"/>
              </w:rPr>
            </w:pPr>
            <w:r>
              <w:rPr>
                <w:rFonts w:ascii="Arial" w:cs="Arial" w:eastAsia="Arial" w:hAnsi="Arial"/>
                <w:sz w:val="15"/>
                <w:szCs w:val="15"/>
                <w:color w:val="auto"/>
                <w:w w:val="98"/>
              </w:rPr>
              <w:t>Scholastic Corporation 1995 Stock Option Plan, effective as of September 21, 1995 (incorporated by</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5"/>
              </w:rPr>
              <w:t>reference to the Corporation’s Registration Statement on Form S-8 (Registration No. 33-98186) as filed</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9"/>
              </w:rPr>
              <w:t>with the SEC on October 16, 1995), together with Amendment No. 1, effective September 16, 1998</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5"/>
              </w:rPr>
              <w:t>(incorporated by reference to the Corporation’s Quarterly Report on Form 10-Q as filed with the SEC on</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2"/>
              </w:rPr>
              <w:t>October 15, 1998, SEC File No. 000-19860), Amendment No. 2, effective as of July 18, 2001 (incorporated</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by reference to the 2001 10-K), and Amendment No. 3, effective as of May 25, 2006.</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10.2**</w:t>
            </w:r>
          </w:p>
        </w:tc>
        <w:tc>
          <w:tcPr>
            <w:tcW w:w="6880" w:type="dxa"/>
            <w:vAlign w:val="bottom"/>
          </w:tcPr>
          <w:p>
            <w:pPr>
              <w:ind w:left="320"/>
              <w:spacing w:after="0"/>
              <w:rPr>
                <w:sz w:val="20"/>
                <w:szCs w:val="20"/>
                <w:color w:val="auto"/>
              </w:rPr>
            </w:pPr>
            <w:r>
              <w:rPr>
                <w:rFonts w:ascii="Arial" w:cs="Arial" w:eastAsia="Arial" w:hAnsi="Arial"/>
                <w:sz w:val="15"/>
                <w:szCs w:val="15"/>
                <w:color w:val="auto"/>
                <w:w w:val="91"/>
              </w:rPr>
              <w:t>Scholastic Corporation Management Stock Purchase Plan, amended and restated effective as of January 1,</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2005.</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10.3**</w:t>
            </w:r>
          </w:p>
        </w:tc>
        <w:tc>
          <w:tcPr>
            <w:tcW w:w="6880" w:type="dxa"/>
            <w:vAlign w:val="bottom"/>
          </w:tcPr>
          <w:p>
            <w:pPr>
              <w:ind w:left="320"/>
              <w:spacing w:after="0"/>
              <w:rPr>
                <w:sz w:val="20"/>
                <w:szCs w:val="20"/>
                <w:color w:val="auto"/>
              </w:rPr>
            </w:pPr>
            <w:r>
              <w:rPr>
                <w:rFonts w:ascii="Arial" w:cs="Arial" w:eastAsia="Arial" w:hAnsi="Arial"/>
                <w:sz w:val="15"/>
                <w:szCs w:val="15"/>
                <w:color w:val="auto"/>
                <w:w w:val="94"/>
              </w:rPr>
              <w:t>Scholastic Corporation 1997 Outside Directors’ Stock Option Plan, amended and restated as of May 25,</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2"/>
              </w:rPr>
              <w:t>1999 (incorporated by reference to the Corporation’s Annual Report on Form 10-K as filed with the SEC on</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8"/>
              </w:rPr>
              <w:t>August 23, 1999, SEC File No. 000-19860 (the “1999 10-K”)), together with Amendment No. 1 dated</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1"/>
              </w:rPr>
              <w:t>September 20, 2001 (incorporated by reference to the Corporation’s Quarterly Report on Form 10-Q as filed</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1"/>
              </w:rPr>
              <w:t>with the SEC on January 14, 2002), Amendment No. 2, effective as of September 23, 2003 (incorporated by</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4"/>
              </w:rPr>
              <w:t>reference to Appendix B to the Corporation’s definitive Proxy Statement as filed with the SEC on August</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19, 2003), and Amendment No. 3, effective as of May 25, 2006.</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10.4**</w:t>
            </w:r>
          </w:p>
        </w:tc>
        <w:tc>
          <w:tcPr>
            <w:tcW w:w="6880" w:type="dxa"/>
            <w:vAlign w:val="bottom"/>
          </w:tcPr>
          <w:p>
            <w:pPr>
              <w:ind w:left="320"/>
              <w:spacing w:after="0"/>
              <w:rPr>
                <w:sz w:val="20"/>
                <w:szCs w:val="20"/>
                <w:color w:val="auto"/>
              </w:rPr>
            </w:pPr>
            <w:r>
              <w:rPr>
                <w:rFonts w:ascii="Arial" w:cs="Arial" w:eastAsia="Arial" w:hAnsi="Arial"/>
                <w:sz w:val="15"/>
                <w:szCs w:val="15"/>
                <w:color w:val="auto"/>
                <w:w w:val="92"/>
              </w:rPr>
              <w:t>Scholastic Corporation Director’s Deferred Compensation Plan, amended and restated effective January 1,</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2"/>
              </w:rPr>
              <w:t>2005 (incorporated by reference to the Corporation’s Quarterly Report on Form 10-Q as filed with the SEC</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on April 7, 2006).</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10.5**</w:t>
            </w:r>
          </w:p>
        </w:tc>
        <w:tc>
          <w:tcPr>
            <w:tcW w:w="6880" w:type="dxa"/>
            <w:vAlign w:val="bottom"/>
          </w:tcPr>
          <w:p>
            <w:pPr>
              <w:ind w:left="320"/>
              <w:spacing w:after="0"/>
              <w:rPr>
                <w:sz w:val="20"/>
                <w:szCs w:val="20"/>
                <w:color w:val="auto"/>
              </w:rPr>
            </w:pPr>
            <w:r>
              <w:rPr>
                <w:rFonts w:ascii="Arial" w:cs="Arial" w:eastAsia="Arial" w:hAnsi="Arial"/>
                <w:sz w:val="15"/>
                <w:szCs w:val="15"/>
                <w:color w:val="auto"/>
                <w:w w:val="91"/>
              </w:rPr>
              <w:t>Scholastic Corporation Executive Performance Incentive Plan, effective as of June 1, 1999 (incorporated by</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3"/>
              </w:rPr>
              <w:t>reference to the Corporation’s Quarterly Report on Form 10-Q as filed with the SEC on October 15, 1999,</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SEC File No. 19860).</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10.6**</w:t>
            </w:r>
          </w:p>
        </w:tc>
        <w:tc>
          <w:tcPr>
            <w:tcW w:w="6880" w:type="dxa"/>
            <w:vAlign w:val="bottom"/>
          </w:tcPr>
          <w:p>
            <w:pPr>
              <w:ind w:left="320"/>
              <w:spacing w:after="0"/>
              <w:rPr>
                <w:sz w:val="20"/>
                <w:szCs w:val="20"/>
                <w:color w:val="auto"/>
              </w:rPr>
            </w:pPr>
            <w:r>
              <w:rPr>
                <w:rFonts w:ascii="Arial" w:cs="Arial" w:eastAsia="Arial" w:hAnsi="Arial"/>
                <w:sz w:val="15"/>
                <w:szCs w:val="15"/>
                <w:color w:val="auto"/>
              </w:rPr>
              <w:t>Scholastic Corporation 2001 Stock Incentive Plan (incorporated by reference to Appendix A of the</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Corporation’s definitive Proxy Statement as filed with the SEC on August 24, 2001), together with</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Amendment No. 1, effective as of May 25, 2006.</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10.7**</w:t>
            </w:r>
          </w:p>
        </w:tc>
        <w:tc>
          <w:tcPr>
            <w:tcW w:w="6880" w:type="dxa"/>
            <w:vAlign w:val="bottom"/>
          </w:tcPr>
          <w:p>
            <w:pPr>
              <w:ind w:left="320"/>
              <w:spacing w:after="0"/>
              <w:rPr>
                <w:sz w:val="20"/>
                <w:szCs w:val="20"/>
                <w:color w:val="auto"/>
              </w:rPr>
            </w:pPr>
            <w:r>
              <w:rPr>
                <w:rFonts w:ascii="Arial" w:cs="Arial" w:eastAsia="Arial" w:hAnsi="Arial"/>
                <w:sz w:val="15"/>
                <w:szCs w:val="15"/>
                <w:color w:val="auto"/>
                <w:w w:val="96"/>
              </w:rPr>
              <w:t>Scholastic Corporation 2004 Class A Stock Incentive Plan (incorporated by reference to Appendix A to</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2"/>
              </w:rPr>
              <w:t>Scholastic Corporation’s definitive Proxy Statement as filed with the SEC on August 2, 2004), together with</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Amendment No. 1, effective as of May 25, 2006.</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10.8</w:t>
            </w:r>
          </w:p>
        </w:tc>
        <w:tc>
          <w:tcPr>
            <w:tcW w:w="6880" w:type="dxa"/>
            <w:vAlign w:val="bottom"/>
          </w:tcPr>
          <w:p>
            <w:pPr>
              <w:ind w:left="320"/>
              <w:spacing w:after="0"/>
              <w:rPr>
                <w:sz w:val="20"/>
                <w:szCs w:val="20"/>
                <w:color w:val="auto"/>
              </w:rPr>
            </w:pPr>
            <w:r>
              <w:rPr>
                <w:rFonts w:ascii="Arial" w:cs="Arial" w:eastAsia="Arial" w:hAnsi="Arial"/>
                <w:sz w:val="15"/>
                <w:szCs w:val="15"/>
                <w:color w:val="auto"/>
                <w:w w:val="92"/>
              </w:rPr>
              <w:t>Amended and Restated Lease, effective as of August 1, 1999, between ISE 555 Broadway, LLC, landlord,</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2"/>
              </w:rPr>
              <w:t>and Scholastic Inc., tenant, for the building known as 555 Broadway, NY, NY (incorporated by reference to</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the 1999 10-K).</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10.9</w:t>
            </w:r>
          </w:p>
        </w:tc>
        <w:tc>
          <w:tcPr>
            <w:tcW w:w="6880" w:type="dxa"/>
            <w:vAlign w:val="bottom"/>
          </w:tcPr>
          <w:p>
            <w:pPr>
              <w:ind w:left="320"/>
              <w:spacing w:after="0"/>
              <w:rPr>
                <w:sz w:val="20"/>
                <w:szCs w:val="20"/>
                <w:color w:val="auto"/>
              </w:rPr>
            </w:pPr>
            <w:r>
              <w:rPr>
                <w:rFonts w:ascii="Arial" w:cs="Arial" w:eastAsia="Arial" w:hAnsi="Arial"/>
                <w:sz w:val="15"/>
                <w:szCs w:val="15"/>
                <w:color w:val="auto"/>
                <w:w w:val="91"/>
              </w:rPr>
              <w:t>Amended and Restated Sublease, effective as of October 9, 1996, between Kalodop Corp., as sublandlord,</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6"/>
              </w:rPr>
              <w:t>and Scholastic Inc., as subtenant, for the premises known as 557 Broadway, NY, NY (incorporated by</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reference to the 1999 10-K).</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10.10**</w:t>
            </w:r>
          </w:p>
        </w:tc>
        <w:tc>
          <w:tcPr>
            <w:tcW w:w="6880" w:type="dxa"/>
            <w:vAlign w:val="bottom"/>
          </w:tcPr>
          <w:p>
            <w:pPr>
              <w:ind w:left="320"/>
              <w:spacing w:after="0"/>
              <w:rPr>
                <w:sz w:val="20"/>
                <w:szCs w:val="20"/>
                <w:color w:val="auto"/>
              </w:rPr>
            </w:pPr>
            <w:r>
              <w:rPr>
                <w:rFonts w:ascii="Arial" w:cs="Arial" w:eastAsia="Arial" w:hAnsi="Arial"/>
                <w:sz w:val="15"/>
                <w:szCs w:val="15"/>
                <w:color w:val="auto"/>
                <w:w w:val="97"/>
              </w:rPr>
              <w:t>Agreement between Mary A. Winston and Scholastic Inc. dated August 5, 2005, with regard to certain</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w w:val="93"/>
              </w:rPr>
              <w:t>severance arrangements (incorporated by reference to the Corporation’s Annual Report on Form 10-K as</w:t>
            </w:r>
          </w:p>
        </w:tc>
      </w:tr>
      <w:tr>
        <w:trPr>
          <w:trHeight w:val="210"/>
        </w:trPr>
        <w:tc>
          <w:tcPr>
            <w:tcW w:w="8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5"/>
                <w:szCs w:val="15"/>
                <w:color w:val="auto"/>
              </w:rPr>
              <w:t>filed with the SEC on August 8, 2005 (the “2005 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253365</wp:posOffset>
            </wp:positionV>
            <wp:extent cx="1938655" cy="3403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0219"/>
          </w:cols>
          <w:pgMar w:left="240" w:top="156" w:right="1440" w:bottom="1440" w:gutter="0" w:footer="0" w:header="0"/>
        </w:sectPr>
      </w:pPr>
    </w:p>
    <w:bookmarkStart w:id="70" w:name="page71"/>
    <w:bookmarkEnd w:id="70"/>
    <w:tbl>
      <w:tblPr>
        <w:tblLayout w:type="fixed"/>
        <w:tblInd w:w="7"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Arial" w:cs="Arial" w:eastAsia="Arial" w:hAnsi="Arial"/>
                <w:sz w:val="15"/>
                <w:szCs w:val="15"/>
                <w:color w:val="auto"/>
              </w:rPr>
              <w:t>10.11**</w:t>
            </w:r>
          </w:p>
        </w:tc>
        <w:tc>
          <w:tcPr>
            <w:tcW w:w="6920" w:type="dxa"/>
            <w:vAlign w:val="bottom"/>
          </w:tcPr>
          <w:p>
            <w:pPr>
              <w:ind w:left="320"/>
              <w:spacing w:after="0"/>
              <w:rPr>
                <w:sz w:val="20"/>
                <w:szCs w:val="20"/>
                <w:color w:val="auto"/>
              </w:rPr>
            </w:pPr>
            <w:r>
              <w:rPr>
                <w:rFonts w:ascii="Arial" w:cs="Arial" w:eastAsia="Arial" w:hAnsi="Arial"/>
                <w:sz w:val="15"/>
                <w:szCs w:val="15"/>
                <w:color w:val="auto"/>
                <w:w w:val="94"/>
              </w:rPr>
              <w:t>Form of Class A Option Agreement under the Class A Plan (incorporated by reference to the 2005 10-K).</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10.12**</w:t>
            </w:r>
          </w:p>
        </w:tc>
        <w:tc>
          <w:tcPr>
            <w:tcW w:w="6920" w:type="dxa"/>
            <w:vAlign w:val="bottom"/>
          </w:tcPr>
          <w:p>
            <w:pPr>
              <w:ind w:left="320"/>
              <w:spacing w:after="0"/>
              <w:rPr>
                <w:sz w:val="20"/>
                <w:szCs w:val="20"/>
                <w:color w:val="auto"/>
              </w:rPr>
            </w:pPr>
            <w:r>
              <w:rPr>
                <w:rFonts w:ascii="Arial" w:cs="Arial" w:eastAsia="Arial" w:hAnsi="Arial"/>
                <w:sz w:val="15"/>
                <w:szCs w:val="15"/>
                <w:color w:val="auto"/>
              </w:rPr>
              <w:t>Form of Stock Unit Agreement under the 2001 Plan (incorporated by reference to the 2005 10-K).</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10.13**</w:t>
            </w:r>
          </w:p>
        </w:tc>
        <w:tc>
          <w:tcPr>
            <w:tcW w:w="6920" w:type="dxa"/>
            <w:vAlign w:val="bottom"/>
          </w:tcPr>
          <w:p>
            <w:pPr>
              <w:ind w:left="320"/>
              <w:spacing w:after="0"/>
              <w:rPr>
                <w:sz w:val="20"/>
                <w:szCs w:val="20"/>
                <w:color w:val="auto"/>
              </w:rPr>
            </w:pPr>
            <w:r>
              <w:rPr>
                <w:rFonts w:ascii="Arial" w:cs="Arial" w:eastAsia="Arial" w:hAnsi="Arial"/>
                <w:sz w:val="15"/>
                <w:szCs w:val="15"/>
                <w:color w:val="auto"/>
                <w:w w:val="97"/>
              </w:rPr>
              <w:t>Guidelines for Stock Units adopted under the 2001 Plan (incorporated by reference to the 2005 10-K).</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10.14**</w:t>
            </w:r>
          </w:p>
        </w:tc>
        <w:tc>
          <w:tcPr>
            <w:tcW w:w="6920" w:type="dxa"/>
            <w:vAlign w:val="bottom"/>
          </w:tcPr>
          <w:p>
            <w:pPr>
              <w:ind w:left="320"/>
              <w:spacing w:after="0"/>
              <w:rPr>
                <w:sz w:val="20"/>
                <w:szCs w:val="20"/>
                <w:color w:val="auto"/>
              </w:rPr>
            </w:pPr>
            <w:r>
              <w:rPr>
                <w:rFonts w:ascii="Arial" w:cs="Arial" w:eastAsia="Arial" w:hAnsi="Arial"/>
                <w:sz w:val="15"/>
                <w:szCs w:val="15"/>
                <w:color w:val="auto"/>
                <w:w w:val="98"/>
              </w:rPr>
              <w:t>Deferred Compensation Agreement between Scholastic Inc. and Ernest Fleishman, as amended and</w:t>
            </w:r>
          </w:p>
        </w:tc>
      </w:tr>
      <w:tr>
        <w:trPr>
          <w:trHeight w:val="210"/>
        </w:trPr>
        <w:tc>
          <w:tcPr>
            <w:tcW w:w="8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5"/>
                <w:szCs w:val="15"/>
                <w:color w:val="auto"/>
                <w:w w:val="97"/>
              </w:rPr>
              <w:t>restated effective January 1, 2005 (incorporated by reference to the Corporation’s Quarterly Report on</w:t>
            </w:r>
          </w:p>
        </w:tc>
      </w:tr>
      <w:tr>
        <w:trPr>
          <w:trHeight w:val="210"/>
        </w:trPr>
        <w:tc>
          <w:tcPr>
            <w:tcW w:w="8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5"/>
                <w:szCs w:val="15"/>
                <w:color w:val="auto"/>
              </w:rPr>
              <w:t>Form 10-Q as filed with the SEC on April 7, 2006).</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10.15**</w:t>
            </w:r>
          </w:p>
        </w:tc>
        <w:tc>
          <w:tcPr>
            <w:tcW w:w="6920" w:type="dxa"/>
            <w:vAlign w:val="bottom"/>
          </w:tcPr>
          <w:p>
            <w:pPr>
              <w:ind w:left="320"/>
              <w:spacing w:after="0"/>
              <w:rPr>
                <w:sz w:val="20"/>
                <w:szCs w:val="20"/>
                <w:color w:val="auto"/>
              </w:rPr>
            </w:pPr>
            <w:r>
              <w:rPr>
                <w:rFonts w:ascii="Arial" w:cs="Arial" w:eastAsia="Arial" w:hAnsi="Arial"/>
                <w:sz w:val="15"/>
                <w:szCs w:val="15"/>
                <w:color w:val="auto"/>
              </w:rPr>
              <w:t>Agreement between Lisa Holton and Scholastic Inc. dated August 2, 2006, with regard to certain</w:t>
            </w:r>
          </w:p>
        </w:tc>
      </w:tr>
      <w:tr>
        <w:trPr>
          <w:trHeight w:val="210"/>
        </w:trPr>
        <w:tc>
          <w:tcPr>
            <w:tcW w:w="8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5"/>
                <w:szCs w:val="15"/>
                <w:color w:val="auto"/>
              </w:rPr>
              <w:t>severance arrangements.</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21</w:t>
            </w:r>
          </w:p>
        </w:tc>
        <w:tc>
          <w:tcPr>
            <w:tcW w:w="6920" w:type="dxa"/>
            <w:vAlign w:val="bottom"/>
          </w:tcPr>
          <w:p>
            <w:pPr>
              <w:ind w:left="320"/>
              <w:spacing w:after="0"/>
              <w:rPr>
                <w:sz w:val="20"/>
                <w:szCs w:val="20"/>
                <w:color w:val="auto"/>
              </w:rPr>
            </w:pPr>
            <w:r>
              <w:rPr>
                <w:rFonts w:ascii="Arial" w:cs="Arial" w:eastAsia="Arial" w:hAnsi="Arial"/>
                <w:sz w:val="15"/>
                <w:szCs w:val="15"/>
                <w:color w:val="auto"/>
              </w:rPr>
              <w:t>Subsidiaries of the Corporation.</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23</w:t>
            </w:r>
          </w:p>
        </w:tc>
        <w:tc>
          <w:tcPr>
            <w:tcW w:w="6920" w:type="dxa"/>
            <w:vAlign w:val="bottom"/>
          </w:tcPr>
          <w:p>
            <w:pPr>
              <w:ind w:left="320"/>
              <w:spacing w:after="0"/>
              <w:rPr>
                <w:sz w:val="20"/>
                <w:szCs w:val="20"/>
                <w:color w:val="auto"/>
              </w:rPr>
            </w:pPr>
            <w:r>
              <w:rPr>
                <w:rFonts w:ascii="Arial" w:cs="Arial" w:eastAsia="Arial" w:hAnsi="Arial"/>
                <w:sz w:val="15"/>
                <w:szCs w:val="15"/>
                <w:color w:val="auto"/>
              </w:rPr>
              <w:t>Consent of Ernst &amp; Young LLP.</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31.1</w:t>
            </w:r>
          </w:p>
        </w:tc>
        <w:tc>
          <w:tcPr>
            <w:tcW w:w="6920" w:type="dxa"/>
            <w:vAlign w:val="bottom"/>
          </w:tcPr>
          <w:p>
            <w:pPr>
              <w:ind w:left="320"/>
              <w:spacing w:after="0"/>
              <w:rPr>
                <w:sz w:val="20"/>
                <w:szCs w:val="20"/>
                <w:color w:val="auto"/>
              </w:rPr>
            </w:pPr>
            <w:r>
              <w:rPr>
                <w:rFonts w:ascii="Arial" w:cs="Arial" w:eastAsia="Arial" w:hAnsi="Arial"/>
                <w:sz w:val="15"/>
                <w:szCs w:val="15"/>
                <w:color w:val="auto"/>
                <w:w w:val="92"/>
              </w:rPr>
              <w:t>Certification of the Chief Executive Officer of the Corporation filed pursuant to Section 302 of the Sarbanes-</w:t>
            </w:r>
          </w:p>
        </w:tc>
      </w:tr>
      <w:tr>
        <w:trPr>
          <w:trHeight w:val="210"/>
        </w:trPr>
        <w:tc>
          <w:tcPr>
            <w:tcW w:w="8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5"/>
                <w:szCs w:val="15"/>
                <w:color w:val="auto"/>
              </w:rPr>
              <w:t>Oxley Act of 2002.</w:t>
            </w:r>
          </w:p>
        </w:tc>
      </w:tr>
      <w:tr>
        <w:trPr>
          <w:trHeight w:val="419"/>
        </w:trPr>
        <w:tc>
          <w:tcPr>
            <w:tcW w:w="820" w:type="dxa"/>
            <w:vAlign w:val="bottom"/>
          </w:tcPr>
          <w:p>
            <w:pPr>
              <w:spacing w:after="0"/>
              <w:rPr>
                <w:sz w:val="20"/>
                <w:szCs w:val="20"/>
                <w:color w:val="auto"/>
              </w:rPr>
            </w:pPr>
            <w:r>
              <w:rPr>
                <w:rFonts w:ascii="Arial" w:cs="Arial" w:eastAsia="Arial" w:hAnsi="Arial"/>
                <w:sz w:val="15"/>
                <w:szCs w:val="15"/>
                <w:color w:val="auto"/>
              </w:rPr>
              <w:t>31.2</w:t>
            </w:r>
          </w:p>
        </w:tc>
        <w:tc>
          <w:tcPr>
            <w:tcW w:w="6920" w:type="dxa"/>
            <w:vAlign w:val="bottom"/>
          </w:tcPr>
          <w:p>
            <w:pPr>
              <w:ind w:left="320"/>
              <w:spacing w:after="0"/>
              <w:rPr>
                <w:sz w:val="20"/>
                <w:szCs w:val="20"/>
                <w:color w:val="auto"/>
              </w:rPr>
            </w:pPr>
            <w:r>
              <w:rPr>
                <w:rFonts w:ascii="Arial" w:cs="Arial" w:eastAsia="Arial" w:hAnsi="Arial"/>
                <w:sz w:val="15"/>
                <w:szCs w:val="15"/>
                <w:color w:val="auto"/>
                <w:w w:val="93"/>
              </w:rPr>
              <w:t>Certification of the Chief Financial Officer of the Corporation filed pursuant to Section 302 of the Sarbanes-</w:t>
            </w:r>
          </w:p>
        </w:tc>
      </w:tr>
      <w:tr>
        <w:trPr>
          <w:trHeight w:val="210"/>
        </w:trPr>
        <w:tc>
          <w:tcPr>
            <w:tcW w:w="8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5"/>
                <w:szCs w:val="15"/>
                <w:color w:val="auto"/>
              </w:rPr>
              <w:t>Oxley Act of 2002.</w:t>
            </w:r>
          </w:p>
        </w:tc>
      </w:tr>
    </w:tbl>
    <w:p>
      <w:pPr>
        <w:spacing w:after="0" w:line="228" w:lineRule="exact"/>
        <w:rPr>
          <w:sz w:val="20"/>
          <w:szCs w:val="20"/>
          <w:color w:val="auto"/>
        </w:rPr>
      </w:pPr>
    </w:p>
    <w:p>
      <w:pPr>
        <w:ind w:left="1147" w:right="3720" w:hanging="1147"/>
        <w:spacing w:after="0" w:line="317" w:lineRule="auto"/>
        <w:tabs>
          <w:tab w:leader="none" w:pos="11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Certifications of the Chief Executive Officer and the Chief Financial Officer of the Corporation furnished pursuant to Section 906 of the Sarbanes-Oxley Act of 2002.</w:t>
      </w:r>
    </w:p>
    <w:p>
      <w:pPr>
        <w:spacing w:after="0" w:line="157" w:lineRule="exact"/>
        <w:rPr>
          <w:sz w:val="20"/>
          <w:szCs w:val="20"/>
          <w:color w:val="auto"/>
        </w:rPr>
      </w:pPr>
    </w:p>
    <w:p>
      <w:pPr>
        <w:ind w:left="367" w:hanging="367"/>
        <w:spacing w:after="0" w:line="232" w:lineRule="auto"/>
        <w:tabs>
          <w:tab w:leader="none" w:pos="367"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Such long-term debt does not individually amount to more than 10% of the total assets of the Corporation and its subsidiaries on a consolidated basis. Accordingly, pursuant to Item 601(b)(4)(iii) of Regulation S-K, such instrument is not filed herewith. The Corporation hereby agrees to furnish a copy of any such instrument to the SEC upon request.</w:t>
      </w:r>
    </w:p>
    <w:p>
      <w:pPr>
        <w:spacing w:after="0" w:line="199" w:lineRule="exact"/>
        <w:rPr>
          <w:sz w:val="20"/>
          <w:szCs w:val="20"/>
          <w:color w:val="auto"/>
        </w:rPr>
      </w:pPr>
    </w:p>
    <w:p>
      <w:pPr>
        <w:ind w:left="367" w:hanging="367"/>
        <w:spacing w:after="0"/>
        <w:tabs>
          <w:tab w:leader="none" w:pos="36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referenced exhibit is a management contract or compensation plan or arrangement described in Item 601(b) (10) (iii)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245745</wp:posOffset>
            </wp:positionV>
            <wp:extent cx="1938655" cy="3403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66"/>
        <w:spacing w:after="0"/>
        <w:rPr>
          <w:sz w:val="20"/>
          <w:szCs w:val="20"/>
          <w:color w:val="auto"/>
        </w:rPr>
      </w:pPr>
      <w:r>
        <w:rPr>
          <w:rFonts w:ascii="Arial" w:cs="Arial" w:eastAsia="Arial" w:hAnsi="Arial"/>
          <w:sz w:val="15"/>
          <w:szCs w:val="15"/>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85355" cy="349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267"/>
          </w:cols>
          <w:pgMar w:left="233" w:top="156" w:right="39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Signatures</w:t>
      </w:r>
    </w:p>
    <w:p>
      <w:pPr>
        <w:spacing w:after="0" w:line="200" w:lineRule="exact"/>
        <w:rPr>
          <w:sz w:val="20"/>
          <w:szCs w:val="20"/>
          <w:color w:val="auto"/>
        </w:rPr>
      </w:pPr>
    </w:p>
    <w:p>
      <w:pPr>
        <w:ind w:right="560"/>
        <w:spacing w:after="0" w:line="285"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tabs>
          <w:tab w:leader="none" w:pos="8520" w:val="left"/>
        </w:tabs>
        <w:rPr>
          <w:sz w:val="20"/>
          <w:szCs w:val="20"/>
          <w:color w:val="auto"/>
        </w:rPr>
      </w:pPr>
      <w:r>
        <w:rPr>
          <w:rFonts w:ascii="Arial" w:cs="Arial" w:eastAsia="Arial" w:hAnsi="Arial"/>
          <w:sz w:val="15"/>
          <w:szCs w:val="15"/>
          <w:color w:val="auto"/>
        </w:rPr>
        <w:t>Dated: August 8, 2006</w:t>
      </w:r>
      <w:r>
        <w:rPr>
          <w:sz w:val="20"/>
          <w:szCs w:val="20"/>
          <w:color w:val="auto"/>
        </w:rPr>
        <w:tab/>
      </w:r>
      <w:r>
        <w:rPr>
          <w:rFonts w:ascii="Arial" w:cs="Arial" w:eastAsia="Arial" w:hAnsi="Arial"/>
          <w:sz w:val="15"/>
          <w:szCs w:val="15"/>
          <w:color w:val="auto"/>
        </w:rPr>
        <w:t>SCHOLASTIC CORPORATION</w:t>
      </w:r>
    </w:p>
    <w:p>
      <w:pPr>
        <w:spacing w:after="0" w:line="37" w:lineRule="exact"/>
        <w:rPr>
          <w:sz w:val="20"/>
          <w:szCs w:val="20"/>
          <w:color w:val="auto"/>
        </w:rPr>
      </w:pPr>
    </w:p>
    <w:p>
      <w:pPr>
        <w:ind w:left="8540"/>
        <w:spacing w:after="0"/>
        <w:rPr>
          <w:sz w:val="20"/>
          <w:szCs w:val="20"/>
          <w:color w:val="auto"/>
        </w:rPr>
      </w:pPr>
      <w:r>
        <w:rPr>
          <w:rFonts w:ascii="Arial" w:cs="Arial" w:eastAsia="Arial" w:hAnsi="Arial"/>
          <w:sz w:val="15"/>
          <w:szCs w:val="15"/>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5419090</wp:posOffset>
            </wp:positionH>
            <wp:positionV relativeFrom="paragraph">
              <wp:posOffset>66040</wp:posOffset>
            </wp:positionV>
            <wp:extent cx="184213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842135" cy="7620"/>
                    </a:xfrm>
                    <a:prstGeom prst="rect">
                      <a:avLst/>
                    </a:prstGeom>
                    <a:noFill/>
                  </pic:spPr>
                </pic:pic>
              </a:graphicData>
            </a:graphic>
          </wp:anchor>
        </w:drawing>
      </w:r>
    </w:p>
    <w:p>
      <w:pPr>
        <w:spacing w:after="0" w:line="215" w:lineRule="exact"/>
        <w:rPr>
          <w:sz w:val="20"/>
          <w:szCs w:val="20"/>
          <w:color w:val="auto"/>
        </w:rPr>
      </w:pPr>
    </w:p>
    <w:p>
      <w:pPr>
        <w:ind w:left="8540"/>
        <w:spacing w:after="0"/>
        <w:rPr>
          <w:sz w:val="20"/>
          <w:szCs w:val="20"/>
          <w:color w:val="auto"/>
        </w:rPr>
      </w:pPr>
      <w:r>
        <w:rPr>
          <w:rFonts w:ascii="Arial" w:cs="Arial" w:eastAsia="Arial" w:hAnsi="Arial"/>
          <w:sz w:val="15"/>
          <w:szCs w:val="15"/>
          <w:color w:val="auto"/>
        </w:rPr>
        <w:t>Richard Robinson, Chairman of the Board,</w:t>
      </w:r>
    </w:p>
    <w:p>
      <w:pPr>
        <w:spacing w:after="0" w:line="37" w:lineRule="exact"/>
        <w:rPr>
          <w:sz w:val="20"/>
          <w:szCs w:val="20"/>
          <w:color w:val="auto"/>
        </w:rPr>
      </w:pPr>
    </w:p>
    <w:p>
      <w:pPr>
        <w:ind w:left="8540"/>
        <w:spacing w:after="0"/>
        <w:rPr>
          <w:sz w:val="20"/>
          <w:szCs w:val="20"/>
          <w:color w:val="auto"/>
        </w:rPr>
      </w:pPr>
      <w:r>
        <w:rPr>
          <w:rFonts w:ascii="Arial" w:cs="Arial" w:eastAsia="Arial" w:hAnsi="Arial"/>
          <w:sz w:val="15"/>
          <w:szCs w:val="15"/>
          <w:color w:val="auto"/>
        </w:rPr>
        <w:t>President and Chief Executive Officer</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Power of Attorney</w:t>
      </w:r>
    </w:p>
    <w:p>
      <w:pPr>
        <w:spacing w:after="0" w:line="22"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51"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20"/>
                <w:szCs w:val="20"/>
                <w:color w:val="auto"/>
              </w:rPr>
            </w:pPr>
            <w:r>
              <w:rPr>
                <w:rFonts w:ascii="Arial" w:cs="Arial" w:eastAsia="Arial" w:hAnsi="Arial"/>
                <w:sz w:val="15"/>
                <w:szCs w:val="15"/>
                <w:b w:val="1"/>
                <w:bCs w:val="1"/>
                <w:color w:val="auto"/>
              </w:rPr>
              <w:t>Signature</w:t>
            </w:r>
          </w:p>
        </w:tc>
        <w:tc>
          <w:tcPr>
            <w:tcW w:w="5160" w:type="dxa"/>
            <w:vAlign w:val="bottom"/>
          </w:tcPr>
          <w:p>
            <w:pPr>
              <w:ind w:left="920"/>
              <w:spacing w:after="0"/>
              <w:rPr>
                <w:sz w:val="20"/>
                <w:szCs w:val="20"/>
                <w:color w:val="auto"/>
              </w:rPr>
            </w:pPr>
            <w:r>
              <w:rPr>
                <w:rFonts w:ascii="Arial" w:cs="Arial" w:eastAsia="Arial" w:hAnsi="Arial"/>
                <w:sz w:val="15"/>
                <w:szCs w:val="15"/>
                <w:b w:val="1"/>
                <w:bCs w:val="1"/>
                <w:color w:val="auto"/>
              </w:rPr>
              <w:t>Title</w:t>
            </w:r>
          </w:p>
        </w:tc>
        <w:tc>
          <w:tcPr>
            <w:tcW w:w="3660" w:type="dxa"/>
            <w:vAlign w:val="bottom"/>
          </w:tcPr>
          <w:p>
            <w:pPr>
              <w:jc w:val="center"/>
              <w:ind w:left="104"/>
              <w:spacing w:after="0"/>
              <w:rPr>
                <w:sz w:val="20"/>
                <w:szCs w:val="20"/>
                <w:color w:val="auto"/>
              </w:rPr>
            </w:pPr>
            <w:r>
              <w:rPr>
                <w:rFonts w:ascii="Arial" w:cs="Arial" w:eastAsia="Arial" w:hAnsi="Arial"/>
                <w:sz w:val="15"/>
                <w:szCs w:val="15"/>
                <w:b w:val="1"/>
                <w:bCs w:val="1"/>
                <w:color w:val="auto"/>
                <w:w w:val="98"/>
              </w:rPr>
              <w:t>Date</w:t>
            </w:r>
          </w:p>
        </w:tc>
        <w:tc>
          <w:tcPr>
            <w:tcW w:w="0" w:type="dxa"/>
            <w:vAlign w:val="bottom"/>
          </w:tcPr>
          <w:p>
            <w:pPr>
              <w:spacing w:after="0"/>
              <w:rPr>
                <w:sz w:val="1"/>
                <w:szCs w:val="1"/>
                <w:color w:val="auto"/>
              </w:rPr>
            </w:pPr>
          </w:p>
        </w:tc>
      </w:tr>
      <w:tr>
        <w:trPr>
          <w:trHeight w:val="96"/>
        </w:trPr>
        <w:tc>
          <w:tcPr>
            <w:tcW w:w="2620" w:type="dxa"/>
            <w:vAlign w:val="bottom"/>
            <w:tcBorders>
              <w:bottom w:val="single" w:sz="8" w:color="auto"/>
            </w:tcBorders>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2620" w:type="dxa"/>
            <w:vAlign w:val="bottom"/>
          </w:tcPr>
          <w:p>
            <w:pPr>
              <w:spacing w:after="0"/>
              <w:rPr>
                <w:sz w:val="20"/>
                <w:szCs w:val="20"/>
                <w:color w:val="auto"/>
              </w:rPr>
            </w:pPr>
            <w:r>
              <w:rPr>
                <w:rFonts w:ascii="Arial" w:cs="Arial" w:eastAsia="Arial" w:hAnsi="Arial"/>
                <w:sz w:val="15"/>
                <w:szCs w:val="15"/>
                <w:b w:val="1"/>
                <w:bCs w:val="1"/>
                <w:color w:val="auto"/>
              </w:rPr>
              <w:t>/s/ Richard Robinson</w:t>
            </w:r>
          </w:p>
        </w:tc>
        <w:tc>
          <w:tcPr>
            <w:tcW w:w="5160" w:type="dxa"/>
            <w:vAlign w:val="bottom"/>
          </w:tcPr>
          <w:p>
            <w:pPr>
              <w:ind w:left="920"/>
              <w:spacing w:after="0"/>
              <w:rPr>
                <w:sz w:val="20"/>
                <w:szCs w:val="20"/>
                <w:color w:val="auto"/>
              </w:rPr>
            </w:pPr>
            <w:r>
              <w:rPr>
                <w:rFonts w:ascii="Arial" w:cs="Arial" w:eastAsia="Arial" w:hAnsi="Arial"/>
                <w:sz w:val="15"/>
                <w:szCs w:val="15"/>
                <w:color w:val="auto"/>
              </w:rPr>
              <w:t>Chairman of the Board, President,</w:t>
            </w:r>
          </w:p>
        </w:tc>
        <w:tc>
          <w:tcPr>
            <w:tcW w:w="3660" w:type="dxa"/>
            <w:vAlign w:val="bottom"/>
          </w:tcPr>
          <w:p>
            <w:pPr>
              <w:jc w:val="center"/>
              <w:ind w:left="104"/>
              <w:spacing w:after="0"/>
              <w:rPr>
                <w:sz w:val="20"/>
                <w:szCs w:val="20"/>
                <w:color w:val="auto"/>
              </w:rPr>
            </w:pPr>
            <w:r>
              <w:rPr>
                <w:rFonts w:ascii="Arial" w:cs="Arial" w:eastAsia="Arial" w:hAnsi="Arial"/>
                <w:sz w:val="15"/>
                <w:szCs w:val="15"/>
                <w:color w:val="auto"/>
                <w:w w:val="91"/>
              </w:rPr>
              <w:t>August 8, 2006</w:t>
            </w:r>
          </w:p>
        </w:tc>
        <w:tc>
          <w:tcPr>
            <w:tcW w:w="0" w:type="dxa"/>
            <w:vAlign w:val="bottom"/>
          </w:tcPr>
          <w:p>
            <w:pPr>
              <w:spacing w:after="0"/>
              <w:rPr>
                <w:sz w:val="1"/>
                <w:szCs w:val="1"/>
                <w:color w:val="auto"/>
              </w:rPr>
            </w:pPr>
          </w:p>
        </w:tc>
      </w:tr>
      <w:tr>
        <w:trPr>
          <w:trHeight w:val="96"/>
        </w:trPr>
        <w:tc>
          <w:tcPr>
            <w:tcW w:w="2620" w:type="dxa"/>
            <w:vAlign w:val="bottom"/>
            <w:tcBorders>
              <w:bottom w:val="single" w:sz="8" w:color="808080"/>
            </w:tcBorders>
          </w:tcPr>
          <w:p>
            <w:pPr>
              <w:spacing w:after="0"/>
              <w:rPr>
                <w:sz w:val="8"/>
                <w:szCs w:val="8"/>
                <w:color w:val="auto"/>
              </w:rPr>
            </w:pPr>
          </w:p>
        </w:tc>
        <w:tc>
          <w:tcPr>
            <w:tcW w:w="5160" w:type="dxa"/>
            <w:vAlign w:val="bottom"/>
            <w:vMerge w:val="restart"/>
          </w:tcPr>
          <w:p>
            <w:pPr>
              <w:ind w:left="920"/>
              <w:spacing w:after="0"/>
              <w:rPr>
                <w:sz w:val="20"/>
                <w:szCs w:val="20"/>
                <w:color w:val="auto"/>
              </w:rPr>
            </w:pPr>
            <w:r>
              <w:rPr>
                <w:rFonts w:ascii="Arial" w:cs="Arial" w:eastAsia="Arial" w:hAnsi="Arial"/>
                <w:sz w:val="15"/>
                <w:szCs w:val="15"/>
                <w:color w:val="auto"/>
              </w:rPr>
              <w:t>Chief Executive Officer and</w:t>
            </w: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Richard Robinson</w:t>
            </w:r>
          </w:p>
        </w:tc>
        <w:tc>
          <w:tcPr>
            <w:tcW w:w="516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5160" w:type="dxa"/>
            <w:vAlign w:val="bottom"/>
          </w:tcPr>
          <w:p>
            <w:pPr>
              <w:ind w:left="920"/>
              <w:spacing w:after="0"/>
              <w:rPr>
                <w:sz w:val="20"/>
                <w:szCs w:val="20"/>
                <w:color w:val="auto"/>
              </w:rPr>
            </w:pPr>
            <w:r>
              <w:rPr>
                <w:rFonts w:ascii="Arial" w:cs="Arial" w:eastAsia="Arial" w:hAnsi="Arial"/>
                <w:sz w:val="15"/>
                <w:szCs w:val="15"/>
                <w:color w:val="auto"/>
              </w:rPr>
              <w:t>Director (Principal Executive Officer)</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620" w:type="dxa"/>
            <w:vAlign w:val="bottom"/>
          </w:tcPr>
          <w:p>
            <w:pPr>
              <w:spacing w:after="0"/>
              <w:rPr>
                <w:sz w:val="20"/>
                <w:szCs w:val="20"/>
                <w:color w:val="auto"/>
              </w:rPr>
            </w:pPr>
            <w:r>
              <w:rPr>
                <w:rFonts w:ascii="Arial" w:cs="Arial" w:eastAsia="Arial" w:hAnsi="Arial"/>
                <w:sz w:val="15"/>
                <w:szCs w:val="15"/>
                <w:b w:val="1"/>
                <w:bCs w:val="1"/>
                <w:color w:val="auto"/>
              </w:rPr>
              <w:t>/s/ Mary A. Winston</w:t>
            </w:r>
          </w:p>
        </w:tc>
        <w:tc>
          <w:tcPr>
            <w:tcW w:w="5160" w:type="dxa"/>
            <w:vAlign w:val="bottom"/>
          </w:tcPr>
          <w:p>
            <w:pPr>
              <w:ind w:left="920"/>
              <w:spacing w:after="0"/>
              <w:rPr>
                <w:sz w:val="20"/>
                <w:szCs w:val="20"/>
                <w:color w:val="auto"/>
              </w:rPr>
            </w:pPr>
            <w:r>
              <w:rPr>
                <w:rFonts w:ascii="Arial" w:cs="Arial" w:eastAsia="Arial" w:hAnsi="Arial"/>
                <w:sz w:val="15"/>
                <w:szCs w:val="15"/>
                <w:color w:val="auto"/>
              </w:rPr>
              <w:t>Executive Vice President and Chief</w:t>
            </w:r>
          </w:p>
        </w:tc>
        <w:tc>
          <w:tcPr>
            <w:tcW w:w="3660" w:type="dxa"/>
            <w:vAlign w:val="bottom"/>
          </w:tcPr>
          <w:p>
            <w:pPr>
              <w:jc w:val="center"/>
              <w:ind w:left="104"/>
              <w:spacing w:after="0"/>
              <w:rPr>
                <w:sz w:val="20"/>
                <w:szCs w:val="20"/>
                <w:color w:val="auto"/>
              </w:rPr>
            </w:pPr>
            <w:r>
              <w:rPr>
                <w:rFonts w:ascii="Arial" w:cs="Arial" w:eastAsia="Arial" w:hAnsi="Arial"/>
                <w:sz w:val="15"/>
                <w:szCs w:val="15"/>
                <w:color w:val="auto"/>
                <w:w w:val="91"/>
              </w:rPr>
              <w:t>August 8, 2006</w:t>
            </w:r>
          </w:p>
        </w:tc>
        <w:tc>
          <w:tcPr>
            <w:tcW w:w="0" w:type="dxa"/>
            <w:vAlign w:val="bottom"/>
          </w:tcPr>
          <w:p>
            <w:pPr>
              <w:spacing w:after="0"/>
              <w:rPr>
                <w:sz w:val="1"/>
                <w:szCs w:val="1"/>
                <w:color w:val="auto"/>
              </w:rPr>
            </w:pPr>
          </w:p>
        </w:tc>
      </w:tr>
      <w:tr>
        <w:trPr>
          <w:trHeight w:val="96"/>
        </w:trPr>
        <w:tc>
          <w:tcPr>
            <w:tcW w:w="2620" w:type="dxa"/>
            <w:vAlign w:val="bottom"/>
            <w:tcBorders>
              <w:bottom w:val="single" w:sz="8" w:color="808080"/>
            </w:tcBorders>
          </w:tcPr>
          <w:p>
            <w:pPr>
              <w:spacing w:after="0"/>
              <w:rPr>
                <w:sz w:val="8"/>
                <w:szCs w:val="8"/>
                <w:color w:val="auto"/>
              </w:rPr>
            </w:pPr>
          </w:p>
        </w:tc>
        <w:tc>
          <w:tcPr>
            <w:tcW w:w="5160" w:type="dxa"/>
            <w:vAlign w:val="bottom"/>
            <w:vMerge w:val="restart"/>
          </w:tcPr>
          <w:p>
            <w:pPr>
              <w:ind w:left="920"/>
              <w:spacing w:after="0"/>
              <w:rPr>
                <w:sz w:val="20"/>
                <w:szCs w:val="20"/>
                <w:color w:val="auto"/>
              </w:rPr>
            </w:pPr>
            <w:r>
              <w:rPr>
                <w:rFonts w:ascii="Arial" w:cs="Arial" w:eastAsia="Arial" w:hAnsi="Arial"/>
                <w:sz w:val="15"/>
                <w:szCs w:val="15"/>
                <w:color w:val="auto"/>
              </w:rPr>
              <w:t>Financial Officer (Principal Financial Officer)</w:t>
            </w: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Mary A. Winston</w:t>
            </w:r>
          </w:p>
        </w:tc>
        <w:tc>
          <w:tcPr>
            <w:tcW w:w="516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5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62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 Karen A. Maloney</w:t>
            </w:r>
          </w:p>
        </w:tc>
        <w:tc>
          <w:tcPr>
            <w:tcW w:w="5160" w:type="dxa"/>
            <w:vAlign w:val="bottom"/>
          </w:tcPr>
          <w:p>
            <w:pPr>
              <w:ind w:left="920"/>
              <w:spacing w:after="0"/>
              <w:rPr>
                <w:sz w:val="20"/>
                <w:szCs w:val="20"/>
                <w:color w:val="auto"/>
              </w:rPr>
            </w:pPr>
            <w:r>
              <w:rPr>
                <w:rFonts w:ascii="Arial" w:cs="Arial" w:eastAsia="Arial" w:hAnsi="Arial"/>
                <w:sz w:val="15"/>
                <w:szCs w:val="15"/>
                <w:color w:val="auto"/>
              </w:rPr>
              <w:t>Senior Vice President, Corporate Finance</w:t>
            </w:r>
          </w:p>
        </w:tc>
        <w:tc>
          <w:tcPr>
            <w:tcW w:w="3660" w:type="dxa"/>
            <w:vAlign w:val="bottom"/>
          </w:tcPr>
          <w:p>
            <w:pPr>
              <w:jc w:val="center"/>
              <w:ind w:left="104"/>
              <w:spacing w:after="0"/>
              <w:rPr>
                <w:sz w:val="20"/>
                <w:szCs w:val="20"/>
                <w:color w:val="auto"/>
              </w:rPr>
            </w:pPr>
            <w:r>
              <w:rPr>
                <w:rFonts w:ascii="Arial" w:cs="Arial" w:eastAsia="Arial" w:hAnsi="Arial"/>
                <w:sz w:val="15"/>
                <w:szCs w:val="15"/>
                <w:color w:val="auto"/>
                <w:w w:val="91"/>
              </w:rPr>
              <w:t>August 8, 2006</w:t>
            </w:r>
          </w:p>
        </w:tc>
        <w:tc>
          <w:tcPr>
            <w:tcW w:w="0" w:type="dxa"/>
            <w:vAlign w:val="bottom"/>
          </w:tcPr>
          <w:p>
            <w:pPr>
              <w:spacing w:after="0"/>
              <w:rPr>
                <w:sz w:val="1"/>
                <w:szCs w:val="1"/>
                <w:color w:val="auto"/>
              </w:rPr>
            </w:pPr>
          </w:p>
        </w:tc>
      </w:tr>
      <w:tr>
        <w:trPr>
          <w:trHeight w:val="96"/>
        </w:trPr>
        <w:tc>
          <w:tcPr>
            <w:tcW w:w="2620" w:type="dxa"/>
            <w:vAlign w:val="bottom"/>
            <w:tcBorders>
              <w:bottom w:val="single" w:sz="8" w:color="808080"/>
            </w:tcBorders>
          </w:tcPr>
          <w:p>
            <w:pPr>
              <w:spacing w:after="0"/>
              <w:rPr>
                <w:sz w:val="8"/>
                <w:szCs w:val="8"/>
                <w:color w:val="auto"/>
              </w:rPr>
            </w:pPr>
          </w:p>
        </w:tc>
        <w:tc>
          <w:tcPr>
            <w:tcW w:w="5160" w:type="dxa"/>
            <w:vAlign w:val="bottom"/>
            <w:vMerge w:val="restart"/>
          </w:tcPr>
          <w:p>
            <w:pPr>
              <w:ind w:left="920"/>
              <w:spacing w:after="0"/>
              <w:rPr>
                <w:sz w:val="20"/>
                <w:szCs w:val="20"/>
                <w:color w:val="auto"/>
              </w:rPr>
            </w:pPr>
            <w:r>
              <w:rPr>
                <w:rFonts w:ascii="Arial" w:cs="Arial" w:eastAsia="Arial" w:hAnsi="Arial"/>
                <w:sz w:val="15"/>
                <w:szCs w:val="15"/>
                <w:color w:val="auto"/>
              </w:rPr>
              <w:t>and Chief Accounting Officer (Principal</w:t>
            </w: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Karen A. Maloney</w:t>
            </w:r>
          </w:p>
        </w:tc>
        <w:tc>
          <w:tcPr>
            <w:tcW w:w="516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5160" w:type="dxa"/>
            <w:vAlign w:val="bottom"/>
          </w:tcPr>
          <w:p>
            <w:pPr>
              <w:ind w:left="920"/>
              <w:spacing w:after="0"/>
              <w:rPr>
                <w:sz w:val="20"/>
                <w:szCs w:val="20"/>
                <w:color w:val="auto"/>
              </w:rPr>
            </w:pPr>
            <w:r>
              <w:rPr>
                <w:rFonts w:ascii="Arial" w:cs="Arial" w:eastAsia="Arial" w:hAnsi="Arial"/>
                <w:sz w:val="15"/>
                <w:szCs w:val="15"/>
                <w:color w:val="auto"/>
              </w:rPr>
              <w:t>Accounting Officer)</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620" w:type="dxa"/>
            <w:vAlign w:val="bottom"/>
          </w:tcPr>
          <w:p>
            <w:pPr>
              <w:spacing w:after="0"/>
              <w:rPr>
                <w:sz w:val="20"/>
                <w:szCs w:val="20"/>
                <w:color w:val="auto"/>
              </w:rPr>
            </w:pPr>
            <w:r>
              <w:rPr>
                <w:rFonts w:ascii="Arial" w:cs="Arial" w:eastAsia="Arial" w:hAnsi="Arial"/>
                <w:sz w:val="15"/>
                <w:szCs w:val="15"/>
                <w:b w:val="1"/>
                <w:bCs w:val="1"/>
                <w:color w:val="auto"/>
              </w:rPr>
              <w:t>/s/ Rebeca M. Barrera</w:t>
            </w:r>
          </w:p>
        </w:tc>
        <w:tc>
          <w:tcPr>
            <w:tcW w:w="5160" w:type="dxa"/>
            <w:vAlign w:val="bottom"/>
          </w:tcPr>
          <w:p>
            <w:pPr>
              <w:ind w:left="920"/>
              <w:spacing w:after="0"/>
              <w:rPr>
                <w:sz w:val="20"/>
                <w:szCs w:val="20"/>
                <w:color w:val="auto"/>
              </w:rPr>
            </w:pPr>
            <w:r>
              <w:rPr>
                <w:rFonts w:ascii="Arial" w:cs="Arial" w:eastAsia="Arial" w:hAnsi="Arial"/>
                <w:sz w:val="15"/>
                <w:szCs w:val="15"/>
                <w:color w:val="auto"/>
              </w:rPr>
              <w:t>Director</w:t>
            </w:r>
          </w:p>
        </w:tc>
        <w:tc>
          <w:tcPr>
            <w:tcW w:w="3660" w:type="dxa"/>
            <w:vAlign w:val="bottom"/>
          </w:tcPr>
          <w:p>
            <w:pPr>
              <w:jc w:val="center"/>
              <w:ind w:left="104"/>
              <w:spacing w:after="0"/>
              <w:rPr>
                <w:sz w:val="20"/>
                <w:szCs w:val="20"/>
                <w:color w:val="auto"/>
              </w:rPr>
            </w:pPr>
            <w:r>
              <w:rPr>
                <w:rFonts w:ascii="Arial" w:cs="Arial" w:eastAsia="Arial" w:hAnsi="Arial"/>
                <w:sz w:val="15"/>
                <w:szCs w:val="15"/>
                <w:color w:val="auto"/>
                <w:w w:val="91"/>
              </w:rPr>
              <w:t>August 8, 2006</w:t>
            </w:r>
          </w:p>
        </w:tc>
        <w:tc>
          <w:tcPr>
            <w:tcW w:w="0" w:type="dxa"/>
            <w:vAlign w:val="bottom"/>
          </w:tcPr>
          <w:p>
            <w:pPr>
              <w:spacing w:after="0"/>
              <w:rPr>
                <w:sz w:val="1"/>
                <w:szCs w:val="1"/>
                <w:color w:val="auto"/>
              </w:rPr>
            </w:pPr>
          </w:p>
        </w:tc>
      </w:tr>
      <w:tr>
        <w:trPr>
          <w:trHeight w:val="96"/>
        </w:trPr>
        <w:tc>
          <w:tcPr>
            <w:tcW w:w="2620" w:type="dxa"/>
            <w:vAlign w:val="bottom"/>
            <w:tcBorders>
              <w:bottom w:val="single" w:sz="8" w:color="808080"/>
            </w:tcBorders>
          </w:tcPr>
          <w:p>
            <w:pPr>
              <w:spacing w:after="0"/>
              <w:rPr>
                <w:sz w:val="8"/>
                <w:szCs w:val="8"/>
                <w:color w:val="auto"/>
              </w:rPr>
            </w:pPr>
          </w:p>
        </w:tc>
        <w:tc>
          <w:tcPr>
            <w:tcW w:w="5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2620" w:type="dxa"/>
            <w:vAlign w:val="bottom"/>
          </w:tcPr>
          <w:p>
            <w:pPr>
              <w:spacing w:after="0"/>
              <w:rPr>
                <w:sz w:val="20"/>
                <w:szCs w:val="20"/>
                <w:color w:val="auto"/>
              </w:rPr>
            </w:pPr>
            <w:r>
              <w:rPr>
                <w:rFonts w:ascii="Arial" w:cs="Arial" w:eastAsia="Arial" w:hAnsi="Arial"/>
                <w:sz w:val="15"/>
                <w:szCs w:val="15"/>
                <w:b w:val="1"/>
                <w:bCs w:val="1"/>
                <w:color w:val="auto"/>
              </w:rPr>
              <w:t>Rebeca M. Barrera</w:t>
            </w:r>
          </w:p>
        </w:tc>
        <w:tc>
          <w:tcPr>
            <w:tcW w:w="5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20" w:type="dxa"/>
            <w:vAlign w:val="bottom"/>
          </w:tcPr>
          <w:p>
            <w:pPr>
              <w:spacing w:after="0"/>
              <w:rPr>
                <w:sz w:val="20"/>
                <w:szCs w:val="20"/>
                <w:color w:val="auto"/>
              </w:rPr>
            </w:pPr>
            <w:r>
              <w:rPr>
                <w:rFonts w:ascii="Arial" w:cs="Arial" w:eastAsia="Arial" w:hAnsi="Arial"/>
                <w:sz w:val="15"/>
                <w:szCs w:val="15"/>
                <w:b w:val="1"/>
                <w:bCs w:val="1"/>
                <w:color w:val="auto"/>
              </w:rPr>
              <w:t>/s/ Ramon C. Cortines</w:t>
            </w:r>
          </w:p>
        </w:tc>
        <w:tc>
          <w:tcPr>
            <w:tcW w:w="5160" w:type="dxa"/>
            <w:vAlign w:val="bottom"/>
          </w:tcPr>
          <w:p>
            <w:pPr>
              <w:ind w:left="920"/>
              <w:spacing w:after="0"/>
              <w:rPr>
                <w:sz w:val="20"/>
                <w:szCs w:val="20"/>
                <w:color w:val="auto"/>
              </w:rPr>
            </w:pPr>
            <w:r>
              <w:rPr>
                <w:rFonts w:ascii="Arial" w:cs="Arial" w:eastAsia="Arial" w:hAnsi="Arial"/>
                <w:sz w:val="15"/>
                <w:szCs w:val="15"/>
                <w:color w:val="auto"/>
              </w:rPr>
              <w:t>Director</w:t>
            </w:r>
          </w:p>
        </w:tc>
        <w:tc>
          <w:tcPr>
            <w:tcW w:w="3660" w:type="dxa"/>
            <w:vAlign w:val="bottom"/>
          </w:tcPr>
          <w:p>
            <w:pPr>
              <w:jc w:val="center"/>
              <w:ind w:left="104"/>
              <w:spacing w:after="0"/>
              <w:rPr>
                <w:sz w:val="20"/>
                <w:szCs w:val="20"/>
                <w:color w:val="auto"/>
              </w:rPr>
            </w:pPr>
            <w:r>
              <w:rPr>
                <w:rFonts w:ascii="Arial" w:cs="Arial" w:eastAsia="Arial" w:hAnsi="Arial"/>
                <w:sz w:val="15"/>
                <w:szCs w:val="15"/>
                <w:color w:val="auto"/>
                <w:w w:val="91"/>
              </w:rPr>
              <w:t>August 8, 2006</w:t>
            </w:r>
          </w:p>
        </w:tc>
        <w:tc>
          <w:tcPr>
            <w:tcW w:w="0" w:type="dxa"/>
            <w:vAlign w:val="bottom"/>
          </w:tcPr>
          <w:p>
            <w:pPr>
              <w:spacing w:after="0"/>
              <w:rPr>
                <w:sz w:val="1"/>
                <w:szCs w:val="1"/>
                <w:color w:val="auto"/>
              </w:rPr>
            </w:pPr>
          </w:p>
        </w:tc>
      </w:tr>
      <w:tr>
        <w:trPr>
          <w:trHeight w:val="96"/>
        </w:trPr>
        <w:tc>
          <w:tcPr>
            <w:tcW w:w="2620" w:type="dxa"/>
            <w:vAlign w:val="bottom"/>
            <w:tcBorders>
              <w:bottom w:val="single" w:sz="8" w:color="808080"/>
            </w:tcBorders>
          </w:tcPr>
          <w:p>
            <w:pPr>
              <w:spacing w:after="0"/>
              <w:rPr>
                <w:sz w:val="8"/>
                <w:szCs w:val="8"/>
                <w:color w:val="auto"/>
              </w:rPr>
            </w:pPr>
          </w:p>
        </w:tc>
        <w:tc>
          <w:tcPr>
            <w:tcW w:w="5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2620" w:type="dxa"/>
            <w:vAlign w:val="bottom"/>
          </w:tcPr>
          <w:p>
            <w:pPr>
              <w:spacing w:after="0"/>
              <w:rPr>
                <w:sz w:val="20"/>
                <w:szCs w:val="20"/>
                <w:color w:val="auto"/>
              </w:rPr>
            </w:pPr>
            <w:r>
              <w:rPr>
                <w:rFonts w:ascii="Arial" w:cs="Arial" w:eastAsia="Arial" w:hAnsi="Arial"/>
                <w:sz w:val="15"/>
                <w:szCs w:val="15"/>
                <w:b w:val="1"/>
                <w:bCs w:val="1"/>
                <w:color w:val="auto"/>
              </w:rPr>
              <w:t>Ramon C. Cortines</w:t>
            </w:r>
          </w:p>
        </w:tc>
        <w:tc>
          <w:tcPr>
            <w:tcW w:w="5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20" w:type="dxa"/>
            <w:vAlign w:val="bottom"/>
          </w:tcPr>
          <w:p>
            <w:pPr>
              <w:spacing w:after="0"/>
              <w:rPr>
                <w:sz w:val="20"/>
                <w:szCs w:val="20"/>
                <w:color w:val="auto"/>
              </w:rPr>
            </w:pPr>
            <w:r>
              <w:rPr>
                <w:rFonts w:ascii="Arial" w:cs="Arial" w:eastAsia="Arial" w:hAnsi="Arial"/>
                <w:sz w:val="15"/>
                <w:szCs w:val="15"/>
                <w:b w:val="1"/>
                <w:bCs w:val="1"/>
                <w:color w:val="auto"/>
              </w:rPr>
              <w:t>/s/ John L. Davies</w:t>
            </w:r>
          </w:p>
        </w:tc>
        <w:tc>
          <w:tcPr>
            <w:tcW w:w="5160" w:type="dxa"/>
            <w:vAlign w:val="bottom"/>
          </w:tcPr>
          <w:p>
            <w:pPr>
              <w:ind w:left="920"/>
              <w:spacing w:after="0"/>
              <w:rPr>
                <w:sz w:val="20"/>
                <w:szCs w:val="20"/>
                <w:color w:val="auto"/>
              </w:rPr>
            </w:pPr>
            <w:r>
              <w:rPr>
                <w:rFonts w:ascii="Arial" w:cs="Arial" w:eastAsia="Arial" w:hAnsi="Arial"/>
                <w:sz w:val="15"/>
                <w:szCs w:val="15"/>
                <w:color w:val="auto"/>
              </w:rPr>
              <w:t>Director</w:t>
            </w:r>
          </w:p>
        </w:tc>
        <w:tc>
          <w:tcPr>
            <w:tcW w:w="3660" w:type="dxa"/>
            <w:vAlign w:val="bottom"/>
          </w:tcPr>
          <w:p>
            <w:pPr>
              <w:jc w:val="center"/>
              <w:ind w:left="104"/>
              <w:spacing w:after="0"/>
              <w:rPr>
                <w:sz w:val="20"/>
                <w:szCs w:val="20"/>
                <w:color w:val="auto"/>
              </w:rPr>
            </w:pPr>
            <w:r>
              <w:rPr>
                <w:rFonts w:ascii="Arial" w:cs="Arial" w:eastAsia="Arial" w:hAnsi="Arial"/>
                <w:sz w:val="15"/>
                <w:szCs w:val="15"/>
                <w:color w:val="auto"/>
                <w:w w:val="91"/>
              </w:rPr>
              <w:t>August 8, 2006</w:t>
            </w:r>
          </w:p>
        </w:tc>
        <w:tc>
          <w:tcPr>
            <w:tcW w:w="0" w:type="dxa"/>
            <w:vAlign w:val="bottom"/>
          </w:tcPr>
          <w:p>
            <w:pPr>
              <w:spacing w:after="0"/>
              <w:rPr>
                <w:sz w:val="1"/>
                <w:szCs w:val="1"/>
                <w:color w:val="auto"/>
              </w:rPr>
            </w:pPr>
          </w:p>
        </w:tc>
      </w:tr>
      <w:tr>
        <w:trPr>
          <w:trHeight w:val="96"/>
        </w:trPr>
        <w:tc>
          <w:tcPr>
            <w:tcW w:w="2620" w:type="dxa"/>
            <w:vAlign w:val="bottom"/>
            <w:tcBorders>
              <w:bottom w:val="single" w:sz="8" w:color="808080"/>
            </w:tcBorders>
          </w:tcPr>
          <w:p>
            <w:pPr>
              <w:spacing w:after="0"/>
              <w:rPr>
                <w:sz w:val="8"/>
                <w:szCs w:val="8"/>
                <w:color w:val="auto"/>
              </w:rPr>
            </w:pPr>
          </w:p>
        </w:tc>
        <w:tc>
          <w:tcPr>
            <w:tcW w:w="5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2620" w:type="dxa"/>
            <w:vAlign w:val="bottom"/>
          </w:tcPr>
          <w:p>
            <w:pPr>
              <w:spacing w:after="0"/>
              <w:rPr>
                <w:sz w:val="20"/>
                <w:szCs w:val="20"/>
                <w:color w:val="auto"/>
              </w:rPr>
            </w:pPr>
            <w:r>
              <w:rPr>
                <w:rFonts w:ascii="Arial" w:cs="Arial" w:eastAsia="Arial" w:hAnsi="Arial"/>
                <w:sz w:val="15"/>
                <w:szCs w:val="15"/>
                <w:b w:val="1"/>
                <w:bCs w:val="1"/>
                <w:color w:val="auto"/>
              </w:rPr>
              <w:t>John L. Davies</w:t>
            </w:r>
          </w:p>
        </w:tc>
        <w:tc>
          <w:tcPr>
            <w:tcW w:w="5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253365</wp:posOffset>
            </wp:positionV>
            <wp:extent cx="1938655" cy="3403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20"/>
                <w:szCs w:val="20"/>
                <w:color w:val="auto"/>
              </w:rPr>
            </w:pPr>
            <w:r>
              <w:rPr>
                <w:rFonts w:ascii="Arial" w:cs="Arial" w:eastAsia="Arial" w:hAnsi="Arial"/>
                <w:sz w:val="15"/>
                <w:szCs w:val="15"/>
                <w:b w:val="1"/>
                <w:bCs w:val="1"/>
                <w:color w:val="auto"/>
              </w:rPr>
              <w:t>Signature</w:t>
            </w:r>
          </w:p>
        </w:tc>
        <w:tc>
          <w:tcPr>
            <w:tcW w:w="3880" w:type="dxa"/>
            <w:vAlign w:val="bottom"/>
          </w:tcPr>
          <w:p>
            <w:pPr>
              <w:ind w:left="800"/>
              <w:spacing w:after="0"/>
              <w:rPr>
                <w:sz w:val="20"/>
                <w:szCs w:val="20"/>
                <w:color w:val="auto"/>
              </w:rPr>
            </w:pPr>
            <w:r>
              <w:rPr>
                <w:rFonts w:ascii="Arial" w:cs="Arial" w:eastAsia="Arial" w:hAnsi="Arial"/>
                <w:sz w:val="15"/>
                <w:szCs w:val="15"/>
                <w:b w:val="1"/>
                <w:bCs w:val="1"/>
                <w:color w:val="auto"/>
              </w:rPr>
              <w:t>Title</w:t>
            </w:r>
          </w:p>
        </w:tc>
        <w:tc>
          <w:tcPr>
            <w:tcW w:w="4820" w:type="dxa"/>
            <w:vAlign w:val="bottom"/>
          </w:tcPr>
          <w:p>
            <w:pPr>
              <w:jc w:val="center"/>
              <w:ind w:left="1144"/>
              <w:spacing w:after="0"/>
              <w:rPr>
                <w:sz w:val="20"/>
                <w:szCs w:val="20"/>
                <w:color w:val="auto"/>
              </w:rPr>
            </w:pPr>
            <w:r>
              <w:rPr>
                <w:rFonts w:ascii="Arial" w:cs="Arial" w:eastAsia="Arial" w:hAnsi="Arial"/>
                <w:sz w:val="15"/>
                <w:szCs w:val="15"/>
                <w:b w:val="1"/>
                <w:bCs w:val="1"/>
                <w:color w:val="auto"/>
                <w:w w:val="98"/>
              </w:rPr>
              <w:t>Date</w:t>
            </w:r>
          </w:p>
        </w:tc>
      </w:tr>
      <w:tr>
        <w:trPr>
          <w:trHeight w:val="96"/>
        </w:trPr>
        <w:tc>
          <w:tcPr>
            <w:tcW w:w="274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r>
      <w:tr>
        <w:trPr>
          <w:trHeight w:val="502"/>
        </w:trPr>
        <w:tc>
          <w:tcPr>
            <w:tcW w:w="2740" w:type="dxa"/>
            <w:vAlign w:val="bottom"/>
          </w:tcPr>
          <w:p>
            <w:pPr>
              <w:spacing w:after="0"/>
              <w:rPr>
                <w:sz w:val="20"/>
                <w:szCs w:val="20"/>
                <w:color w:val="auto"/>
              </w:rPr>
            </w:pPr>
            <w:r>
              <w:rPr>
                <w:rFonts w:ascii="Arial" w:cs="Arial" w:eastAsia="Arial" w:hAnsi="Arial"/>
                <w:sz w:val="15"/>
                <w:szCs w:val="15"/>
                <w:b w:val="1"/>
                <w:bCs w:val="1"/>
                <w:color w:val="auto"/>
              </w:rPr>
              <w:t>/s/ Charles T. Harris III</w:t>
            </w:r>
          </w:p>
        </w:tc>
        <w:tc>
          <w:tcPr>
            <w:tcW w:w="3880" w:type="dxa"/>
            <w:vAlign w:val="bottom"/>
          </w:tcPr>
          <w:p>
            <w:pPr>
              <w:ind w:left="800"/>
              <w:spacing w:after="0"/>
              <w:rPr>
                <w:sz w:val="20"/>
                <w:szCs w:val="20"/>
                <w:color w:val="auto"/>
              </w:rPr>
            </w:pPr>
            <w:r>
              <w:rPr>
                <w:rFonts w:ascii="Arial" w:cs="Arial" w:eastAsia="Arial" w:hAnsi="Arial"/>
                <w:sz w:val="15"/>
                <w:szCs w:val="15"/>
                <w:color w:val="auto"/>
              </w:rPr>
              <w:t>Director</w:t>
            </w:r>
          </w:p>
        </w:tc>
        <w:tc>
          <w:tcPr>
            <w:tcW w:w="4820" w:type="dxa"/>
            <w:vAlign w:val="bottom"/>
          </w:tcPr>
          <w:p>
            <w:pPr>
              <w:jc w:val="center"/>
              <w:ind w:left="1144"/>
              <w:spacing w:after="0"/>
              <w:rPr>
                <w:sz w:val="20"/>
                <w:szCs w:val="20"/>
                <w:color w:val="auto"/>
              </w:rPr>
            </w:pPr>
            <w:r>
              <w:rPr>
                <w:rFonts w:ascii="Arial" w:cs="Arial" w:eastAsia="Arial" w:hAnsi="Arial"/>
                <w:sz w:val="15"/>
                <w:szCs w:val="15"/>
                <w:color w:val="auto"/>
                <w:w w:val="91"/>
              </w:rPr>
              <w:t>August 8, 2006</w:t>
            </w:r>
          </w:p>
        </w:tc>
      </w:tr>
      <w:tr>
        <w:trPr>
          <w:trHeight w:val="96"/>
        </w:trPr>
        <w:tc>
          <w:tcPr>
            <w:tcW w:w="27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4820" w:type="dxa"/>
            <w:vAlign w:val="bottom"/>
          </w:tcPr>
          <w:p>
            <w:pPr>
              <w:spacing w:after="0"/>
              <w:rPr>
                <w:sz w:val="8"/>
                <w:szCs w:val="8"/>
                <w:color w:val="auto"/>
              </w:rPr>
            </w:pPr>
          </w:p>
        </w:tc>
      </w:tr>
      <w:tr>
        <w:trPr>
          <w:trHeight w:val="292"/>
        </w:trPr>
        <w:tc>
          <w:tcPr>
            <w:tcW w:w="2740" w:type="dxa"/>
            <w:vAlign w:val="bottom"/>
          </w:tcPr>
          <w:p>
            <w:pPr>
              <w:spacing w:after="0"/>
              <w:rPr>
                <w:sz w:val="20"/>
                <w:szCs w:val="20"/>
                <w:color w:val="auto"/>
              </w:rPr>
            </w:pPr>
            <w:r>
              <w:rPr>
                <w:rFonts w:ascii="Arial" w:cs="Arial" w:eastAsia="Arial" w:hAnsi="Arial"/>
                <w:sz w:val="15"/>
                <w:szCs w:val="15"/>
                <w:b w:val="1"/>
                <w:bCs w:val="1"/>
                <w:color w:val="auto"/>
              </w:rPr>
              <w:t>Charles T. Harris III</w:t>
            </w:r>
          </w:p>
        </w:tc>
        <w:tc>
          <w:tcPr>
            <w:tcW w:w="38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19"/>
        </w:trPr>
        <w:tc>
          <w:tcPr>
            <w:tcW w:w="2740" w:type="dxa"/>
            <w:vAlign w:val="bottom"/>
          </w:tcPr>
          <w:p>
            <w:pPr>
              <w:spacing w:after="0"/>
              <w:rPr>
                <w:sz w:val="20"/>
                <w:szCs w:val="20"/>
                <w:color w:val="auto"/>
              </w:rPr>
            </w:pPr>
            <w:r>
              <w:rPr>
                <w:rFonts w:ascii="Arial" w:cs="Arial" w:eastAsia="Arial" w:hAnsi="Arial"/>
                <w:sz w:val="15"/>
                <w:szCs w:val="15"/>
                <w:b w:val="1"/>
                <w:bCs w:val="1"/>
                <w:color w:val="auto"/>
              </w:rPr>
              <w:t>/s/ Andrew S. Hedden</w:t>
            </w:r>
          </w:p>
        </w:tc>
        <w:tc>
          <w:tcPr>
            <w:tcW w:w="3880" w:type="dxa"/>
            <w:vAlign w:val="bottom"/>
          </w:tcPr>
          <w:p>
            <w:pPr>
              <w:ind w:left="800"/>
              <w:spacing w:after="0"/>
              <w:rPr>
                <w:sz w:val="20"/>
                <w:szCs w:val="20"/>
                <w:color w:val="auto"/>
              </w:rPr>
            </w:pPr>
            <w:r>
              <w:rPr>
                <w:rFonts w:ascii="Arial" w:cs="Arial" w:eastAsia="Arial" w:hAnsi="Arial"/>
                <w:sz w:val="15"/>
                <w:szCs w:val="15"/>
                <w:color w:val="auto"/>
              </w:rPr>
              <w:t>Director</w:t>
            </w:r>
          </w:p>
        </w:tc>
        <w:tc>
          <w:tcPr>
            <w:tcW w:w="4820" w:type="dxa"/>
            <w:vAlign w:val="bottom"/>
          </w:tcPr>
          <w:p>
            <w:pPr>
              <w:jc w:val="center"/>
              <w:ind w:left="1144"/>
              <w:spacing w:after="0"/>
              <w:rPr>
                <w:sz w:val="20"/>
                <w:szCs w:val="20"/>
                <w:color w:val="auto"/>
              </w:rPr>
            </w:pPr>
            <w:r>
              <w:rPr>
                <w:rFonts w:ascii="Arial" w:cs="Arial" w:eastAsia="Arial" w:hAnsi="Arial"/>
                <w:sz w:val="15"/>
                <w:szCs w:val="15"/>
                <w:color w:val="auto"/>
                <w:w w:val="91"/>
              </w:rPr>
              <w:t>August 8, 2006</w:t>
            </w:r>
          </w:p>
        </w:tc>
      </w:tr>
      <w:tr>
        <w:trPr>
          <w:trHeight w:val="96"/>
        </w:trPr>
        <w:tc>
          <w:tcPr>
            <w:tcW w:w="27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4820" w:type="dxa"/>
            <w:vAlign w:val="bottom"/>
          </w:tcPr>
          <w:p>
            <w:pPr>
              <w:spacing w:after="0"/>
              <w:rPr>
                <w:sz w:val="8"/>
                <w:szCs w:val="8"/>
                <w:color w:val="auto"/>
              </w:rPr>
            </w:pPr>
          </w:p>
        </w:tc>
      </w:tr>
      <w:tr>
        <w:trPr>
          <w:trHeight w:val="292"/>
        </w:trPr>
        <w:tc>
          <w:tcPr>
            <w:tcW w:w="2740" w:type="dxa"/>
            <w:vAlign w:val="bottom"/>
          </w:tcPr>
          <w:p>
            <w:pPr>
              <w:spacing w:after="0"/>
              <w:rPr>
                <w:sz w:val="20"/>
                <w:szCs w:val="20"/>
                <w:color w:val="auto"/>
              </w:rPr>
            </w:pPr>
            <w:r>
              <w:rPr>
                <w:rFonts w:ascii="Arial" w:cs="Arial" w:eastAsia="Arial" w:hAnsi="Arial"/>
                <w:sz w:val="15"/>
                <w:szCs w:val="15"/>
                <w:b w:val="1"/>
                <w:bCs w:val="1"/>
                <w:color w:val="auto"/>
              </w:rPr>
              <w:t>Andrew S. Hedden</w:t>
            </w:r>
          </w:p>
        </w:tc>
        <w:tc>
          <w:tcPr>
            <w:tcW w:w="38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19"/>
        </w:trPr>
        <w:tc>
          <w:tcPr>
            <w:tcW w:w="2740" w:type="dxa"/>
            <w:vAlign w:val="bottom"/>
          </w:tcPr>
          <w:p>
            <w:pPr>
              <w:spacing w:after="0"/>
              <w:rPr>
                <w:sz w:val="20"/>
                <w:szCs w:val="20"/>
                <w:color w:val="auto"/>
              </w:rPr>
            </w:pPr>
            <w:r>
              <w:rPr>
                <w:rFonts w:ascii="Arial" w:cs="Arial" w:eastAsia="Arial" w:hAnsi="Arial"/>
                <w:sz w:val="15"/>
                <w:szCs w:val="15"/>
                <w:b w:val="1"/>
                <w:bCs w:val="1"/>
                <w:color w:val="auto"/>
              </w:rPr>
              <w:t>/s/ Mae C. Jemison</w:t>
            </w:r>
          </w:p>
        </w:tc>
        <w:tc>
          <w:tcPr>
            <w:tcW w:w="3880" w:type="dxa"/>
            <w:vAlign w:val="bottom"/>
          </w:tcPr>
          <w:p>
            <w:pPr>
              <w:ind w:left="800"/>
              <w:spacing w:after="0"/>
              <w:rPr>
                <w:sz w:val="20"/>
                <w:szCs w:val="20"/>
                <w:color w:val="auto"/>
              </w:rPr>
            </w:pPr>
            <w:r>
              <w:rPr>
                <w:rFonts w:ascii="Arial" w:cs="Arial" w:eastAsia="Arial" w:hAnsi="Arial"/>
                <w:sz w:val="15"/>
                <w:szCs w:val="15"/>
                <w:color w:val="auto"/>
              </w:rPr>
              <w:t>Director</w:t>
            </w:r>
          </w:p>
        </w:tc>
        <w:tc>
          <w:tcPr>
            <w:tcW w:w="4820" w:type="dxa"/>
            <w:vAlign w:val="bottom"/>
          </w:tcPr>
          <w:p>
            <w:pPr>
              <w:jc w:val="center"/>
              <w:ind w:left="1144"/>
              <w:spacing w:after="0"/>
              <w:rPr>
                <w:sz w:val="20"/>
                <w:szCs w:val="20"/>
                <w:color w:val="auto"/>
              </w:rPr>
            </w:pPr>
            <w:r>
              <w:rPr>
                <w:rFonts w:ascii="Arial" w:cs="Arial" w:eastAsia="Arial" w:hAnsi="Arial"/>
                <w:sz w:val="15"/>
                <w:szCs w:val="15"/>
                <w:color w:val="auto"/>
                <w:w w:val="91"/>
              </w:rPr>
              <w:t>August 8, 2006</w:t>
            </w:r>
          </w:p>
        </w:tc>
      </w:tr>
      <w:tr>
        <w:trPr>
          <w:trHeight w:val="96"/>
        </w:trPr>
        <w:tc>
          <w:tcPr>
            <w:tcW w:w="27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4820" w:type="dxa"/>
            <w:vAlign w:val="bottom"/>
          </w:tcPr>
          <w:p>
            <w:pPr>
              <w:spacing w:after="0"/>
              <w:rPr>
                <w:sz w:val="8"/>
                <w:szCs w:val="8"/>
                <w:color w:val="auto"/>
              </w:rPr>
            </w:pPr>
          </w:p>
        </w:tc>
      </w:tr>
      <w:tr>
        <w:trPr>
          <w:trHeight w:val="292"/>
        </w:trPr>
        <w:tc>
          <w:tcPr>
            <w:tcW w:w="2740" w:type="dxa"/>
            <w:vAlign w:val="bottom"/>
          </w:tcPr>
          <w:p>
            <w:pPr>
              <w:spacing w:after="0"/>
              <w:rPr>
                <w:sz w:val="20"/>
                <w:szCs w:val="20"/>
                <w:color w:val="auto"/>
              </w:rPr>
            </w:pPr>
            <w:r>
              <w:rPr>
                <w:rFonts w:ascii="Arial" w:cs="Arial" w:eastAsia="Arial" w:hAnsi="Arial"/>
                <w:sz w:val="15"/>
                <w:szCs w:val="15"/>
                <w:b w:val="1"/>
                <w:bCs w:val="1"/>
                <w:color w:val="auto"/>
              </w:rPr>
              <w:t>Mae C. Jemison</w:t>
            </w:r>
          </w:p>
        </w:tc>
        <w:tc>
          <w:tcPr>
            <w:tcW w:w="38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19"/>
        </w:trPr>
        <w:tc>
          <w:tcPr>
            <w:tcW w:w="2740" w:type="dxa"/>
            <w:vAlign w:val="bottom"/>
          </w:tcPr>
          <w:p>
            <w:pPr>
              <w:spacing w:after="0"/>
              <w:rPr>
                <w:sz w:val="20"/>
                <w:szCs w:val="20"/>
                <w:color w:val="auto"/>
              </w:rPr>
            </w:pPr>
            <w:r>
              <w:rPr>
                <w:rFonts w:ascii="Arial" w:cs="Arial" w:eastAsia="Arial" w:hAnsi="Arial"/>
                <w:sz w:val="15"/>
                <w:szCs w:val="15"/>
                <w:b w:val="1"/>
                <w:bCs w:val="1"/>
                <w:color w:val="auto"/>
              </w:rPr>
              <w:t>/s/ Peter M. Mayer</w:t>
            </w:r>
          </w:p>
        </w:tc>
        <w:tc>
          <w:tcPr>
            <w:tcW w:w="3880" w:type="dxa"/>
            <w:vAlign w:val="bottom"/>
          </w:tcPr>
          <w:p>
            <w:pPr>
              <w:ind w:left="800"/>
              <w:spacing w:after="0"/>
              <w:rPr>
                <w:sz w:val="20"/>
                <w:szCs w:val="20"/>
                <w:color w:val="auto"/>
              </w:rPr>
            </w:pPr>
            <w:r>
              <w:rPr>
                <w:rFonts w:ascii="Arial" w:cs="Arial" w:eastAsia="Arial" w:hAnsi="Arial"/>
                <w:sz w:val="15"/>
                <w:szCs w:val="15"/>
                <w:color w:val="auto"/>
              </w:rPr>
              <w:t>Director</w:t>
            </w:r>
          </w:p>
        </w:tc>
        <w:tc>
          <w:tcPr>
            <w:tcW w:w="4820" w:type="dxa"/>
            <w:vAlign w:val="bottom"/>
          </w:tcPr>
          <w:p>
            <w:pPr>
              <w:jc w:val="center"/>
              <w:ind w:left="1144"/>
              <w:spacing w:after="0"/>
              <w:rPr>
                <w:sz w:val="20"/>
                <w:szCs w:val="20"/>
                <w:color w:val="auto"/>
              </w:rPr>
            </w:pPr>
            <w:r>
              <w:rPr>
                <w:rFonts w:ascii="Arial" w:cs="Arial" w:eastAsia="Arial" w:hAnsi="Arial"/>
                <w:sz w:val="15"/>
                <w:szCs w:val="15"/>
                <w:color w:val="auto"/>
                <w:w w:val="91"/>
              </w:rPr>
              <w:t>August 8, 2006</w:t>
            </w:r>
          </w:p>
        </w:tc>
      </w:tr>
      <w:tr>
        <w:trPr>
          <w:trHeight w:val="96"/>
        </w:trPr>
        <w:tc>
          <w:tcPr>
            <w:tcW w:w="27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4820" w:type="dxa"/>
            <w:vAlign w:val="bottom"/>
          </w:tcPr>
          <w:p>
            <w:pPr>
              <w:spacing w:after="0"/>
              <w:rPr>
                <w:sz w:val="8"/>
                <w:szCs w:val="8"/>
                <w:color w:val="auto"/>
              </w:rPr>
            </w:pPr>
          </w:p>
        </w:tc>
      </w:tr>
      <w:tr>
        <w:trPr>
          <w:trHeight w:val="292"/>
        </w:trPr>
        <w:tc>
          <w:tcPr>
            <w:tcW w:w="2740" w:type="dxa"/>
            <w:vAlign w:val="bottom"/>
          </w:tcPr>
          <w:p>
            <w:pPr>
              <w:spacing w:after="0"/>
              <w:rPr>
                <w:sz w:val="20"/>
                <w:szCs w:val="20"/>
                <w:color w:val="auto"/>
              </w:rPr>
            </w:pPr>
            <w:r>
              <w:rPr>
                <w:rFonts w:ascii="Arial" w:cs="Arial" w:eastAsia="Arial" w:hAnsi="Arial"/>
                <w:sz w:val="15"/>
                <w:szCs w:val="15"/>
                <w:b w:val="1"/>
                <w:bCs w:val="1"/>
                <w:color w:val="auto"/>
              </w:rPr>
              <w:t>Peter M. Mayer</w:t>
            </w:r>
          </w:p>
        </w:tc>
        <w:tc>
          <w:tcPr>
            <w:tcW w:w="38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19"/>
        </w:trPr>
        <w:tc>
          <w:tcPr>
            <w:tcW w:w="2740" w:type="dxa"/>
            <w:vAlign w:val="bottom"/>
          </w:tcPr>
          <w:p>
            <w:pPr>
              <w:spacing w:after="0"/>
              <w:rPr>
                <w:sz w:val="20"/>
                <w:szCs w:val="20"/>
                <w:color w:val="auto"/>
              </w:rPr>
            </w:pPr>
            <w:r>
              <w:rPr>
                <w:rFonts w:ascii="Arial" w:cs="Arial" w:eastAsia="Arial" w:hAnsi="Arial"/>
                <w:sz w:val="15"/>
                <w:szCs w:val="15"/>
                <w:b w:val="1"/>
                <w:bCs w:val="1"/>
                <w:color w:val="auto"/>
              </w:rPr>
              <w:t>/s/ John G. McDonald</w:t>
            </w:r>
          </w:p>
        </w:tc>
        <w:tc>
          <w:tcPr>
            <w:tcW w:w="3880" w:type="dxa"/>
            <w:vAlign w:val="bottom"/>
          </w:tcPr>
          <w:p>
            <w:pPr>
              <w:ind w:left="800"/>
              <w:spacing w:after="0"/>
              <w:rPr>
                <w:sz w:val="20"/>
                <w:szCs w:val="20"/>
                <w:color w:val="auto"/>
              </w:rPr>
            </w:pPr>
            <w:r>
              <w:rPr>
                <w:rFonts w:ascii="Arial" w:cs="Arial" w:eastAsia="Arial" w:hAnsi="Arial"/>
                <w:sz w:val="15"/>
                <w:szCs w:val="15"/>
                <w:color w:val="auto"/>
              </w:rPr>
              <w:t>Director</w:t>
            </w:r>
          </w:p>
        </w:tc>
        <w:tc>
          <w:tcPr>
            <w:tcW w:w="4820" w:type="dxa"/>
            <w:vAlign w:val="bottom"/>
          </w:tcPr>
          <w:p>
            <w:pPr>
              <w:jc w:val="center"/>
              <w:ind w:left="1144"/>
              <w:spacing w:after="0"/>
              <w:rPr>
                <w:sz w:val="20"/>
                <w:szCs w:val="20"/>
                <w:color w:val="auto"/>
              </w:rPr>
            </w:pPr>
            <w:r>
              <w:rPr>
                <w:rFonts w:ascii="Arial" w:cs="Arial" w:eastAsia="Arial" w:hAnsi="Arial"/>
                <w:sz w:val="15"/>
                <w:szCs w:val="15"/>
                <w:color w:val="auto"/>
                <w:w w:val="91"/>
              </w:rPr>
              <w:t>August 8, 2006</w:t>
            </w:r>
          </w:p>
        </w:tc>
      </w:tr>
      <w:tr>
        <w:trPr>
          <w:trHeight w:val="96"/>
        </w:trPr>
        <w:tc>
          <w:tcPr>
            <w:tcW w:w="27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4820" w:type="dxa"/>
            <w:vAlign w:val="bottom"/>
          </w:tcPr>
          <w:p>
            <w:pPr>
              <w:spacing w:after="0"/>
              <w:rPr>
                <w:sz w:val="8"/>
                <w:szCs w:val="8"/>
                <w:color w:val="auto"/>
              </w:rPr>
            </w:pPr>
          </w:p>
        </w:tc>
      </w:tr>
      <w:tr>
        <w:trPr>
          <w:trHeight w:val="292"/>
        </w:trPr>
        <w:tc>
          <w:tcPr>
            <w:tcW w:w="2740" w:type="dxa"/>
            <w:vAlign w:val="bottom"/>
          </w:tcPr>
          <w:p>
            <w:pPr>
              <w:spacing w:after="0"/>
              <w:rPr>
                <w:sz w:val="20"/>
                <w:szCs w:val="20"/>
                <w:color w:val="auto"/>
              </w:rPr>
            </w:pPr>
            <w:r>
              <w:rPr>
                <w:rFonts w:ascii="Arial" w:cs="Arial" w:eastAsia="Arial" w:hAnsi="Arial"/>
                <w:sz w:val="15"/>
                <w:szCs w:val="15"/>
                <w:b w:val="1"/>
                <w:bCs w:val="1"/>
                <w:color w:val="auto"/>
              </w:rPr>
              <w:t>John G. McDonald</w:t>
            </w:r>
          </w:p>
        </w:tc>
        <w:tc>
          <w:tcPr>
            <w:tcW w:w="38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19"/>
        </w:trPr>
        <w:tc>
          <w:tcPr>
            <w:tcW w:w="2740" w:type="dxa"/>
            <w:vAlign w:val="bottom"/>
          </w:tcPr>
          <w:p>
            <w:pPr>
              <w:spacing w:after="0"/>
              <w:rPr>
                <w:sz w:val="20"/>
                <w:szCs w:val="20"/>
                <w:color w:val="auto"/>
              </w:rPr>
            </w:pPr>
            <w:r>
              <w:rPr>
                <w:rFonts w:ascii="Arial" w:cs="Arial" w:eastAsia="Arial" w:hAnsi="Arial"/>
                <w:sz w:val="15"/>
                <w:szCs w:val="15"/>
                <w:b w:val="1"/>
                <w:bCs w:val="1"/>
                <w:color w:val="auto"/>
              </w:rPr>
              <w:t>/s/ Augustus K. Oliver</w:t>
            </w:r>
          </w:p>
        </w:tc>
        <w:tc>
          <w:tcPr>
            <w:tcW w:w="3880" w:type="dxa"/>
            <w:vAlign w:val="bottom"/>
          </w:tcPr>
          <w:p>
            <w:pPr>
              <w:ind w:left="800"/>
              <w:spacing w:after="0"/>
              <w:rPr>
                <w:sz w:val="20"/>
                <w:szCs w:val="20"/>
                <w:color w:val="auto"/>
              </w:rPr>
            </w:pPr>
            <w:r>
              <w:rPr>
                <w:rFonts w:ascii="Arial" w:cs="Arial" w:eastAsia="Arial" w:hAnsi="Arial"/>
                <w:sz w:val="15"/>
                <w:szCs w:val="15"/>
                <w:color w:val="auto"/>
              </w:rPr>
              <w:t>Director</w:t>
            </w:r>
          </w:p>
        </w:tc>
        <w:tc>
          <w:tcPr>
            <w:tcW w:w="4820" w:type="dxa"/>
            <w:vAlign w:val="bottom"/>
          </w:tcPr>
          <w:p>
            <w:pPr>
              <w:jc w:val="center"/>
              <w:ind w:left="1144"/>
              <w:spacing w:after="0"/>
              <w:rPr>
                <w:sz w:val="20"/>
                <w:szCs w:val="20"/>
                <w:color w:val="auto"/>
              </w:rPr>
            </w:pPr>
            <w:r>
              <w:rPr>
                <w:rFonts w:ascii="Arial" w:cs="Arial" w:eastAsia="Arial" w:hAnsi="Arial"/>
                <w:sz w:val="15"/>
                <w:szCs w:val="15"/>
                <w:color w:val="auto"/>
                <w:w w:val="91"/>
              </w:rPr>
              <w:t>August 8, 2006</w:t>
            </w:r>
          </w:p>
        </w:tc>
      </w:tr>
      <w:tr>
        <w:trPr>
          <w:trHeight w:val="96"/>
        </w:trPr>
        <w:tc>
          <w:tcPr>
            <w:tcW w:w="27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4820" w:type="dxa"/>
            <w:vAlign w:val="bottom"/>
          </w:tcPr>
          <w:p>
            <w:pPr>
              <w:spacing w:after="0"/>
              <w:rPr>
                <w:sz w:val="8"/>
                <w:szCs w:val="8"/>
                <w:color w:val="auto"/>
              </w:rPr>
            </w:pPr>
          </w:p>
        </w:tc>
      </w:tr>
      <w:tr>
        <w:trPr>
          <w:trHeight w:val="292"/>
        </w:trPr>
        <w:tc>
          <w:tcPr>
            <w:tcW w:w="2740" w:type="dxa"/>
            <w:vAlign w:val="bottom"/>
          </w:tcPr>
          <w:p>
            <w:pPr>
              <w:spacing w:after="0"/>
              <w:rPr>
                <w:sz w:val="20"/>
                <w:szCs w:val="20"/>
                <w:color w:val="auto"/>
              </w:rPr>
            </w:pPr>
            <w:r>
              <w:rPr>
                <w:rFonts w:ascii="Arial" w:cs="Arial" w:eastAsia="Arial" w:hAnsi="Arial"/>
                <w:sz w:val="15"/>
                <w:szCs w:val="15"/>
                <w:b w:val="1"/>
                <w:bCs w:val="1"/>
                <w:color w:val="auto"/>
              </w:rPr>
              <w:t>Augustus K. Oliver</w:t>
            </w:r>
          </w:p>
        </w:tc>
        <w:tc>
          <w:tcPr>
            <w:tcW w:w="38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19"/>
        </w:trPr>
        <w:tc>
          <w:tcPr>
            <w:tcW w:w="2740" w:type="dxa"/>
            <w:vAlign w:val="bottom"/>
          </w:tcPr>
          <w:p>
            <w:pPr>
              <w:spacing w:after="0"/>
              <w:rPr>
                <w:sz w:val="20"/>
                <w:szCs w:val="20"/>
                <w:color w:val="auto"/>
              </w:rPr>
            </w:pPr>
            <w:r>
              <w:rPr>
                <w:rFonts w:ascii="Arial" w:cs="Arial" w:eastAsia="Arial" w:hAnsi="Arial"/>
                <w:sz w:val="15"/>
                <w:szCs w:val="15"/>
                <w:b w:val="1"/>
                <w:bCs w:val="1"/>
                <w:color w:val="auto"/>
              </w:rPr>
              <w:t>/s/ Richard M. Spaulding</w:t>
            </w:r>
          </w:p>
        </w:tc>
        <w:tc>
          <w:tcPr>
            <w:tcW w:w="3880" w:type="dxa"/>
            <w:vAlign w:val="bottom"/>
          </w:tcPr>
          <w:p>
            <w:pPr>
              <w:ind w:left="800"/>
              <w:spacing w:after="0"/>
              <w:rPr>
                <w:sz w:val="20"/>
                <w:szCs w:val="20"/>
                <w:color w:val="auto"/>
              </w:rPr>
            </w:pPr>
            <w:r>
              <w:rPr>
                <w:rFonts w:ascii="Arial" w:cs="Arial" w:eastAsia="Arial" w:hAnsi="Arial"/>
                <w:sz w:val="15"/>
                <w:szCs w:val="15"/>
                <w:color w:val="auto"/>
              </w:rPr>
              <w:t>Director</w:t>
            </w:r>
          </w:p>
        </w:tc>
        <w:tc>
          <w:tcPr>
            <w:tcW w:w="4820" w:type="dxa"/>
            <w:vAlign w:val="bottom"/>
          </w:tcPr>
          <w:p>
            <w:pPr>
              <w:jc w:val="center"/>
              <w:ind w:left="1144"/>
              <w:spacing w:after="0"/>
              <w:rPr>
                <w:sz w:val="20"/>
                <w:szCs w:val="20"/>
                <w:color w:val="auto"/>
              </w:rPr>
            </w:pPr>
            <w:r>
              <w:rPr>
                <w:rFonts w:ascii="Arial" w:cs="Arial" w:eastAsia="Arial" w:hAnsi="Arial"/>
                <w:sz w:val="15"/>
                <w:szCs w:val="15"/>
                <w:color w:val="auto"/>
                <w:w w:val="91"/>
              </w:rPr>
              <w:t>August 8, 2006</w:t>
            </w:r>
          </w:p>
        </w:tc>
      </w:tr>
      <w:tr>
        <w:trPr>
          <w:trHeight w:val="96"/>
        </w:trPr>
        <w:tc>
          <w:tcPr>
            <w:tcW w:w="27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4820" w:type="dxa"/>
            <w:vAlign w:val="bottom"/>
          </w:tcPr>
          <w:p>
            <w:pPr>
              <w:spacing w:after="0"/>
              <w:rPr>
                <w:sz w:val="8"/>
                <w:szCs w:val="8"/>
                <w:color w:val="auto"/>
              </w:rPr>
            </w:pPr>
          </w:p>
        </w:tc>
      </w:tr>
      <w:tr>
        <w:trPr>
          <w:trHeight w:val="292"/>
        </w:trPr>
        <w:tc>
          <w:tcPr>
            <w:tcW w:w="2740" w:type="dxa"/>
            <w:vAlign w:val="bottom"/>
          </w:tcPr>
          <w:p>
            <w:pPr>
              <w:spacing w:after="0"/>
              <w:rPr>
                <w:sz w:val="20"/>
                <w:szCs w:val="20"/>
                <w:color w:val="auto"/>
              </w:rPr>
            </w:pPr>
            <w:r>
              <w:rPr>
                <w:rFonts w:ascii="Arial" w:cs="Arial" w:eastAsia="Arial" w:hAnsi="Arial"/>
                <w:sz w:val="15"/>
                <w:szCs w:val="15"/>
                <w:b w:val="1"/>
                <w:bCs w:val="1"/>
                <w:color w:val="auto"/>
              </w:rPr>
              <w:t>Richard M. Spaulding</w:t>
            </w:r>
          </w:p>
        </w:tc>
        <w:tc>
          <w:tcPr>
            <w:tcW w:w="388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253365</wp:posOffset>
            </wp:positionV>
            <wp:extent cx="1938655" cy="3403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7285355"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52" w:right="21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33"/>
          <w:szCs w:val="33"/>
          <w:b w:val="1"/>
          <w:bCs w:val="1"/>
          <w:color w:val="auto"/>
        </w:rPr>
        <w:t>Scholastic Corporation</w:t>
      </w:r>
    </w:p>
    <w:p>
      <w:pPr>
        <w:sectPr>
          <w:pgSz w:w="11900" w:h="16838" w:orient="portrait"/>
          <w:cols w:equalWidth="0" w:num="1">
            <w:col w:w="9019"/>
          </w:cols>
          <w:pgMar w:left="1440" w:top="103" w:right="1440"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REPORT ON FORM 10-K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YEAR ENDED MAY 31,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380365</wp:posOffset>
            </wp:positionV>
            <wp:extent cx="1938655" cy="3403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128905</wp:posOffset>
            </wp:positionV>
            <wp:extent cx="7285355" cy="349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37"/>
          <w:szCs w:val="37"/>
          <w:b w:val="1"/>
          <w:bCs w:val="1"/>
          <w:color w:val="auto"/>
        </w:rPr>
        <w:t>Schedule II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Valuation and Qualifying Accounts and Reserves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(Amounts in millions)</w:t>
            </w:r>
          </w:p>
        </w:tc>
      </w:tr>
      <w:tr>
        <w:trPr>
          <w:trHeight w:val="210"/>
        </w:trPr>
        <w:tc>
          <w:tcPr>
            <w:tcW w:w="2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Years Ended May 31,</w:t>
            </w:r>
          </w:p>
        </w:tc>
      </w:tr>
      <w:tr>
        <w:trPr>
          <w:trHeight w:val="106"/>
        </w:trPr>
        <w:tc>
          <w:tcPr>
            <w:tcW w:w="29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r>
      <w:tr>
        <w:trPr>
          <w:trHeight w:val="292"/>
        </w:trPr>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b w:val="1"/>
                <w:bCs w:val="1"/>
                <w:color w:val="auto"/>
              </w:rPr>
              <w:t>Balance at</w:t>
            </w: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0"/>
        </w:trPr>
        <w:tc>
          <w:tcPr>
            <w:tcW w:w="2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Beginning</w:t>
            </w: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jc w:val="right"/>
              <w:ind w:right="445"/>
              <w:spacing w:after="0"/>
              <w:rPr>
                <w:sz w:val="20"/>
                <w:szCs w:val="20"/>
                <w:color w:val="auto"/>
              </w:rPr>
            </w:pPr>
            <w:r>
              <w:rPr>
                <w:rFonts w:ascii="Arial" w:cs="Arial" w:eastAsia="Arial" w:hAnsi="Arial"/>
                <w:sz w:val="15"/>
                <w:szCs w:val="15"/>
                <w:b w:val="1"/>
                <w:bCs w:val="1"/>
                <w:color w:val="auto"/>
              </w:rPr>
              <w:t>Write-Offs</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Balance at</w:t>
            </w:r>
          </w:p>
        </w:tc>
      </w:tr>
      <w:tr>
        <w:trPr>
          <w:trHeight w:val="211"/>
        </w:trPr>
        <w:tc>
          <w:tcPr>
            <w:tcW w:w="2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b w:val="1"/>
                <w:bCs w:val="1"/>
                <w:color w:val="auto"/>
              </w:rPr>
              <w:t>Of Year</w:t>
            </w:r>
          </w:p>
        </w:tc>
        <w:tc>
          <w:tcPr>
            <w:tcW w:w="620" w:type="dxa"/>
            <w:vAlign w:val="bottom"/>
          </w:tcPr>
          <w:p>
            <w:pPr>
              <w:spacing w:after="0"/>
              <w:rPr>
                <w:sz w:val="18"/>
                <w:szCs w:val="18"/>
                <w:color w:val="auto"/>
              </w:rPr>
            </w:pPr>
          </w:p>
        </w:tc>
        <w:tc>
          <w:tcPr>
            <w:tcW w:w="1240" w:type="dxa"/>
            <w:vAlign w:val="bottom"/>
          </w:tcPr>
          <w:p>
            <w:pPr>
              <w:jc w:val="right"/>
              <w:ind w:right="184"/>
              <w:spacing w:after="0"/>
              <w:rPr>
                <w:sz w:val="20"/>
                <w:szCs w:val="20"/>
                <w:color w:val="auto"/>
              </w:rPr>
            </w:pPr>
            <w:r>
              <w:rPr>
                <w:rFonts w:ascii="Arial" w:cs="Arial" w:eastAsia="Arial" w:hAnsi="Arial"/>
                <w:sz w:val="15"/>
                <w:szCs w:val="15"/>
                <w:b w:val="1"/>
                <w:bCs w:val="1"/>
                <w:color w:val="auto"/>
              </w:rPr>
              <w:t>Expensed</w:t>
            </w:r>
          </w:p>
        </w:tc>
        <w:tc>
          <w:tcPr>
            <w:tcW w:w="620" w:type="dxa"/>
            <w:vAlign w:val="bottom"/>
          </w:tcPr>
          <w:p>
            <w:pPr>
              <w:spacing w:after="0"/>
              <w:rPr>
                <w:sz w:val="18"/>
                <w:szCs w:val="18"/>
                <w:color w:val="auto"/>
              </w:rPr>
            </w:pPr>
          </w:p>
        </w:tc>
        <w:tc>
          <w:tcPr>
            <w:tcW w:w="1520" w:type="dxa"/>
            <w:vAlign w:val="bottom"/>
          </w:tcPr>
          <w:p>
            <w:pPr>
              <w:jc w:val="right"/>
              <w:ind w:right="445"/>
              <w:spacing w:after="0"/>
              <w:rPr>
                <w:sz w:val="20"/>
                <w:szCs w:val="20"/>
                <w:color w:val="auto"/>
              </w:rPr>
            </w:pPr>
            <w:r>
              <w:rPr>
                <w:rFonts w:ascii="Arial" w:cs="Arial" w:eastAsia="Arial" w:hAnsi="Arial"/>
                <w:sz w:val="15"/>
                <w:szCs w:val="15"/>
                <w:b w:val="1"/>
                <w:bCs w:val="1"/>
                <w:color w:val="auto"/>
              </w:rPr>
              <w:t>and Other</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End of Year</w:t>
            </w:r>
          </w:p>
        </w:tc>
      </w:tr>
      <w:tr>
        <w:trPr>
          <w:trHeight w:val="84"/>
        </w:trPr>
        <w:tc>
          <w:tcPr>
            <w:tcW w:w="29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92"/>
        </w:trPr>
        <w:tc>
          <w:tcPr>
            <w:tcW w:w="2940" w:type="dxa"/>
            <w:vAlign w:val="bottom"/>
          </w:tcPr>
          <w:p>
            <w:pPr>
              <w:ind w:left="40"/>
              <w:spacing w:after="0"/>
              <w:rPr>
                <w:sz w:val="20"/>
                <w:szCs w:val="20"/>
                <w:color w:val="auto"/>
              </w:rPr>
            </w:pPr>
            <w:r>
              <w:rPr>
                <w:rFonts w:ascii="Arial" w:cs="Arial" w:eastAsia="Arial" w:hAnsi="Arial"/>
                <w:sz w:val="15"/>
                <w:szCs w:val="15"/>
                <w:b w:val="1"/>
                <w:bCs w:val="1"/>
                <w:color w:val="auto"/>
              </w:rPr>
              <w:t>2006</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6"/>
        </w:trPr>
        <w:tc>
          <w:tcPr>
            <w:tcW w:w="29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85"/>
        </w:trPr>
        <w:tc>
          <w:tcPr>
            <w:tcW w:w="2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Allowance for doubtful accounts</w:t>
            </w:r>
          </w:p>
        </w:tc>
        <w:tc>
          <w:tcPr>
            <w:tcW w:w="12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13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47.3</w:t>
            </w:r>
          </w:p>
        </w:tc>
        <w:tc>
          <w:tcPr>
            <w:tcW w:w="6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59.1</w:t>
            </w:r>
          </w:p>
        </w:tc>
        <w:tc>
          <w:tcPr>
            <w:tcW w:w="6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w:t>
            </w:r>
          </w:p>
        </w:tc>
        <w:tc>
          <w:tcPr>
            <w:tcW w:w="1520" w:type="dxa"/>
            <w:vAlign w:val="bottom"/>
            <w:shd w:val="clear" w:color="auto" w:fill="E6E6E6"/>
          </w:tcPr>
          <w:p>
            <w:pPr>
              <w:jc w:val="right"/>
              <w:ind w:right="445"/>
              <w:spacing w:after="0"/>
              <w:rPr>
                <w:sz w:val="20"/>
                <w:szCs w:val="20"/>
                <w:color w:val="auto"/>
              </w:rPr>
            </w:pPr>
            <w:r>
              <w:rPr>
                <w:rFonts w:ascii="Arial" w:cs="Arial" w:eastAsia="Arial" w:hAnsi="Arial"/>
                <w:sz w:val="15"/>
                <w:szCs w:val="15"/>
                <w:color w:val="auto"/>
              </w:rPr>
              <w:t>53.6</w:t>
            </w:r>
          </w:p>
        </w:tc>
        <w:tc>
          <w:tcPr>
            <w:tcW w:w="62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52.8</w:t>
            </w:r>
          </w:p>
        </w:tc>
      </w:tr>
      <w:tr>
        <w:trPr>
          <w:trHeight w:val="256"/>
        </w:trPr>
        <w:tc>
          <w:tcPr>
            <w:tcW w:w="2940" w:type="dxa"/>
            <w:vAlign w:val="bottom"/>
          </w:tcPr>
          <w:p>
            <w:pPr>
              <w:spacing w:after="0"/>
              <w:rPr>
                <w:sz w:val="20"/>
                <w:szCs w:val="20"/>
                <w:color w:val="auto"/>
              </w:rPr>
            </w:pPr>
            <w:r>
              <w:rPr>
                <w:rFonts w:ascii="Arial" w:cs="Arial" w:eastAsia="Arial" w:hAnsi="Arial"/>
                <w:sz w:val="15"/>
                <w:szCs w:val="15"/>
                <w:color w:val="auto"/>
              </w:rPr>
              <w:t>Reserve for returns</w:t>
            </w:r>
          </w:p>
        </w:tc>
        <w:tc>
          <w:tcPr>
            <w:tcW w:w="1200" w:type="dxa"/>
            <w:vAlign w:val="bottom"/>
          </w:tcPr>
          <w:p>
            <w:pPr>
              <w:spacing w:after="0"/>
              <w:rPr>
                <w:sz w:val="22"/>
                <w:szCs w:val="22"/>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42.0</w:t>
            </w:r>
          </w:p>
        </w:tc>
        <w:tc>
          <w:tcPr>
            <w:tcW w:w="620" w:type="dxa"/>
            <w:vAlign w:val="bottom"/>
          </w:tcPr>
          <w:p>
            <w:pPr>
              <w:spacing w:after="0"/>
              <w:rPr>
                <w:sz w:val="22"/>
                <w:szCs w:val="22"/>
                <w:color w:val="auto"/>
              </w:rPr>
            </w:pPr>
          </w:p>
        </w:tc>
        <w:tc>
          <w:tcPr>
            <w:tcW w:w="1240" w:type="dxa"/>
            <w:vAlign w:val="bottom"/>
          </w:tcPr>
          <w:p>
            <w:pPr>
              <w:jc w:val="right"/>
              <w:ind w:right="184"/>
              <w:spacing w:after="0"/>
              <w:rPr>
                <w:sz w:val="20"/>
                <w:szCs w:val="20"/>
                <w:color w:val="auto"/>
              </w:rPr>
            </w:pPr>
            <w:r>
              <w:rPr>
                <w:rFonts w:ascii="Arial" w:cs="Arial" w:eastAsia="Arial" w:hAnsi="Arial"/>
                <w:sz w:val="15"/>
                <w:szCs w:val="15"/>
                <w:color w:val="auto"/>
              </w:rPr>
              <w:t>160.9</w:t>
            </w:r>
          </w:p>
        </w:tc>
        <w:tc>
          <w:tcPr>
            <w:tcW w:w="620" w:type="dxa"/>
            <w:vAlign w:val="bottom"/>
          </w:tcPr>
          <w:p>
            <w:pPr>
              <w:spacing w:after="0"/>
              <w:rPr>
                <w:sz w:val="22"/>
                <w:szCs w:val="22"/>
                <w:color w:val="auto"/>
              </w:rPr>
            </w:pPr>
          </w:p>
        </w:tc>
        <w:tc>
          <w:tcPr>
            <w:tcW w:w="1520" w:type="dxa"/>
            <w:vAlign w:val="bottom"/>
          </w:tcPr>
          <w:p>
            <w:pPr>
              <w:jc w:val="right"/>
              <w:ind w:right="265"/>
              <w:spacing w:after="0" w:line="256" w:lineRule="exact"/>
              <w:rPr>
                <w:sz w:val="20"/>
                <w:szCs w:val="20"/>
                <w:color w:val="auto"/>
              </w:rPr>
            </w:pPr>
            <w:r>
              <w:rPr>
                <w:rFonts w:ascii="Arial" w:cs="Arial" w:eastAsia="Arial" w:hAnsi="Arial"/>
                <w:sz w:val="15"/>
                <w:szCs w:val="15"/>
                <w:color w:val="auto"/>
              </w:rPr>
              <w:t>144.5</w:t>
            </w:r>
            <w:r>
              <w:rPr>
                <w:rFonts w:ascii="Arial" w:cs="Arial" w:eastAsia="Arial" w:hAnsi="Arial"/>
                <w:sz w:val="29"/>
                <w:szCs w:val="29"/>
                <w:color w:val="auto"/>
                <w:vertAlign w:val="superscript"/>
              </w:rPr>
              <w:t>(1)</w:t>
            </w:r>
          </w:p>
        </w:tc>
        <w:tc>
          <w:tcPr>
            <w:tcW w:w="6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58.4</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Reserve for obsolescence</w:t>
            </w:r>
          </w:p>
        </w:tc>
        <w:tc>
          <w:tcPr>
            <w:tcW w:w="1200" w:type="dxa"/>
            <w:vAlign w:val="bottom"/>
            <w:shd w:val="clear" w:color="auto" w:fill="E6E6E6"/>
          </w:tcPr>
          <w:p>
            <w:pPr>
              <w:spacing w:after="0"/>
              <w:rPr>
                <w:sz w:val="18"/>
                <w:szCs w:val="18"/>
                <w:color w:val="auto"/>
              </w:rPr>
            </w:pPr>
          </w:p>
        </w:tc>
        <w:tc>
          <w:tcPr>
            <w:tcW w:w="13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58.5</w:t>
            </w:r>
          </w:p>
        </w:tc>
        <w:tc>
          <w:tcPr>
            <w:tcW w:w="620" w:type="dxa"/>
            <w:vAlign w:val="bottom"/>
            <w:shd w:val="clear" w:color="auto" w:fill="E6E6E6"/>
          </w:tcPr>
          <w:p>
            <w:pPr>
              <w:spacing w:after="0"/>
              <w:rPr>
                <w:sz w:val="18"/>
                <w:szCs w:val="18"/>
                <w:color w:val="auto"/>
              </w:rPr>
            </w:pPr>
          </w:p>
        </w:tc>
        <w:tc>
          <w:tcPr>
            <w:tcW w:w="12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31.3</w:t>
            </w:r>
          </w:p>
        </w:tc>
        <w:tc>
          <w:tcPr>
            <w:tcW w:w="620" w:type="dxa"/>
            <w:vAlign w:val="bottom"/>
            <w:shd w:val="clear" w:color="auto" w:fill="E6E6E6"/>
          </w:tcPr>
          <w:p>
            <w:pPr>
              <w:spacing w:after="0"/>
              <w:rPr>
                <w:sz w:val="18"/>
                <w:szCs w:val="18"/>
                <w:color w:val="auto"/>
              </w:rPr>
            </w:pPr>
          </w:p>
        </w:tc>
        <w:tc>
          <w:tcPr>
            <w:tcW w:w="1520" w:type="dxa"/>
            <w:vAlign w:val="bottom"/>
            <w:shd w:val="clear" w:color="auto" w:fill="E6E6E6"/>
          </w:tcPr>
          <w:p>
            <w:pPr>
              <w:jc w:val="right"/>
              <w:ind w:right="445"/>
              <w:spacing w:after="0"/>
              <w:rPr>
                <w:sz w:val="20"/>
                <w:szCs w:val="20"/>
                <w:color w:val="auto"/>
              </w:rPr>
            </w:pPr>
            <w:r>
              <w:rPr>
                <w:rFonts w:ascii="Arial" w:cs="Arial" w:eastAsia="Arial" w:hAnsi="Arial"/>
                <w:sz w:val="15"/>
                <w:szCs w:val="15"/>
                <w:color w:val="auto"/>
              </w:rPr>
              <w:t>30.9</w:t>
            </w:r>
          </w:p>
        </w:tc>
        <w:tc>
          <w:tcPr>
            <w:tcW w:w="62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58.9</w:t>
            </w:r>
          </w:p>
        </w:tc>
      </w:tr>
      <w:tr>
        <w:trPr>
          <w:trHeight w:val="219"/>
        </w:trPr>
        <w:tc>
          <w:tcPr>
            <w:tcW w:w="2940" w:type="dxa"/>
            <w:vAlign w:val="bottom"/>
          </w:tcPr>
          <w:p>
            <w:pPr>
              <w:spacing w:after="0"/>
              <w:rPr>
                <w:sz w:val="20"/>
                <w:szCs w:val="20"/>
                <w:color w:val="auto"/>
              </w:rPr>
            </w:pPr>
            <w:r>
              <w:rPr>
                <w:rFonts w:ascii="Arial" w:cs="Arial" w:eastAsia="Arial" w:hAnsi="Arial"/>
                <w:sz w:val="15"/>
                <w:szCs w:val="15"/>
                <w:color w:val="auto"/>
              </w:rPr>
              <w:t>Reserve for royalty advances</w:t>
            </w:r>
          </w:p>
        </w:tc>
        <w:tc>
          <w:tcPr>
            <w:tcW w:w="1200" w:type="dxa"/>
            <w:vAlign w:val="bottom"/>
          </w:tcPr>
          <w:p>
            <w:pPr>
              <w:spacing w:after="0"/>
              <w:rPr>
                <w:sz w:val="19"/>
                <w:szCs w:val="19"/>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52.1</w:t>
            </w:r>
          </w:p>
        </w:tc>
        <w:tc>
          <w:tcPr>
            <w:tcW w:w="620" w:type="dxa"/>
            <w:vAlign w:val="bottom"/>
          </w:tcPr>
          <w:p>
            <w:pPr>
              <w:spacing w:after="0"/>
              <w:rPr>
                <w:sz w:val="19"/>
                <w:szCs w:val="19"/>
                <w:color w:val="auto"/>
              </w:rPr>
            </w:pPr>
          </w:p>
        </w:tc>
        <w:tc>
          <w:tcPr>
            <w:tcW w:w="1240" w:type="dxa"/>
            <w:vAlign w:val="bottom"/>
          </w:tcPr>
          <w:p>
            <w:pPr>
              <w:jc w:val="right"/>
              <w:ind w:right="184"/>
              <w:spacing w:after="0"/>
              <w:rPr>
                <w:sz w:val="20"/>
                <w:szCs w:val="20"/>
                <w:color w:val="auto"/>
              </w:rPr>
            </w:pPr>
            <w:r>
              <w:rPr>
                <w:rFonts w:ascii="Arial" w:cs="Arial" w:eastAsia="Arial" w:hAnsi="Arial"/>
                <w:sz w:val="15"/>
                <w:szCs w:val="15"/>
                <w:color w:val="auto"/>
              </w:rPr>
              <w:t>3.1</w:t>
            </w:r>
          </w:p>
        </w:tc>
        <w:tc>
          <w:tcPr>
            <w:tcW w:w="620" w:type="dxa"/>
            <w:vAlign w:val="bottom"/>
          </w:tcPr>
          <w:p>
            <w:pPr>
              <w:spacing w:after="0"/>
              <w:rPr>
                <w:sz w:val="19"/>
                <w:szCs w:val="19"/>
                <w:color w:val="auto"/>
              </w:rPr>
            </w:pPr>
          </w:p>
        </w:tc>
        <w:tc>
          <w:tcPr>
            <w:tcW w:w="1520" w:type="dxa"/>
            <w:vAlign w:val="bottom"/>
          </w:tcPr>
          <w:p>
            <w:pPr>
              <w:jc w:val="right"/>
              <w:ind w:right="445"/>
              <w:spacing w:after="0"/>
              <w:rPr>
                <w:sz w:val="20"/>
                <w:szCs w:val="20"/>
                <w:color w:val="auto"/>
              </w:rPr>
            </w:pPr>
            <w:r>
              <w:rPr>
                <w:rFonts w:ascii="Arial" w:cs="Arial" w:eastAsia="Arial" w:hAnsi="Arial"/>
                <w:sz w:val="15"/>
                <w:szCs w:val="15"/>
                <w:color w:val="auto"/>
              </w:rPr>
              <w:t>0.5</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54.7</w:t>
            </w:r>
          </w:p>
        </w:tc>
      </w:tr>
      <w:tr>
        <w:trPr>
          <w:trHeight w:val="84"/>
        </w:trPr>
        <w:tc>
          <w:tcPr>
            <w:tcW w:w="29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92"/>
        </w:trPr>
        <w:tc>
          <w:tcPr>
            <w:tcW w:w="2940" w:type="dxa"/>
            <w:vAlign w:val="bottom"/>
          </w:tcPr>
          <w:p>
            <w:pPr>
              <w:ind w:left="40"/>
              <w:spacing w:after="0"/>
              <w:rPr>
                <w:sz w:val="20"/>
                <w:szCs w:val="20"/>
                <w:color w:val="auto"/>
              </w:rPr>
            </w:pPr>
            <w:r>
              <w:rPr>
                <w:rFonts w:ascii="Arial" w:cs="Arial" w:eastAsia="Arial" w:hAnsi="Arial"/>
                <w:sz w:val="15"/>
                <w:szCs w:val="15"/>
                <w:b w:val="1"/>
                <w:bCs w:val="1"/>
                <w:color w:val="auto"/>
              </w:rPr>
              <w:t>2005</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6"/>
        </w:trPr>
        <w:tc>
          <w:tcPr>
            <w:tcW w:w="29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85"/>
        </w:trPr>
        <w:tc>
          <w:tcPr>
            <w:tcW w:w="2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Allowance for doubtful accounts</w:t>
            </w:r>
          </w:p>
        </w:tc>
        <w:tc>
          <w:tcPr>
            <w:tcW w:w="12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13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68.3</w:t>
            </w:r>
          </w:p>
        </w:tc>
        <w:tc>
          <w:tcPr>
            <w:tcW w:w="6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62.2</w:t>
            </w:r>
          </w:p>
        </w:tc>
        <w:tc>
          <w:tcPr>
            <w:tcW w:w="6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w:t>
            </w:r>
          </w:p>
        </w:tc>
        <w:tc>
          <w:tcPr>
            <w:tcW w:w="1520" w:type="dxa"/>
            <w:vAlign w:val="bottom"/>
            <w:shd w:val="clear" w:color="auto" w:fill="E6E6E6"/>
          </w:tcPr>
          <w:p>
            <w:pPr>
              <w:jc w:val="right"/>
              <w:ind w:right="445"/>
              <w:spacing w:after="0"/>
              <w:rPr>
                <w:sz w:val="20"/>
                <w:szCs w:val="20"/>
                <w:color w:val="auto"/>
              </w:rPr>
            </w:pPr>
            <w:r>
              <w:rPr>
                <w:rFonts w:ascii="Arial" w:cs="Arial" w:eastAsia="Arial" w:hAnsi="Arial"/>
                <w:sz w:val="15"/>
                <w:szCs w:val="15"/>
                <w:color w:val="auto"/>
              </w:rPr>
              <w:t>83.2</w:t>
            </w:r>
          </w:p>
        </w:tc>
        <w:tc>
          <w:tcPr>
            <w:tcW w:w="62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47.3</w:t>
            </w:r>
          </w:p>
        </w:tc>
      </w:tr>
      <w:tr>
        <w:trPr>
          <w:trHeight w:val="256"/>
        </w:trPr>
        <w:tc>
          <w:tcPr>
            <w:tcW w:w="2940" w:type="dxa"/>
            <w:vAlign w:val="bottom"/>
          </w:tcPr>
          <w:p>
            <w:pPr>
              <w:spacing w:after="0"/>
              <w:rPr>
                <w:sz w:val="20"/>
                <w:szCs w:val="20"/>
                <w:color w:val="auto"/>
              </w:rPr>
            </w:pPr>
            <w:r>
              <w:rPr>
                <w:rFonts w:ascii="Arial" w:cs="Arial" w:eastAsia="Arial" w:hAnsi="Arial"/>
                <w:sz w:val="15"/>
                <w:szCs w:val="15"/>
                <w:color w:val="auto"/>
              </w:rPr>
              <w:t>Reserve for returns</w:t>
            </w:r>
          </w:p>
        </w:tc>
        <w:tc>
          <w:tcPr>
            <w:tcW w:w="1200" w:type="dxa"/>
            <w:vAlign w:val="bottom"/>
          </w:tcPr>
          <w:p>
            <w:pPr>
              <w:spacing w:after="0"/>
              <w:rPr>
                <w:sz w:val="22"/>
                <w:szCs w:val="22"/>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52.6</w:t>
            </w:r>
          </w:p>
        </w:tc>
        <w:tc>
          <w:tcPr>
            <w:tcW w:w="620" w:type="dxa"/>
            <w:vAlign w:val="bottom"/>
          </w:tcPr>
          <w:p>
            <w:pPr>
              <w:spacing w:after="0"/>
              <w:rPr>
                <w:sz w:val="22"/>
                <w:szCs w:val="22"/>
                <w:color w:val="auto"/>
              </w:rPr>
            </w:pPr>
          </w:p>
        </w:tc>
        <w:tc>
          <w:tcPr>
            <w:tcW w:w="1240" w:type="dxa"/>
            <w:vAlign w:val="bottom"/>
          </w:tcPr>
          <w:p>
            <w:pPr>
              <w:jc w:val="right"/>
              <w:ind w:right="184"/>
              <w:spacing w:after="0"/>
              <w:rPr>
                <w:sz w:val="20"/>
                <w:szCs w:val="20"/>
                <w:color w:val="auto"/>
              </w:rPr>
            </w:pPr>
            <w:r>
              <w:rPr>
                <w:rFonts w:ascii="Arial" w:cs="Arial" w:eastAsia="Arial" w:hAnsi="Arial"/>
                <w:sz w:val="15"/>
                <w:szCs w:val="15"/>
                <w:color w:val="auto"/>
              </w:rPr>
              <w:t>130.8</w:t>
            </w:r>
          </w:p>
        </w:tc>
        <w:tc>
          <w:tcPr>
            <w:tcW w:w="620" w:type="dxa"/>
            <w:vAlign w:val="bottom"/>
          </w:tcPr>
          <w:p>
            <w:pPr>
              <w:spacing w:after="0"/>
              <w:rPr>
                <w:sz w:val="22"/>
                <w:szCs w:val="22"/>
                <w:color w:val="auto"/>
              </w:rPr>
            </w:pPr>
          </w:p>
        </w:tc>
        <w:tc>
          <w:tcPr>
            <w:tcW w:w="1520" w:type="dxa"/>
            <w:vAlign w:val="bottom"/>
          </w:tcPr>
          <w:p>
            <w:pPr>
              <w:jc w:val="right"/>
              <w:ind w:right="265"/>
              <w:spacing w:after="0" w:line="256" w:lineRule="exact"/>
              <w:rPr>
                <w:sz w:val="20"/>
                <w:szCs w:val="20"/>
                <w:color w:val="auto"/>
              </w:rPr>
            </w:pPr>
            <w:r>
              <w:rPr>
                <w:rFonts w:ascii="Arial" w:cs="Arial" w:eastAsia="Arial" w:hAnsi="Arial"/>
                <w:sz w:val="15"/>
                <w:szCs w:val="15"/>
                <w:color w:val="auto"/>
              </w:rPr>
              <w:t>141.4</w:t>
            </w:r>
            <w:r>
              <w:rPr>
                <w:rFonts w:ascii="Arial" w:cs="Arial" w:eastAsia="Arial" w:hAnsi="Arial"/>
                <w:sz w:val="29"/>
                <w:szCs w:val="29"/>
                <w:color w:val="auto"/>
                <w:vertAlign w:val="superscript"/>
              </w:rPr>
              <w:t>(1)</w:t>
            </w:r>
          </w:p>
        </w:tc>
        <w:tc>
          <w:tcPr>
            <w:tcW w:w="6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42.0</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Reserve for obsolescence</w:t>
            </w:r>
          </w:p>
        </w:tc>
        <w:tc>
          <w:tcPr>
            <w:tcW w:w="1200" w:type="dxa"/>
            <w:vAlign w:val="bottom"/>
            <w:shd w:val="clear" w:color="auto" w:fill="E6E6E6"/>
          </w:tcPr>
          <w:p>
            <w:pPr>
              <w:spacing w:after="0"/>
              <w:rPr>
                <w:sz w:val="18"/>
                <w:szCs w:val="18"/>
                <w:color w:val="auto"/>
              </w:rPr>
            </w:pPr>
          </w:p>
        </w:tc>
        <w:tc>
          <w:tcPr>
            <w:tcW w:w="13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59.2</w:t>
            </w:r>
          </w:p>
        </w:tc>
        <w:tc>
          <w:tcPr>
            <w:tcW w:w="620" w:type="dxa"/>
            <w:vAlign w:val="bottom"/>
            <w:shd w:val="clear" w:color="auto" w:fill="E6E6E6"/>
          </w:tcPr>
          <w:p>
            <w:pPr>
              <w:spacing w:after="0"/>
              <w:rPr>
                <w:sz w:val="18"/>
                <w:szCs w:val="18"/>
                <w:color w:val="auto"/>
              </w:rPr>
            </w:pPr>
          </w:p>
        </w:tc>
        <w:tc>
          <w:tcPr>
            <w:tcW w:w="12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38.7</w:t>
            </w:r>
          </w:p>
        </w:tc>
        <w:tc>
          <w:tcPr>
            <w:tcW w:w="620" w:type="dxa"/>
            <w:vAlign w:val="bottom"/>
            <w:shd w:val="clear" w:color="auto" w:fill="E6E6E6"/>
          </w:tcPr>
          <w:p>
            <w:pPr>
              <w:spacing w:after="0"/>
              <w:rPr>
                <w:sz w:val="18"/>
                <w:szCs w:val="18"/>
                <w:color w:val="auto"/>
              </w:rPr>
            </w:pPr>
          </w:p>
        </w:tc>
        <w:tc>
          <w:tcPr>
            <w:tcW w:w="1520" w:type="dxa"/>
            <w:vAlign w:val="bottom"/>
            <w:shd w:val="clear" w:color="auto" w:fill="E6E6E6"/>
          </w:tcPr>
          <w:p>
            <w:pPr>
              <w:jc w:val="right"/>
              <w:ind w:right="445"/>
              <w:spacing w:after="0"/>
              <w:rPr>
                <w:sz w:val="20"/>
                <w:szCs w:val="20"/>
                <w:color w:val="auto"/>
              </w:rPr>
            </w:pPr>
            <w:r>
              <w:rPr>
                <w:rFonts w:ascii="Arial" w:cs="Arial" w:eastAsia="Arial" w:hAnsi="Arial"/>
                <w:sz w:val="15"/>
                <w:szCs w:val="15"/>
                <w:color w:val="auto"/>
              </w:rPr>
              <w:t>39.4</w:t>
            </w:r>
          </w:p>
        </w:tc>
        <w:tc>
          <w:tcPr>
            <w:tcW w:w="62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58.5</w:t>
            </w:r>
          </w:p>
        </w:tc>
      </w:tr>
      <w:tr>
        <w:trPr>
          <w:trHeight w:val="219"/>
        </w:trPr>
        <w:tc>
          <w:tcPr>
            <w:tcW w:w="2940" w:type="dxa"/>
            <w:vAlign w:val="bottom"/>
          </w:tcPr>
          <w:p>
            <w:pPr>
              <w:spacing w:after="0"/>
              <w:rPr>
                <w:sz w:val="20"/>
                <w:szCs w:val="20"/>
                <w:color w:val="auto"/>
              </w:rPr>
            </w:pPr>
            <w:r>
              <w:rPr>
                <w:rFonts w:ascii="Arial" w:cs="Arial" w:eastAsia="Arial" w:hAnsi="Arial"/>
                <w:sz w:val="15"/>
                <w:szCs w:val="15"/>
                <w:color w:val="auto"/>
              </w:rPr>
              <w:t>Reserve for royalty advances</w:t>
            </w:r>
          </w:p>
        </w:tc>
        <w:tc>
          <w:tcPr>
            <w:tcW w:w="1200" w:type="dxa"/>
            <w:vAlign w:val="bottom"/>
          </w:tcPr>
          <w:p>
            <w:pPr>
              <w:spacing w:after="0"/>
              <w:rPr>
                <w:sz w:val="19"/>
                <w:szCs w:val="19"/>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49.8</w:t>
            </w:r>
          </w:p>
        </w:tc>
        <w:tc>
          <w:tcPr>
            <w:tcW w:w="620" w:type="dxa"/>
            <w:vAlign w:val="bottom"/>
          </w:tcPr>
          <w:p>
            <w:pPr>
              <w:spacing w:after="0"/>
              <w:rPr>
                <w:sz w:val="19"/>
                <w:szCs w:val="19"/>
                <w:color w:val="auto"/>
              </w:rPr>
            </w:pPr>
          </w:p>
        </w:tc>
        <w:tc>
          <w:tcPr>
            <w:tcW w:w="1240" w:type="dxa"/>
            <w:vAlign w:val="bottom"/>
          </w:tcPr>
          <w:p>
            <w:pPr>
              <w:jc w:val="right"/>
              <w:ind w:right="184"/>
              <w:spacing w:after="0"/>
              <w:rPr>
                <w:sz w:val="20"/>
                <w:szCs w:val="20"/>
                <w:color w:val="auto"/>
              </w:rPr>
            </w:pPr>
            <w:r>
              <w:rPr>
                <w:rFonts w:ascii="Arial" w:cs="Arial" w:eastAsia="Arial" w:hAnsi="Arial"/>
                <w:sz w:val="15"/>
                <w:szCs w:val="15"/>
                <w:color w:val="auto"/>
              </w:rPr>
              <w:t>3.0</w:t>
            </w:r>
          </w:p>
        </w:tc>
        <w:tc>
          <w:tcPr>
            <w:tcW w:w="620" w:type="dxa"/>
            <w:vAlign w:val="bottom"/>
          </w:tcPr>
          <w:p>
            <w:pPr>
              <w:spacing w:after="0"/>
              <w:rPr>
                <w:sz w:val="19"/>
                <w:szCs w:val="19"/>
                <w:color w:val="auto"/>
              </w:rPr>
            </w:pPr>
          </w:p>
        </w:tc>
        <w:tc>
          <w:tcPr>
            <w:tcW w:w="1520" w:type="dxa"/>
            <w:vAlign w:val="bottom"/>
          </w:tcPr>
          <w:p>
            <w:pPr>
              <w:jc w:val="right"/>
              <w:ind w:right="445"/>
              <w:spacing w:after="0"/>
              <w:rPr>
                <w:sz w:val="20"/>
                <w:szCs w:val="20"/>
                <w:color w:val="auto"/>
              </w:rPr>
            </w:pPr>
            <w:r>
              <w:rPr>
                <w:rFonts w:ascii="Arial" w:cs="Arial" w:eastAsia="Arial" w:hAnsi="Arial"/>
                <w:sz w:val="15"/>
                <w:szCs w:val="15"/>
                <w:color w:val="auto"/>
              </w:rPr>
              <w:t>0.7</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52.1</w:t>
            </w:r>
          </w:p>
        </w:tc>
      </w:tr>
      <w:tr>
        <w:trPr>
          <w:trHeight w:val="84"/>
        </w:trPr>
        <w:tc>
          <w:tcPr>
            <w:tcW w:w="29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92"/>
        </w:trPr>
        <w:tc>
          <w:tcPr>
            <w:tcW w:w="2940" w:type="dxa"/>
            <w:vAlign w:val="bottom"/>
          </w:tcPr>
          <w:p>
            <w:pPr>
              <w:ind w:left="40"/>
              <w:spacing w:after="0"/>
              <w:rPr>
                <w:sz w:val="20"/>
                <w:szCs w:val="20"/>
                <w:color w:val="auto"/>
              </w:rPr>
            </w:pPr>
            <w:r>
              <w:rPr>
                <w:rFonts w:ascii="Arial" w:cs="Arial" w:eastAsia="Arial" w:hAnsi="Arial"/>
                <w:sz w:val="15"/>
                <w:szCs w:val="15"/>
                <w:b w:val="1"/>
                <w:bCs w:val="1"/>
                <w:color w:val="auto"/>
              </w:rPr>
              <w:t>2004</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6"/>
        </w:trPr>
        <w:tc>
          <w:tcPr>
            <w:tcW w:w="29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85"/>
        </w:trPr>
        <w:tc>
          <w:tcPr>
            <w:tcW w:w="2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Allowance for doubtful accounts</w:t>
            </w:r>
          </w:p>
        </w:tc>
        <w:tc>
          <w:tcPr>
            <w:tcW w:w="1200" w:type="dxa"/>
            <w:vAlign w:val="bottom"/>
            <w:shd w:val="clear" w:color="auto" w:fill="E6E6E6"/>
          </w:tcPr>
          <w:p>
            <w:pPr>
              <w:jc w:val="right"/>
              <w:ind w:right="224"/>
              <w:spacing w:after="0"/>
              <w:rPr>
                <w:sz w:val="20"/>
                <w:szCs w:val="20"/>
                <w:color w:val="auto"/>
              </w:rPr>
            </w:pPr>
            <w:r>
              <w:rPr>
                <w:rFonts w:ascii="Arial" w:cs="Arial" w:eastAsia="Arial" w:hAnsi="Arial"/>
                <w:sz w:val="15"/>
                <w:szCs w:val="15"/>
                <w:color w:val="auto"/>
              </w:rPr>
              <w:t>$</w:t>
            </w:r>
          </w:p>
        </w:tc>
        <w:tc>
          <w:tcPr>
            <w:tcW w:w="13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60.5</w:t>
            </w:r>
          </w:p>
        </w:tc>
        <w:tc>
          <w:tcPr>
            <w:tcW w:w="6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90.3</w:t>
            </w:r>
          </w:p>
        </w:tc>
        <w:tc>
          <w:tcPr>
            <w:tcW w:w="62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w:t>
            </w:r>
          </w:p>
        </w:tc>
        <w:tc>
          <w:tcPr>
            <w:tcW w:w="1520" w:type="dxa"/>
            <w:vAlign w:val="bottom"/>
            <w:shd w:val="clear" w:color="auto" w:fill="E6E6E6"/>
          </w:tcPr>
          <w:p>
            <w:pPr>
              <w:jc w:val="right"/>
              <w:ind w:right="445"/>
              <w:spacing w:after="0"/>
              <w:rPr>
                <w:sz w:val="20"/>
                <w:szCs w:val="20"/>
                <w:color w:val="auto"/>
              </w:rPr>
            </w:pPr>
            <w:r>
              <w:rPr>
                <w:rFonts w:ascii="Arial" w:cs="Arial" w:eastAsia="Arial" w:hAnsi="Arial"/>
                <w:sz w:val="15"/>
                <w:szCs w:val="15"/>
                <w:color w:val="auto"/>
              </w:rPr>
              <w:t>82.5</w:t>
            </w:r>
          </w:p>
        </w:tc>
        <w:tc>
          <w:tcPr>
            <w:tcW w:w="62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68.3</w:t>
            </w:r>
          </w:p>
        </w:tc>
      </w:tr>
      <w:tr>
        <w:trPr>
          <w:trHeight w:val="256"/>
        </w:trPr>
        <w:tc>
          <w:tcPr>
            <w:tcW w:w="2940" w:type="dxa"/>
            <w:vAlign w:val="bottom"/>
          </w:tcPr>
          <w:p>
            <w:pPr>
              <w:spacing w:after="0"/>
              <w:rPr>
                <w:sz w:val="20"/>
                <w:szCs w:val="20"/>
                <w:color w:val="auto"/>
              </w:rPr>
            </w:pPr>
            <w:r>
              <w:rPr>
                <w:rFonts w:ascii="Arial" w:cs="Arial" w:eastAsia="Arial" w:hAnsi="Arial"/>
                <w:sz w:val="15"/>
                <w:szCs w:val="15"/>
                <w:color w:val="auto"/>
              </w:rPr>
              <w:t>Reserve for returns</w:t>
            </w:r>
          </w:p>
        </w:tc>
        <w:tc>
          <w:tcPr>
            <w:tcW w:w="1200" w:type="dxa"/>
            <w:vAlign w:val="bottom"/>
          </w:tcPr>
          <w:p>
            <w:pPr>
              <w:spacing w:after="0"/>
              <w:rPr>
                <w:sz w:val="22"/>
                <w:szCs w:val="22"/>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58.2</w:t>
            </w:r>
          </w:p>
        </w:tc>
        <w:tc>
          <w:tcPr>
            <w:tcW w:w="620" w:type="dxa"/>
            <w:vAlign w:val="bottom"/>
          </w:tcPr>
          <w:p>
            <w:pPr>
              <w:spacing w:after="0"/>
              <w:rPr>
                <w:sz w:val="22"/>
                <w:szCs w:val="22"/>
                <w:color w:val="auto"/>
              </w:rPr>
            </w:pPr>
          </w:p>
        </w:tc>
        <w:tc>
          <w:tcPr>
            <w:tcW w:w="1240" w:type="dxa"/>
            <w:vAlign w:val="bottom"/>
          </w:tcPr>
          <w:p>
            <w:pPr>
              <w:jc w:val="right"/>
              <w:ind w:right="184"/>
              <w:spacing w:after="0"/>
              <w:rPr>
                <w:sz w:val="20"/>
                <w:szCs w:val="20"/>
                <w:color w:val="auto"/>
              </w:rPr>
            </w:pPr>
            <w:r>
              <w:rPr>
                <w:rFonts w:ascii="Arial" w:cs="Arial" w:eastAsia="Arial" w:hAnsi="Arial"/>
                <w:sz w:val="15"/>
                <w:szCs w:val="15"/>
                <w:color w:val="auto"/>
              </w:rPr>
              <w:t>193.5</w:t>
            </w:r>
          </w:p>
        </w:tc>
        <w:tc>
          <w:tcPr>
            <w:tcW w:w="620" w:type="dxa"/>
            <w:vAlign w:val="bottom"/>
          </w:tcPr>
          <w:p>
            <w:pPr>
              <w:spacing w:after="0"/>
              <w:rPr>
                <w:sz w:val="22"/>
                <w:szCs w:val="22"/>
                <w:color w:val="auto"/>
              </w:rPr>
            </w:pPr>
          </w:p>
        </w:tc>
        <w:tc>
          <w:tcPr>
            <w:tcW w:w="1520" w:type="dxa"/>
            <w:vAlign w:val="bottom"/>
          </w:tcPr>
          <w:p>
            <w:pPr>
              <w:jc w:val="right"/>
              <w:ind w:right="265"/>
              <w:spacing w:after="0" w:line="256" w:lineRule="exact"/>
              <w:rPr>
                <w:sz w:val="20"/>
                <w:szCs w:val="20"/>
                <w:color w:val="auto"/>
              </w:rPr>
            </w:pPr>
            <w:r>
              <w:rPr>
                <w:rFonts w:ascii="Arial" w:cs="Arial" w:eastAsia="Arial" w:hAnsi="Arial"/>
                <w:sz w:val="15"/>
                <w:szCs w:val="15"/>
                <w:color w:val="auto"/>
              </w:rPr>
              <w:t>199.1</w:t>
            </w:r>
            <w:r>
              <w:rPr>
                <w:rFonts w:ascii="Arial" w:cs="Arial" w:eastAsia="Arial" w:hAnsi="Arial"/>
                <w:sz w:val="29"/>
                <w:szCs w:val="29"/>
                <w:color w:val="auto"/>
                <w:vertAlign w:val="superscript"/>
              </w:rPr>
              <w:t>(1)</w:t>
            </w:r>
          </w:p>
        </w:tc>
        <w:tc>
          <w:tcPr>
            <w:tcW w:w="6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52.6</w:t>
            </w:r>
          </w:p>
        </w:tc>
      </w:tr>
      <w:tr>
        <w:trPr>
          <w:trHeight w:val="210"/>
        </w:trPr>
        <w:tc>
          <w:tcPr>
            <w:tcW w:w="2940" w:type="dxa"/>
            <w:vAlign w:val="bottom"/>
            <w:shd w:val="clear" w:color="auto" w:fill="E6E6E6"/>
          </w:tcPr>
          <w:p>
            <w:pPr>
              <w:spacing w:after="0"/>
              <w:rPr>
                <w:sz w:val="20"/>
                <w:szCs w:val="20"/>
                <w:color w:val="auto"/>
              </w:rPr>
            </w:pPr>
            <w:r>
              <w:rPr>
                <w:rFonts w:ascii="Arial" w:cs="Arial" w:eastAsia="Arial" w:hAnsi="Arial"/>
                <w:sz w:val="15"/>
                <w:szCs w:val="15"/>
                <w:color w:val="auto"/>
              </w:rPr>
              <w:t>Reserve for obsolescence</w:t>
            </w:r>
          </w:p>
        </w:tc>
        <w:tc>
          <w:tcPr>
            <w:tcW w:w="1200" w:type="dxa"/>
            <w:vAlign w:val="bottom"/>
            <w:shd w:val="clear" w:color="auto" w:fill="E6E6E6"/>
          </w:tcPr>
          <w:p>
            <w:pPr>
              <w:spacing w:after="0"/>
              <w:rPr>
                <w:sz w:val="18"/>
                <w:szCs w:val="18"/>
                <w:color w:val="auto"/>
              </w:rPr>
            </w:pPr>
          </w:p>
        </w:tc>
        <w:tc>
          <w:tcPr>
            <w:tcW w:w="1320" w:type="dxa"/>
            <w:vAlign w:val="bottom"/>
            <w:shd w:val="clear" w:color="auto" w:fill="E6E6E6"/>
          </w:tcPr>
          <w:p>
            <w:pPr>
              <w:jc w:val="right"/>
              <w:ind w:right="204"/>
              <w:spacing w:after="0"/>
              <w:rPr>
                <w:sz w:val="20"/>
                <w:szCs w:val="20"/>
                <w:color w:val="auto"/>
              </w:rPr>
            </w:pPr>
            <w:r>
              <w:rPr>
                <w:rFonts w:ascii="Arial" w:cs="Arial" w:eastAsia="Arial" w:hAnsi="Arial"/>
                <w:sz w:val="15"/>
                <w:szCs w:val="15"/>
                <w:color w:val="auto"/>
              </w:rPr>
              <w:t>54.4</w:t>
            </w:r>
          </w:p>
        </w:tc>
        <w:tc>
          <w:tcPr>
            <w:tcW w:w="620" w:type="dxa"/>
            <w:vAlign w:val="bottom"/>
            <w:shd w:val="clear" w:color="auto" w:fill="E6E6E6"/>
          </w:tcPr>
          <w:p>
            <w:pPr>
              <w:spacing w:after="0"/>
              <w:rPr>
                <w:sz w:val="18"/>
                <w:szCs w:val="18"/>
                <w:color w:val="auto"/>
              </w:rPr>
            </w:pPr>
          </w:p>
        </w:tc>
        <w:tc>
          <w:tcPr>
            <w:tcW w:w="12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rPr>
              <w:t>29.9</w:t>
            </w:r>
          </w:p>
        </w:tc>
        <w:tc>
          <w:tcPr>
            <w:tcW w:w="620" w:type="dxa"/>
            <w:vAlign w:val="bottom"/>
            <w:shd w:val="clear" w:color="auto" w:fill="E6E6E6"/>
          </w:tcPr>
          <w:p>
            <w:pPr>
              <w:spacing w:after="0"/>
              <w:rPr>
                <w:sz w:val="18"/>
                <w:szCs w:val="18"/>
                <w:color w:val="auto"/>
              </w:rPr>
            </w:pPr>
          </w:p>
        </w:tc>
        <w:tc>
          <w:tcPr>
            <w:tcW w:w="1520" w:type="dxa"/>
            <w:vAlign w:val="bottom"/>
            <w:shd w:val="clear" w:color="auto" w:fill="E6E6E6"/>
          </w:tcPr>
          <w:p>
            <w:pPr>
              <w:jc w:val="right"/>
              <w:ind w:right="445"/>
              <w:spacing w:after="0"/>
              <w:rPr>
                <w:sz w:val="20"/>
                <w:szCs w:val="20"/>
                <w:color w:val="auto"/>
              </w:rPr>
            </w:pPr>
            <w:r>
              <w:rPr>
                <w:rFonts w:ascii="Arial" w:cs="Arial" w:eastAsia="Arial" w:hAnsi="Arial"/>
                <w:sz w:val="15"/>
                <w:szCs w:val="15"/>
                <w:color w:val="auto"/>
              </w:rPr>
              <w:t>25.1</w:t>
            </w:r>
          </w:p>
        </w:tc>
        <w:tc>
          <w:tcPr>
            <w:tcW w:w="62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59.2</w:t>
            </w:r>
          </w:p>
        </w:tc>
      </w:tr>
      <w:tr>
        <w:trPr>
          <w:trHeight w:val="219"/>
        </w:trPr>
        <w:tc>
          <w:tcPr>
            <w:tcW w:w="2940" w:type="dxa"/>
            <w:vAlign w:val="bottom"/>
          </w:tcPr>
          <w:p>
            <w:pPr>
              <w:spacing w:after="0"/>
              <w:rPr>
                <w:sz w:val="20"/>
                <w:szCs w:val="20"/>
                <w:color w:val="auto"/>
              </w:rPr>
            </w:pPr>
            <w:r>
              <w:rPr>
                <w:rFonts w:ascii="Arial" w:cs="Arial" w:eastAsia="Arial" w:hAnsi="Arial"/>
                <w:sz w:val="15"/>
                <w:szCs w:val="15"/>
                <w:color w:val="auto"/>
              </w:rPr>
              <w:t>Reserve for royalty advances</w:t>
            </w:r>
          </w:p>
        </w:tc>
        <w:tc>
          <w:tcPr>
            <w:tcW w:w="1200" w:type="dxa"/>
            <w:vAlign w:val="bottom"/>
          </w:tcPr>
          <w:p>
            <w:pPr>
              <w:spacing w:after="0"/>
              <w:rPr>
                <w:sz w:val="19"/>
                <w:szCs w:val="19"/>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color w:val="auto"/>
              </w:rPr>
              <w:t>45.8</w:t>
            </w:r>
          </w:p>
        </w:tc>
        <w:tc>
          <w:tcPr>
            <w:tcW w:w="620" w:type="dxa"/>
            <w:vAlign w:val="bottom"/>
          </w:tcPr>
          <w:p>
            <w:pPr>
              <w:spacing w:after="0"/>
              <w:rPr>
                <w:sz w:val="19"/>
                <w:szCs w:val="19"/>
                <w:color w:val="auto"/>
              </w:rPr>
            </w:pPr>
          </w:p>
        </w:tc>
        <w:tc>
          <w:tcPr>
            <w:tcW w:w="1240" w:type="dxa"/>
            <w:vAlign w:val="bottom"/>
          </w:tcPr>
          <w:p>
            <w:pPr>
              <w:jc w:val="right"/>
              <w:ind w:right="184"/>
              <w:spacing w:after="0"/>
              <w:rPr>
                <w:sz w:val="20"/>
                <w:szCs w:val="20"/>
                <w:color w:val="auto"/>
              </w:rPr>
            </w:pPr>
            <w:r>
              <w:rPr>
                <w:rFonts w:ascii="Arial" w:cs="Arial" w:eastAsia="Arial" w:hAnsi="Arial"/>
                <w:sz w:val="15"/>
                <w:szCs w:val="15"/>
                <w:color w:val="auto"/>
              </w:rPr>
              <w:t>4.3</w:t>
            </w:r>
          </w:p>
        </w:tc>
        <w:tc>
          <w:tcPr>
            <w:tcW w:w="620" w:type="dxa"/>
            <w:vAlign w:val="bottom"/>
          </w:tcPr>
          <w:p>
            <w:pPr>
              <w:spacing w:after="0"/>
              <w:rPr>
                <w:sz w:val="19"/>
                <w:szCs w:val="19"/>
                <w:color w:val="auto"/>
              </w:rPr>
            </w:pPr>
          </w:p>
        </w:tc>
        <w:tc>
          <w:tcPr>
            <w:tcW w:w="1520" w:type="dxa"/>
            <w:vAlign w:val="bottom"/>
          </w:tcPr>
          <w:p>
            <w:pPr>
              <w:jc w:val="right"/>
              <w:ind w:right="445"/>
              <w:spacing w:after="0"/>
              <w:rPr>
                <w:sz w:val="20"/>
                <w:szCs w:val="20"/>
                <w:color w:val="auto"/>
              </w:rPr>
            </w:pPr>
            <w:r>
              <w:rPr>
                <w:rFonts w:ascii="Arial" w:cs="Arial" w:eastAsia="Arial" w:hAnsi="Arial"/>
                <w:sz w:val="15"/>
                <w:szCs w:val="15"/>
                <w:color w:val="auto"/>
              </w:rPr>
              <w:t>0.3</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49.8</w:t>
            </w:r>
          </w:p>
        </w:tc>
      </w:tr>
      <w:tr>
        <w:trPr>
          <w:trHeight w:val="84"/>
        </w:trPr>
        <w:tc>
          <w:tcPr>
            <w:tcW w:w="29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2"/>
          <w:szCs w:val="12"/>
          <w:color w:val="auto"/>
        </w:rPr>
        <w:t>(1) Represents actual returns charged to the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260350</wp:posOffset>
            </wp:positionV>
            <wp:extent cx="1938655" cy="3403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93865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85355" cy="349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5355" cy="34925"/>
                    </a:xfrm>
                    <a:prstGeom prst="rect">
                      <a:avLst/>
                    </a:prstGeom>
                    <a:noFill/>
                  </pic:spPr>
                </pic:pic>
              </a:graphicData>
            </a:graphic>
          </wp:anchor>
        </w:drawing>
      </w:r>
    </w:p>
    <w:p>
      <w:pPr>
        <w:sectPr>
          <w:pgSz w:w="11900" w:h="16838" w:orient="portrait"/>
          <w:cols w:equalWidth="0" w:num="1">
            <w:col w:w="11440"/>
          </w:cols>
          <w:pgMar w:left="240" w:top="103" w:right="219" w:bottom="1440" w:gutter="0" w:footer="0" w:header="0"/>
        </w:sectPr>
      </w:pPr>
    </w:p>
    <w:bookmarkStart w:id="75" w:name="page76"/>
    <w:bookmarkEnd w:id="75"/>
    <w:p>
      <w:pPr>
        <w:jc w:val="right"/>
        <w:ind w:right="2959"/>
        <w:spacing w:after="0"/>
        <w:rPr>
          <w:sz w:val="20"/>
          <w:szCs w:val="20"/>
          <w:color w:val="auto"/>
        </w:rPr>
      </w:pPr>
      <w:r>
        <w:rPr>
          <w:rFonts w:ascii="Courier New" w:cs="Courier New" w:eastAsia="Courier New" w:hAnsi="Courier New"/>
          <w:sz w:val="15"/>
          <w:szCs w:val="15"/>
          <w:color w:val="auto"/>
        </w:rPr>
        <w:t>Exhibit 10.1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AMENDMENT NO. 3 TO THE</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SCHOLASTIC CORPORATION 1995 STOCK OPTION PLAN</w:t>
      </w:r>
    </w:p>
    <w:p>
      <w:pPr>
        <w:spacing w:after="0" w:line="180" w:lineRule="exact"/>
        <w:rPr>
          <w:sz w:val="20"/>
          <w:szCs w:val="20"/>
          <w:color w:val="auto"/>
        </w:rPr>
      </w:pPr>
    </w:p>
    <w:p>
      <w:pPr>
        <w:ind w:right="3859" w:firstLine="818"/>
        <w:spacing w:after="0" w:line="247" w:lineRule="auto"/>
        <w:rPr>
          <w:sz w:val="20"/>
          <w:szCs w:val="20"/>
          <w:color w:val="auto"/>
        </w:rPr>
      </w:pPr>
      <w:r>
        <w:rPr>
          <w:rFonts w:ascii="Courier New" w:cs="Courier New" w:eastAsia="Courier New" w:hAnsi="Courier New"/>
          <w:sz w:val="15"/>
          <w:szCs w:val="15"/>
          <w:color w:val="auto"/>
        </w:rPr>
        <w:t>WHEREAS, Scholastic Corporation (the "Company") maintains the Scholastic Corporation 1995 Stock Option Plan (the "Plan");</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WHEREAS, pursuant to Section 6 of the Plan, the Company reserved the right, by action of its Board of Directors (the "Board") to amend the Plan from time to time; and</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WHEREAS, the Board desires to amend the Plan.</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NOW, THEREFORE, effective May 25, 2006, the Plan is amended as follows:</w:t>
      </w:r>
    </w:p>
    <w:p>
      <w:pPr>
        <w:spacing w:after="0" w:line="180" w:lineRule="exact"/>
        <w:rPr>
          <w:sz w:val="20"/>
          <w:szCs w:val="20"/>
          <w:color w:val="auto"/>
        </w:rPr>
      </w:pPr>
    </w:p>
    <w:p>
      <w:pPr>
        <w:ind w:right="2959" w:firstLine="1629"/>
        <w:spacing w:after="0" w:line="247" w:lineRule="auto"/>
        <w:tabs>
          <w:tab w:leader="none" w:pos="245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(f) of Section 8 of the Plan is amended and restated to read as follows:</w:t>
      </w:r>
    </w:p>
    <w:p>
      <w:pPr>
        <w:spacing w:after="0" w:line="175" w:lineRule="exact"/>
        <w:rPr>
          <w:sz w:val="20"/>
          <w:szCs w:val="20"/>
          <w:color w:val="auto"/>
        </w:rPr>
      </w:pPr>
    </w:p>
    <w:p>
      <w:pPr>
        <w:ind w:left="1620"/>
        <w:spacing w:after="0"/>
        <w:tabs>
          <w:tab w:leader="none" w:pos="2160" w:val="left"/>
          <w:tab w:leader="none" w:pos="4700" w:val="left"/>
          <w:tab w:leader="none" w:pos="5420" w:val="left"/>
        </w:tabs>
        <w:rPr>
          <w:sz w:val="20"/>
          <w:szCs w:val="20"/>
          <w:color w:val="auto"/>
        </w:rPr>
      </w:pPr>
      <w:r>
        <w:rPr>
          <w:rFonts w:ascii="Courier New" w:cs="Courier New" w:eastAsia="Courier New" w:hAnsi="Courier New"/>
          <w:sz w:val="15"/>
          <w:szCs w:val="15"/>
          <w:color w:val="auto"/>
        </w:rPr>
        <w:t>"The</w:t>
        <w:tab/>
        <w:t>Committee (i) may provide,</w:t>
        <w:tab/>
        <w:t>in its</w:t>
        <w:tab/>
        <w:t>discretion,</w:t>
      </w:r>
    </w:p>
    <w:p>
      <w:pPr>
        <w:spacing w:after="0" w:line="5" w:lineRule="exact"/>
        <w:rPr>
          <w:sz w:val="20"/>
          <w:szCs w:val="20"/>
          <w:color w:val="auto"/>
        </w:rPr>
      </w:pPr>
    </w:p>
    <w:p>
      <w:pPr>
        <w:ind w:left="1620"/>
        <w:spacing w:after="0"/>
        <w:tabs>
          <w:tab w:leader="none" w:pos="3060" w:val="left"/>
          <w:tab w:leader="none" w:pos="4340" w:val="left"/>
          <w:tab w:leader="none" w:pos="5060" w:val="left"/>
          <w:tab w:leader="none" w:pos="6240" w:val="left"/>
        </w:tabs>
        <w:rPr>
          <w:sz w:val="20"/>
          <w:szCs w:val="20"/>
          <w:color w:val="auto"/>
        </w:rPr>
      </w:pPr>
      <w:r>
        <w:rPr>
          <w:rFonts w:ascii="Courier New" w:cs="Courier New" w:eastAsia="Courier New" w:hAnsi="Courier New"/>
          <w:sz w:val="15"/>
          <w:szCs w:val="15"/>
          <w:color w:val="auto"/>
        </w:rPr>
        <w:t>that any Stock</w:t>
        <w:tab/>
        <w:t>Option shall</w:t>
        <w:tab/>
        <w:t>become</w:t>
        <w:tab/>
        <w:t>exercisable</w:t>
        <w:tab/>
        <w:t>in</w:t>
      </w:r>
    </w:p>
    <w:p>
      <w:pPr>
        <w:spacing w:after="0" w:line="5" w:lineRule="exact"/>
        <w:rPr>
          <w:sz w:val="20"/>
          <w:szCs w:val="20"/>
          <w:color w:val="auto"/>
        </w:rPr>
      </w:pPr>
    </w:p>
    <w:p>
      <w:pPr>
        <w:ind w:left="1620"/>
        <w:spacing w:after="0"/>
        <w:tabs>
          <w:tab w:leader="none" w:pos="2880" w:val="left"/>
          <w:tab w:leader="none" w:pos="4160" w:val="left"/>
          <w:tab w:leader="none" w:pos="5060" w:val="left"/>
          <w:tab w:leader="none" w:pos="6160" w:val="left"/>
        </w:tabs>
        <w:rPr>
          <w:sz w:val="20"/>
          <w:szCs w:val="20"/>
          <w:color w:val="auto"/>
        </w:rPr>
      </w:pPr>
      <w:r>
        <w:rPr>
          <w:rFonts w:ascii="Courier New" w:cs="Courier New" w:eastAsia="Courier New" w:hAnsi="Courier New"/>
          <w:sz w:val="15"/>
          <w:szCs w:val="15"/>
          <w:color w:val="auto"/>
        </w:rPr>
        <w:t>installments</w:t>
        <w:tab/>
        <w:t>and (ii) may</w:t>
        <w:tab/>
        <w:t>waive or</w:t>
        <w:tab/>
        <w:t>accelerate</w:t>
      </w:r>
      <w:r>
        <w:rPr>
          <w:sz w:val="20"/>
          <w:szCs w:val="20"/>
          <w:color w:val="auto"/>
        </w:rPr>
        <w:tab/>
      </w:r>
      <w:r>
        <w:rPr>
          <w:rFonts w:ascii="Courier New" w:cs="Courier New" w:eastAsia="Courier New" w:hAnsi="Courier New"/>
          <w:sz w:val="14"/>
          <w:szCs w:val="14"/>
          <w:color w:val="auto"/>
        </w:rPr>
        <w:t>any</w:t>
      </w:r>
    </w:p>
    <w:p>
      <w:pPr>
        <w:spacing w:after="0" w:line="5" w:lineRule="exact"/>
        <w:rPr>
          <w:sz w:val="20"/>
          <w:szCs w:val="20"/>
          <w:color w:val="auto"/>
        </w:rPr>
      </w:pPr>
    </w:p>
    <w:p>
      <w:pPr>
        <w:ind w:left="1620"/>
        <w:spacing w:after="0"/>
        <w:tabs>
          <w:tab w:leader="none" w:pos="2160" w:val="left"/>
          <w:tab w:leader="none" w:pos="3420" w:val="left"/>
          <w:tab w:leader="none" w:pos="4420" w:val="left"/>
          <w:tab w:leader="none" w:pos="5600" w:val="left"/>
        </w:tabs>
        <w:rPr>
          <w:sz w:val="20"/>
          <w:szCs w:val="20"/>
          <w:color w:val="auto"/>
        </w:rPr>
      </w:pPr>
      <w:r>
        <w:rPr>
          <w:rFonts w:ascii="Courier New" w:cs="Courier New" w:eastAsia="Courier New" w:hAnsi="Courier New"/>
          <w:sz w:val="15"/>
          <w:szCs w:val="15"/>
          <w:color w:val="auto"/>
        </w:rPr>
        <w:t>such</w:t>
        <w:tab/>
        <w:t>installment</w:t>
        <w:tab/>
        <w:t>exercise</w:t>
        <w:tab/>
        <w:t>provision,</w:t>
        <w:tab/>
        <w:t>provided,</w:t>
      </w:r>
    </w:p>
    <w:p>
      <w:pPr>
        <w:spacing w:after="0" w:line="5" w:lineRule="exact"/>
        <w:rPr>
          <w:sz w:val="20"/>
          <w:szCs w:val="20"/>
          <w:color w:val="auto"/>
        </w:rPr>
      </w:pPr>
    </w:p>
    <w:p>
      <w:pPr>
        <w:ind w:left="1620"/>
        <w:spacing w:after="0"/>
        <w:tabs>
          <w:tab w:leader="none" w:pos="2420" w:val="left"/>
          <w:tab w:leader="none" w:pos="3060" w:val="left"/>
          <w:tab w:leader="none" w:pos="3800" w:val="left"/>
          <w:tab w:leader="none" w:pos="4700" w:val="left"/>
          <w:tab w:leader="none" w:pos="5880" w:val="left"/>
        </w:tabs>
        <w:rPr>
          <w:sz w:val="20"/>
          <w:szCs w:val="20"/>
          <w:color w:val="auto"/>
        </w:rPr>
      </w:pPr>
      <w:r>
        <w:rPr>
          <w:rFonts w:ascii="Courier New" w:cs="Courier New" w:eastAsia="Courier New" w:hAnsi="Courier New"/>
          <w:sz w:val="15"/>
          <w:szCs w:val="15"/>
          <w:color w:val="auto"/>
        </w:rPr>
        <w:t>however</w:t>
        <w:tab/>
        <w:t>that,</w:t>
        <w:tab/>
        <w:t>in the</w:t>
        <w:tab/>
        <w:t>event of</w:t>
        <w:tab/>
        <w:t>termination</w:t>
      </w:r>
      <w:r>
        <w:rPr>
          <w:sz w:val="20"/>
          <w:szCs w:val="20"/>
          <w:color w:val="auto"/>
        </w:rPr>
        <w:tab/>
      </w:r>
      <w:r>
        <w:rPr>
          <w:rFonts w:ascii="Courier New" w:cs="Courier New" w:eastAsia="Courier New" w:hAnsi="Courier New"/>
          <w:sz w:val="14"/>
          <w:szCs w:val="14"/>
          <w:color w:val="auto"/>
        </w:rPr>
        <w:t>of the</w:t>
      </w:r>
    </w:p>
    <w:p>
      <w:pPr>
        <w:spacing w:after="0" w:line="5" w:lineRule="exact"/>
        <w:rPr>
          <w:sz w:val="20"/>
          <w:szCs w:val="20"/>
          <w:color w:val="auto"/>
        </w:rPr>
      </w:pPr>
    </w:p>
    <w:p>
      <w:pPr>
        <w:ind w:left="1620"/>
        <w:spacing w:after="0"/>
        <w:tabs>
          <w:tab w:leader="none" w:pos="2800" w:val="left"/>
          <w:tab w:leader="none" w:pos="3880" w:val="left"/>
          <w:tab w:leader="none" w:pos="4420" w:val="left"/>
          <w:tab w:leader="none" w:pos="4880" w:val="left"/>
          <w:tab w:leader="none" w:pos="5700" w:val="left"/>
          <w:tab w:leader="none" w:pos="6160" w:val="left"/>
        </w:tabs>
        <w:rPr>
          <w:sz w:val="20"/>
          <w:szCs w:val="20"/>
          <w:color w:val="auto"/>
        </w:rPr>
      </w:pPr>
      <w:r>
        <w:rPr>
          <w:rFonts w:ascii="Courier New" w:cs="Courier New" w:eastAsia="Courier New" w:hAnsi="Courier New"/>
          <w:sz w:val="15"/>
          <w:szCs w:val="15"/>
          <w:color w:val="auto"/>
        </w:rPr>
        <w:t>Optionee's</w:t>
      </w:r>
      <w:r>
        <w:rPr>
          <w:sz w:val="20"/>
          <w:szCs w:val="20"/>
          <w:color w:val="auto"/>
        </w:rPr>
        <w:tab/>
      </w:r>
      <w:r>
        <w:rPr>
          <w:rFonts w:ascii="Courier New" w:cs="Courier New" w:eastAsia="Courier New" w:hAnsi="Courier New"/>
          <w:sz w:val="15"/>
          <w:szCs w:val="15"/>
          <w:color w:val="auto"/>
        </w:rPr>
        <w:t>employment</w:t>
        <w:tab/>
        <w:t>with</w:t>
        <w:tab/>
        <w:t>the</w:t>
        <w:tab/>
        <w:t>Company</w:t>
        <w:tab/>
        <w:t>and</w:t>
      </w:r>
      <w:r>
        <w:rPr>
          <w:sz w:val="20"/>
          <w:szCs w:val="20"/>
          <w:color w:val="auto"/>
        </w:rPr>
        <w:tab/>
      </w:r>
      <w:r>
        <w:rPr>
          <w:rFonts w:ascii="Courier New" w:cs="Courier New" w:eastAsia="Courier New" w:hAnsi="Courier New"/>
          <w:sz w:val="14"/>
          <w:szCs w:val="14"/>
          <w:color w:val="auto"/>
        </w:rPr>
        <w:t>its</w:t>
      </w:r>
    </w:p>
    <w:p>
      <w:pPr>
        <w:spacing w:after="0" w:line="5" w:lineRule="exact"/>
        <w:rPr>
          <w:sz w:val="20"/>
          <w:szCs w:val="20"/>
          <w:color w:val="auto"/>
        </w:rPr>
      </w:pPr>
    </w:p>
    <w:p>
      <w:pPr>
        <w:ind w:left="1620"/>
        <w:spacing w:after="0"/>
        <w:tabs>
          <w:tab w:leader="none" w:pos="2880" w:val="left"/>
          <w:tab w:leader="none" w:pos="3340" w:val="left"/>
          <w:tab w:leader="none" w:pos="4420" w:val="left"/>
          <w:tab w:leader="none" w:pos="5520" w:val="left"/>
        </w:tabs>
        <w:rPr>
          <w:sz w:val="20"/>
          <w:szCs w:val="20"/>
          <w:color w:val="auto"/>
        </w:rPr>
      </w:pPr>
      <w:r>
        <w:rPr>
          <w:rFonts w:ascii="Courier New" w:cs="Courier New" w:eastAsia="Courier New" w:hAnsi="Courier New"/>
          <w:sz w:val="15"/>
          <w:szCs w:val="15"/>
          <w:color w:val="auto"/>
        </w:rPr>
        <w:t>Subsidiaries</w:t>
        <w:tab/>
        <w:t>and</w:t>
        <w:tab/>
        <w:t>Affiliates</w:t>
        <w:tab/>
        <w:t>due to the</w:t>
        <w:tab/>
        <w:t>Optionee's</w:t>
      </w:r>
    </w:p>
    <w:p>
      <w:pPr>
        <w:spacing w:after="0" w:line="5" w:lineRule="exact"/>
        <w:rPr>
          <w:sz w:val="20"/>
          <w:szCs w:val="20"/>
          <w:color w:val="auto"/>
        </w:rPr>
      </w:pPr>
    </w:p>
    <w:p>
      <w:pPr>
        <w:ind w:left="1620"/>
        <w:spacing w:after="0"/>
        <w:tabs>
          <w:tab w:leader="none" w:pos="3600" w:val="left"/>
          <w:tab w:leader="none" w:pos="5420" w:val="left"/>
        </w:tabs>
        <w:rPr>
          <w:sz w:val="20"/>
          <w:szCs w:val="20"/>
          <w:color w:val="auto"/>
        </w:rPr>
      </w:pPr>
      <w:r>
        <w:rPr>
          <w:rFonts w:ascii="Courier New" w:cs="Courier New" w:eastAsia="Courier New" w:hAnsi="Courier New"/>
          <w:sz w:val="15"/>
          <w:szCs w:val="15"/>
          <w:color w:val="auto"/>
        </w:rPr>
        <w:t>death or Disability,</w:t>
        <w:tab/>
        <w:t>the vesting of any</w:t>
        <w:tab/>
        <w:t>outstanding</w:t>
      </w:r>
    </w:p>
    <w:p>
      <w:pPr>
        <w:spacing w:after="0" w:line="5" w:lineRule="exact"/>
        <w:rPr>
          <w:sz w:val="20"/>
          <w:szCs w:val="20"/>
          <w:color w:val="auto"/>
        </w:rPr>
      </w:pPr>
    </w:p>
    <w:p>
      <w:pPr>
        <w:ind w:left="1620"/>
        <w:spacing w:after="0"/>
        <w:tabs>
          <w:tab w:leader="none" w:pos="2340" w:val="left"/>
          <w:tab w:leader="none" w:pos="3160" w:val="left"/>
          <w:tab w:leader="none" w:pos="3980" w:val="left"/>
          <w:tab w:leader="none" w:pos="4340" w:val="left"/>
          <w:tab w:leader="none" w:pos="4980" w:val="left"/>
          <w:tab w:leader="none" w:pos="598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Option</w:t>
      </w:r>
      <w:r>
        <w:rPr>
          <w:sz w:val="20"/>
          <w:szCs w:val="20"/>
          <w:color w:val="auto"/>
        </w:rPr>
        <w:tab/>
      </w:r>
      <w:r>
        <w:rPr>
          <w:rFonts w:ascii="Courier New" w:cs="Courier New" w:eastAsia="Courier New" w:hAnsi="Courier New"/>
          <w:sz w:val="15"/>
          <w:szCs w:val="15"/>
          <w:color w:val="auto"/>
        </w:rPr>
        <w:t>granted</w:t>
        <w:tab/>
        <w:t>to</w:t>
        <w:tab/>
        <w:t>such</w:t>
      </w:r>
      <w:r>
        <w:rPr>
          <w:sz w:val="20"/>
          <w:szCs w:val="20"/>
          <w:color w:val="auto"/>
        </w:rPr>
        <w:tab/>
      </w:r>
      <w:r>
        <w:rPr>
          <w:rFonts w:ascii="Courier New" w:cs="Courier New" w:eastAsia="Courier New" w:hAnsi="Courier New"/>
          <w:sz w:val="15"/>
          <w:szCs w:val="15"/>
          <w:color w:val="auto"/>
        </w:rPr>
        <w:t>Optionee</w:t>
      </w:r>
      <w:r>
        <w:rPr>
          <w:sz w:val="20"/>
          <w:szCs w:val="20"/>
          <w:color w:val="auto"/>
        </w:rPr>
        <w:tab/>
      </w:r>
      <w:r>
        <w:rPr>
          <w:rFonts w:ascii="Courier New" w:cs="Courier New" w:eastAsia="Courier New" w:hAnsi="Courier New"/>
          <w:sz w:val="14"/>
          <w:szCs w:val="14"/>
          <w:color w:val="auto"/>
        </w:rPr>
        <w:t>shall</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automatically be accelerated."</w:t>
      </w:r>
    </w:p>
    <w:p>
      <w:pPr>
        <w:spacing w:after="0" w:line="354" w:lineRule="exact"/>
        <w:rPr>
          <w:sz w:val="20"/>
          <w:szCs w:val="20"/>
          <w:color w:val="auto"/>
        </w:rPr>
      </w:pPr>
    </w:p>
    <w:p>
      <w:pPr>
        <w:ind w:left="2440" w:hanging="811"/>
        <w:spacing w:after="0"/>
        <w:tabs>
          <w:tab w:leader="none" w:pos="2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Plan is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ratified and confirmed and shall continue in full force and effect.</w:t>
      </w:r>
    </w:p>
    <w:p>
      <w:pPr>
        <w:sectPr>
          <w:pgSz w:w="11900" w:h="16838" w:orient="portrait"/>
          <w:cols w:equalWidth="0" w:num="1">
            <w:col w:w="10219"/>
          </w:cols>
          <w:pgMar w:left="240" w:top="142" w:right="1440" w:bottom="1440" w:gutter="0" w:footer="0" w:header="0"/>
        </w:sectPr>
      </w:pPr>
    </w:p>
    <w:bookmarkStart w:id="76" w:name="page77"/>
    <w:bookmarkEnd w:id="76"/>
    <w:p>
      <w:pPr>
        <w:ind w:left="6187"/>
        <w:spacing w:after="0"/>
        <w:rPr>
          <w:sz w:val="20"/>
          <w:szCs w:val="20"/>
          <w:color w:val="auto"/>
        </w:rPr>
      </w:pPr>
      <w:r>
        <w:rPr>
          <w:rFonts w:ascii="Courier New" w:cs="Courier New" w:eastAsia="Courier New" w:hAnsi="Courier New"/>
          <w:sz w:val="15"/>
          <w:szCs w:val="15"/>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SCHOLASTIC CORPORATION</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MANAGEMENT STOCK PURCHASE PLAN</w:t>
      </w:r>
    </w:p>
    <w:p>
      <w:pPr>
        <w:spacing w:after="0" w:line="354" w:lineRule="exact"/>
        <w:rPr>
          <w:sz w:val="20"/>
          <w:szCs w:val="20"/>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Effective January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SCHOLASTIC CORPORATION</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MANAGEMENT STOCK PURCHASE PLAN</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(AMENDED AND RESTATED EFFECTIVE JANUARY 1, 2005)</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60" w:type="dxa"/>
            <w:vAlign w:val="bottom"/>
          </w:tcPr>
          <w:p>
            <w:pPr>
              <w:jc w:val="right"/>
              <w:ind w:right="6924"/>
              <w:spacing w:after="0"/>
              <w:rPr>
                <w:sz w:val="20"/>
                <w:szCs w:val="20"/>
                <w:color w:val="auto"/>
              </w:rPr>
            </w:pPr>
            <w:r>
              <w:rPr>
                <w:rFonts w:ascii="Courier New" w:cs="Courier New" w:eastAsia="Courier New" w:hAnsi="Courier New"/>
                <w:sz w:val="15"/>
                <w:szCs w:val="15"/>
                <w:color w:val="auto"/>
              </w:rPr>
              <w:t>TABLE OF CONTENTS</w:t>
            </w:r>
          </w:p>
        </w:tc>
        <w:tc>
          <w:tcPr>
            <w:tcW w:w="80" w:type="dxa"/>
            <w:vAlign w:val="bottom"/>
          </w:tcPr>
          <w:p>
            <w:pPr>
              <w:spacing w:after="0"/>
              <w:rPr>
                <w:sz w:val="14"/>
                <w:szCs w:val="14"/>
                <w:color w:val="auto"/>
              </w:rPr>
            </w:pPr>
          </w:p>
        </w:tc>
      </w:tr>
      <w:tr>
        <w:trPr>
          <w:trHeight w:val="699"/>
        </w:trPr>
        <w:tc>
          <w:tcPr>
            <w:tcW w:w="900" w:type="dxa"/>
            <w:vAlign w:val="bottom"/>
          </w:tcPr>
          <w:p>
            <w:pPr>
              <w:spacing w:after="0"/>
              <w:rPr>
                <w:sz w:val="20"/>
                <w:szCs w:val="20"/>
                <w:color w:val="auto"/>
              </w:rPr>
            </w:pPr>
            <w:r>
              <w:rPr>
                <w:rFonts w:ascii="Courier New" w:cs="Courier New" w:eastAsia="Courier New" w:hAnsi="Courier New"/>
                <w:sz w:val="15"/>
                <w:szCs w:val="15"/>
                <w:color w:val="auto"/>
              </w:rPr>
              <w:t>ARTICLE 1</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-INTRODUCTION</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r>
      <w:tr>
        <w:trPr>
          <w:trHeight w:val="350"/>
        </w:trPr>
        <w:tc>
          <w:tcPr>
            <w:tcW w:w="900" w:type="dxa"/>
            <w:vAlign w:val="bottom"/>
          </w:tcPr>
          <w:p>
            <w:pPr>
              <w:spacing w:after="0"/>
              <w:rPr>
                <w:sz w:val="24"/>
                <w:szCs w:val="24"/>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Purpose..............................................................................................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Restatement..........................................................................................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1.3</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Effect of Restatement; Plan Bifurcation..............................................................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1.4</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Section 409A of the Code.............................................................................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ARTICLE 2</w:t>
            </w:r>
          </w:p>
        </w:tc>
        <w:tc>
          <w:tcPr>
            <w:tcW w:w="10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-DEFINITIONS.......................................................................................................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r>
      <w:tr>
        <w:trPr>
          <w:trHeight w:val="350"/>
        </w:trPr>
        <w:tc>
          <w:tcPr>
            <w:tcW w:w="900" w:type="dxa"/>
            <w:vAlign w:val="bottom"/>
          </w:tcPr>
          <w:p>
            <w:pPr>
              <w:spacing w:after="0"/>
              <w:rPr>
                <w:sz w:val="24"/>
                <w:szCs w:val="24"/>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Affiliate............................................................................................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Award Date...........................................................................................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2.3</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Award Value..........................................................................................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Beneficiary..........................................................................................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Bonus................................................................................................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2.6</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Board of Directors...................................................................................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2.7</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Cause................................................................................................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2.8</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Code.................................................................................................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2.9</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Committee............................................................................................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2.10</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Common Stock or Stock................................................................................</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2.11</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Company..............................................................................................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2.12</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Cost.................................................................................................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2.13</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Deferral Period......................................................................................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2.14</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Disability...........................................................................................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2.15</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Exchange Act.........................................................................................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2.16</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Extension of Deferral Election Form..................................................................</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2.17</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Fair Market Value....................................................................................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2.18</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Fiscal Year..........................................................................................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2.19</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Foreign Jurisdiction.................................................................................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2.20</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Grandfathered Plan...................................................................................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2.21</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Participant..........................................................................................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2.22</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Plan.................................................................................................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2.23</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Plan Year............................................................................................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2.24</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Restatement Effective Date...........................................................................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2.25</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Retirement...........................................................................................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2.26</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RSU..................................................................................................</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2.27</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Rule 16b-3...........................................................................................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2.28</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Specified Employee...................................................................................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2.29</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Subscription Agreement...............................................................................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75"/>
        </w:trPr>
        <w:tc>
          <w:tcPr>
            <w:tcW w:w="90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2.30</w:t>
            </w:r>
          </w:p>
        </w:tc>
        <w:tc>
          <w:tcPr>
            <w:tcW w:w="9260" w:type="dxa"/>
            <w:vAlign w:val="bottom"/>
          </w:tcPr>
          <w:p>
            <w:pPr>
              <w:jc w:val="right"/>
              <w:spacing w:after="0"/>
              <w:rPr>
                <w:sz w:val="20"/>
                <w:szCs w:val="20"/>
                <w:color w:val="auto"/>
              </w:rPr>
            </w:pPr>
            <w:r>
              <w:rPr>
                <w:rFonts w:ascii="Courier New" w:cs="Courier New" w:eastAsia="Courier New" w:hAnsi="Courier New"/>
                <w:sz w:val="15"/>
                <w:szCs w:val="15"/>
                <w:color w:val="auto"/>
              </w:rPr>
              <w:t>Subsequent Deferral Period...........................................................................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bl>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1527"/>
          </w:cols>
          <w:pgMar w:left="233" w:top="141" w:right="139" w:bottom="1440" w:gutter="0" w:footer="0" w:header="0"/>
        </w:sectPr>
      </w:pPr>
    </w:p>
    <w:bookmarkStart w:id="77" w:name="page78"/>
    <w:bookmarkEnd w:id="77"/>
    <w:p>
      <w:pPr>
        <w:spacing w:after="0"/>
        <w:tabs>
          <w:tab w:leader="dot" w:pos="11420" w:val="left"/>
        </w:tabs>
        <w:rPr>
          <w:sz w:val="20"/>
          <w:szCs w:val="20"/>
          <w:color w:val="auto"/>
        </w:rPr>
      </w:pPr>
      <w:r>
        <w:rPr>
          <w:rFonts w:ascii="Courier New" w:cs="Courier New" w:eastAsia="Courier New" w:hAnsi="Courier New"/>
          <w:sz w:val="15"/>
          <w:szCs w:val="15"/>
          <w:color w:val="auto"/>
        </w:rPr>
        <w:t>ARTICLE 3 -SHARES RESERVED</w:t>
      </w:r>
      <w:r>
        <w:rPr>
          <w:sz w:val="20"/>
          <w:szCs w:val="20"/>
          <w:color w:val="auto"/>
        </w:rPr>
        <w:tab/>
      </w:r>
      <w:r>
        <w:rPr>
          <w:rFonts w:ascii="Courier New" w:cs="Courier New" w:eastAsia="Courier New" w:hAnsi="Courier New"/>
          <w:sz w:val="13"/>
          <w:szCs w:val="13"/>
          <w:color w:val="auto"/>
        </w:rPr>
        <w:t>4</w:t>
      </w:r>
    </w:p>
    <w:p>
      <w:pPr>
        <w:spacing w:after="0" w:line="354"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5"/>
          <w:szCs w:val="15"/>
          <w:color w:val="auto"/>
        </w:rPr>
        <w:t>ARTICLE 4 -ADMINISTRATION</w:t>
      </w:r>
      <w:r>
        <w:rPr>
          <w:sz w:val="20"/>
          <w:szCs w:val="20"/>
          <w:color w:val="auto"/>
        </w:rPr>
        <w:tab/>
      </w:r>
      <w:r>
        <w:rPr>
          <w:rFonts w:ascii="Courier New" w:cs="Courier New" w:eastAsia="Courier New" w:hAnsi="Courier New"/>
          <w:sz w:val="13"/>
          <w:szCs w:val="13"/>
          <w:color w:val="auto"/>
        </w:rPr>
        <w:t>5</w:t>
      </w:r>
    </w:p>
    <w:p>
      <w:pPr>
        <w:spacing w:after="0" w:line="180"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Administration of the Plan</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Decisions Binding</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Delegation of Authority</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3"/>
          <w:szCs w:val="13"/>
          <w:color w:val="auto"/>
        </w:rPr>
        <w:t>5</w:t>
      </w:r>
    </w:p>
    <w:p>
      <w:pPr>
        <w:spacing w:after="0" w:line="180"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5"/>
          <w:szCs w:val="15"/>
          <w:color w:val="auto"/>
        </w:rPr>
        <w:t>ARTICLE 5 -ELIGIBILITY</w:t>
      </w:r>
      <w:r>
        <w:rPr>
          <w:sz w:val="20"/>
          <w:szCs w:val="20"/>
          <w:color w:val="auto"/>
        </w:rPr>
        <w:tab/>
      </w:r>
      <w:r>
        <w:rPr>
          <w:rFonts w:ascii="Courier New" w:cs="Courier New" w:eastAsia="Courier New" w:hAnsi="Courier New"/>
          <w:sz w:val="13"/>
          <w:szCs w:val="13"/>
          <w:color w:val="auto"/>
        </w:rPr>
        <w:t>6</w:t>
      </w:r>
    </w:p>
    <w:p>
      <w:pPr>
        <w:spacing w:after="0" w:line="354"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5"/>
          <w:szCs w:val="15"/>
          <w:color w:val="auto"/>
        </w:rPr>
        <w:t>ARTICLE 6 -PURCHASES</w:t>
      </w:r>
      <w:r>
        <w:rPr>
          <w:sz w:val="20"/>
          <w:szCs w:val="20"/>
          <w:color w:val="auto"/>
        </w:rPr>
        <w:tab/>
      </w:r>
      <w:r>
        <w:rPr>
          <w:rFonts w:ascii="Courier New" w:cs="Courier New" w:eastAsia="Courier New" w:hAnsi="Courier New"/>
          <w:sz w:val="13"/>
          <w:szCs w:val="13"/>
          <w:color w:val="auto"/>
        </w:rPr>
        <w:t>6</w:t>
      </w:r>
    </w:p>
    <w:p>
      <w:pPr>
        <w:spacing w:after="0" w:line="180"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Voluntary Purchases</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Awards of RSUs</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Subsequent Deferral Election</w:t>
      </w:r>
      <w:r>
        <w:rPr>
          <w:sz w:val="20"/>
          <w:szCs w:val="20"/>
          <w:color w:val="auto"/>
        </w:rPr>
        <w:tab/>
      </w:r>
      <w:r>
        <w:rPr>
          <w:rFonts w:ascii="Courier New" w:cs="Courier New" w:eastAsia="Courier New" w:hAnsi="Courier New"/>
          <w:sz w:val="13"/>
          <w:szCs w:val="13"/>
          <w:color w:val="auto"/>
        </w:rPr>
        <w:t>7</w:t>
      </w:r>
    </w:p>
    <w:p>
      <w:pPr>
        <w:spacing w:after="0" w:line="180"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5"/>
          <w:szCs w:val="15"/>
          <w:color w:val="auto"/>
        </w:rPr>
        <w:t>ARTICLE 7 -VESTING AND PAYMENT OF RSUS</w:t>
      </w:r>
      <w:r>
        <w:rPr>
          <w:sz w:val="20"/>
          <w:szCs w:val="20"/>
          <w:color w:val="auto"/>
        </w:rPr>
        <w:tab/>
      </w:r>
      <w:r>
        <w:rPr>
          <w:rFonts w:ascii="Courier New" w:cs="Courier New" w:eastAsia="Courier New" w:hAnsi="Courier New"/>
          <w:sz w:val="13"/>
          <w:szCs w:val="13"/>
          <w:color w:val="auto"/>
        </w:rPr>
        <w:t>7</w:t>
      </w:r>
    </w:p>
    <w:p>
      <w:pPr>
        <w:spacing w:after="0" w:line="180"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Vesting</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Payment on or after Vesting</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Payment Prior to Vesting</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ind w:left="1080"/>
        <w:spacing w:after="0"/>
        <w:tabs>
          <w:tab w:leader="none" w:pos="2240" w:val="left"/>
          <w:tab w:leader="dot" w:pos="1142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Special Rules for Specified Employees</w:t>
      </w:r>
      <w:r>
        <w:rPr>
          <w:sz w:val="20"/>
          <w:szCs w:val="20"/>
          <w:color w:val="auto"/>
        </w:rPr>
        <w:tab/>
      </w:r>
      <w:r>
        <w:rPr>
          <w:rFonts w:ascii="Courier New" w:cs="Courier New" w:eastAsia="Courier New" w:hAnsi="Courier New"/>
          <w:sz w:val="13"/>
          <w:szCs w:val="13"/>
          <w:color w:val="auto"/>
        </w:rPr>
        <w:t>9</w:t>
      </w:r>
    </w:p>
    <w:p>
      <w:pPr>
        <w:spacing w:after="0" w:line="180"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5"/>
          <w:szCs w:val="15"/>
          <w:color w:val="auto"/>
        </w:rPr>
        <w:t>ARTICLE 8 -DIVIDEND EQUIVALENT AMOUNTS</w:t>
      </w:r>
      <w:r>
        <w:rPr>
          <w:sz w:val="20"/>
          <w:szCs w:val="20"/>
          <w:color w:val="auto"/>
        </w:rPr>
        <w:tab/>
      </w:r>
      <w:r>
        <w:rPr>
          <w:rFonts w:ascii="Courier New" w:cs="Courier New" w:eastAsia="Courier New" w:hAnsi="Courier New"/>
          <w:sz w:val="13"/>
          <w:szCs w:val="13"/>
          <w:color w:val="auto"/>
        </w:rPr>
        <w:t>9</w:t>
      </w:r>
    </w:p>
    <w:p>
      <w:pPr>
        <w:spacing w:after="0" w:line="354"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5"/>
          <w:szCs w:val="15"/>
          <w:color w:val="auto"/>
        </w:rPr>
        <w:t>ARTICLE 9 -DESIGNATION OF BENEFICIARY</w:t>
      </w:r>
      <w:r>
        <w:rPr>
          <w:sz w:val="20"/>
          <w:szCs w:val="20"/>
          <w:color w:val="auto"/>
        </w:rPr>
        <w:tab/>
      </w:r>
      <w:r>
        <w:rPr>
          <w:rFonts w:ascii="Courier New" w:cs="Courier New" w:eastAsia="Courier New" w:hAnsi="Courier New"/>
          <w:sz w:val="13"/>
          <w:szCs w:val="13"/>
          <w:color w:val="auto"/>
        </w:rPr>
        <w:t>9</w:t>
      </w:r>
    </w:p>
    <w:p>
      <w:pPr>
        <w:spacing w:after="0" w:line="354"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5"/>
          <w:szCs w:val="15"/>
          <w:color w:val="auto"/>
        </w:rPr>
        <w:t>ARTICLE 10 -ADJUSTMENTS</w:t>
      </w:r>
      <w:r>
        <w:rPr>
          <w:sz w:val="20"/>
          <w:szCs w:val="20"/>
          <w:color w:val="auto"/>
        </w:rPr>
        <w:tab/>
      </w:r>
      <w:r>
        <w:rPr>
          <w:rFonts w:ascii="Courier New" w:cs="Courier New" w:eastAsia="Courier New" w:hAnsi="Courier New"/>
          <w:sz w:val="13"/>
          <w:szCs w:val="13"/>
          <w:color w:val="auto"/>
        </w:rPr>
        <w:t>9</w:t>
      </w:r>
    </w:p>
    <w:p>
      <w:pPr>
        <w:spacing w:after="0" w:line="354" w:lineRule="exact"/>
        <w:rPr>
          <w:sz w:val="20"/>
          <w:szCs w:val="20"/>
          <w:color w:val="auto"/>
        </w:rPr>
      </w:pPr>
    </w:p>
    <w:p>
      <w:pPr>
        <w:spacing w:after="0"/>
        <w:tabs>
          <w:tab w:leader="dot" w:pos="11340" w:val="left"/>
        </w:tabs>
        <w:rPr>
          <w:sz w:val="20"/>
          <w:szCs w:val="20"/>
          <w:color w:val="auto"/>
        </w:rPr>
      </w:pPr>
      <w:r>
        <w:rPr>
          <w:rFonts w:ascii="Courier New" w:cs="Courier New" w:eastAsia="Courier New" w:hAnsi="Courier New"/>
          <w:sz w:val="15"/>
          <w:szCs w:val="15"/>
          <w:color w:val="auto"/>
        </w:rPr>
        <w:t>ARTICLE 11 -AMENDMENT OR TERMINATION OF PLAN</w:t>
      </w:r>
      <w:r>
        <w:rPr>
          <w:sz w:val="20"/>
          <w:szCs w:val="20"/>
          <w:color w:val="auto"/>
        </w:rPr>
        <w:tab/>
      </w:r>
      <w:r>
        <w:rPr>
          <w:rFonts w:ascii="Courier New" w:cs="Courier New" w:eastAsia="Courier New" w:hAnsi="Courier New"/>
          <w:sz w:val="13"/>
          <w:szCs w:val="13"/>
          <w:color w:val="auto"/>
        </w:rPr>
        <w:t>10</w:t>
      </w:r>
    </w:p>
    <w:p>
      <w:pPr>
        <w:spacing w:after="0" w:line="354" w:lineRule="exact"/>
        <w:rPr>
          <w:sz w:val="20"/>
          <w:szCs w:val="20"/>
          <w:color w:val="auto"/>
        </w:rPr>
      </w:pPr>
    </w:p>
    <w:p>
      <w:pPr>
        <w:spacing w:after="0"/>
        <w:tabs>
          <w:tab w:leader="dot" w:pos="11340" w:val="left"/>
        </w:tabs>
        <w:rPr>
          <w:sz w:val="20"/>
          <w:szCs w:val="20"/>
          <w:color w:val="auto"/>
        </w:rPr>
      </w:pPr>
      <w:r>
        <w:rPr>
          <w:rFonts w:ascii="Courier New" w:cs="Courier New" w:eastAsia="Courier New" w:hAnsi="Courier New"/>
          <w:sz w:val="15"/>
          <w:szCs w:val="15"/>
          <w:color w:val="auto"/>
        </w:rPr>
        <w:t>ARTICLE 12 -MISCELLANEOUS PROVISIONS</w:t>
      </w:r>
      <w:r>
        <w:rPr>
          <w:sz w:val="20"/>
          <w:szCs w:val="20"/>
          <w:color w:val="auto"/>
        </w:rPr>
        <w:tab/>
      </w:r>
      <w:r>
        <w:rPr>
          <w:rFonts w:ascii="Courier New" w:cs="Courier New" w:eastAsia="Courier New" w:hAnsi="Courier New"/>
          <w:sz w:val="13"/>
          <w:szCs w:val="13"/>
          <w:color w:val="auto"/>
        </w:rPr>
        <w:t>10</w:t>
      </w:r>
    </w:p>
    <w:p>
      <w:pPr>
        <w:spacing w:after="0" w:line="180"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No Distribution; Compliance with Legal Requirements</w:t>
      </w:r>
      <w:r>
        <w:rPr>
          <w:sz w:val="20"/>
          <w:szCs w:val="20"/>
          <w:color w:val="auto"/>
        </w:rPr>
        <w:tab/>
      </w:r>
      <w:r>
        <w:rPr>
          <w:rFonts w:ascii="Courier New" w:cs="Courier New" w:eastAsia="Courier New" w:hAnsi="Courier New"/>
          <w:sz w:val="13"/>
          <w:szCs w:val="13"/>
          <w:color w:val="auto"/>
        </w:rPr>
        <w:t>10</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Withholding</w:t>
      </w:r>
      <w:r>
        <w:rPr>
          <w:sz w:val="20"/>
          <w:szCs w:val="20"/>
          <w:color w:val="auto"/>
        </w:rPr>
        <w:tab/>
      </w:r>
      <w:r>
        <w:rPr>
          <w:rFonts w:ascii="Courier New" w:cs="Courier New" w:eastAsia="Courier New" w:hAnsi="Courier New"/>
          <w:sz w:val="13"/>
          <w:szCs w:val="13"/>
          <w:color w:val="auto"/>
        </w:rPr>
        <w:t>10</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Notices; Delivery of Stock Certificates</w:t>
      </w:r>
      <w:r>
        <w:rPr>
          <w:sz w:val="20"/>
          <w:szCs w:val="20"/>
          <w:color w:val="auto"/>
        </w:rPr>
        <w:tab/>
      </w:r>
      <w:r>
        <w:rPr>
          <w:rFonts w:ascii="Courier New" w:cs="Courier New" w:eastAsia="Courier New" w:hAnsi="Courier New"/>
          <w:sz w:val="13"/>
          <w:szCs w:val="13"/>
          <w:color w:val="auto"/>
        </w:rPr>
        <w:t>10</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Nontransferability of Rights</w:t>
      </w:r>
      <w:r>
        <w:rPr>
          <w:sz w:val="20"/>
          <w:szCs w:val="20"/>
          <w:color w:val="auto"/>
        </w:rPr>
        <w:tab/>
      </w:r>
      <w:r>
        <w:rPr>
          <w:rFonts w:ascii="Courier New" w:cs="Courier New" w:eastAsia="Courier New" w:hAnsi="Courier New"/>
          <w:sz w:val="13"/>
          <w:szCs w:val="13"/>
          <w:color w:val="auto"/>
        </w:rPr>
        <w:t>11</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Obligations Unfunded and Unsecured</w:t>
      </w:r>
      <w:r>
        <w:rPr>
          <w:sz w:val="20"/>
          <w:szCs w:val="20"/>
          <w:color w:val="auto"/>
        </w:rPr>
        <w:tab/>
      </w:r>
      <w:r>
        <w:rPr>
          <w:rFonts w:ascii="Courier New" w:cs="Courier New" w:eastAsia="Courier New" w:hAnsi="Courier New"/>
          <w:sz w:val="13"/>
          <w:szCs w:val="13"/>
          <w:color w:val="auto"/>
        </w:rPr>
        <w:t>11</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3"/>
          <w:szCs w:val="13"/>
          <w:color w:val="auto"/>
        </w:rPr>
        <w:t>11</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5"/>
          <w:szCs w:val="15"/>
          <w:color w:val="auto"/>
        </w:rPr>
        <w:t>Claims Procedure</w:t>
      </w:r>
      <w:r>
        <w:rPr>
          <w:sz w:val="20"/>
          <w:szCs w:val="20"/>
          <w:color w:val="auto"/>
        </w:rPr>
        <w:tab/>
      </w:r>
      <w:r>
        <w:rPr>
          <w:rFonts w:ascii="Courier New" w:cs="Courier New" w:eastAsia="Courier New" w:hAnsi="Courier New"/>
          <w:sz w:val="13"/>
          <w:szCs w:val="13"/>
          <w:color w:val="auto"/>
        </w:rPr>
        <w:t>11</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5"/>
          <w:szCs w:val="15"/>
          <w:color w:val="auto"/>
        </w:rPr>
        <w:t>Rule 16b-3</w:t>
      </w:r>
      <w:r>
        <w:rPr>
          <w:sz w:val="20"/>
          <w:szCs w:val="20"/>
          <w:color w:val="auto"/>
        </w:rPr>
        <w:tab/>
      </w:r>
      <w:r>
        <w:rPr>
          <w:rFonts w:ascii="Courier New" w:cs="Courier New" w:eastAsia="Courier New" w:hAnsi="Courier New"/>
          <w:sz w:val="13"/>
          <w:szCs w:val="13"/>
          <w:color w:val="auto"/>
        </w:rPr>
        <w:t>12</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5"/>
          <w:szCs w:val="15"/>
          <w:color w:val="auto"/>
        </w:rPr>
        <w:t>No Employment Rights</w:t>
      </w:r>
      <w:r>
        <w:rPr>
          <w:sz w:val="20"/>
          <w:szCs w:val="20"/>
          <w:color w:val="auto"/>
        </w:rPr>
        <w:tab/>
      </w:r>
      <w:r>
        <w:rPr>
          <w:rFonts w:ascii="Courier New" w:cs="Courier New" w:eastAsia="Courier New" w:hAnsi="Courier New"/>
          <w:sz w:val="13"/>
          <w:szCs w:val="13"/>
          <w:color w:val="auto"/>
        </w:rPr>
        <w:t>12</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12.10</w:t>
      </w:r>
      <w:r>
        <w:rPr>
          <w:sz w:val="20"/>
          <w:szCs w:val="20"/>
          <w:color w:val="auto"/>
        </w:rPr>
        <w:tab/>
      </w:r>
      <w:r>
        <w:rPr>
          <w:rFonts w:ascii="Courier New" w:cs="Courier New" w:eastAsia="Courier New" w:hAnsi="Courier New"/>
          <w:sz w:val="15"/>
          <w:szCs w:val="15"/>
          <w:color w:val="auto"/>
        </w:rPr>
        <w:t>Severability of Provisions</w:t>
      </w:r>
      <w:r>
        <w:rPr>
          <w:sz w:val="20"/>
          <w:szCs w:val="20"/>
          <w:color w:val="auto"/>
        </w:rPr>
        <w:tab/>
      </w:r>
      <w:r>
        <w:rPr>
          <w:rFonts w:ascii="Courier New" w:cs="Courier New" w:eastAsia="Courier New" w:hAnsi="Courier New"/>
          <w:sz w:val="13"/>
          <w:szCs w:val="13"/>
          <w:color w:val="auto"/>
        </w:rPr>
        <w:t>12</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12.11</w:t>
      </w:r>
      <w:r>
        <w:rPr>
          <w:sz w:val="20"/>
          <w:szCs w:val="20"/>
          <w:color w:val="auto"/>
        </w:rPr>
        <w:tab/>
      </w:r>
      <w:r>
        <w:rPr>
          <w:rFonts w:ascii="Courier New" w:cs="Courier New" w:eastAsia="Courier New" w:hAnsi="Courier New"/>
          <w:sz w:val="15"/>
          <w:szCs w:val="15"/>
          <w:color w:val="auto"/>
        </w:rPr>
        <w:t>Construction</w:t>
      </w:r>
      <w:r>
        <w:rPr>
          <w:sz w:val="20"/>
          <w:szCs w:val="20"/>
          <w:color w:val="auto"/>
        </w:rPr>
        <w:tab/>
      </w:r>
      <w:r>
        <w:rPr>
          <w:rFonts w:ascii="Courier New" w:cs="Courier New" w:eastAsia="Courier New" w:hAnsi="Courier New"/>
          <w:sz w:val="13"/>
          <w:szCs w:val="13"/>
          <w:color w:val="auto"/>
        </w:rPr>
        <w:t>12</w:t>
      </w:r>
    </w:p>
    <w:p>
      <w:pPr>
        <w:spacing w:after="0" w:line="5" w:lineRule="exact"/>
        <w:rPr>
          <w:sz w:val="20"/>
          <w:szCs w:val="20"/>
          <w:color w:val="auto"/>
        </w:rPr>
      </w:pPr>
    </w:p>
    <w:p>
      <w:pPr>
        <w:ind w:left="1080"/>
        <w:spacing w:after="0"/>
        <w:tabs>
          <w:tab w:leader="none" w:pos="2240" w:val="left"/>
          <w:tab w:leader="dot" w:pos="11340" w:val="left"/>
        </w:tabs>
        <w:rPr>
          <w:sz w:val="20"/>
          <w:szCs w:val="20"/>
          <w:color w:val="auto"/>
        </w:rPr>
      </w:pPr>
      <w:r>
        <w:rPr>
          <w:rFonts w:ascii="Courier New" w:cs="Courier New" w:eastAsia="Courier New" w:hAnsi="Courier New"/>
          <w:sz w:val="15"/>
          <w:szCs w:val="15"/>
          <w:color w:val="auto"/>
        </w:rPr>
        <w:t>12.12</w:t>
      </w:r>
      <w:r>
        <w:rPr>
          <w:sz w:val="20"/>
          <w:szCs w:val="20"/>
          <w:color w:val="auto"/>
        </w:rPr>
        <w:tab/>
      </w:r>
      <w:r>
        <w:rPr>
          <w:rFonts w:ascii="Courier New" w:cs="Courier New" w:eastAsia="Courier New" w:hAnsi="Courier New"/>
          <w:sz w:val="15"/>
          <w:szCs w:val="15"/>
          <w:color w:val="auto"/>
        </w:rPr>
        <w:t>Effective Date of Plan</w:t>
      </w:r>
      <w:r>
        <w:rPr>
          <w:sz w:val="20"/>
          <w:szCs w:val="20"/>
          <w:color w:val="auto"/>
        </w:rPr>
        <w:tab/>
      </w:r>
      <w:r>
        <w:rPr>
          <w:rFonts w:ascii="Courier New" w:cs="Courier New" w:eastAsia="Courier New" w:hAnsi="Courier New"/>
          <w:sz w:val="13"/>
          <w:szCs w:val="13"/>
          <w:color w:val="auto"/>
        </w:rPr>
        <w:t>12</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1520"/>
          </w:cols>
          <w:pgMar w:left="240" w:top="643" w:right="139" w:bottom="1440" w:gutter="0" w:footer="0" w:header="0"/>
        </w:sectPr>
      </w:pPr>
    </w:p>
    <w:bookmarkStart w:id="78" w:name="page79"/>
    <w:bookmarkEnd w:id="78"/>
    <w:p>
      <w:pPr>
        <w:jc w:val="center"/>
        <w:ind w:right="2959"/>
        <w:spacing w:after="0"/>
        <w:rPr>
          <w:sz w:val="20"/>
          <w:szCs w:val="20"/>
          <w:color w:val="auto"/>
        </w:rPr>
      </w:pPr>
      <w:r>
        <w:rPr>
          <w:rFonts w:ascii="Courier New" w:cs="Courier New" w:eastAsia="Courier New" w:hAnsi="Courier New"/>
          <w:sz w:val="15"/>
          <w:szCs w:val="15"/>
          <w:color w:val="auto"/>
        </w:rPr>
        <w:t>SCHOLASTIC 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MANAGEMENT STOCK PURCHASE PLAN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(AMENDED AND RESTATED EFFECTIVE JANUARY 1, 2005)</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1 - INTRODUCTION</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1.1 PURPOSE. The purpose of the Scholastic Corporation Management Stock Purchase Plan (the "Plan") is to provide equity incentive compensation to selected management employees of Scholastic Corporation and its Affiliates. Participants in the Plan receive restricted stock units ("RSUs") at a discount in lieu of a portion or all of their bonus awards under the Company's annual incentive plan. Under certain circumstances, the RSUs convert into shares of Common Stock. The Company believes that the Plan creates a means to provide deferred compensation to such selected management employees and to raise the level of stock ownership in the Company by such employees thereby strengthening the mutuality of interests between such employees and the Company's stockholders.</w:t>
      </w:r>
    </w:p>
    <w:p>
      <w:pPr>
        <w:spacing w:after="0" w:line="181"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1.2 RESTATEMENT. The Company hereby amends and restates the Plan to comply with the requirements of Section 409A of the Internal Revenue Code of 1986, as amended. The effective date of this amendment and restatement of the Plan is January 1, 2005.</w:t>
      </w:r>
    </w:p>
    <w:p>
      <w:pPr>
        <w:spacing w:after="0" w:line="177"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1.3 EFFECT OF RESTATEMENT; PLAN BIFURCATION. RSUs granted under the Plan on and after January 1, 2005, shall be governed by the terms and conditions of the plan document as set forth herein. RSUs granted under the Plan prior to January 1, 2005 shall be governed by the terms and conditions of the Plan as in effect on December 31, 2004, which shall be known and referred to as the "Grandfathered Plan." RSUs granted under the Plan prior to January 1, 2005, which are not vested as of December 31, 2004, shall be governed by the terms and conditions of the plan document set forth herein. Recordkeeping for the Grandfathered Plan and the Plan shall be done separately.</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1.4 SECTION 409A OF THE CODE. This Plan is intended to comply with the applicable requirements of Section 409A of the Code and shall be limited, construed and interpreted in accordance with such intent. To the extent that any payment or benefit hereunder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Notwithstanding anything herein to the contrary, any provision in this Plan that is inconsistent with Section 409A of the Code shall be deemed to be amended to comply with Section 409A of the Code and to the extent such provision cannot be amended to comply therewith, such provision shall be null and void.</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2 - DEFINITIONS</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2.1 AFFILIATE. (i) Any corporation, partnership, limited liability company or other entity as to which the Company possesses a direct or indirect ownership interest of at least 50 percent or which possesses a direct or indirect ownership interest of at least 50% in the Company including, without limitation, any subsidiary corporation (as defined in Section 424(f)</w:t>
      </w:r>
    </w:p>
    <w:p>
      <w:pPr>
        <w:sectPr>
          <w:pgSz w:w="11900" w:h="16838" w:orient="portrait"/>
          <w:cols w:equalWidth="0" w:num="1">
            <w:col w:w="10219"/>
          </w:cols>
          <w:pgMar w:left="240" w:top="817" w:right="1440" w:bottom="1440" w:gutter="0" w:footer="0" w:header="0"/>
        </w:sectPr>
      </w:pPr>
    </w:p>
    <w:bookmarkStart w:id="79" w:name="page80"/>
    <w:bookmarkEnd w:id="79"/>
    <w:p>
      <w:pPr>
        <w:jc w:val="both"/>
        <w:ind w:right="3139"/>
        <w:spacing w:after="0" w:line="247" w:lineRule="auto"/>
        <w:rPr>
          <w:sz w:val="20"/>
          <w:szCs w:val="20"/>
          <w:color w:val="auto"/>
        </w:rPr>
      </w:pPr>
      <w:r>
        <w:rPr>
          <w:rFonts w:ascii="Courier New" w:cs="Courier New" w:eastAsia="Courier New" w:hAnsi="Courier New"/>
          <w:sz w:val="15"/>
          <w:szCs w:val="15"/>
          <w:color w:val="auto"/>
        </w:rPr>
        <w:t>of the Code) and parent corporation (as defined in Section 424(e) of the Code) and (ii) any other entity in which the Company or any of its Affiliates has a material equity interest, as determined by the Committee.</w:t>
      </w:r>
    </w:p>
    <w:p>
      <w:pPr>
        <w:spacing w:after="0" w:line="174" w:lineRule="exact"/>
        <w:rPr>
          <w:sz w:val="20"/>
          <w:szCs w:val="20"/>
          <w:color w:val="auto"/>
        </w:rPr>
      </w:pPr>
    </w:p>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2.2 AWARD DATE. The first business day after the end of the fiscal quarter in which a Bonus for a year is paid or otherwise would have been paid.</w:t>
      </w:r>
    </w:p>
    <w:p>
      <w:pPr>
        <w:spacing w:after="0" w:line="349"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2.3 AWARD VALUE. The Fair Market Value of a share of Common Stock on the Award Date.</w:t>
      </w:r>
    </w:p>
    <w:p>
      <w:pPr>
        <w:spacing w:after="0" w:line="349" w:lineRule="exact"/>
        <w:rPr>
          <w:sz w:val="20"/>
          <w:szCs w:val="20"/>
          <w:color w:val="auto"/>
        </w:rPr>
      </w:pPr>
    </w:p>
    <w:p>
      <w:pPr>
        <w:ind w:right="3679" w:firstLine="636"/>
        <w:spacing w:after="0" w:line="247" w:lineRule="auto"/>
        <w:rPr>
          <w:sz w:val="20"/>
          <w:szCs w:val="20"/>
          <w:color w:val="auto"/>
        </w:rPr>
      </w:pPr>
      <w:r>
        <w:rPr>
          <w:rFonts w:ascii="Courier New" w:cs="Courier New" w:eastAsia="Courier New" w:hAnsi="Courier New"/>
          <w:sz w:val="15"/>
          <w:szCs w:val="15"/>
          <w:color w:val="auto"/>
        </w:rPr>
        <w:t>2.4 BENEFICIARY. A Beneficiary or Beneficiaries designated by the Participant under Article 9.</w:t>
      </w:r>
    </w:p>
    <w:p>
      <w:pPr>
        <w:spacing w:after="0" w:line="34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2.5 BONUS. A Participant's annual award for a Fiscal Year under any annual incentive plan of the Company or its Affiliates that has been designated by the Committee as eligible for deferral under the Plan pursuant to a Subscription Agreement.</w:t>
      </w:r>
    </w:p>
    <w:p>
      <w:pPr>
        <w:spacing w:after="0" w:line="177"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2.6 BOARD OF DIRECTORS. The Board of Directors of the Company or the Executive Committee of such Board of Directors.</w:t>
      </w:r>
    </w:p>
    <w:p>
      <w:pPr>
        <w:spacing w:after="0" w:line="349"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2.7 CAUSE. Any of the following: (i) any act or acts by the Participant constituting a felony under the laws of the United States, any state thereof, or any political subdivision thereof, (ii) the Participant's willful and continued failure to perform the duties assigned to him or her as an employee of the Company or Affiliate; (iii) any material breach by the Participant of any employment agreement with the Company or Affiliate; (iv) dishonesty, gross negligence or malfeasance by the Participant in the performance of his or her duties as an employee of the Company or any Affiliate or any conduct by the Participant which involves a material conflict of interest with any business of the Company or its Affiliates; or (v) taking or knowingly omitting to take any other action or actions in the performance of the Participant's duties as an employee of the Company or its Affiliates without informing appropriate members of management to whom such Participant reports, which in the determination of the Committee have caused or substantially contributed to the material deterioration in the business of the Company and its Affiliates, taken as a whole.</w:t>
      </w:r>
    </w:p>
    <w:p>
      <w:pPr>
        <w:spacing w:after="0" w:line="18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2.8 CODE. The Internal Revenue Code of 1986, as amended from time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2.9 COMMITTEE. The committee of the Board of Directors authorized to administer the Plan. To the extent that no Committee exists which has the authority to administer the Plan, the functions of the Committee shall be exercised by the Board of Directors. The Committee shall consist of two or more non-employee directors, each of whom is intended to be, to the extent required by Rule 16b-3, a "non-employee director" as defined in Rule 16b-3. If for any reason the appointed Committee does not meet the requirements of Rule 16b-3, such noncompliance shall not affect the validity of any grants of RSUs hereunder, interpretations or other actions of the Committee.</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2.10 COMMON STOCK OR STOCK. Common stock of the Company, par value $.01 per share.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80" w:name="page81"/>
    <w:bookmarkEnd w:id="80"/>
    <w:p>
      <w:pPr>
        <w:ind w:right="3139" w:firstLine="636"/>
        <w:spacing w:after="0" w:line="247" w:lineRule="auto"/>
        <w:rPr>
          <w:sz w:val="20"/>
          <w:szCs w:val="20"/>
          <w:color w:val="auto"/>
        </w:rPr>
      </w:pPr>
      <w:r>
        <w:rPr>
          <w:rFonts w:ascii="Courier New" w:cs="Courier New" w:eastAsia="Courier New" w:hAnsi="Courier New"/>
          <w:sz w:val="15"/>
          <w:szCs w:val="15"/>
          <w:color w:val="auto"/>
        </w:rPr>
        <w:t>2.11 COMPANY. Scholastic Corporation, a corporation organized under the laws of the State of Delaware (or any successor).</w:t>
      </w:r>
    </w:p>
    <w:p>
      <w:pPr>
        <w:spacing w:after="0" w:line="34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2.12 COST. The cost of purchasing an RSU under the Plan as of an Award Date, as determined by the Committee in its sole discretion, but in no event less than 75% of the lowest Fair Market Value of a share of Common Stock during the fiscal quarter immediately preceding the Award Date. The cost shall be established as of the applicable Award Date and shall remain in effect unless modified by the Committee at least 30 days prior to the applicable Award Date.</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2.13 DEFERRAL PERIOD. A period of time (expressed in whole years) not less than three years beginning on an Award Date as specified by the Participant in his or her Subscription Agreement with respect to RSUs awarded on that Award Date.</w:t>
      </w:r>
    </w:p>
    <w:p>
      <w:pPr>
        <w:spacing w:after="0" w:line="177"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2.14 DISABILITY. The inability of a Participant to engage in any substantial gainful activity by reason of any medically determinable physical or mental impairment that may result in death and, in any case, is expected to continue for a period of not less than 12 months.</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2.15 EXCHANGE ACT. The Securities Exchange Act of 1934, as amended.</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2.16 EXTENSION OF DEFERRAL ELECTION FORM. A form used by a Participant to make a subsequent election to extend the Deferral Period applicable to his or her RSUs. An Extension of Deferral Election Form shall contain such provisions, consistent with the provisions of the Plan, as may be established from time to time by the Company or Committee.</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2.17 FAIR MARKET VALUE. Unless otherwise required by any applicable provision of the Code or any regulations issued thereunder, as of any date, the last sales price reported for the Common Stock on the applicable date: (i) as reported on the principal national securities exchange on which it is then traded or the Nasdaq Stock Market or (ii) if not traded on any such national securities exchange or the Nasdaq Stock Market as quoted on an automated quotation system sponsored by the National Association of Securities Dealers, Inc. If the Common Stock is not readily tradable on a national securities exchange, the Nasdaq Stock Market or any automated quotation system sponsored by the National Association of Securities Dealers, Inc., its Fair Market Value shall be set in good faith by the Committee.</w:t>
      </w:r>
    </w:p>
    <w:p>
      <w:pPr>
        <w:spacing w:after="0" w:line="1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2.18 FISCAL YEAR. The fiscal year of the Company.</w:t>
      </w:r>
    </w:p>
    <w:p>
      <w:pPr>
        <w:spacing w:after="0" w:line="354"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2.19 FOREIGN JURISDICTION. Any jurisdiction outside of the United States including, without limitation, countries, states, provinces and localities.</w:t>
      </w:r>
    </w:p>
    <w:p>
      <w:pPr>
        <w:spacing w:after="0" w:line="349"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2.20 GRANDFATHERED PLAN. The terms and provisions of the Plan in effect immediately prior to the Restatement Effective Date.</w:t>
      </w:r>
    </w:p>
    <w:p>
      <w:pPr>
        <w:spacing w:after="0" w:line="349"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2.21 PARTICIPANT. A management employee of the Company or any Affiliate who satisfies the eligibility requirements under Article 5 of the Plan and elects to participate in the Plan in accordance with its terms.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2" w:right="1440" w:bottom="1440" w:gutter="0" w:footer="0" w:header="0"/>
        </w:sectPr>
      </w:pPr>
    </w:p>
    <w:bookmarkStart w:id="81" w:name="page82"/>
    <w:bookmarkEnd w:id="81"/>
    <w:p>
      <w:pPr>
        <w:jc w:val="both"/>
        <w:ind w:right="2959" w:firstLine="636"/>
        <w:spacing w:after="0" w:line="247" w:lineRule="auto"/>
        <w:rPr>
          <w:sz w:val="20"/>
          <w:szCs w:val="20"/>
          <w:color w:val="auto"/>
        </w:rPr>
      </w:pPr>
      <w:r>
        <w:rPr>
          <w:rFonts w:ascii="Courier New" w:cs="Courier New" w:eastAsia="Courier New" w:hAnsi="Courier New"/>
          <w:sz w:val="15"/>
          <w:szCs w:val="15"/>
          <w:color w:val="auto"/>
        </w:rPr>
        <w:t>2.22 PLAN. The Scholastic Corporation Management Stock Purchase Plan, as amended and restated effective as of January 1, 2005, and as may be amended from time to time thereafter.</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2.23 PLAN YEAR. The Fiscal Year.</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2.24 RESTATEMENT EFFECTIVE DATE. January 1, 2005.</w:t>
      </w:r>
    </w:p>
    <w:p>
      <w:pPr>
        <w:spacing w:after="0" w:line="354"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2.25 RETIREMENT. A termination of employment with the Company and all Affiliates (other than for Cause) on or after age 55 in accordance with the Company's standard retirement policies.</w:t>
      </w:r>
    </w:p>
    <w:p>
      <w:pPr>
        <w:spacing w:after="0" w:line="17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2.26 RSU. A unit of measurement equivalent to one share of Common Stock but with none of the attendant rights of a stockholder of a share of Common Stock, including the right to vote (if any); except that an RSU shall have the dividend right described in Article 8. The fair market value of an RSU on any date shall be deemed to be the Fair Market Value of a share of Common Stock on that date.</w:t>
      </w:r>
    </w:p>
    <w:p>
      <w:pPr>
        <w:spacing w:after="0" w:line="178"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2.27 RULE 16b-3. Means Rule 16b-3 promulgated under Section 16(b) of the Exchange Act or any successor provision.</w:t>
      </w:r>
    </w:p>
    <w:p>
      <w:pPr>
        <w:spacing w:after="0" w:line="349" w:lineRule="exact"/>
        <w:rPr>
          <w:sz w:val="20"/>
          <w:szCs w:val="20"/>
          <w:color w:val="auto"/>
        </w:rPr>
      </w:pPr>
    </w:p>
    <w:p>
      <w:pPr>
        <w:ind w:right="2959" w:firstLine="636"/>
        <w:spacing w:after="0" w:line="247" w:lineRule="auto"/>
        <w:rPr>
          <w:sz w:val="20"/>
          <w:szCs w:val="20"/>
          <w:color w:val="auto"/>
        </w:rPr>
      </w:pPr>
      <w:r>
        <w:rPr>
          <w:rFonts w:ascii="Courier New" w:cs="Courier New" w:eastAsia="Courier New" w:hAnsi="Courier New"/>
          <w:sz w:val="15"/>
          <w:szCs w:val="15"/>
          <w:color w:val="auto"/>
        </w:rPr>
        <w:t>2.28 SPECIFIED EMPLOYEE. Any Participant who is a "specified employee" as defined in Section 409A(a)(2)(B)(i) of the Code and Section 1.409A-1(i)(1) of the Proposed Treasury Regulations.</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2.29 SUBSCRIPTION AGREEMENT. An agreement executed by a Participant setting forth his or her election to defer receipt of a portion or all of his or her Bonus for the Deferral Period and to authorize the Company to credit such amount to the Plan in order to purchase an award of RSUs. A Subscription Agreement shall contain such provisions, consistent with the provisions of the Plan, as may be established from time to time by the Company or Committee.</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2.30 SUBSEQUENT DEFERRAL PERIOD. A period of time (expressed in whole years) of not less than five years, beginning on the date the Deferral Period is scheduled to end, that is elected by a Participant with respect to his or her RSUs in accordance with the requirements of Section 6.4 of the Plan.</w:t>
      </w:r>
    </w:p>
    <w:p>
      <w:pPr>
        <w:spacing w:after="0" w:line="17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ARTICLE 3 - SHARES RESERVED</w:t>
      </w:r>
    </w:p>
    <w:p>
      <w:pPr>
        <w:spacing w:after="0" w:line="180" w:lineRule="exact"/>
        <w:rPr>
          <w:sz w:val="20"/>
          <w:szCs w:val="20"/>
          <w:color w:val="auto"/>
        </w:rPr>
      </w:pPr>
    </w:p>
    <w:p>
      <w:pPr>
        <w:jc w:val="both"/>
        <w:ind w:right="3419" w:firstLine="636"/>
        <w:spacing w:after="0" w:line="247" w:lineRule="auto"/>
        <w:rPr>
          <w:sz w:val="20"/>
          <w:szCs w:val="20"/>
          <w:color w:val="auto"/>
        </w:rPr>
      </w:pPr>
      <w:r>
        <w:rPr>
          <w:rFonts w:ascii="Courier New" w:cs="Courier New" w:eastAsia="Courier New" w:hAnsi="Courier New"/>
          <w:sz w:val="15"/>
          <w:szCs w:val="15"/>
          <w:color w:val="auto"/>
        </w:rPr>
        <w:t>The aggregate number of shares of Common Stock reserved for issuance pursuant to the Plan or with respect to which RSUs may be granted shall be 150,000, subject to adjustment as provided in Article 10 hereof.</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Such number of shares may be set aside out of the authorized but unissued shares of Common Stock not reserved for any other purpose, or out of issued shares of Common Stock acquired for and held in the treasury of the Company. If any RSU awarded under the Plan is forfeited, terminated or canceled for any reason, the share of Common Stock relating to such RSU shall again be available under the Plan. If Common Stock has been exchanged by a</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82" w:name="page83"/>
    <w:bookmarkEnd w:id="82"/>
    <w:p>
      <w:pPr>
        <w:jc w:val="both"/>
        <w:ind w:right="3139"/>
        <w:spacing w:after="0" w:line="246" w:lineRule="auto"/>
        <w:rPr>
          <w:sz w:val="20"/>
          <w:szCs w:val="20"/>
          <w:color w:val="auto"/>
        </w:rPr>
      </w:pPr>
      <w:r>
        <w:rPr>
          <w:rFonts w:ascii="Courier New" w:cs="Courier New" w:eastAsia="Courier New" w:hAnsi="Courier New"/>
          <w:sz w:val="15"/>
          <w:szCs w:val="15"/>
          <w:color w:val="auto"/>
        </w:rPr>
        <w:t>Participant as full or partial payment to the Company for withholding taxes or otherwise or if the number of shares of Common Stock otherwise deliverable has been reduced for withholding, the number of shares exchanged or reduced shall again be available under the Plan.</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ARTICLE 4 - ADMINISTRATION</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4.1 ADMINISTRATION OF THE PLAN.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actions in connection therewith or in relation thereto as it deems necessary or advisable. The Committee may adopt, amend or repeal any guidelines or requirements necessary for the delivery of the Common Stock. The Committee may also adopt special guidelines and provisions for persons who are residing in, or subject to the laws of, Foreign Jurisdictions to comply with applicable tax and securities laws.</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4.2 DECISIONS BINDING. All interpretations and determinations of the Committee shall be made in its sole and absolute discretion based on the Plan document and shall be final, conclusive and binding on all parties with respect to all matters relating to the Plan.</w:t>
      </w:r>
    </w:p>
    <w:p>
      <w:pPr>
        <w:spacing w:after="0" w:line="177"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4.3 DELEGATION OF AUTHORITY. The Committee may select an administrator or any other person to whom its duties and responsibilities hereunder may be delegated. In addition, the Committee may employ such legal counsel, consultants, brokers and agents as it may deem desirable for the administration of the Plan and may rely upon any opinion received from any such counsel or consultant and any computation received from any such consultant, broker or agent. The Committee may also, in its sole discretion, designate an agent to keep records, send statements of account to Participants and to perform other duties relating to the Plan, as the Committee may request from time to time.</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4.4 INDEMNIFICATION. The Company shall, to the fullest extent permitted by law and the Certificate of Incorporation and By-laws of the Company, to the extent not covered by insurance, indemnify each director, officer or employee of the Company and its Affiliates (including the respective heirs, executors, administrators and other personal representatives of such persons) and each member of the Committee against all expenses, costs, liabilities and losses (including attorneys' fees, judgments, fines, excise taxes or penalties, and amounts paid or to be paid in settlement) actually and reasonably incurred by such person in connection with any threatened, pending or actual suit, action or proceeding (whether civil, criminal, administrative or investigative in nature or otherwise) in which such person may be involved by reason of the fact that he or she is or was serving this Plan in any capacity at the request of the Company, except in instances where any such person engages in willful neglect or fraud. Such right of indemnification shall include the right to be paid by the Company for expenses incurred or reasonably anticipated to be incurred in defending any such suit, action or proceeding in advance of its disposition; provided, however, that the payment of expenses in advance of the settlement or final disposition of a suit, action or proceeding shall be made only upon delivery to the Company of an undertaking by or on behalf of such person to repay all amounts so advanced if it is ultimately determined that such person is not entitled to be indemnified hereunder. Such</w:t>
      </w:r>
    </w:p>
    <w:p>
      <w:pPr>
        <w:spacing w:after="0" w:line="36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sectPr>
      </w:pPr>
    </w:p>
    <w:bookmarkStart w:id="83" w:name="page84"/>
    <w:bookmarkEnd w:id="83"/>
    <w:p>
      <w:pPr>
        <w:ind w:right="2959"/>
        <w:spacing w:after="0" w:line="246" w:lineRule="auto"/>
        <w:rPr>
          <w:sz w:val="20"/>
          <w:szCs w:val="20"/>
          <w:color w:val="auto"/>
        </w:rPr>
      </w:pPr>
      <w:r>
        <w:rPr>
          <w:rFonts w:ascii="Courier New" w:cs="Courier New" w:eastAsia="Courier New" w:hAnsi="Courier New"/>
          <w:sz w:val="15"/>
          <w:szCs w:val="15"/>
          <w:color w:val="auto"/>
        </w:rPr>
        <w:t>indemnification shall be in addition to any rights of indemnification the person may have as a director, officer or employee or under the Certificate of Incorporation of the Company or the By-Laws of the Company. Expenses incurred by the Committee or the Board in the engagement of any such counsel, consultant or agent shall be paid by the Company.</w:t>
      </w:r>
    </w:p>
    <w:p>
      <w:pPr>
        <w:spacing w:after="0" w:line="1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5 - ELIGIBILITY</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Management employees of the Company and its Affiliates as designated by the Committee shall be eligible to participate in the Plan. Eligibility for participation in the Plan shall be determined by the Committee in its sole discretion. The Committee may, in its sole discretion, designate, on a prospective basis, any Participant in the Plan as ineligible to receive awards of RSUs pursuant to Article 6 of the Plan.</w:t>
      </w:r>
    </w:p>
    <w:p>
      <w:pPr>
        <w:spacing w:after="0" w:line="17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ARTICLE 6 - PURCHASES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6.1 GENERAL. Each Participant shall be entitled to elect to receive up to 100% of his or her Bonus in an award of RSUs. As of the applicable Award Date, RSUs shall be awarded to Participants and credited to accounts held under the Plan on behalf of Participants on a book-entry basis calculated in the manner provided under Section 6.3 and in accordance with Article 1.</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6.2 VOLUNTARY PURCHASES. No later than the last day of the second quarter of the Fiscal Year in which the Bonus is earned (or such earlier date required by Section 409A of the Code), each Participant may elect to receive up to 100% of his or her Bonus for that Fiscal Year in an award of RSUs by completing a Subscription Agreement and submitting it to the Company. Notwithstanding the foregoing, if a management employee of the Company or an Affiliate first becomes eligible to participate in the Plan after the last day of the second quarter of the Fiscal Year in which the Bonus is earned, such employee may elect to participate in the Plan for that Plan Year provided he or she completes a Subscription Agreement and submits it to the Company no later than 30 days after the date the Participant first became eligible to participate in the Plan but such Participant's participation shall be limited to the PRO RATA portion of the Bonus earned after the Subscription Agreement is executed and delivered to the Company. Each Subscription Agreement shall provide that the Participant elects to receive RSUs in lieu of a specified portion of his or her Bonus. Such portion may be expressed as:</w:t>
      </w:r>
    </w:p>
    <w:p>
      <w:pPr>
        <w:spacing w:after="0" w:line="184" w:lineRule="exact"/>
        <w:rPr>
          <w:sz w:val="20"/>
          <w:szCs w:val="20"/>
          <w:color w:val="auto"/>
        </w:rPr>
      </w:pPr>
    </w:p>
    <w:p>
      <w:pPr>
        <w:ind w:left="1260" w:right="2959" w:hanging="631"/>
        <w:spacing w:after="0" w:line="247" w:lineRule="auto"/>
        <w:tabs>
          <w:tab w:leader="none" w:pos="12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specified percentage of up to 100% (in whole percentages) of the Participant's actual Bonus amount;</w:t>
      </w:r>
    </w:p>
    <w:p>
      <w:pPr>
        <w:spacing w:after="0" w:line="174" w:lineRule="exact"/>
        <w:rPr>
          <w:rFonts w:ascii="Courier New" w:cs="Courier New" w:eastAsia="Courier New" w:hAnsi="Courier New"/>
          <w:sz w:val="15"/>
          <w:szCs w:val="15"/>
          <w:color w:val="auto"/>
        </w:rPr>
      </w:pPr>
    </w:p>
    <w:p>
      <w:pPr>
        <w:ind w:left="1260" w:right="3039" w:hanging="631"/>
        <w:spacing w:after="0" w:line="247" w:lineRule="auto"/>
        <w:tabs>
          <w:tab w:leader="none" w:pos="12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specified dollar amount, up to 100% of the Participant's actual Bonus amount; or</w:t>
      </w:r>
    </w:p>
    <w:p>
      <w:pPr>
        <w:spacing w:after="0" w:line="174" w:lineRule="exact"/>
        <w:rPr>
          <w:rFonts w:ascii="Courier New" w:cs="Courier New" w:eastAsia="Courier New" w:hAnsi="Courier New"/>
          <w:sz w:val="15"/>
          <w:szCs w:val="15"/>
          <w:color w:val="auto"/>
        </w:rPr>
      </w:pPr>
    </w:p>
    <w:p>
      <w:pPr>
        <w:ind w:left="1260" w:hanging="631"/>
        <w:spacing w:after="0"/>
        <w:tabs>
          <w:tab w:leader="none" w:pos="12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lesser of the amount specified in Section 6.2(a) or (b).</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Amounts specified pursuant to any of the methods set forth herein are entirely contingent on, and are limited to, the cash amount of Bonus actually awarded. Each Subscription Agreement, in addition, shall specify a Deferral Period with respect to the RSUs to which it pertains. Other than with respect to a management employee of the Company or an Affiliate</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84" w:name="page85"/>
    <w:bookmarkEnd w:id="84"/>
    <w:p>
      <w:pPr>
        <w:ind w:right="2959"/>
        <w:spacing w:after="0" w:line="246" w:lineRule="auto"/>
        <w:rPr>
          <w:sz w:val="20"/>
          <w:szCs w:val="20"/>
          <w:color w:val="auto"/>
        </w:rPr>
      </w:pPr>
      <w:r>
        <w:rPr>
          <w:rFonts w:ascii="Courier New" w:cs="Courier New" w:eastAsia="Courier New" w:hAnsi="Courier New"/>
          <w:sz w:val="15"/>
          <w:szCs w:val="15"/>
          <w:color w:val="auto"/>
        </w:rPr>
        <w:t>who first becomes eligible to participate hereunder during a Plan Year, in order for a Subscription Agreement to be given effect, it must be received by the Company no later than by the last day of the second quarter of the Fiscal Year for which such Bonus will be determined. With respect to any Plan Year, an election pursuant to a Subscription Agreement to receive RSUs in lieu of a portion or all of a Bonus shall be irrevocable and will be effective on and after the date the Subscription Agreement is executed by the Participant and submitted to the Company. An election by a Participant to receive RSUs in lieu of a portion or all of a Bonus shall be valid solely for the Plan Year to which the election relates. If a Subscription Agreement is not timely made by a Participant with respect to any subsequent Plan Year, the Bonus earned in that Plan Year shall not be deferred under the Plan.</w:t>
      </w:r>
    </w:p>
    <w:p>
      <w:pPr>
        <w:spacing w:after="0" w:line="182"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6.3 AWARDS OF RSUS. The Company shall award RSUs to each Participant's account under the Plan on the Award Date. Each Participant's account shall be credited with a number of RSUs (in whole and fractional RSUs) determined by dividing (a) the amount of the Participant's Bonus to be received as an award of RSUs in accordance with the Participant's Subscription Agreement and the methodology under Section 6.2 by (b) the Cost of an RSU on the Award Date.</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6.4 SUBSEQUENT DEFERRAL ELECTION. The Committee may, in its sole discretion, permit Participants to make subsequent elections to extend the Deferral Periods otherwise applicable to their respective RSUs. In order to be effective, a subsequent election made by a Participant with respect to his or her RSUs: (i) cannot take effect until at least 12 months after the date on which the election is made; (ii) the subsequent deferral period elected by the Participant may not be less than a five year period beginning on the date the Deferral Period applicable to the RSUs would otherwise end; and (iii) the election is made at least 12 months prior to the date the Deferral Period ends. A Participant shall make his or her subsequent deferral election with respect to his or her RSUs on the Extension of Deferral Period Form (or such other form or agreement specified by the Committee, in its discretion). An election by a Participant to extend the Deferral Period applicable to his or her RSUs shall be valid solely with respect to the RSUs covered by the election.</w:t>
      </w:r>
    </w:p>
    <w:p>
      <w:pPr>
        <w:spacing w:after="0" w:line="18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ARTICLE 7 - VESTING AND PAYMENT OF RSUS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7.1 VESTING. A Participant shall be fully vested in each RSU three years after the Award Date pertaining to that RSU (provided that the Participant is continuously employed (including any period during which the Participant is on a leave of absence, either paid or unpaid, which is approved by the Committee, or any other break in employment which is approved by the Committee) by the Company or any Affiliate for such years) or, if earlier, upon death while employed, Disability while employed or Retirement. The Committee may, in its sole discretion, accelerate (in whole or part) the time at which any such RSUs may be vested but in no event shall the acceleration of vesting result in the acceleration of payment of the RSUs to the Participant.</w:t>
      </w:r>
    </w:p>
    <w:p>
      <w:pPr>
        <w:spacing w:after="0" w:line="181"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7.2 PAYMENT ON OR AFTER VESTING. With respect to each vested RSU, the Company shall issue to the Participant one share of Common Stock and cash in lieu of any fractional RSU as soon as practicable after the earlier of: (i) the end of the Deferral Period specified in the Participant's Subscription Agreement pertaining to such RSU, or, if applicable,</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the end of the</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Subsequent Deferral</w:t>
            </w:r>
          </w:p>
        </w:tc>
        <w:tc>
          <w:tcPr>
            <w:tcW w:w="2320" w:type="dxa"/>
            <w:vAlign w:val="bottom"/>
          </w:tcPr>
          <w:p>
            <w:pPr>
              <w:spacing w:after="0"/>
              <w:rPr>
                <w:sz w:val="14"/>
                <w:szCs w:val="14"/>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Period elected</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by the Participant for such RSU</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or (ii) the Participant's</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termination of</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employment with the Company and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its Affiliates.</w:t>
            </w:r>
          </w:p>
        </w:tc>
      </w:tr>
    </w:tbl>
    <w:p>
      <w:pPr>
        <w:spacing w:after="0" w:line="17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7.3 PAYMENT PRIOR TO VESTING.</w:t>
      </w:r>
    </w:p>
    <w:p>
      <w:pPr>
        <w:spacing w:after="0" w:line="180" w:lineRule="exact"/>
        <w:rPr>
          <w:sz w:val="20"/>
          <w:szCs w:val="20"/>
          <w:color w:val="auto"/>
        </w:rPr>
      </w:pPr>
    </w:p>
    <w:p>
      <w:pPr>
        <w:ind w:left="1260" w:right="2959" w:hanging="631"/>
        <w:spacing w:after="0" w:line="246" w:lineRule="auto"/>
        <w:tabs>
          <w:tab w:leader="none" w:pos="12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TERMINATION FOR CAUSE. If a Participant voluntarily terminates his or her employment with the Company and its Affiliates for reasons other than death or Disability or is involuntarily terminated by the Company or an Affiliate for Cause, the Participant's nonvested RSUs shall be canceled, and he or she shall receive as soon as practicable after his or her termination of employment with the Company and its Affiliates a cash payment equal to the lesser of:</w:t>
      </w:r>
    </w:p>
    <w:p>
      <w:pPr>
        <w:spacing w:after="0" w:line="179" w:lineRule="exact"/>
        <w:rPr>
          <w:rFonts w:ascii="Courier New" w:cs="Courier New" w:eastAsia="Courier New" w:hAnsi="Courier New"/>
          <w:sz w:val="15"/>
          <w:szCs w:val="15"/>
          <w:color w:val="auto"/>
        </w:rPr>
      </w:pPr>
    </w:p>
    <w:p>
      <w:pPr>
        <w:ind w:left="1900" w:right="3319" w:hanging="634"/>
        <w:spacing w:after="0" w:line="247" w:lineRule="auto"/>
        <w:tabs>
          <w:tab w:leader="none" w:pos="19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number of those nonvested RSUs awarded on each Award Date multiplied by the respective Cost of those RSUs; or</w:t>
      </w:r>
    </w:p>
    <w:p>
      <w:pPr>
        <w:spacing w:after="0" w:line="174" w:lineRule="exact"/>
        <w:rPr>
          <w:rFonts w:ascii="Courier New" w:cs="Courier New" w:eastAsia="Courier New" w:hAnsi="Courier New"/>
          <w:sz w:val="15"/>
          <w:szCs w:val="15"/>
          <w:color w:val="auto"/>
        </w:rPr>
      </w:pPr>
    </w:p>
    <w:p>
      <w:pPr>
        <w:ind w:left="1900" w:right="3219" w:hanging="634"/>
        <w:spacing w:after="0" w:line="246" w:lineRule="auto"/>
        <w:tabs>
          <w:tab w:leader="none" w:pos="19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number of those nonvested RSUs awarded on each Award Date multiplied by the Fair Market Value of a share of Common Stock on the date of the Participant's termination of employment with the Company and its Affiliates.</w:t>
      </w:r>
    </w:p>
    <w:p>
      <w:pPr>
        <w:spacing w:after="0" w:line="177" w:lineRule="exact"/>
        <w:rPr>
          <w:rFonts w:ascii="Courier New" w:cs="Courier New" w:eastAsia="Courier New" w:hAnsi="Courier New"/>
          <w:sz w:val="15"/>
          <w:szCs w:val="15"/>
          <w:color w:val="auto"/>
        </w:rPr>
      </w:pPr>
    </w:p>
    <w:p>
      <w:pPr>
        <w:ind w:left="1260" w:right="2959" w:hanging="631"/>
        <w:spacing w:after="0" w:line="246" w:lineRule="auto"/>
        <w:tabs>
          <w:tab w:leader="none" w:pos="12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 If a Participant's employment is terminated by the Company and its Affiliates for any reason other than Cause, the Participant's nonvested RSUs shall be canceled and he or she shall receive payment as soon as practicable following his or her termination of employment with the Company and its Affiliates as described below:</w:t>
      </w:r>
    </w:p>
    <w:p>
      <w:pPr>
        <w:spacing w:after="0" w:line="178" w:lineRule="exact"/>
        <w:rPr>
          <w:rFonts w:ascii="Courier New" w:cs="Courier New" w:eastAsia="Courier New" w:hAnsi="Courier New"/>
          <w:sz w:val="15"/>
          <w:szCs w:val="15"/>
          <w:color w:val="auto"/>
        </w:rPr>
      </w:pPr>
    </w:p>
    <w:p>
      <w:pPr>
        <w:ind w:left="1900" w:right="2959" w:hanging="634"/>
        <w:spacing w:after="0" w:line="246" w:lineRule="auto"/>
        <w:tabs>
          <w:tab w:leader="none" w:pos="19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nonvested RSUs awarded on each Award Date shall be multiplied by a fraction, the numerator of which is the number of full years that the Participant was employed by the Company and its Affiliates after that Award Date and the denominator of which is three; and the Participant shall receive the resulting number of such whole RSUs in shares of Common Stock, with any fractional RSU paid in cash.</w:t>
      </w:r>
    </w:p>
    <w:p>
      <w:pPr>
        <w:spacing w:after="0" w:line="179" w:lineRule="exact"/>
        <w:rPr>
          <w:rFonts w:ascii="Courier New" w:cs="Courier New" w:eastAsia="Courier New" w:hAnsi="Courier New"/>
          <w:sz w:val="15"/>
          <w:szCs w:val="15"/>
          <w:color w:val="auto"/>
        </w:rPr>
      </w:pPr>
    </w:p>
    <w:p>
      <w:pPr>
        <w:ind w:left="1900" w:right="2959" w:hanging="634"/>
        <w:spacing w:after="0" w:line="246" w:lineRule="auto"/>
        <w:tabs>
          <w:tab w:leader="none" w:pos="19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Participant's remaining nonvested RSUs, the Participant shall receive cash in an amount equal to the lesser of: (A) the number of such nonvested RSUs awarded on each Award Date multiplied by the respective Cost of those RSUs; or (B) the number of those nonvested RSUs awarded on each Award Date multiplied by the Fair Market Value of a share of Common Stock on the date of the Participant's termination of employment with the Company and its Affiliates.</w:t>
      </w:r>
    </w:p>
    <w:p>
      <w:pPr>
        <w:spacing w:after="0" w:line="180" w:lineRule="exact"/>
        <w:rPr>
          <w:rFonts w:ascii="Courier New" w:cs="Courier New" w:eastAsia="Courier New" w:hAnsi="Courier New"/>
          <w:sz w:val="15"/>
          <w:szCs w:val="15"/>
          <w:color w:val="auto"/>
        </w:rPr>
      </w:pPr>
    </w:p>
    <w:p>
      <w:pPr>
        <w:ind w:left="1260" w:right="3319" w:hanging="631"/>
        <w:spacing w:after="0" w:line="246" w:lineRule="auto"/>
        <w:tabs>
          <w:tab w:leader="none" w:pos="12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COMMITTEE'S DISCRETION. The Committee shall have complete discretion to determine the circumstances of a Participant's termination of employment with the Company and its Affiliates, including whether the same results</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86" w:name="page87"/>
    <w:bookmarkEnd w:id="86"/>
    <w:p>
      <w:pPr>
        <w:ind w:left="1260" w:right="3039"/>
        <w:spacing w:after="0" w:line="246" w:lineRule="auto"/>
        <w:rPr>
          <w:sz w:val="20"/>
          <w:szCs w:val="20"/>
          <w:color w:val="auto"/>
        </w:rPr>
      </w:pPr>
      <w:r>
        <w:rPr>
          <w:rFonts w:ascii="Courier New" w:cs="Courier New" w:eastAsia="Courier New" w:hAnsi="Courier New"/>
          <w:sz w:val="15"/>
          <w:szCs w:val="15"/>
          <w:color w:val="auto"/>
        </w:rPr>
        <w:t>from voluntary termination, Disability, Retirement, death or termination by the Company for or not for Cause, and the Committee's determination shall be final and binding on all parties and not subject to review or challenge by any Participant or other person.</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7.4 SPECIAL RULES FOR SPECIFIED EMPLOYEES. Notwithstanding anything in this Plan to the contrary, any payment due under this Plan to a Participant who is a Specified Employee as the result of such Participant's termination of employment (other than due to death or Disability) shall be made to the Participant no earlier than the first business day of the seventh month following the month in which the Participant's termination of employment occurred.</w:t>
      </w:r>
    </w:p>
    <w:p>
      <w:pPr>
        <w:spacing w:after="0" w:line="17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ARTICLE 8 - DIVIDEND EQUIVALENT AMOUNTS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Whenever dividends (other than dividends payable only in shares of Common Stock) are paid with respect to shares of Common Stock, each Participant shall be paid an amount in cash equal to the number of his or her vested RSUs multiplied by the dividend value per share. Dividends (other than dividends payable only in shares of Common Stock) shall not be credited or paid with respect to each Participant's nonvested RSUs.</w:t>
      </w:r>
    </w:p>
    <w:p>
      <w:pPr>
        <w:spacing w:after="0" w:line="178"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ARTICLE 9 - DESIGNATION OF BENEFICIARY</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A Participant may designate one or more Beneficiaries to receive payments or shares of Common Stock in the event of his or her death. A designation of Beneficiary shall apply to a specified percentage of a Participant's entire interest in the Plan. Such designation, or any change therein, must be in writing in a form acceptable to the Company and shall be effective upon receipt by the Company. If there is no effective designation of Beneficiary, or if no Beneficiary survives the Participant, the Participant's estate shall be deemed to be the Beneficiary.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10 - ADJUSTMENTS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In the event of a stock dividend, stock split, reverse stock split, combination or reclassification of shares, recapitalization, merger, consolidation, exchange, spin-off or other event which affects Common Stock, the Committee shall make appropriate equitable adjustments in:</w:t>
      </w:r>
    </w:p>
    <w:p>
      <w:pPr>
        <w:spacing w:after="0" w:line="177" w:lineRule="exact"/>
        <w:rPr>
          <w:sz w:val="20"/>
          <w:szCs w:val="20"/>
          <w:color w:val="auto"/>
        </w:rPr>
      </w:pPr>
    </w:p>
    <w:p>
      <w:pPr>
        <w:ind w:left="1260" w:right="3219" w:hanging="631"/>
        <w:spacing w:after="0" w:line="247" w:lineRule="auto"/>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or kind of shares of Common Stock or securities with respect to which RSUs shall thereafter be granted;</w:t>
      </w:r>
    </w:p>
    <w:p>
      <w:pPr>
        <w:spacing w:after="0" w:line="174" w:lineRule="exact"/>
        <w:rPr>
          <w:rFonts w:ascii="Courier New" w:cs="Courier New" w:eastAsia="Courier New" w:hAnsi="Courier New"/>
          <w:sz w:val="15"/>
          <w:szCs w:val="15"/>
          <w:color w:val="auto"/>
        </w:rPr>
      </w:pPr>
    </w:p>
    <w:p>
      <w:pPr>
        <w:ind w:left="1260" w:right="2959" w:hanging="631"/>
        <w:spacing w:after="0" w:line="247" w:lineRule="auto"/>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kind of shares of Common Stock remaining subject to outstanding RSUs;</w:t>
      </w:r>
    </w:p>
    <w:p>
      <w:pPr>
        <w:spacing w:after="0" w:line="174" w:lineRule="exact"/>
        <w:rPr>
          <w:rFonts w:ascii="Courier New" w:cs="Courier New" w:eastAsia="Courier New" w:hAnsi="Courier New"/>
          <w:sz w:val="15"/>
          <w:szCs w:val="15"/>
          <w:color w:val="auto"/>
        </w:rPr>
      </w:pPr>
    </w:p>
    <w:p>
      <w:pPr>
        <w:ind w:left="1260" w:hanging="631"/>
        <w:spacing w:after="0"/>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RSUs credited to each Participant; and</w:t>
      </w:r>
    </w:p>
    <w:p>
      <w:pPr>
        <w:spacing w:after="0" w:line="179" w:lineRule="exact"/>
        <w:rPr>
          <w:rFonts w:ascii="Courier New" w:cs="Courier New" w:eastAsia="Courier New" w:hAnsi="Courier New"/>
          <w:sz w:val="15"/>
          <w:szCs w:val="15"/>
          <w:color w:val="auto"/>
        </w:rPr>
      </w:pPr>
    </w:p>
    <w:p>
      <w:pPr>
        <w:ind w:left="1260" w:hanging="631"/>
        <w:spacing w:after="0"/>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determining the value of RSUs.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87" w:name="page88"/>
    <w:bookmarkEnd w:id="87"/>
    <w:p>
      <w:pPr>
        <w:ind w:left="1547"/>
        <w:spacing w:after="0"/>
        <w:rPr>
          <w:sz w:val="20"/>
          <w:szCs w:val="20"/>
          <w:color w:val="auto"/>
        </w:rPr>
      </w:pPr>
      <w:r>
        <w:rPr>
          <w:rFonts w:ascii="Courier New" w:cs="Courier New" w:eastAsia="Courier New" w:hAnsi="Courier New"/>
          <w:sz w:val="15"/>
          <w:szCs w:val="15"/>
          <w:color w:val="auto"/>
        </w:rPr>
        <w:t>ARTICLE 11 - AMENDMENT OR TERMINATION OF PLAN</w:t>
      </w:r>
    </w:p>
    <w:p>
      <w:pPr>
        <w:spacing w:after="0" w:line="180"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The Company reserves the right to amend, terminate or freeze the Plan at any time, by action of its Board of Directors (or a duly authorized committee thereof ) or the Committee, provided that no such action shall adversely affect a Participant's rights under the Plan with respect to RSUs awarded and vested before the date of such action, provided, further that the Company may amend the Plan and any elections hereunder at any time to comply with applicable law (including, without limitation, Section 409A of the Code) without a Participant's consent. No amendment shall be effective unless approved by the stockholders of the Company if stockholder approval of such amendment is required to comply with any applicable law, regulation or stock exchange rule. Upon termination of the Plan, any vested RSUs shall be paid in accordance with Section 7.2 of the Plan and any nonvested RSUs shall be canceled and paid in accordance with Section 7.3(b) of the Plan. Upon freezing of the Plan, all vested RSUs shall continue to be held under the Plan until the Deferral Period expires and all nonvested RSUs shall vest or become canceled in accordance with the terms of the Plan.</w:t>
      </w:r>
    </w:p>
    <w:p>
      <w:pPr>
        <w:spacing w:after="0" w:line="184"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ARTICLE 12 - MISCELLANEOUS PROVISIONS</w:t>
      </w:r>
    </w:p>
    <w:p>
      <w:pPr>
        <w:spacing w:after="0" w:line="180"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12.1 NO DISTRIBUTION; COMPLIANCE WITH LEGAL REQUIREMENTS. The Committee may require each person acquiring shares of Common Stock under the Plan to represent to and agree with the Company in writing that such person is acquiring the shares without a view to distribution thereof. No shares of Common Stock shall be issued until all applicable securities law and other legal and stock exchange requirements have been satisfied. The Committee may require the placing of such stop-orders and restrictive legends on certificates for Common Stock as it deems appropriate.</w:t>
      </w:r>
    </w:p>
    <w:p>
      <w:pPr>
        <w:spacing w:after="0" w:line="180"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12.2 WITHHOLDING. Participation in the Plan is subject to any required tax withholding on wages or other income of the Participant in connection with the Plan. Each Participant agrees, by entering the Plan, that the Company or the Affiliate employing the Participant shall have the right to deduct any federal, state or local income taxes or other taxes, in its sole discretion, from any amount payable to the Participant under the Plan or from any payment of any kind otherwise due to the Participant. Upon the vesting of the RSU Award, prior to the issuance or delivery of shares of Common Stock or the payment of any cash hereunder, a Participant shall pay all required withholding to the Company and, if applicable, an Affiliate. Without limiting the generality of the foregoing, any withholding obligation with regard to any Participant may be satisfied by:</w:t>
      </w:r>
    </w:p>
    <w:p>
      <w:pPr>
        <w:spacing w:after="0" w:line="7" w:lineRule="exact"/>
        <w:rPr>
          <w:sz w:val="20"/>
          <w:szCs w:val="20"/>
          <w:color w:val="auto"/>
        </w:rPr>
      </w:pPr>
    </w:p>
    <w:p>
      <w:pPr>
        <w:ind w:left="7" w:right="2959" w:hanging="7"/>
        <w:spacing w:after="0" w:line="246" w:lineRule="auto"/>
        <w:tabs>
          <w:tab w:leader="none" w:pos="37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number of shares of Common Stock otherwise deliverable to the Participant; (ii) subject to the Committee's prior consent, any method approved by the Committee which may include the Participant delivering shares of Common Stock already owned for at least six months (or such other period to avoid an accounting charge against the Company's earnings) and held free and clear of all encumbrances to the Company; or (iii) by the Participant paying cash directly to the Company.</w:t>
      </w:r>
    </w:p>
    <w:p>
      <w:pPr>
        <w:spacing w:after="0" w:line="179"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12.3 NOTICES; DELIVERY OF STOCK CERTIFICATES. Any notice required or permitted to be given by the Company or the Committee pursuant to the Plan shall be deemed given when personally delivered or deposited in the United States mail, registered or certified, postage prepaid, addressed to the Participant at the last address shown for the Participant on the records of the Company. Delivery of stock certificates to persons entitled to receive them under the Plan</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817" w:right="1440" w:bottom="1440" w:gutter="0" w:footer="0" w:header="0"/>
        </w:sectPr>
      </w:pPr>
    </w:p>
    <w:bookmarkStart w:id="88" w:name="page89"/>
    <w:bookmarkEnd w:id="88"/>
    <w:p>
      <w:pPr>
        <w:ind w:right="3219"/>
        <w:spacing w:after="0" w:line="246" w:lineRule="auto"/>
        <w:rPr>
          <w:sz w:val="20"/>
          <w:szCs w:val="20"/>
          <w:color w:val="auto"/>
        </w:rPr>
      </w:pPr>
      <w:r>
        <w:rPr>
          <w:rFonts w:ascii="Courier New" w:cs="Courier New" w:eastAsia="Courier New" w:hAnsi="Courier New"/>
          <w:sz w:val="15"/>
          <w:szCs w:val="15"/>
          <w:color w:val="auto"/>
        </w:rPr>
        <w:t>shall be deemed effected for all purposes when the Company or a share transfer agent of the Company shall have deposited such certificates in the United States mail, addressed to such person at his/her last known address on file with the Company.</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12.4 NONTRANSFERABILITY OF RIGHTS. During a Participant's lifetime, no payment or issuance of shares under the Plan shall be made to anyone except the Participant otherwise than by will or the laws of descent and distribution. No RSU Award or other interest under the Plan shall be subject in any manner to anticipation, alienation, sale, transfer, assignment, pledge, encumbrance, garnishment, execution, levy or charge, and any attempt by a Participant or any Beneficiary under the Plan to do so shall be void. No interest under the Plan shall in any manner be liable for or subject to the debts, contracts, liabilities, engagements or torts or a Participant or Beneficiary entitled thereto.</w:t>
      </w:r>
    </w:p>
    <w:p>
      <w:pPr>
        <w:spacing w:after="0" w:line="181"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12.5 OBLIGATIONS UNFUNDED AND UNSECURED. The Plan shall at all times be entirely unfunded, and no provision shall at any time be made with respect to segregating assets of the Company (including Common Stock) for payment of any amounts or issuance of any shares of Common Stock hereunder. No Participant or other person shall own any interest in any particular assets of the Company or any Affiliate (including Common Stock) by reason of the right to receive payment under the Plan, and any Participant or other person shall have only the rights of a general unsecured creditor of the Company with respect to any rights under the Plan. Nothing contained in this Plan and no action taken pursuant to the provisions of this Plan shall create or be construed to create a trust of any kind, or a fiduciary relationship amongst the Company, any Affiliate, the Committee, and the Participants, their designated Beneficiaries or any other person. Any funds which may be invested under the provisions of this Plan shall continue for all purposes to be part of the general funds of the Company and no person other than the Company shall by virtue of the provisions of this Plan have any interest in such funds. If the Company decides to establish any accrued reserve on its books against the future expense of benefits payable hereunder, or if the Company establishes a rabbi trust under this Plan, such reserve or trust shall not under any circumstances be deemed to be an asset of the Plan.</w:t>
      </w:r>
    </w:p>
    <w:p>
      <w:pPr>
        <w:spacing w:after="0" w:line="186"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12.6 GOVERNING LAW. The Plan is established in order to provide deferred compensation to a select group of management and highly compensated employees within the meanings of Sections 201(2) and 301(a)(3) of the Employee Retirement Income Security Act of 1974, as amended ("ERISA"). To the extent legally required, the Code and ERISA shall govern the Plan and, if any provision hereof is in violation of any applicable requirement thereof, the Company reserves the right to retroactively amend the Plan to comply therewith. To the extent not governed by the Code and ERISA, the terms of the Plan shall be governed, construed, administered and regulated in accordance with the laws of Delaware. In the event any provision of this Plan shall be determined to be illegal or invalid for any reason, the other provisions shall continue in full force and effect as if such illegal or invalid provision had never been included herein.</w:t>
      </w:r>
    </w:p>
    <w:p>
      <w:pPr>
        <w:spacing w:after="0" w:line="182"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12.7 CLAIMS PROCEDURE. A Participant or Beneficiary shall make any claim (and, in the case of the denial of such claim, any appeal) in writing to the Committee or such other person designated by the Committee in accordance with the claims procedure established by the Committee, which is intended to comply with the claims procedure provided under ERISA and U.S. Department of Labor Regulation ss. 2560.503-1.</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2" w:right="1440" w:bottom="1440" w:gutter="0" w:footer="0" w:header="0"/>
        </w:sectPr>
      </w:pPr>
    </w:p>
    <w:bookmarkStart w:id="89" w:name="page90"/>
    <w:bookmarkEnd w:id="89"/>
    <w:p>
      <w:pPr>
        <w:ind w:right="2959" w:firstLine="636"/>
        <w:spacing w:after="0" w:line="246" w:lineRule="auto"/>
        <w:rPr>
          <w:sz w:val="20"/>
          <w:szCs w:val="20"/>
          <w:color w:val="auto"/>
        </w:rPr>
      </w:pPr>
      <w:r>
        <w:rPr>
          <w:rFonts w:ascii="Courier New" w:cs="Courier New" w:eastAsia="Courier New" w:hAnsi="Courier New"/>
          <w:sz w:val="15"/>
          <w:szCs w:val="15"/>
          <w:color w:val="auto"/>
        </w:rPr>
        <w:t>12.8 RULE 16B-3. To the extent required, the Plan is intended to comply with Rule 16b-3 and the Committee shall interpret and administer the provisions of the Plan in a manner consistent therewith. If a management employee is designated by the Committee to participate hereunder, any election to receive an award of RSUs shall be deemed approved by such Committee and shall be deemed an exempt purchase under Rule 16b-3. Any provisions inconsistent with Rule 16b-3 shall be inoperative and shall not affect the validity of the Plan.</w:t>
      </w:r>
    </w:p>
    <w:p>
      <w:pPr>
        <w:spacing w:after="0" w:line="179"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12.9 NO EMPLOYMENT RIGHTS. The establishment and operation of this Plan shall not confer any legal rights upon any Participant or other person for a continuation of employment, nor shall it interfere with the rights of the Company or Affiliate to discharge any employee and to treat him or her without regard to the effect which that treatment might have upon him or her as a Participant or potential Participant under the Plan.</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12.10 SEVERABILITY OF PROVISIONS. If any provision of the Plan shall be held invalid or unenforceable, such invalidity or unenforceability shall not affect any other provisions hereof, and the Plan shall be construed and enforced as if such provisions had not been included.</w:t>
      </w:r>
    </w:p>
    <w:p>
      <w:pPr>
        <w:spacing w:after="0" w:line="177"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12.11 CONSTRUCTION. The use of a masculine pronoun shall include the feminine, and the singular form shall include the plural form, unless the context clearly indicates otherwise. The headings and captions herein are provided for reference and convenience only, shall not be considered part of the Plan, and shall not be employed in the construction of the Plan.</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12.12 EFFECTIVE DATE OF PLAN. The Plan was originally adopted effective January 1, 1999, subject to approval of the stockholders of the Company as provided under applicable law, regulation or stock exchange rule and was subsequently amended and restated effective December 18, 2002. The Plan, as amended and restated effective January 1, 2005, is set forth herein.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17" w:right="1440" w:bottom="1440" w:gutter="0" w:footer="0" w:header="0"/>
        </w:sectPr>
      </w:pPr>
    </w:p>
    <w:bookmarkStart w:id="90" w:name="page91"/>
    <w:bookmarkEnd w:id="90"/>
    <w:p>
      <w:pPr>
        <w:jc w:val="right"/>
        <w:ind w:right="2959"/>
        <w:spacing w:after="0"/>
        <w:rPr>
          <w:sz w:val="20"/>
          <w:szCs w:val="20"/>
          <w:color w:val="auto"/>
        </w:rPr>
      </w:pPr>
      <w:r>
        <w:rPr>
          <w:rFonts w:ascii="Courier New" w:cs="Courier New" w:eastAsia="Courier New" w:hAnsi="Courier New"/>
          <w:sz w:val="15"/>
          <w:szCs w:val="15"/>
          <w:color w:val="auto"/>
        </w:rPr>
        <w:t>Exhibit 10.3</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(DATED EFFECTIVE MAY 25, 2006)</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SCHOLASTIC CORPORATION 1997 OUTSIDE DIRECTORS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STOCK OPTION PLAN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(AMENDED AND RESTATED AS OF MAY 25, 1999)</w:t>
      </w:r>
    </w:p>
    <w:p>
      <w:pPr>
        <w:spacing w:after="0" w:line="180" w:lineRule="exact"/>
        <w:rPr>
          <w:sz w:val="20"/>
          <w:szCs w:val="20"/>
          <w:color w:val="auto"/>
        </w:rPr>
      </w:pPr>
    </w:p>
    <w:p>
      <w:pPr>
        <w:ind w:right="2959" w:firstLine="1629"/>
        <w:spacing w:after="0" w:line="247" w:lineRule="auto"/>
        <w:tabs>
          <w:tab w:leader="none" w:pos="245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 of the Plan is amended FIRST by deleting the first paragraph appearing therein and SECOND by restating the first sentence of the second paragraph to read as follows:</w:t>
      </w:r>
    </w:p>
    <w:p>
      <w:pPr>
        <w:spacing w:after="0" w:line="174" w:lineRule="exact"/>
        <w:rPr>
          <w:sz w:val="20"/>
          <w:szCs w:val="20"/>
          <w:color w:val="auto"/>
        </w:rPr>
      </w:pPr>
    </w:p>
    <w:p>
      <w:pPr>
        <w:ind w:left="1620" w:right="3139"/>
        <w:spacing w:after="0" w:line="246" w:lineRule="auto"/>
        <w:rPr>
          <w:sz w:val="20"/>
          <w:szCs w:val="20"/>
          <w:color w:val="auto"/>
        </w:rPr>
      </w:pPr>
      <w:r>
        <w:rPr>
          <w:rFonts w:ascii="Courier New" w:cs="Courier New" w:eastAsia="Courier New" w:hAnsi="Courier New"/>
          <w:sz w:val="15"/>
          <w:szCs w:val="15"/>
          <w:color w:val="auto"/>
        </w:rPr>
        <w:t>Except as provided in Section 5 below, an option may be exercised, in whole or in part at any time and from time or time during the period beginning with the date the option first becomes exercisable and ending on the date the option expires, by giving written notice of exercise to the Company specifying the number of shares of Common Stock to be purchased.</w:t>
      </w:r>
    </w:p>
    <w:p>
      <w:pPr>
        <w:spacing w:after="0" w:line="179" w:lineRule="exact"/>
        <w:rPr>
          <w:sz w:val="20"/>
          <w:szCs w:val="20"/>
          <w:color w:val="auto"/>
        </w:rPr>
      </w:pPr>
    </w:p>
    <w:p>
      <w:pPr>
        <w:ind w:right="3679" w:firstLine="1629"/>
        <w:spacing w:after="0" w:line="247" w:lineRule="auto"/>
        <w:tabs>
          <w:tab w:leader="none" w:pos="24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 of the Plan is amended by restating subsection (c)(4) to read as follows:</w:t>
      </w:r>
    </w:p>
    <w:p>
      <w:pPr>
        <w:spacing w:after="0" w:line="175" w:lineRule="exact"/>
        <w:rPr>
          <w:sz w:val="20"/>
          <w:szCs w:val="20"/>
          <w:color w:val="auto"/>
        </w:rPr>
      </w:pPr>
    </w:p>
    <w:p>
      <w:pPr>
        <w:ind w:left="1620" w:right="3039"/>
        <w:spacing w:after="0" w:line="246" w:lineRule="auto"/>
        <w:rPr>
          <w:sz w:val="20"/>
          <w:szCs w:val="20"/>
          <w:color w:val="auto"/>
        </w:rPr>
      </w:pPr>
      <w:r>
        <w:rPr>
          <w:rFonts w:ascii="Courier New" w:cs="Courier New" w:eastAsia="Courier New" w:hAnsi="Courier New"/>
          <w:sz w:val="15"/>
          <w:szCs w:val="15"/>
          <w:color w:val="auto"/>
        </w:rPr>
        <w:t>Notwithstanding the provisions of subsections (b) and (c) above of this Section 5, in no event shall any option granted under the Plan be exercised within six months after the date of grant.</w:t>
      </w:r>
    </w:p>
    <w:p>
      <w:pPr>
        <w:spacing w:after="0" w:line="177" w:lineRule="exact"/>
        <w:rPr>
          <w:sz w:val="20"/>
          <w:szCs w:val="20"/>
          <w:color w:val="auto"/>
        </w:rPr>
      </w:pPr>
    </w:p>
    <w:p>
      <w:pPr>
        <w:ind w:left="2440" w:hanging="811"/>
        <w:spacing w:after="0"/>
        <w:tabs>
          <w:tab w:leader="none" w:pos="2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Plan is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ratified and confirmed and shall continue in full force and effect.</w:t>
      </w:r>
    </w:p>
    <w:p>
      <w:pPr>
        <w:spacing w:after="0" w:line="180"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The foregoing amendment was duly approved by resolution of the Board of Directors of Scholastic Corporation at its meeting held on May 25, 2006.</w:t>
      </w:r>
    </w:p>
    <w:p>
      <w:pPr>
        <w:sectPr>
          <w:pgSz w:w="11900" w:h="16838" w:orient="portrait"/>
          <w:cols w:equalWidth="0" w:num="1">
            <w:col w:w="10219"/>
          </w:cols>
          <w:pgMar w:left="240" w:top="142" w:right="1440" w:bottom="1440" w:gutter="0" w:footer="0" w:header="0"/>
        </w:sectPr>
      </w:pPr>
    </w:p>
    <w:bookmarkStart w:id="91" w:name="page92"/>
    <w:bookmarkEnd w:id="91"/>
    <w:p>
      <w:pPr>
        <w:jc w:val="right"/>
        <w:ind w:right="2959"/>
        <w:spacing w:after="0"/>
        <w:rPr>
          <w:sz w:val="20"/>
          <w:szCs w:val="20"/>
          <w:color w:val="auto"/>
        </w:rPr>
      </w:pPr>
      <w:r>
        <w:rPr>
          <w:rFonts w:ascii="Courier New" w:cs="Courier New" w:eastAsia="Courier New" w:hAnsi="Courier New"/>
          <w:sz w:val="15"/>
          <w:szCs w:val="15"/>
          <w:color w:val="auto"/>
        </w:rPr>
        <w:t>Exhibit 10.6</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AMENDMENT NO. 1 TO THE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SCHOLASTIC CORPORATION 2001 STOCK INCENTIVE PLAN</w:t>
      </w:r>
    </w:p>
    <w:p>
      <w:pPr>
        <w:spacing w:after="0" w:line="180" w:lineRule="exact"/>
        <w:rPr>
          <w:sz w:val="20"/>
          <w:szCs w:val="20"/>
          <w:color w:val="auto"/>
        </w:rPr>
      </w:pPr>
    </w:p>
    <w:p>
      <w:pPr>
        <w:ind w:right="3859" w:firstLine="818"/>
        <w:spacing w:after="0" w:line="247" w:lineRule="auto"/>
        <w:rPr>
          <w:sz w:val="20"/>
          <w:szCs w:val="20"/>
          <w:color w:val="auto"/>
        </w:rPr>
      </w:pPr>
      <w:r>
        <w:rPr>
          <w:rFonts w:ascii="Courier New" w:cs="Courier New" w:eastAsia="Courier New" w:hAnsi="Courier New"/>
          <w:sz w:val="15"/>
          <w:szCs w:val="15"/>
          <w:color w:val="auto"/>
        </w:rPr>
        <w:t>WHEREAS, Scholastic Corporation (the "Company") maintains the Scholastic Corporation 2001 Stock Incentive Plan (the "Plan");</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WHEREAS, pursuant to Article X of the Plan, the Company reserved the right, by action of its Board of Directors or its Human Resources and Compensation Committee (the "Committee"), to amend the Plan from time to time; and</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WHEREAS, the Committee desires to amend the Plan.</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NOW, THEREFORE, effective May 25, 2006, the Plan is amended as follows:</w:t>
      </w:r>
    </w:p>
    <w:p>
      <w:pPr>
        <w:spacing w:after="0" w:line="180" w:lineRule="exact"/>
        <w:rPr>
          <w:sz w:val="20"/>
          <w:szCs w:val="20"/>
          <w:color w:val="auto"/>
        </w:rPr>
      </w:pPr>
    </w:p>
    <w:p>
      <w:pPr>
        <w:ind w:right="3139" w:firstLine="1629"/>
        <w:spacing w:after="0" w:line="247" w:lineRule="auto"/>
        <w:tabs>
          <w:tab w:leader="none" w:pos="245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(c) of Section 6.3 of the Plan is amended by deleting the last sentence appearing therein.</w:t>
      </w:r>
    </w:p>
    <w:p>
      <w:pPr>
        <w:spacing w:after="0" w:line="17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Plan is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ratified and confirmed and shall continue in full force and effect.</w:t>
      </w:r>
    </w:p>
    <w:p>
      <w:pPr>
        <w:sectPr>
          <w:pgSz w:w="11900" w:h="16838" w:orient="portrait"/>
          <w:cols w:equalWidth="0" w:num="1">
            <w:col w:w="10219"/>
          </w:cols>
          <w:pgMar w:left="240" w:top="141" w:right="1440" w:bottom="1440" w:gutter="0" w:footer="0" w:header="0"/>
        </w:sectPr>
      </w:pPr>
    </w:p>
    <w:bookmarkStart w:id="92" w:name="page93"/>
    <w:bookmarkEnd w:id="92"/>
    <w:p>
      <w:pPr>
        <w:jc w:val="right"/>
        <w:ind w:right="2959"/>
        <w:spacing w:after="0"/>
        <w:rPr>
          <w:sz w:val="20"/>
          <w:szCs w:val="20"/>
          <w:color w:val="auto"/>
        </w:rPr>
      </w:pPr>
      <w:r>
        <w:rPr>
          <w:rFonts w:ascii="Courier New" w:cs="Courier New" w:eastAsia="Courier New" w:hAnsi="Courier New"/>
          <w:sz w:val="15"/>
          <w:szCs w:val="15"/>
          <w:color w:val="auto"/>
        </w:rPr>
        <w:t>Exhibit 10.7</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AMENDMENT NO. 1 TO THE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SCHOLASTIC CORPORATION 2004 CLASS A STOCK INCENTIVE PLAN</w:t>
      </w:r>
    </w:p>
    <w:p>
      <w:pPr>
        <w:spacing w:after="0" w:line="180" w:lineRule="exact"/>
        <w:rPr>
          <w:sz w:val="20"/>
          <w:szCs w:val="20"/>
          <w:color w:val="auto"/>
        </w:rPr>
      </w:pPr>
    </w:p>
    <w:p>
      <w:pPr>
        <w:jc w:val="both"/>
        <w:ind w:right="3859" w:firstLine="818"/>
        <w:spacing w:after="0" w:line="247" w:lineRule="auto"/>
        <w:rPr>
          <w:sz w:val="20"/>
          <w:szCs w:val="20"/>
          <w:color w:val="auto"/>
        </w:rPr>
      </w:pPr>
      <w:r>
        <w:rPr>
          <w:rFonts w:ascii="Courier New" w:cs="Courier New" w:eastAsia="Courier New" w:hAnsi="Courier New"/>
          <w:sz w:val="15"/>
          <w:szCs w:val="15"/>
          <w:color w:val="auto"/>
        </w:rPr>
        <w:t>WHEREAS, Scholastic Corporation (the "Company") maintains the Scholastic Corporation 2004 Class A Stock Incentive Plan (the "Plan");</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WHEREAS, pursuant to Article X of the Plan, the Company reserved the right, by action of its Board of Directors or the Human Resources and Compensation Committee (the "Committee"), to amend the Plan from time to time; and</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WHEREAS, the Committee desires to amend the Plan.</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NOW, THEREFORE, effective May 25, 2006, the Plan is amended as follows:</w:t>
      </w:r>
    </w:p>
    <w:p>
      <w:pPr>
        <w:spacing w:after="0" w:line="180" w:lineRule="exact"/>
        <w:rPr>
          <w:sz w:val="20"/>
          <w:szCs w:val="20"/>
          <w:color w:val="auto"/>
        </w:rPr>
      </w:pPr>
    </w:p>
    <w:p>
      <w:pPr>
        <w:ind w:right="3139" w:firstLine="1629"/>
        <w:spacing w:after="0" w:line="247" w:lineRule="auto"/>
        <w:tabs>
          <w:tab w:leader="none" w:pos="245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(c) of Section 6.3 of the Plan is amended by deleting the last sentence appearing therein.</w:t>
      </w:r>
    </w:p>
    <w:p>
      <w:pPr>
        <w:spacing w:after="0" w:line="17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Plan is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ratified and confirmed and shall continue in full force and effect.</w:t>
      </w:r>
    </w:p>
    <w:p>
      <w:pPr>
        <w:sectPr>
          <w:pgSz w:w="11900" w:h="16838" w:orient="portrait"/>
          <w:cols w:equalWidth="0" w:num="1">
            <w:col w:w="10219"/>
          </w:cols>
          <w:pgMar w:left="240" w:top="142" w:right="1440" w:bottom="1440" w:gutter="0" w:footer="0" w:header="0"/>
        </w:sectPr>
      </w:pPr>
    </w:p>
    <w:bookmarkStart w:id="93" w:name="page94"/>
    <w:bookmarkEnd w:id="93"/>
    <w:p>
      <w:pPr>
        <w:jc w:val="right"/>
        <w:ind w:right="2959"/>
        <w:spacing w:after="0"/>
        <w:rPr>
          <w:sz w:val="20"/>
          <w:szCs w:val="20"/>
          <w:color w:val="auto"/>
        </w:rPr>
      </w:pPr>
      <w:r>
        <w:rPr>
          <w:rFonts w:ascii="Courier New" w:cs="Courier New" w:eastAsia="Courier New" w:hAnsi="Courier New"/>
          <w:sz w:val="15"/>
          <w:szCs w:val="15"/>
          <w:color w:val="auto"/>
        </w:rPr>
        <w:t>Exhibit 10.15</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Agreement by and between Lisa Holton, who resides at 35 Prospect Park West, #14B, Brooklyn, New York 11215, and Scholastic Inc. (the "Company"). This Agreement shall be effective as of the last date of signing below.</w:t>
      </w:r>
    </w:p>
    <w:p>
      <w:pPr>
        <w:spacing w:after="0" w:line="174" w:lineRule="exact"/>
        <w:rPr>
          <w:sz w:val="20"/>
          <w:szCs w:val="20"/>
          <w:color w:val="auto"/>
        </w:rPr>
      </w:pPr>
    </w:p>
    <w:p>
      <w:pPr>
        <w:jc w:val="both"/>
        <w:ind w:right="3039" w:firstLine="811"/>
        <w:spacing w:after="0" w:line="246" w:lineRule="auto"/>
        <w:tabs>
          <w:tab w:leader="none" w:pos="163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confirms our understanding that, in the event the Company terminates your employment, other than for cause, prior to May 23, 2007, you shall receive a lump sum payment, in lieu of severance, equivalent to six (6) months of salary, at your then current base salary.</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63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that this Agreement constitutes the complete understanding between the Company and you, and supersedes any and all agreements, understandings, and discussions, whether written or oral, between you and the Company with regard to the subject hereof. No other promises or agreements shall be binding unless in writing and signed by both the Company and you after the effective date of this Agreement.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LISA HOLTON</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24"/>
        </w:trPr>
        <w:tc>
          <w:tcPr>
            <w:tcW w:w="3540" w:type="dxa"/>
            <w:vAlign w:val="bottom"/>
          </w:tcPr>
          <w:p>
            <w:pPr>
              <w:spacing w:after="0"/>
              <w:rPr>
                <w:sz w:val="20"/>
                <w:szCs w:val="20"/>
                <w:color w:val="auto"/>
              </w:rPr>
            </w:pPr>
            <w:r>
              <w:rPr>
                <w:rFonts w:ascii="Courier New" w:cs="Courier New" w:eastAsia="Courier New" w:hAnsi="Courier New"/>
                <w:sz w:val="15"/>
                <w:szCs w:val="15"/>
                <w:color w:val="auto"/>
              </w:rPr>
              <w:t>Signature: /s/ Lisa Holton</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Date: August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r>
      <w:tr>
        <w:trPr>
          <w:trHeight w:val="175"/>
        </w:trPr>
        <w:tc>
          <w:tcPr>
            <w:tcW w:w="35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874"/>
        </w:trPr>
        <w:tc>
          <w:tcPr>
            <w:tcW w:w="3540" w:type="dxa"/>
            <w:vAlign w:val="bottom"/>
          </w:tcPr>
          <w:p>
            <w:pPr>
              <w:spacing w:after="0"/>
              <w:rPr>
                <w:sz w:val="20"/>
                <w:szCs w:val="20"/>
                <w:color w:val="auto"/>
              </w:rPr>
            </w:pPr>
            <w:r>
              <w:rPr>
                <w:rFonts w:ascii="Courier New" w:cs="Courier New" w:eastAsia="Courier New" w:hAnsi="Courier New"/>
                <w:sz w:val="15"/>
                <w:szCs w:val="15"/>
                <w:color w:val="auto"/>
              </w:rPr>
              <w:t>SCHOLASTIC INC.</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By:   /s/ Peter Watts</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Date: August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Name: Peter Watts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Title: Senior Vice President, Corporate Human Resources</w:t>
      </w:r>
    </w:p>
    <w:p>
      <w:pPr>
        <w:sectPr>
          <w:pgSz w:w="11900" w:h="16838" w:orient="portrait"/>
          <w:cols w:equalWidth="0" w:num="1">
            <w:col w:w="10219"/>
          </w:cols>
          <w:pgMar w:left="240" w:top="142"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6420" w:type="dxa"/>
            <w:vAlign w:val="bottom"/>
          </w:tcPr>
          <w:p>
            <w:pPr>
              <w:ind w:left="4740"/>
              <w:spacing w:after="0"/>
              <w:rPr>
                <w:sz w:val="20"/>
                <w:szCs w:val="20"/>
                <w:color w:val="auto"/>
              </w:rPr>
            </w:pPr>
            <w:r>
              <w:rPr>
                <w:rFonts w:ascii="Courier New" w:cs="Courier New" w:eastAsia="Courier New" w:hAnsi="Courier New"/>
                <w:sz w:val="15"/>
                <w:szCs w:val="15"/>
                <w:color w:val="auto"/>
              </w:rPr>
              <w:t>Exhibit 21</w:t>
            </w:r>
          </w:p>
        </w:tc>
        <w:tc>
          <w:tcPr>
            <w:tcW w:w="1760" w:type="dxa"/>
            <w:vAlign w:val="bottom"/>
          </w:tcPr>
          <w:p>
            <w:pPr>
              <w:spacing w:after="0"/>
              <w:rPr>
                <w:sz w:val="14"/>
                <w:szCs w:val="14"/>
                <w:color w:val="auto"/>
              </w:rPr>
            </w:pPr>
          </w:p>
        </w:tc>
      </w:tr>
      <w:tr>
        <w:trPr>
          <w:trHeight w:val="350"/>
        </w:trPr>
        <w:tc>
          <w:tcPr>
            <w:tcW w:w="1620" w:type="dxa"/>
            <w:vAlign w:val="bottom"/>
          </w:tcPr>
          <w:p>
            <w:pPr>
              <w:spacing w:after="0"/>
              <w:rPr>
                <w:sz w:val="24"/>
                <w:szCs w:val="24"/>
                <w:color w:val="auto"/>
              </w:rPr>
            </w:pPr>
          </w:p>
        </w:tc>
        <w:tc>
          <w:tcPr>
            <w:tcW w:w="6420" w:type="dxa"/>
            <w:vAlign w:val="bottom"/>
          </w:tcPr>
          <w:p>
            <w:pPr>
              <w:ind w:left="1000"/>
              <w:spacing w:after="0"/>
              <w:rPr>
                <w:sz w:val="20"/>
                <w:szCs w:val="20"/>
                <w:color w:val="auto"/>
              </w:rPr>
            </w:pPr>
            <w:r>
              <w:rPr>
                <w:rFonts w:ascii="Courier New" w:cs="Courier New" w:eastAsia="Courier New" w:hAnsi="Courier New"/>
                <w:sz w:val="15"/>
                <w:szCs w:val="15"/>
                <w:color w:val="auto"/>
              </w:rPr>
              <w:t>SCHOLASTIC CORPORATION</w:t>
            </w:r>
          </w:p>
        </w:tc>
        <w:tc>
          <w:tcPr>
            <w:tcW w:w="1760" w:type="dxa"/>
            <w:vAlign w:val="bottom"/>
          </w:tcPr>
          <w:p>
            <w:pPr>
              <w:spacing w:after="0"/>
              <w:rPr>
                <w:sz w:val="24"/>
                <w:szCs w:val="24"/>
                <w:color w:val="auto"/>
              </w:rPr>
            </w:pPr>
          </w:p>
        </w:tc>
      </w:tr>
      <w:tr>
        <w:trPr>
          <w:trHeight w:val="175"/>
        </w:trPr>
        <w:tc>
          <w:tcPr>
            <w:tcW w:w="1620" w:type="dxa"/>
            <w:vAlign w:val="bottom"/>
          </w:tcPr>
          <w:p>
            <w:pPr>
              <w:spacing w:after="0"/>
              <w:rPr>
                <w:sz w:val="15"/>
                <w:szCs w:val="15"/>
                <w:color w:val="auto"/>
              </w:rPr>
            </w:pPr>
          </w:p>
        </w:tc>
        <w:tc>
          <w:tcPr>
            <w:tcW w:w="6420" w:type="dxa"/>
            <w:vAlign w:val="bottom"/>
          </w:tcPr>
          <w:p>
            <w:pPr>
              <w:ind w:left="1280"/>
              <w:spacing w:after="0"/>
              <w:rPr>
                <w:sz w:val="20"/>
                <w:szCs w:val="20"/>
                <w:color w:val="auto"/>
              </w:rPr>
            </w:pPr>
            <w:r>
              <w:rPr>
                <w:rFonts w:ascii="Courier New" w:cs="Courier New" w:eastAsia="Courier New" w:hAnsi="Courier New"/>
                <w:sz w:val="15"/>
                <w:szCs w:val="15"/>
                <w:color w:val="auto"/>
              </w:rPr>
              <w:t>SUBSIDIARY LIST</w:t>
            </w:r>
          </w:p>
        </w:tc>
        <w:tc>
          <w:tcPr>
            <w:tcW w:w="1760" w:type="dxa"/>
            <w:vAlign w:val="bottom"/>
          </w:tcPr>
          <w:p>
            <w:pPr>
              <w:spacing w:after="0"/>
              <w:rPr>
                <w:sz w:val="15"/>
                <w:szCs w:val="15"/>
                <w:color w:val="auto"/>
              </w:rPr>
            </w:pPr>
          </w:p>
        </w:tc>
      </w:tr>
      <w:tr>
        <w:trPr>
          <w:trHeight w:val="175"/>
        </w:trPr>
        <w:tc>
          <w:tcPr>
            <w:tcW w:w="80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(SUBSIDIARIES ARE INDENTED UNDER ITS DIRECT PARENT)</w:t>
            </w:r>
          </w:p>
        </w:tc>
        <w:tc>
          <w:tcPr>
            <w:tcW w:w="1760" w:type="dxa"/>
            <w:vAlign w:val="bottom"/>
          </w:tcPr>
          <w:p>
            <w:pPr>
              <w:spacing w:after="0"/>
              <w:rPr>
                <w:sz w:val="15"/>
                <w:szCs w:val="15"/>
                <w:color w:val="auto"/>
              </w:rPr>
            </w:pPr>
          </w:p>
        </w:tc>
      </w:tr>
      <w:tr>
        <w:trPr>
          <w:trHeight w:val="874"/>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Scholastic Inc.</w:t>
            </w:r>
          </w:p>
        </w:tc>
        <w:tc>
          <w:tcPr>
            <w:tcW w:w="6420" w:type="dxa"/>
            <w:vAlign w:val="bottom"/>
          </w:tcPr>
          <w:p>
            <w:pPr>
              <w:spacing w:after="0"/>
              <w:rPr>
                <w:sz w:val="24"/>
                <w:szCs w:val="24"/>
                <w:color w:val="auto"/>
              </w:rPr>
            </w:pP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New York</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Book Clubs,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Missouri</w:t>
            </w:r>
          </w:p>
        </w:tc>
      </w:tr>
      <w:tr>
        <w:trPr>
          <w:trHeight w:val="175"/>
        </w:trPr>
        <w:tc>
          <w:tcPr>
            <w:tcW w:w="80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Scholastic Operations Group L.L.C.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Entertainment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New York</w:t>
            </w:r>
          </w:p>
        </w:tc>
      </w:tr>
      <w:tr>
        <w:trPr>
          <w:trHeight w:val="175"/>
        </w:trPr>
        <w:tc>
          <w:tcPr>
            <w:tcW w:w="80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SE Distribution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80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524 Films L.L.C.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New York</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Book Services,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UK Group L.L.C.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UK Limited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England</w:t>
            </w:r>
          </w:p>
        </w:tc>
      </w:tr>
      <w:tr>
        <w:trPr>
          <w:trHeight w:val="175"/>
        </w:trPr>
        <w:tc>
          <w:tcPr>
            <w:tcW w:w="804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Chicken House Publishing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England</w:t>
            </w:r>
          </w:p>
        </w:tc>
      </w:tr>
      <w:tr>
        <w:trPr>
          <w:trHeight w:val="175"/>
        </w:trPr>
        <w:tc>
          <w:tcPr>
            <w:tcW w:w="80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Scholastic Book Clubs Ltd. (formerly Red House</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England</w:t>
            </w:r>
          </w:p>
        </w:tc>
      </w:tr>
      <w:tr>
        <w:trPr>
          <w:trHeight w:val="175"/>
        </w:trPr>
        <w:tc>
          <w:tcPr>
            <w:tcW w:w="162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Courier New" w:cs="Courier New" w:eastAsia="Courier New" w:hAnsi="Courier New"/>
                <w:sz w:val="15"/>
                <w:szCs w:val="15"/>
                <w:color w:val="auto"/>
              </w:rPr>
              <w:t>Books Ltd.)</w:t>
            </w:r>
          </w:p>
        </w:tc>
        <w:tc>
          <w:tcPr>
            <w:tcW w:w="1760" w:type="dxa"/>
            <w:vAlign w:val="bottom"/>
          </w:tcPr>
          <w:p>
            <w:pPr>
              <w:spacing w:after="0"/>
              <w:rPr>
                <w:sz w:val="15"/>
                <w:szCs w:val="15"/>
                <w:color w:val="auto"/>
              </w:rPr>
            </w:pPr>
          </w:p>
        </w:tc>
      </w:tr>
      <w:tr>
        <w:trPr>
          <w:trHeight w:val="175"/>
        </w:trPr>
        <w:tc>
          <w:tcPr>
            <w:tcW w:w="80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Scholastic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England</w:t>
            </w:r>
          </w:p>
        </w:tc>
      </w:tr>
      <w:tr>
        <w:trPr>
          <w:trHeight w:val="175"/>
        </w:trPr>
        <w:tc>
          <w:tcPr>
            <w:tcW w:w="1620" w:type="dxa"/>
            <w:vAlign w:val="bottom"/>
          </w:tcPr>
          <w:p>
            <w:pPr>
              <w:spacing w:after="0"/>
              <w:rPr>
                <w:sz w:val="15"/>
                <w:szCs w:val="15"/>
                <w:color w:val="auto"/>
              </w:rPr>
            </w:pPr>
          </w:p>
        </w:tc>
        <w:tc>
          <w:tcPr>
            <w:tcW w:w="6420" w:type="dxa"/>
            <w:vAlign w:val="bottom"/>
          </w:tcPr>
          <w:p>
            <w:pPr>
              <w:ind w:left="200"/>
              <w:spacing w:after="0"/>
              <w:rPr>
                <w:sz w:val="20"/>
                <w:szCs w:val="20"/>
                <w:color w:val="auto"/>
              </w:rPr>
            </w:pPr>
            <w:r>
              <w:rPr>
                <w:rFonts w:ascii="Courier New" w:cs="Courier New" w:eastAsia="Courier New" w:hAnsi="Courier New"/>
                <w:sz w:val="15"/>
                <w:szCs w:val="15"/>
                <w:color w:val="auto"/>
              </w:rPr>
              <w:t>Catteshall Ltd.(50% owned)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England</w:t>
            </w:r>
          </w:p>
        </w:tc>
      </w:tr>
      <w:tr>
        <w:trPr>
          <w:trHeight w:val="175"/>
        </w:trPr>
        <w:tc>
          <w:tcPr>
            <w:tcW w:w="162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Courier New" w:cs="Courier New" w:eastAsia="Courier New" w:hAnsi="Courier New"/>
                <w:sz w:val="15"/>
                <w:szCs w:val="15"/>
                <w:color w:val="auto"/>
              </w:rPr>
              <w:t>Scholastic Ireland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Ireland</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Weston Woods Studios,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80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Georgetown Studios,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w w:val="98"/>
              </w:rPr>
              <w:t>Connecticut</w:t>
            </w:r>
          </w:p>
        </w:tc>
      </w:tr>
      <w:tr>
        <w:trPr>
          <w:trHeight w:val="175"/>
        </w:trPr>
        <w:tc>
          <w:tcPr>
            <w:tcW w:w="80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Children's Music Library,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New York</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Lectorum Publications,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New York</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The Scholastic Store,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New York</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Interactive Xchange,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Tom Snyder</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Productions,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Soup2Nuts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Distribution Services, L.L.C.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RetroRanch</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Inc. (formerly Science Court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rPr>
              <w:t>Klutz</w:t>
            </w:r>
          </w:p>
        </w:tc>
        <w:tc>
          <w:tcPr>
            <w:tcW w:w="6420" w:type="dxa"/>
            <w:vAlign w:val="bottom"/>
          </w:tcPr>
          <w:p>
            <w:pPr>
              <w:spacing w:after="0"/>
              <w:rPr>
                <w:sz w:val="15"/>
                <w:szCs w:val="15"/>
                <w:color w:val="auto"/>
              </w:rPr>
            </w:pP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California</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Sandvik Publishing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Nevada</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Teacher's Friend Publications,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California</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The Book People Inc. (80% owned)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Export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Book Fairs,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8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BTBCAT, Inc.</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Delaware</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Australia Pty.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Australia</w:t>
            </w:r>
          </w:p>
        </w:tc>
      </w:tr>
      <w:tr>
        <w:trPr>
          <w:trHeight w:val="175"/>
        </w:trPr>
        <w:tc>
          <w:tcPr>
            <w:tcW w:w="80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Bookshelf Publishing Australia Pty.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Australia</w:t>
            </w:r>
          </w:p>
        </w:tc>
      </w:tr>
      <w:tr>
        <w:trPr>
          <w:trHeight w:val="175"/>
        </w:trPr>
        <w:tc>
          <w:tcPr>
            <w:tcW w:w="80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Troll School Book Clubs and Fairs Australia Pty.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Australia</w:t>
            </w:r>
          </w:p>
        </w:tc>
      </w:tr>
      <w:tr>
        <w:trPr>
          <w:trHeight w:val="175"/>
        </w:trPr>
        <w:tc>
          <w:tcPr>
            <w:tcW w:w="80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Scholastic Australia Superannuation Pty.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Australia</w:t>
            </w:r>
          </w:p>
        </w:tc>
      </w:tr>
      <w:tr>
        <w:trPr>
          <w:trHeight w:val="175"/>
        </w:trPr>
        <w:tc>
          <w:tcPr>
            <w:tcW w:w="80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Scholastic Executive Superannuation Pty.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Australia</w:t>
            </w:r>
          </w:p>
        </w:tc>
      </w:tr>
      <w:tr>
        <w:trPr>
          <w:trHeight w:val="175"/>
        </w:trPr>
        <w:tc>
          <w:tcPr>
            <w:tcW w:w="80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Oldmeadow Booksellers (Aust.) Pty.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Australia</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Canada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Canada</w:t>
            </w:r>
          </w:p>
        </w:tc>
      </w:tr>
      <w:tr>
        <w:trPr>
          <w:trHeight w:val="175"/>
        </w:trPr>
        <w:tc>
          <w:tcPr>
            <w:tcW w:w="80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Scholastic Productions Canada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Canada</w:t>
            </w:r>
          </w:p>
        </w:tc>
      </w:tr>
      <w:tr>
        <w:trPr>
          <w:trHeight w:val="175"/>
        </w:trPr>
        <w:tc>
          <w:tcPr>
            <w:tcW w:w="80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Scholastic Bookfairs Canada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Canada</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Hong Kong Limited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Hong Kong</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India Private Limited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India</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Mexico S. de R. L. de C.V.</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Mexico</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New Zealand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w w:val="98"/>
              </w:rPr>
              <w:t>New Zealand</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Argentina S.A.</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Argentina</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Education Information Consulting (Shanghai) Co., Ltd.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China</w:t>
            </w:r>
          </w:p>
        </w:tc>
      </w:tr>
      <w:tr>
        <w:trPr>
          <w:trHeight w:val="175"/>
        </w:trPr>
        <w:tc>
          <w:tcPr>
            <w:tcW w:w="1620" w:type="dxa"/>
            <w:vAlign w:val="bottom"/>
          </w:tcPr>
          <w:p>
            <w:pPr>
              <w:ind w:left="720"/>
              <w:spacing w:after="0"/>
              <w:rPr>
                <w:sz w:val="20"/>
                <w:szCs w:val="20"/>
                <w:color w:val="auto"/>
              </w:rPr>
            </w:pPr>
            <w:r>
              <w:rPr>
                <w:rFonts w:ascii="Courier New" w:cs="Courier New" w:eastAsia="Courier New" w:hAnsi="Courier New"/>
                <w:sz w:val="15"/>
                <w:szCs w:val="15"/>
                <w:color w:val="auto"/>
                <w:w w:val="97"/>
              </w:rPr>
              <w:t>Scholastic</w:t>
            </w:r>
          </w:p>
        </w:tc>
        <w:tc>
          <w:tcPr>
            <w:tcW w:w="6420" w:type="dxa"/>
            <w:vAlign w:val="bottom"/>
          </w:tcPr>
          <w:p>
            <w:pPr>
              <w:ind w:left="100"/>
              <w:spacing w:after="0"/>
              <w:rPr>
                <w:sz w:val="20"/>
                <w:szCs w:val="20"/>
                <w:color w:val="auto"/>
              </w:rPr>
            </w:pPr>
            <w:r>
              <w:rPr>
                <w:rFonts w:ascii="Courier New" w:cs="Courier New" w:eastAsia="Courier New" w:hAnsi="Courier New"/>
                <w:sz w:val="15"/>
                <w:szCs w:val="15"/>
                <w:color w:val="auto"/>
              </w:rPr>
              <w:t>International IT Support Centre Private Limited</w:t>
            </w:r>
          </w:p>
        </w:tc>
        <w:tc>
          <w:tcPr>
            <w:tcW w:w="1760" w:type="dxa"/>
            <w:vAlign w:val="bottom"/>
          </w:tcPr>
          <w:p>
            <w:pPr>
              <w:ind w:left="760"/>
              <w:spacing w:after="0"/>
              <w:rPr>
                <w:sz w:val="20"/>
                <w:szCs w:val="20"/>
                <w:color w:val="auto"/>
              </w:rPr>
            </w:pPr>
            <w:r>
              <w:rPr>
                <w:rFonts w:ascii="Courier New" w:cs="Courier New" w:eastAsia="Courier New" w:hAnsi="Courier New"/>
                <w:sz w:val="15"/>
                <w:szCs w:val="15"/>
                <w:color w:val="auto"/>
              </w:rPr>
              <w:t>India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Exhibit 21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SCHOLASTIC CORPORATION</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SUBSIDIARY LIST</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(SUBSIDIARIES ARE INDENTED UNDER ITS DIRECT PARENT)</w:t>
      </w:r>
    </w:p>
    <w:p>
      <w:pPr>
        <w:sectPr>
          <w:pgSz w:w="11900" w:h="16838" w:orient="portrait"/>
          <w:cols w:equalWidth="0" w:num="1">
            <w:col w:w="10219"/>
          </w:cols>
          <w:pgMar w:left="24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Grolier Incorporated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Scholastic at Home Inc. (formerly Grolier Enterprises Inc.)</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Scholastic Distribution Services L.L.C(5)</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Grolier Interactive Inc.</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Scholastic Library Publishing,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ectPr>
          <w:pgSz w:w="11900" w:h="16838" w:orient="portrait"/>
          <w:cols w:equalWidth="0" w:num="2">
            <w:col w:w="8080" w:space="720"/>
            <w:col w:w="1419"/>
          </w:cols>
          <w:pgMar w:left="240" w:top="141" w:right="1440" w:bottom="0" w:gutter="0" w:footer="0" w:header="0"/>
          <w:type w:val="continuous"/>
        </w:sectPr>
      </w:pPr>
    </w:p>
    <w:p>
      <w:pPr>
        <w:ind w:left="1360"/>
        <w:spacing w:after="0"/>
        <w:rPr>
          <w:sz w:val="20"/>
          <w:szCs w:val="20"/>
          <w:color w:val="auto"/>
        </w:rPr>
      </w:pPr>
      <w:r>
        <w:rPr>
          <w:rFonts w:ascii="Courier New" w:cs="Courier New" w:eastAsia="Courier New" w:hAnsi="Courier New"/>
          <w:sz w:val="15"/>
          <w:szCs w:val="15"/>
          <w:color w:val="auto"/>
        </w:rPr>
        <w:t>(formerly Grolier Publishing Co., Inc.)</w:t>
      </w:r>
    </w:p>
    <w:p>
      <w:pPr>
        <w:sectPr>
          <w:pgSz w:w="11900" w:h="16838" w:orient="portrait"/>
          <w:cols w:equalWidth="0" w:num="1">
            <w:col w:w="10219"/>
          </w:cols>
          <w:pgMar w:left="240" w:top="141" w:right="1440" w:bottom="0" w:gutter="0" w:footer="0" w:header="0"/>
          <w:type w:val="continuous"/>
        </w:sectPr>
      </w:pP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Grolier Reading Programs Inc.</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Grolier Telemarketing, Inc.</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Grolier (New York) Incorporated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Orchard Books, Inc.</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Publishers World Trade Corporation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Federated Credit Corp.</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Grolier International, Inc.</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Grolier Direct Marketing Pty. Ltd.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Grolier International Finance Inc. (Philippines) (60% owned)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Grolier (Malaysia) SDN BHD (62% owned)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Grolier Overseas Incorporated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Grolier International Private Limited (India)(8)</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Grolier Limited (Canada)</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Caribe Grolier, Inc.</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Grolier International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Philippines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Puerto Rico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ectPr>
          <w:pgSz w:w="11900" w:h="16838" w:orient="portrait"/>
          <w:cols w:equalWidth="0" w:num="2">
            <w:col w:w="8080" w:space="720"/>
            <w:col w:w="1419"/>
          </w:cols>
          <w:pgMar w:left="240" w:top="141" w:right="1440" w:bottom="0" w:gutter="0" w:footer="0" w:header="0"/>
          <w:type w:val="continuous"/>
        </w:sectPr>
      </w:pPr>
    </w:p>
    <w:bookmarkStart w:id="95" w:name="page96"/>
    <w:bookmarkEnd w:id="95"/>
    <w:p>
      <w:pPr>
        <w:ind w:left="800"/>
        <w:spacing w:after="0"/>
        <w:rPr>
          <w:sz w:val="20"/>
          <w:szCs w:val="20"/>
          <w:color w:val="auto"/>
        </w:rPr>
      </w:pPr>
      <w:r>
        <w:rPr>
          <w:rFonts w:ascii="Courier New" w:cs="Courier New" w:eastAsia="Courier New" w:hAnsi="Courier New"/>
          <w:sz w:val="15"/>
          <w:szCs w:val="15"/>
          <w:color w:val="auto"/>
        </w:rPr>
        <w:t>Grolier Credit Services (U.K.) Limited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Grolier Limited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Transtutor Limited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Just Books! Limited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Waverly House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ectPr>
          <w:pgSz w:w="11900" w:h="16838" w:orient="portrait"/>
          <w:cols w:equalWidth="0" w:num="2">
            <w:col w:w="6880" w:space="720"/>
            <w:col w:w="1419"/>
          </w:cols>
          <w:pgMar w:left="1440" w:top="142" w:right="1440" w:bottom="1440" w:gutter="0" w:footer="0" w:header="0"/>
        </w:sectPr>
      </w:pPr>
    </w:p>
    <w:bookmarkStart w:id="96" w:name="page97"/>
    <w:bookmarkEnd w:id="96"/>
    <w:p>
      <w:pPr>
        <w:jc w:val="right"/>
        <w:ind w:right="2959"/>
        <w:spacing w:after="0"/>
        <w:rPr>
          <w:sz w:val="20"/>
          <w:szCs w:val="20"/>
          <w:color w:val="auto"/>
        </w:rPr>
      </w:pPr>
      <w:r>
        <w:rPr>
          <w:rFonts w:ascii="Courier New" w:cs="Courier New" w:eastAsia="Courier New" w:hAnsi="Courier New"/>
          <w:sz w:val="15"/>
          <w:szCs w:val="15"/>
          <w:color w:val="auto"/>
        </w:rPr>
        <w:t>Exhibit 23</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200" w:lineRule="exact"/>
        <w:rPr>
          <w:sz w:val="20"/>
          <w:szCs w:val="20"/>
          <w:color w:val="auto"/>
        </w:rPr>
      </w:pPr>
    </w:p>
    <w:p>
      <w:pPr>
        <w:spacing w:after="0" w:line="32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(File Nos. 333-62297 and 333-110302) pertaining to the Scholastic Corporation 1997 Outside Director's Stock Option Plan; Registration Statement Form S-8 (File No. 333-65757) pertaining to the Scholastic Corporation 1995 Stock Option Plan; Registration Statement Form S-8 (File Nos. 333-68181 and</w:t>
      </w:r>
    </w:p>
    <w:p>
      <w:pPr>
        <w:spacing w:after="0" w:line="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333-110301) pertaining to the Scholastic Corporation Employee Stock Purchase Plan; Registration Statement Form S-8 (File No. 333-68185) pertaining to the Scholastic Corporation Management Stock Purchase Plan; Registration Statement Form S-8 (File No. 333-77010) pertaining to the Scholastic Corporation 2001 Stock Incentive Plan of our reports dated August 4, 2006, with respect to the consolidated financial statements and schedule of Scholastic Corporation, Scholastic Corporation management's assessment of effectiveness of internal control over financial reporting, and the effectiveness of internal control over financial reporting of Scholastic Corporation, included in this Annual Report (Form 10-K) for the year ended May 31, 2006.</w:t>
      </w:r>
    </w:p>
    <w:p>
      <w:pPr>
        <w:spacing w:after="0" w:line="356" w:lineRule="exact"/>
        <w:rPr>
          <w:sz w:val="20"/>
          <w:szCs w:val="20"/>
          <w:color w:val="auto"/>
        </w:rPr>
      </w:pPr>
    </w:p>
    <w:p>
      <w:pPr>
        <w:ind w:left="4720"/>
        <w:spacing w:after="0"/>
        <w:tabs>
          <w:tab w:leader="none" w:pos="5160" w:val="left"/>
        </w:tabs>
        <w:rPr>
          <w:sz w:val="20"/>
          <w:szCs w:val="20"/>
          <w:color w:val="auto"/>
        </w:rPr>
      </w:pPr>
      <w:r>
        <w:rPr>
          <w:rFonts w:ascii="Courier New" w:cs="Courier New" w:eastAsia="Courier New" w:hAnsi="Courier New"/>
          <w:sz w:val="15"/>
          <w:szCs w:val="15"/>
          <w:color w:val="auto"/>
        </w:rPr>
        <w:t>/s/</w:t>
        <w:tab/>
        <w:t>Ernst &amp; Young LLP</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4, 2006</w:t>
      </w:r>
    </w:p>
    <w:p>
      <w:pPr>
        <w:sectPr>
          <w:pgSz w:w="11900" w:h="16838" w:orient="portrait"/>
          <w:cols w:equalWidth="0" w:num="1">
            <w:col w:w="10219"/>
          </w:cols>
          <w:pgMar w:left="240" w:top="141" w:right="1440" w:bottom="1440" w:gutter="0" w:footer="0" w:header="0"/>
        </w:sectPr>
      </w:pPr>
    </w:p>
    <w:bookmarkStart w:id="97" w:name="page98"/>
    <w:bookmarkEnd w:id="97"/>
    <w:p>
      <w:pPr>
        <w:ind w:left="6180"/>
        <w:spacing w:after="0"/>
        <w:rPr>
          <w:sz w:val="20"/>
          <w:szCs w:val="20"/>
          <w:color w:val="auto"/>
        </w:rPr>
      </w:pPr>
      <w:r>
        <w:rPr>
          <w:rFonts w:ascii="Courier New" w:cs="Courier New" w:eastAsia="Courier New" w:hAnsi="Courier New"/>
          <w:sz w:val="14"/>
          <w:szCs w:val="14"/>
          <w:color w:val="auto"/>
        </w:rPr>
        <w:t>Exhibit 31.1</w:t>
      </w:r>
    </w:p>
    <w:p>
      <w:pPr>
        <w:spacing w:after="0" w:line="19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 Richard Robinson, the principal executive officer of Scholastic Corporation, certify that:</w:t>
      </w:r>
    </w:p>
    <w:p>
      <w:pPr>
        <w:spacing w:after="0" w:line="175" w:lineRule="exact"/>
        <w:rPr>
          <w:sz w:val="20"/>
          <w:szCs w:val="20"/>
          <w:color w:val="auto"/>
        </w:rPr>
      </w:pPr>
    </w:p>
    <w:p>
      <w:pPr>
        <w:ind w:left="900" w:right="3779" w:hanging="452"/>
        <w:spacing w:after="0" w:line="247" w:lineRule="auto"/>
        <w:tabs>
          <w:tab w:leader="none" w:pos="9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Scholastic Corporation;</w:t>
      </w:r>
    </w:p>
    <w:p>
      <w:pPr>
        <w:spacing w:after="0" w:line="174"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Courier New" w:cs="Courier New" w:eastAsia="Courier New" w:hAnsi="Courier New"/>
          <w:sz w:val="15"/>
          <w:szCs w:val="15"/>
          <w:color w:val="auto"/>
        </w:rPr>
      </w:pPr>
    </w:p>
    <w:p>
      <w:pPr>
        <w:jc w:val="both"/>
        <w:ind w:left="900" w:right="3219" w:hanging="452"/>
        <w:spacing w:after="0" w:line="246" w:lineRule="auto"/>
        <w:tabs>
          <w:tab w:leader="none" w:pos="9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13a-15(f) and 15d-15(f) for the registrant and have:</w:t>
      </w:r>
    </w:p>
    <w:p>
      <w:pPr>
        <w:spacing w:after="0" w:line="179" w:lineRule="exact"/>
        <w:rPr>
          <w:rFonts w:ascii="Courier New" w:cs="Courier New" w:eastAsia="Courier New" w:hAnsi="Courier New"/>
          <w:sz w:val="15"/>
          <w:szCs w:val="15"/>
          <w:color w:val="auto"/>
        </w:rPr>
      </w:pPr>
    </w:p>
    <w:p>
      <w:pPr>
        <w:ind w:left="1820" w:right="2959" w:hanging="464"/>
        <w:spacing w:after="0" w:line="246" w:lineRule="auto"/>
        <w:tabs>
          <w:tab w:leader="none" w:pos="18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Courier New" w:cs="Courier New" w:eastAsia="Courier New" w:hAnsi="Courier New"/>
          <w:sz w:val="15"/>
          <w:szCs w:val="15"/>
          <w:color w:val="auto"/>
        </w:rPr>
      </w:pPr>
    </w:p>
    <w:p>
      <w:pPr>
        <w:ind w:left="1820" w:right="3039" w:hanging="464"/>
        <w:spacing w:after="0" w:line="246" w:lineRule="auto"/>
        <w:tabs>
          <w:tab w:leader="none" w:pos="18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Courier New" w:cs="Courier New" w:eastAsia="Courier New" w:hAnsi="Courier New"/>
          <w:sz w:val="15"/>
          <w:szCs w:val="15"/>
          <w:color w:val="auto"/>
        </w:rPr>
      </w:pPr>
    </w:p>
    <w:p>
      <w:pPr>
        <w:ind w:left="1820" w:right="2959" w:hanging="464"/>
        <w:spacing w:after="0" w:line="246" w:lineRule="auto"/>
        <w:tabs>
          <w:tab w:leader="none" w:pos="18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Courier New" w:cs="Courier New" w:eastAsia="Courier New" w:hAnsi="Courier New"/>
          <w:sz w:val="15"/>
          <w:szCs w:val="15"/>
          <w:color w:val="auto"/>
        </w:rPr>
      </w:pPr>
    </w:p>
    <w:p>
      <w:pPr>
        <w:ind w:left="1820" w:right="3039" w:hanging="464"/>
        <w:spacing w:after="0" w:line="246" w:lineRule="auto"/>
        <w:tabs>
          <w:tab w:leader="none" w:pos="18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7" w:lineRule="exact"/>
        <w:rPr>
          <w:rFonts w:ascii="Courier New" w:cs="Courier New" w:eastAsia="Courier New" w:hAnsi="Courier New"/>
          <w:sz w:val="15"/>
          <w:szCs w:val="15"/>
          <w:color w:val="auto"/>
        </w:rPr>
      </w:pPr>
    </w:p>
    <w:p>
      <w:pPr>
        <w:ind w:left="1820" w:right="3039" w:hanging="464"/>
        <w:spacing w:after="0" w:line="246" w:lineRule="auto"/>
        <w:tabs>
          <w:tab w:leader="none" w:pos="18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Courier New" w:cs="Courier New" w:eastAsia="Courier New" w:hAnsi="Courier New"/>
          <w:sz w:val="15"/>
          <w:szCs w:val="15"/>
          <w:color w:val="auto"/>
        </w:rPr>
      </w:pPr>
    </w:p>
    <w:p>
      <w:pPr>
        <w:ind w:left="1820" w:right="2959" w:hanging="464"/>
        <w:spacing w:after="0" w:line="247" w:lineRule="auto"/>
        <w:tabs>
          <w:tab w:leader="none" w:pos="18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8, 2006</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/s/Richard Robinson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Richard Robinson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142" w:right="1440" w:bottom="1440" w:gutter="0" w:footer="0" w:header="0"/>
        </w:sectPr>
      </w:pPr>
    </w:p>
    <w:bookmarkStart w:id="98" w:name="page99"/>
    <w:bookmarkEnd w:id="98"/>
    <w:p>
      <w:pPr>
        <w:ind w:left="6180"/>
        <w:spacing w:after="0"/>
        <w:rPr>
          <w:sz w:val="20"/>
          <w:szCs w:val="20"/>
          <w:color w:val="auto"/>
        </w:rPr>
      </w:pPr>
      <w:r>
        <w:rPr>
          <w:rFonts w:ascii="Courier New" w:cs="Courier New" w:eastAsia="Courier New" w:hAnsi="Courier New"/>
          <w:sz w:val="14"/>
          <w:szCs w:val="14"/>
          <w:color w:val="auto"/>
        </w:rPr>
        <w:t>EXHIBIT 31.2</w:t>
      </w:r>
    </w:p>
    <w:p>
      <w:pPr>
        <w:spacing w:after="0" w:line="191"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 Mary A. Winston, the principal financial officer of Scholastic Corporation, certify that:</w:t>
      </w:r>
    </w:p>
    <w:p>
      <w:pPr>
        <w:spacing w:after="0" w:line="175" w:lineRule="exact"/>
        <w:rPr>
          <w:sz w:val="20"/>
          <w:szCs w:val="20"/>
          <w:color w:val="auto"/>
        </w:rPr>
      </w:pPr>
    </w:p>
    <w:p>
      <w:pPr>
        <w:ind w:left="900" w:right="3779" w:hanging="452"/>
        <w:spacing w:after="0" w:line="247" w:lineRule="auto"/>
        <w:tabs>
          <w:tab w:leader="none" w:pos="9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Scholastic Corporation;</w:t>
      </w:r>
    </w:p>
    <w:p>
      <w:pPr>
        <w:spacing w:after="0" w:line="174"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Courier New" w:cs="Courier New" w:eastAsia="Courier New" w:hAnsi="Courier New"/>
          <w:sz w:val="15"/>
          <w:szCs w:val="15"/>
          <w:color w:val="auto"/>
        </w:rPr>
      </w:pPr>
    </w:p>
    <w:p>
      <w:pPr>
        <w:jc w:val="both"/>
        <w:ind w:left="900" w:right="3219" w:hanging="452"/>
        <w:spacing w:after="0" w:line="246" w:lineRule="auto"/>
        <w:tabs>
          <w:tab w:leader="none" w:pos="9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13a-15(f) and 15d-15(f) for the registrant and have:</w:t>
      </w:r>
    </w:p>
    <w:p>
      <w:pPr>
        <w:spacing w:after="0" w:line="179" w:lineRule="exact"/>
        <w:rPr>
          <w:rFonts w:ascii="Courier New" w:cs="Courier New" w:eastAsia="Courier New" w:hAnsi="Courier New"/>
          <w:sz w:val="15"/>
          <w:szCs w:val="15"/>
          <w:color w:val="auto"/>
        </w:rPr>
      </w:pPr>
    </w:p>
    <w:p>
      <w:pPr>
        <w:ind w:left="1820" w:right="2959" w:hanging="464"/>
        <w:spacing w:after="0" w:line="246" w:lineRule="auto"/>
        <w:tabs>
          <w:tab w:leader="none" w:pos="18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Courier New" w:cs="Courier New" w:eastAsia="Courier New" w:hAnsi="Courier New"/>
          <w:sz w:val="15"/>
          <w:szCs w:val="15"/>
          <w:color w:val="auto"/>
        </w:rPr>
      </w:pPr>
    </w:p>
    <w:p>
      <w:pPr>
        <w:ind w:left="1820" w:right="3039" w:hanging="464"/>
        <w:spacing w:after="0" w:line="246" w:lineRule="auto"/>
        <w:tabs>
          <w:tab w:leader="none" w:pos="18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Courier New" w:cs="Courier New" w:eastAsia="Courier New" w:hAnsi="Courier New"/>
          <w:sz w:val="15"/>
          <w:szCs w:val="15"/>
          <w:color w:val="auto"/>
        </w:rPr>
      </w:pPr>
    </w:p>
    <w:p>
      <w:pPr>
        <w:ind w:left="1820" w:right="2959" w:hanging="464"/>
        <w:spacing w:after="0" w:line="246" w:lineRule="auto"/>
        <w:tabs>
          <w:tab w:leader="none" w:pos="18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Courier New" w:cs="Courier New" w:eastAsia="Courier New" w:hAnsi="Courier New"/>
          <w:sz w:val="15"/>
          <w:szCs w:val="15"/>
          <w:color w:val="auto"/>
        </w:rPr>
      </w:pPr>
    </w:p>
    <w:p>
      <w:pPr>
        <w:ind w:left="1820" w:right="3039" w:hanging="464"/>
        <w:spacing w:after="0" w:line="246" w:lineRule="auto"/>
        <w:tabs>
          <w:tab w:leader="none" w:pos="18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7" w:lineRule="exact"/>
        <w:rPr>
          <w:rFonts w:ascii="Courier New" w:cs="Courier New" w:eastAsia="Courier New" w:hAnsi="Courier New"/>
          <w:sz w:val="15"/>
          <w:szCs w:val="15"/>
          <w:color w:val="auto"/>
        </w:rPr>
      </w:pPr>
    </w:p>
    <w:p>
      <w:pPr>
        <w:ind w:left="1820" w:right="3039" w:hanging="464"/>
        <w:spacing w:after="0" w:line="246" w:lineRule="auto"/>
        <w:tabs>
          <w:tab w:leader="none" w:pos="18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Courier New" w:cs="Courier New" w:eastAsia="Courier New" w:hAnsi="Courier New"/>
          <w:sz w:val="15"/>
          <w:szCs w:val="15"/>
          <w:color w:val="auto"/>
        </w:rPr>
      </w:pPr>
    </w:p>
    <w:p>
      <w:pPr>
        <w:ind w:left="1820" w:right="2959" w:hanging="464"/>
        <w:spacing w:after="0" w:line="247" w:lineRule="auto"/>
        <w:tabs>
          <w:tab w:leader="none" w:pos="18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8, 2006</w:t>
      </w:r>
    </w:p>
    <w:p>
      <w:pPr>
        <w:spacing w:after="0" w:line="180"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/s/Mary A. Winston</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Mary A. Winston</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and Chief Financial Officer</w:t>
      </w:r>
    </w:p>
    <w:p>
      <w:pPr>
        <w:sectPr>
          <w:pgSz w:w="11900" w:h="16838" w:orient="portrait"/>
          <w:cols w:equalWidth="0" w:num="1">
            <w:col w:w="10219"/>
          </w:cols>
          <w:pgMar w:left="240" w:top="142" w:right="1440" w:bottom="1440" w:gutter="0" w:footer="0" w:header="0"/>
        </w:sectPr>
      </w:pPr>
    </w:p>
    <w:bookmarkStart w:id="99" w:name="page100"/>
    <w:bookmarkEnd w:id="99"/>
    <w:p>
      <w:pPr>
        <w:jc w:val="right"/>
        <w:ind w:right="2959"/>
        <w:spacing w:after="0"/>
        <w:rPr>
          <w:sz w:val="20"/>
          <w:szCs w:val="20"/>
          <w:color w:val="auto"/>
        </w:rPr>
      </w:pPr>
      <w:r>
        <w:rPr>
          <w:rFonts w:ascii="Courier New" w:cs="Courier New" w:eastAsia="Courier New" w:hAnsi="Courier New"/>
          <w:sz w:val="15"/>
          <w:szCs w:val="15"/>
          <w:color w:val="auto"/>
        </w:rPr>
        <w:t>EXHIBIT 32</w:t>
      </w:r>
    </w:p>
    <w:p>
      <w:pPr>
        <w:spacing w:after="0" w:line="354"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CERTIFICATION</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PURSUANT TO SECTION 906 OF THE SARBANES-OXLEY ACT OF 2002</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WITH RESPECT TO THE ANNUAL REPORT ON FORM 10-K</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FOR THE YEAR ENDED MAY 31, 2006</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OF SCHOLASTIC CORPORATION</w:t>
      </w:r>
    </w:p>
    <w:p>
      <w:pPr>
        <w:spacing w:after="0" w:line="180" w:lineRule="exact"/>
        <w:rPr>
          <w:sz w:val="20"/>
          <w:szCs w:val="20"/>
          <w:color w:val="auto"/>
        </w:rPr>
      </w:pPr>
    </w:p>
    <w:p>
      <w:pPr>
        <w:ind w:left="627"/>
        <w:spacing w:after="0"/>
        <w:tabs>
          <w:tab w:leader="none" w:pos="3526" w:val="left"/>
          <w:tab w:leader="none" w:pos="4986" w:val="left"/>
          <w:tab w:leader="none" w:pos="6166" w:val="left"/>
        </w:tabs>
        <w:rPr>
          <w:sz w:val="20"/>
          <w:szCs w:val="20"/>
          <w:color w:val="auto"/>
        </w:rPr>
      </w:pPr>
      <w:r>
        <w:rPr>
          <w:rFonts w:ascii="Courier New" w:cs="Courier New" w:eastAsia="Courier New" w:hAnsi="Courier New"/>
          <w:sz w:val="15"/>
          <w:szCs w:val="15"/>
          <w:color w:val="auto"/>
        </w:rPr>
        <w:t>Pursuant to Section 906 of the</w:t>
        <w:tab/>
        <w:t>Sarbanes-Oxley</w:t>
        <w:tab/>
        <w:t>Act of 2002</w:t>
        <w:tab/>
        <w:t>(subsections</w:t>
      </w:r>
    </w:p>
    <w:p>
      <w:pPr>
        <w:spacing w:after="0" w:line="5" w:lineRule="exact"/>
        <w:rPr>
          <w:sz w:val="20"/>
          <w:szCs w:val="20"/>
          <w:color w:val="auto"/>
        </w:rPr>
      </w:pPr>
    </w:p>
    <w:p>
      <w:pPr>
        <w:jc w:val="both"/>
        <w:ind w:left="7" w:right="2959" w:hanging="7"/>
        <w:spacing w:after="0" w:line="246" w:lineRule="auto"/>
        <w:tabs>
          <w:tab w:leader="none" w:pos="37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section 1350, chapter 63 of title 18, United States Code), each of the undersigned officers of Scholastic Corporation, a Delaware corporation (the "Company"), does hereby certify to the best of such officer's knowledge, that:</w:t>
      </w:r>
    </w:p>
    <w:p>
      <w:pPr>
        <w:spacing w:after="0" w:line="177" w:lineRule="exact"/>
        <w:rPr>
          <w:rFonts w:ascii="Courier New" w:cs="Courier New" w:eastAsia="Courier New" w:hAnsi="Courier New"/>
          <w:sz w:val="15"/>
          <w:szCs w:val="15"/>
          <w:color w:val="auto"/>
        </w:rPr>
      </w:pPr>
    </w:p>
    <w:p>
      <w:pPr>
        <w:jc w:val="both"/>
        <w:ind w:left="1267" w:right="2959" w:hanging="631"/>
        <w:spacing w:after="0" w:line="246" w:lineRule="auto"/>
        <w:tabs>
          <w:tab w:leader="none" w:pos="126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May 31, 2006 (the "Form 10-K") fully complies with the requirements of Section 13(a) or 15(d) of the Securities Exchange Act of 1934, as amended; and</w:t>
      </w:r>
    </w:p>
    <w:p>
      <w:pPr>
        <w:spacing w:after="0" w:line="177" w:lineRule="exact"/>
        <w:rPr>
          <w:rFonts w:ascii="Courier New" w:cs="Courier New" w:eastAsia="Courier New" w:hAnsi="Courier New"/>
          <w:sz w:val="15"/>
          <w:szCs w:val="15"/>
          <w:color w:val="auto"/>
        </w:rPr>
      </w:pPr>
    </w:p>
    <w:p>
      <w:pPr>
        <w:jc w:val="both"/>
        <w:ind w:left="1267" w:right="2959" w:hanging="631"/>
        <w:spacing w:after="0" w:line="247" w:lineRule="auto"/>
        <w:tabs>
          <w:tab w:leader="none" w:pos="126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contained in the Form 10-K fairly presents, in all material respects, the financial condition and results of operations of the Company.</w:t>
      </w:r>
    </w:p>
    <w:p>
      <w:pPr>
        <w:sectPr>
          <w:pgSz w:w="11900" w:h="16838" w:orient="portrait"/>
          <w:cols w:equalWidth="0" w:num="1">
            <w:col w:w="10226"/>
          </w:cols>
          <w:pgMar w:left="233" w:top="14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 August 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/s/Richard Robinson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Robinson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907" w:space="720"/>
            <w:col w:w="5599"/>
          </w:cols>
          <w:pgMar w:left="233" w:top="141" w:right="1440" w:bottom="1440" w:gutter="0" w:footer="0" w:header="0"/>
          <w:type w:val="continuous"/>
        </w:sect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 August 8, 2006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/s/Mary A. Winston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A. Winston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907" w:space="720"/>
            <w:col w:w="5599"/>
          </w:cols>
          <w:pgMar w:left="233" w:top="141" w:right="1440" w:bottom="1440" w:gutter="0" w:footer="0" w:header="0"/>
          <w:type w:val="continuous"/>
        </w:sectPr>
      </w:pPr>
    </w:p>
    <w:p>
      <w:pPr>
        <w:spacing w:after="0" w:line="154" w:lineRule="exact"/>
        <w:rPr>
          <w:sz w:val="20"/>
          <w:szCs w:val="20"/>
          <w:color w:val="auto"/>
        </w:rPr>
      </w:pPr>
    </w:p>
    <w:p>
      <w:pPr>
        <w:jc w:val="both"/>
        <w:ind w:left="7" w:right="2959" w:firstLine="636"/>
        <w:spacing w:after="0" w:line="246" w:lineRule="auto"/>
        <w:rPr>
          <w:sz w:val="20"/>
          <w:szCs w:val="20"/>
          <w:color w:val="auto"/>
        </w:rPr>
      </w:pPr>
      <w:r>
        <w:rPr>
          <w:rFonts w:ascii="Courier New" w:cs="Courier New" w:eastAsia="Courier New" w:hAnsi="Courier New"/>
          <w:sz w:val="15"/>
          <w:szCs w:val="15"/>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0226"/>
      </w:cols>
      <w:pgMar w:left="233"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I"/>
      <w:numFmt w:val="bullet"/>
      <w:start w:val="1"/>
    </w:lvl>
  </w:abstractNum>
  <w:abstractNum w:abstractNumId="1">
    <w:nsid w:val="257130A3"/>
    <w:multiLevelType w:val="hybridMultilevel"/>
    <w:lvl w:ilvl="0">
      <w:lvlJc w:val="left"/>
      <w:lvlText w:val="S"/>
      <w:numFmt w:val="bullet"/>
      <w:start w:val="1"/>
    </w:lvl>
  </w:abstractNum>
  <w:abstractNum w:abstractNumId="2">
    <w:nsid w:val="62BBD95A"/>
    <w:multiLevelType w:val="hybridMultilevel"/>
    <w:lvl w:ilvl="0">
      <w:lvlJc w:val="left"/>
      <w:lvlText w:val="C"/>
      <w:numFmt w:val="bullet"/>
      <w:start w:val="1"/>
    </w:lvl>
  </w:abstractNum>
  <w:abstractNum w:abstractNumId="3">
    <w:nsid w:val="436C6125"/>
    <w:multiLevelType w:val="hybridMultilevel"/>
    <w:lvl w:ilvl="0">
      <w:lvlJc w:val="left"/>
      <w:lvlText w:val="E"/>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I"/>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32"/>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2"/>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lvl w:ilvl="1">
      <w:lvlJc w:val="left"/>
      <w:lvlText w:val="%2)"/>
      <w:numFmt w:val="lowerRoman"/>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2"/>
    </w:lvl>
  </w:abstractNum>
  <w:abstractNum w:abstractNumId="30">
    <w:nsid w:val="614FD4A1"/>
    <w:multiLevelType w:val="hybridMultilevel"/>
    <w:lvl w:ilvl="0">
      <w:lvlJc w:val="left"/>
      <w:lvlText w:val="%1."/>
      <w:numFmt w:val="decimal"/>
      <w:start w:val="3"/>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2019-12-13T19:47:12Z</dcterms:created>
  <dcterms:modified xsi:type="dcterms:W3CDTF">2019-12-13T19:47:12Z</dcterms:modified>
</cp:coreProperties>
</file>