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2970530</wp:posOffset>
            </wp:positionH>
            <wp:positionV relativeFrom="page">
              <wp:posOffset>157480</wp:posOffset>
            </wp:positionV>
            <wp:extent cx="1629410" cy="2146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629410" cy="214630"/>
                    </a:xfrm>
                    <a:prstGeom prst="rect">
                      <a:avLst/>
                    </a:prstGeom>
                    <a:noFill/>
                  </pic:spPr>
                </pic:pic>
              </a:graphicData>
            </a:graphic>
          </wp:anchor>
        </w:drawing>
        <w:t>UNITED STATES</w:t>
      </w:r>
    </w:p>
    <w:p>
      <w:pPr>
        <w:spacing w:after="0" w:line="21"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Washington, D.C. 20549</w:t>
      </w:r>
    </w:p>
    <w:p>
      <w:pPr>
        <w:spacing w:after="0" w:line="21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31"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QUARTERLY REPORT PURSUANT TO SECTION 13 OR 15(D) OF</w:t>
      </w:r>
    </w:p>
    <w:p>
      <w:pPr>
        <w:spacing w:after="0" w:line="1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THE SECURITIES EXCHANGE ACT OF 1934</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720" w:type="dxa"/>
            <w:vAlign w:val="bottom"/>
          </w:tcPr>
          <w:p>
            <w:pPr>
              <w:spacing w:after="0"/>
              <w:rPr>
                <w:sz w:val="20"/>
                <w:szCs w:val="20"/>
                <w:color w:val="auto"/>
              </w:rPr>
            </w:pPr>
            <w:r>
              <w:rPr>
                <w:rFonts w:ascii="Arial" w:cs="Arial" w:eastAsia="Arial" w:hAnsi="Arial"/>
                <w:sz w:val="18"/>
                <w:szCs w:val="18"/>
                <w:color w:val="auto"/>
                <w:w w:val="91"/>
              </w:rPr>
              <w:t>For the quarterly period ended November 30, 2009</w:t>
            </w:r>
          </w:p>
        </w:tc>
        <w:tc>
          <w:tcPr>
            <w:tcW w:w="7300" w:type="dxa"/>
            <w:vAlign w:val="bottom"/>
          </w:tcPr>
          <w:p>
            <w:pPr>
              <w:ind w:left="3080"/>
              <w:spacing w:after="0"/>
              <w:rPr>
                <w:sz w:val="20"/>
                <w:szCs w:val="20"/>
                <w:color w:val="auto"/>
              </w:rPr>
            </w:pPr>
            <w:r>
              <w:rPr>
                <w:rFonts w:ascii="Arial" w:cs="Arial" w:eastAsia="Arial" w:hAnsi="Arial"/>
                <w:sz w:val="18"/>
                <w:szCs w:val="18"/>
                <w:color w:val="auto"/>
              </w:rPr>
              <w:t>Commission File No. 000-19860</w:t>
            </w:r>
          </w:p>
        </w:tc>
      </w:tr>
      <w:tr>
        <w:trPr>
          <w:trHeight w:val="358"/>
        </w:trPr>
        <w:tc>
          <w:tcPr>
            <w:tcW w:w="3720" w:type="dxa"/>
            <w:vAlign w:val="bottom"/>
          </w:tcPr>
          <w:p>
            <w:pPr>
              <w:spacing w:after="0"/>
              <w:rPr>
                <w:sz w:val="24"/>
                <w:szCs w:val="24"/>
                <w:color w:val="auto"/>
              </w:rPr>
            </w:pPr>
          </w:p>
        </w:tc>
        <w:tc>
          <w:tcPr>
            <w:tcW w:w="7300" w:type="dxa"/>
            <w:vAlign w:val="bottom"/>
          </w:tcPr>
          <w:p>
            <w:pPr>
              <w:jc w:val="center"/>
              <w:ind w:right="3212"/>
              <w:spacing w:after="0"/>
              <w:rPr>
                <w:sz w:val="20"/>
                <w:szCs w:val="20"/>
                <w:color w:val="auto"/>
              </w:rPr>
            </w:pPr>
            <w:r>
              <w:rPr>
                <w:rFonts w:ascii="Arial" w:cs="Arial" w:eastAsia="Arial" w:hAnsi="Arial"/>
                <w:sz w:val="18"/>
                <w:szCs w:val="18"/>
                <w:b w:val="1"/>
                <w:bCs w:val="1"/>
                <w:color w:val="auto"/>
                <w:w w:val="98"/>
              </w:rPr>
              <w:t>SCHOLASTIC CORPORATION</w:t>
            </w:r>
          </w:p>
        </w:tc>
      </w:tr>
      <w:tr>
        <w:trPr>
          <w:trHeight w:val="222"/>
        </w:trPr>
        <w:tc>
          <w:tcPr>
            <w:tcW w:w="3720" w:type="dxa"/>
            <w:vAlign w:val="bottom"/>
          </w:tcPr>
          <w:p>
            <w:pPr>
              <w:spacing w:after="0"/>
              <w:rPr>
                <w:sz w:val="19"/>
                <w:szCs w:val="19"/>
                <w:color w:val="auto"/>
              </w:rPr>
            </w:pPr>
          </w:p>
        </w:tc>
        <w:tc>
          <w:tcPr>
            <w:tcW w:w="7300" w:type="dxa"/>
            <w:vAlign w:val="bottom"/>
          </w:tcPr>
          <w:p>
            <w:pPr>
              <w:jc w:val="center"/>
              <w:ind w:right="3212"/>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466"/>
        </w:trPr>
        <w:tc>
          <w:tcPr>
            <w:tcW w:w="3720" w:type="dxa"/>
            <w:vAlign w:val="bottom"/>
          </w:tcPr>
          <w:p>
            <w:pPr>
              <w:ind w:left="660"/>
              <w:spacing w:after="0"/>
              <w:rPr>
                <w:sz w:val="20"/>
                <w:szCs w:val="20"/>
                <w:color w:val="auto"/>
              </w:rPr>
            </w:pPr>
            <w:r>
              <w:rPr>
                <w:rFonts w:ascii="Arial" w:cs="Arial" w:eastAsia="Arial" w:hAnsi="Arial"/>
                <w:sz w:val="18"/>
                <w:szCs w:val="18"/>
                <w:b w:val="1"/>
                <w:bCs w:val="1"/>
                <w:color w:val="auto"/>
              </w:rPr>
              <w:t>Delaware</w:t>
            </w:r>
          </w:p>
        </w:tc>
        <w:tc>
          <w:tcPr>
            <w:tcW w:w="7300" w:type="dxa"/>
            <w:vAlign w:val="bottom"/>
          </w:tcPr>
          <w:p>
            <w:pPr>
              <w:jc w:val="right"/>
              <w:ind w:right="692"/>
              <w:spacing w:after="0"/>
              <w:rPr>
                <w:sz w:val="20"/>
                <w:szCs w:val="20"/>
                <w:color w:val="auto"/>
              </w:rPr>
            </w:pPr>
            <w:r>
              <w:rPr>
                <w:rFonts w:ascii="Arial" w:cs="Arial" w:eastAsia="Arial" w:hAnsi="Arial"/>
                <w:sz w:val="18"/>
                <w:szCs w:val="18"/>
                <w:b w:val="1"/>
                <w:bCs w:val="1"/>
                <w:color w:val="auto"/>
              </w:rPr>
              <w:t>13-3385513</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(State or other jurisdiction of</w:t>
            </w:r>
          </w:p>
        </w:tc>
        <w:tc>
          <w:tcPr>
            <w:tcW w:w="7300" w:type="dxa"/>
            <w:vAlign w:val="bottom"/>
          </w:tcPr>
          <w:p>
            <w:pPr>
              <w:jc w:val="center"/>
              <w:ind w:left="4792"/>
              <w:spacing w:after="0"/>
              <w:rPr>
                <w:sz w:val="20"/>
                <w:szCs w:val="20"/>
                <w:color w:val="auto"/>
              </w:rPr>
            </w:pPr>
            <w:r>
              <w:rPr>
                <w:rFonts w:ascii="Arial" w:cs="Arial" w:eastAsia="Arial" w:hAnsi="Arial"/>
                <w:sz w:val="18"/>
                <w:szCs w:val="18"/>
                <w:color w:val="auto"/>
                <w:w w:val="92"/>
              </w:rPr>
              <w:t>(IRS Employer Identification No.)</w:t>
            </w:r>
          </w:p>
        </w:tc>
      </w:t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incorporation or organization)</w:t>
            </w:r>
          </w:p>
        </w:tc>
        <w:tc>
          <w:tcPr>
            <w:tcW w:w="7300" w:type="dxa"/>
            <w:vAlign w:val="bottom"/>
          </w:tcPr>
          <w:p>
            <w:pPr>
              <w:spacing w:after="0"/>
              <w:rPr>
                <w:sz w:val="19"/>
                <w:szCs w:val="19"/>
                <w:color w:val="auto"/>
              </w:rPr>
            </w:pPr>
          </w:p>
        </w:tc>
      </w:tr>
      <w:tr>
        <w:trPr>
          <w:trHeight w:val="358"/>
        </w:trPr>
        <w:tc>
          <w:tcPr>
            <w:tcW w:w="3720" w:type="dxa"/>
            <w:vAlign w:val="bottom"/>
          </w:tcPr>
          <w:p>
            <w:pPr>
              <w:spacing w:after="0"/>
              <w:rPr>
                <w:sz w:val="20"/>
                <w:szCs w:val="20"/>
                <w:color w:val="auto"/>
              </w:rPr>
            </w:pPr>
            <w:r>
              <w:rPr>
                <w:rFonts w:ascii="Arial" w:cs="Arial" w:eastAsia="Arial" w:hAnsi="Arial"/>
                <w:sz w:val="18"/>
                <w:szCs w:val="18"/>
                <w:b w:val="1"/>
                <w:bCs w:val="1"/>
                <w:color w:val="auto"/>
              </w:rPr>
              <w:t>557 Broadway, New York, New York</w:t>
            </w:r>
          </w:p>
        </w:tc>
        <w:tc>
          <w:tcPr>
            <w:tcW w:w="7300" w:type="dxa"/>
            <w:vAlign w:val="bottom"/>
          </w:tcPr>
          <w:p>
            <w:pPr>
              <w:jc w:val="right"/>
              <w:ind w:right="912"/>
              <w:spacing w:after="0"/>
              <w:rPr>
                <w:sz w:val="20"/>
                <w:szCs w:val="20"/>
                <w:color w:val="auto"/>
              </w:rPr>
            </w:pPr>
            <w:r>
              <w:rPr>
                <w:rFonts w:ascii="Arial" w:cs="Arial" w:eastAsia="Arial" w:hAnsi="Arial"/>
                <w:sz w:val="18"/>
                <w:szCs w:val="18"/>
                <w:b w:val="1"/>
                <w:bCs w:val="1"/>
                <w:color w:val="auto"/>
              </w:rPr>
              <w:t>10012</w:t>
            </w:r>
          </w:p>
        </w:tc>
      </w:t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(Address of principal executive offices)</w:t>
            </w:r>
          </w:p>
        </w:tc>
        <w:tc>
          <w:tcPr>
            <w:tcW w:w="7300" w:type="dxa"/>
            <w:vAlign w:val="bottom"/>
          </w:tcPr>
          <w:p>
            <w:pPr>
              <w:jc w:val="center"/>
              <w:ind w:left="4792"/>
              <w:spacing w:after="0"/>
              <w:rPr>
                <w:sz w:val="20"/>
                <w:szCs w:val="20"/>
                <w:color w:val="auto"/>
              </w:rPr>
            </w:pPr>
            <w:r>
              <w:rPr>
                <w:rFonts w:ascii="Arial" w:cs="Arial" w:eastAsia="Arial" w:hAnsi="Arial"/>
                <w:sz w:val="18"/>
                <w:szCs w:val="18"/>
                <w:color w:val="auto"/>
                <w:w w:val="91"/>
              </w:rPr>
              <w:t>(Zip Code)</w:t>
            </w:r>
          </w:p>
        </w:tc>
      </w:tr>
    </w:tbl>
    <w:p>
      <w:pPr>
        <w:spacing w:after="0" w:line="21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 (212) 343-6100</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w:t>
      </w:r>
    </w:p>
    <w:p>
      <w:pPr>
        <w:spacing w:after="0" w:line="38" w:lineRule="exact"/>
        <w:rPr>
          <w:sz w:val="24"/>
          <w:szCs w:val="24"/>
          <w:color w:val="auto"/>
        </w:rPr>
      </w:pPr>
    </w:p>
    <w:p>
      <w:pPr>
        <w:spacing w:after="0"/>
        <w:rPr>
          <w:sz w:val="20"/>
          <w:szCs w:val="20"/>
          <w:color w:val="auto"/>
        </w:rPr>
      </w:pPr>
      <w:r>
        <w:rPr>
          <w:rFonts w:ascii="Arial" w:cs="Arial" w:eastAsia="Arial" w:hAnsi="Arial"/>
          <w:sz w:val="15"/>
          <w:szCs w:val="15"/>
          <w:color w:val="auto"/>
        </w:rPr>
        <w:t>the preceding 12 months (or for such shorter period that the Registrant was required to file such reports), and (2) has been subject to such filing requirements for</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color w:val="auto"/>
        </w:rPr>
        <w:t>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219" w:lineRule="exact"/>
        <w:rPr>
          <w:sz w:val="24"/>
          <w:szCs w:val="24"/>
          <w:color w:val="auto"/>
        </w:rPr>
      </w:pPr>
    </w:p>
    <w:p>
      <w:pPr>
        <w:ind w:right="240"/>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(229.405 of this chapter) during the preceding 12 months (or for such shorter period that the registrant was required to submit and post such files). Yes o No o</w:t>
      </w:r>
    </w:p>
    <w:p>
      <w:pPr>
        <w:spacing w:after="0" w:line="194" w:lineRule="exact"/>
        <w:rPr>
          <w:sz w:val="24"/>
          <w:szCs w:val="24"/>
          <w:color w:val="auto"/>
        </w:rPr>
      </w:pPr>
    </w:p>
    <w:p>
      <w:pPr>
        <w:ind w:right="40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60"/>
          </w:cols>
          <w:pgMar w:left="240" w:top="787" w:right="199" w:bottom="1440" w:gutter="0" w:footer="0" w:header="0"/>
        </w:sectPr>
      </w:pPr>
    </w:p>
    <w:p>
      <w:pPr>
        <w:spacing w:after="0" w:line="153"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o</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x</w:t>
      </w:r>
    </w:p>
    <w:p>
      <w:pPr>
        <w:spacing w:after="0" w:line="15"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 o</w:t>
      </w:r>
    </w:p>
    <w:p>
      <w:pPr>
        <w:spacing w:after="0" w:line="211" w:lineRule="exact"/>
        <w:rPr>
          <w:sz w:val="24"/>
          <w:szCs w:val="24"/>
          <w:color w:val="auto"/>
        </w:rPr>
      </w:pPr>
    </w:p>
    <w:p>
      <w:pPr>
        <w:sectPr>
          <w:pgSz w:w="11900" w:h="16838" w:orient="portrait"/>
          <w:cols w:equalWidth="0" w:num="2">
            <w:col w:w="5280" w:space="720"/>
            <w:col w:w="5460"/>
          </w:cols>
          <w:pgMar w:left="240" w:top="787" w:right="199" w:bottom="1440" w:gutter="0" w:footer="0" w:header="0"/>
          <w:type w:val="continuous"/>
        </w:sectPr>
      </w:pPr>
    </w:p>
    <w:p>
      <w:pPr>
        <w:spacing w:after="0" w:line="4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4860" w:type="dxa"/>
            <w:vAlign w:val="bottom"/>
            <w:gridSpan w:val="2"/>
          </w:tcPr>
          <w:p>
            <w:pPr>
              <w:jc w:val="center"/>
              <w:ind w:right="3460"/>
              <w:spacing w:after="0"/>
              <w:rPr>
                <w:sz w:val="20"/>
                <w:szCs w:val="20"/>
                <w:color w:val="auto"/>
              </w:rPr>
            </w:pPr>
            <w:r>
              <w:rPr>
                <w:rFonts w:ascii="Arial" w:cs="Arial" w:eastAsia="Arial" w:hAnsi="Arial"/>
                <w:sz w:val="18"/>
                <w:szCs w:val="18"/>
                <w:color w:val="auto"/>
                <w:w w:val="93"/>
              </w:rPr>
              <w:t>Title</w:t>
            </w:r>
          </w:p>
        </w:tc>
        <w:tc>
          <w:tcPr>
            <w:tcW w:w="3160" w:type="dxa"/>
            <w:vAlign w:val="bottom"/>
          </w:tcPr>
          <w:p>
            <w:pPr>
              <w:jc w:val="center"/>
              <w:spacing w:after="0"/>
              <w:rPr>
                <w:sz w:val="20"/>
                <w:szCs w:val="20"/>
                <w:color w:val="auto"/>
              </w:rPr>
            </w:pPr>
            <w:r>
              <w:rPr>
                <w:rFonts w:ascii="Arial" w:cs="Arial" w:eastAsia="Arial" w:hAnsi="Arial"/>
                <w:sz w:val="18"/>
                <w:szCs w:val="18"/>
                <w:color w:val="auto"/>
                <w:w w:val="87"/>
              </w:rPr>
              <w:t>Number of shares outstanding</w:t>
            </w:r>
          </w:p>
        </w:tc>
        <w:tc>
          <w:tcPr>
            <w:tcW w:w="1300" w:type="dxa"/>
            <w:vAlign w:val="bottom"/>
          </w:tcPr>
          <w:p>
            <w:pPr>
              <w:spacing w:after="0"/>
              <w:rPr>
                <w:sz w:val="18"/>
                <w:szCs w:val="18"/>
                <w:color w:val="auto"/>
              </w:rPr>
            </w:pPr>
          </w:p>
        </w:tc>
      </w:tr>
      <w:tr>
        <w:trPr>
          <w:trHeight w:val="222"/>
        </w:trPr>
        <w:tc>
          <w:tcPr>
            <w:tcW w:w="2140" w:type="dxa"/>
            <w:vAlign w:val="bottom"/>
          </w:tcPr>
          <w:p>
            <w:pPr>
              <w:spacing w:after="0"/>
              <w:rPr>
                <w:sz w:val="19"/>
                <w:szCs w:val="19"/>
                <w:color w:val="auto"/>
              </w:rPr>
            </w:pPr>
          </w:p>
        </w:tc>
        <w:tc>
          <w:tcPr>
            <w:tcW w:w="4860" w:type="dxa"/>
            <w:vAlign w:val="bottom"/>
            <w:gridSpan w:val="2"/>
          </w:tcPr>
          <w:p>
            <w:pPr>
              <w:jc w:val="center"/>
              <w:ind w:right="3400"/>
              <w:spacing w:after="0"/>
              <w:rPr>
                <w:sz w:val="20"/>
                <w:szCs w:val="20"/>
                <w:color w:val="auto"/>
              </w:rPr>
            </w:pPr>
            <w:r>
              <w:rPr>
                <w:rFonts w:ascii="Arial" w:cs="Arial" w:eastAsia="Arial" w:hAnsi="Arial"/>
                <w:sz w:val="18"/>
                <w:szCs w:val="18"/>
                <w:color w:val="auto"/>
                <w:w w:val="85"/>
              </w:rPr>
              <w:t>of each class</w:t>
            </w:r>
          </w:p>
        </w:tc>
        <w:tc>
          <w:tcPr>
            <w:tcW w:w="3160" w:type="dxa"/>
            <w:vAlign w:val="bottom"/>
          </w:tcPr>
          <w:p>
            <w:pPr>
              <w:jc w:val="center"/>
              <w:spacing w:after="0"/>
              <w:rPr>
                <w:sz w:val="20"/>
                <w:szCs w:val="20"/>
                <w:color w:val="auto"/>
              </w:rPr>
            </w:pPr>
            <w:r>
              <w:rPr>
                <w:rFonts w:ascii="Arial" w:cs="Arial" w:eastAsia="Arial" w:hAnsi="Arial"/>
                <w:sz w:val="18"/>
                <w:szCs w:val="18"/>
                <w:color w:val="auto"/>
                <w:w w:val="88"/>
              </w:rPr>
              <w:t>as of November 30, 2009</w:t>
            </w:r>
          </w:p>
        </w:tc>
        <w:tc>
          <w:tcPr>
            <w:tcW w:w="1300" w:type="dxa"/>
            <w:vAlign w:val="bottom"/>
          </w:tcPr>
          <w:p>
            <w:pPr>
              <w:spacing w:after="0"/>
              <w:rPr>
                <w:sz w:val="19"/>
                <w:szCs w:val="19"/>
                <w:color w:val="auto"/>
              </w:rPr>
            </w:pPr>
          </w:p>
        </w:tc>
      </w:tr>
      <w:tr>
        <w:trPr>
          <w:trHeight w:val="110"/>
        </w:trPr>
        <w:tc>
          <w:tcPr>
            <w:tcW w:w="2140" w:type="dxa"/>
            <w:vAlign w:val="bottom"/>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3420" w:type="dxa"/>
            <w:vAlign w:val="bottom"/>
          </w:tcPr>
          <w:p>
            <w:pPr>
              <w:spacing w:after="0"/>
              <w:rPr>
                <w:sz w:val="9"/>
                <w:szCs w:val="9"/>
                <w:color w:val="auto"/>
              </w:rPr>
            </w:pPr>
          </w:p>
        </w:tc>
        <w:tc>
          <w:tcPr>
            <w:tcW w:w="3160" w:type="dxa"/>
            <w:vAlign w:val="bottom"/>
            <w:tcBorders>
              <w:bottom w:val="single" w:sz="8" w:color="808080"/>
            </w:tcBorders>
          </w:tcPr>
          <w:p>
            <w:pPr>
              <w:spacing w:after="0"/>
              <w:rPr>
                <w:sz w:val="9"/>
                <w:szCs w:val="9"/>
                <w:color w:val="auto"/>
              </w:rPr>
            </w:pPr>
          </w:p>
        </w:tc>
        <w:tc>
          <w:tcPr>
            <w:tcW w:w="1300" w:type="dxa"/>
            <w:vAlign w:val="bottom"/>
          </w:tcPr>
          <w:p>
            <w:pPr>
              <w:spacing w:after="0"/>
              <w:rPr>
                <w:sz w:val="9"/>
                <w:szCs w:val="9"/>
                <w:color w:val="auto"/>
              </w:rPr>
            </w:pPr>
          </w:p>
        </w:tc>
      </w:tr>
      <w:tr>
        <w:trPr>
          <w:trHeight w:val="525"/>
        </w:trPr>
        <w:tc>
          <w:tcPr>
            <w:tcW w:w="7000" w:type="dxa"/>
            <w:vAlign w:val="bottom"/>
            <w:gridSpan w:val="3"/>
          </w:tcPr>
          <w:p>
            <w:pPr>
              <w:jc w:val="center"/>
              <w:ind w:right="1260"/>
              <w:spacing w:after="0"/>
              <w:rPr>
                <w:sz w:val="20"/>
                <w:szCs w:val="20"/>
                <w:color w:val="auto"/>
              </w:rPr>
            </w:pPr>
            <w:r>
              <w:rPr>
                <w:rFonts w:ascii="Arial" w:cs="Arial" w:eastAsia="Arial" w:hAnsi="Arial"/>
                <w:sz w:val="18"/>
                <w:szCs w:val="18"/>
                <w:color w:val="auto"/>
                <w:w w:val="88"/>
              </w:rPr>
              <w:t>Common Stock, $.01 par value</w:t>
            </w:r>
          </w:p>
        </w:tc>
        <w:tc>
          <w:tcPr>
            <w:tcW w:w="3160" w:type="dxa"/>
            <w:vAlign w:val="bottom"/>
          </w:tcPr>
          <w:p>
            <w:pPr>
              <w:jc w:val="right"/>
              <w:ind w:right="1112"/>
              <w:spacing w:after="0"/>
              <w:rPr>
                <w:sz w:val="20"/>
                <w:szCs w:val="20"/>
                <w:color w:val="auto"/>
              </w:rPr>
            </w:pPr>
            <w:r>
              <w:rPr>
                <w:rFonts w:ascii="Arial" w:cs="Arial" w:eastAsia="Arial" w:hAnsi="Arial"/>
                <w:sz w:val="18"/>
                <w:szCs w:val="18"/>
                <w:color w:val="auto"/>
              </w:rPr>
              <w:t>34,781,850</w:t>
            </w:r>
          </w:p>
        </w:tc>
        <w:tc>
          <w:tcPr>
            <w:tcW w:w="1300" w:type="dxa"/>
            <w:vAlign w:val="bottom"/>
          </w:tcPr>
          <w:p>
            <w:pPr>
              <w:spacing w:after="0"/>
              <w:rPr>
                <w:sz w:val="24"/>
                <w:szCs w:val="24"/>
                <w:color w:val="auto"/>
              </w:rPr>
            </w:pPr>
          </w:p>
        </w:tc>
      </w:tr>
      <w:tr>
        <w:trPr>
          <w:trHeight w:val="222"/>
        </w:trPr>
        <w:tc>
          <w:tcPr>
            <w:tcW w:w="7000" w:type="dxa"/>
            <w:vAlign w:val="bottom"/>
            <w:gridSpan w:val="3"/>
          </w:tcPr>
          <w:p>
            <w:pPr>
              <w:jc w:val="center"/>
              <w:ind w:right="1280"/>
              <w:spacing w:after="0"/>
              <w:rPr>
                <w:sz w:val="20"/>
                <w:szCs w:val="20"/>
                <w:color w:val="auto"/>
              </w:rPr>
            </w:pPr>
            <w:r>
              <w:rPr>
                <w:rFonts w:ascii="Arial" w:cs="Arial" w:eastAsia="Arial" w:hAnsi="Arial"/>
                <w:sz w:val="18"/>
                <w:szCs w:val="18"/>
                <w:color w:val="auto"/>
                <w:w w:val="88"/>
              </w:rPr>
              <w:t>Class A Stock, $.01 par value</w:t>
            </w:r>
          </w:p>
        </w:tc>
        <w:tc>
          <w:tcPr>
            <w:tcW w:w="3160" w:type="dxa"/>
            <w:vAlign w:val="bottom"/>
          </w:tcPr>
          <w:p>
            <w:pPr>
              <w:jc w:val="right"/>
              <w:ind w:right="1152"/>
              <w:spacing w:after="0"/>
              <w:rPr>
                <w:sz w:val="20"/>
                <w:szCs w:val="20"/>
                <w:color w:val="auto"/>
              </w:rPr>
            </w:pPr>
            <w:r>
              <w:rPr>
                <w:rFonts w:ascii="Arial" w:cs="Arial" w:eastAsia="Arial" w:hAnsi="Arial"/>
                <w:sz w:val="18"/>
                <w:szCs w:val="18"/>
                <w:color w:val="auto"/>
              </w:rPr>
              <w:t>1,656,200</w:t>
            </w:r>
          </w:p>
        </w:tc>
        <w:tc>
          <w:tcPr>
            <w:tcW w:w="1300" w:type="dxa"/>
            <w:vAlign w:val="bottom"/>
          </w:tcPr>
          <w:p>
            <w:pPr>
              <w:spacing w:after="0"/>
              <w:rPr>
                <w:sz w:val="19"/>
                <w:szCs w:val="19"/>
                <w:color w:val="auto"/>
              </w:rPr>
            </w:pPr>
          </w:p>
        </w:tc>
      </w:tr>
      <w:tr>
        <w:trPr>
          <w:trHeight w:val="350"/>
        </w:trPr>
        <w:tc>
          <w:tcPr>
            <w:tcW w:w="2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61"/>
        </w:trPr>
        <w:tc>
          <w:tcPr>
            <w:tcW w:w="214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3420" w:type="dxa"/>
            <w:vAlign w:val="bottom"/>
            <w:shd w:val="clear" w:color="auto" w:fill="808080"/>
          </w:tcPr>
          <w:p>
            <w:pPr>
              <w:spacing w:after="0"/>
              <w:rPr>
                <w:sz w:val="5"/>
                <w:szCs w:val="5"/>
                <w:color w:val="auto"/>
              </w:rPr>
            </w:pPr>
          </w:p>
        </w:tc>
        <w:tc>
          <w:tcPr>
            <w:tcW w:w="316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787" w:right="1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10-Q FOR THE QUARTERLY PERIOD ENDED NOVEMBER 30,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Arial" w:cs="Arial" w:eastAsia="Arial" w:hAnsi="Arial"/>
                <w:sz w:val="18"/>
                <w:szCs w:val="18"/>
                <w:b w:val="1"/>
                <w:bCs w:val="1"/>
                <w:color w:val="auto"/>
              </w:rPr>
              <w:t>Page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340" w:type="dxa"/>
            <w:vAlign w:val="bottom"/>
            <w:gridSpan w:val="8"/>
            <w:vMerge w:val="restart"/>
          </w:tcPr>
          <w:p>
            <w:pPr>
              <w:spacing w:after="0"/>
              <w:rPr>
                <w:rFonts w:ascii="Arial" w:cs="Arial" w:eastAsia="Arial" w:hAnsi="Arial"/>
                <w:sz w:val="18"/>
                <w:szCs w:val="18"/>
                <w:b w:val="1"/>
                <w:bCs w:val="1"/>
                <w:color w:val="0000EE"/>
                <w:w w:val="93"/>
              </w:rPr>
            </w:pPr>
            <w:hyperlink w:anchor="page3">
              <w:r>
                <w:rPr>
                  <w:rFonts w:ascii="Arial" w:cs="Arial" w:eastAsia="Arial" w:hAnsi="Arial"/>
                  <w:sz w:val="18"/>
                  <w:szCs w:val="18"/>
                  <w:b w:val="1"/>
                  <w:bCs w:val="1"/>
                  <w:color w:val="0000EE"/>
                  <w:w w:val="93"/>
                </w:rPr>
                <w:t>Part I – Financial Information</w:t>
              </w:r>
            </w:hyperlink>
          </w:p>
        </w:tc>
        <w:tc>
          <w:tcPr>
            <w:tcW w:w="8480" w:type="dxa"/>
            <w:vAlign w:val="bottom"/>
            <w:gridSpan w:val="10"/>
            <w:vMerge w:val="restart"/>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2340" w:type="dxa"/>
            <w:vAlign w:val="bottom"/>
            <w:tcBorders>
              <w:bottom w:val="single" w:sz="8" w:color="0000EE"/>
            </w:tcBorders>
            <w:gridSpan w:val="8"/>
            <w:vMerge w:val="continue"/>
          </w:tcPr>
          <w:p>
            <w:pPr>
              <w:spacing w:after="0"/>
              <w:rPr>
                <w:sz w:val="24"/>
                <w:szCs w:val="24"/>
                <w:color w:val="auto"/>
              </w:rPr>
            </w:pPr>
          </w:p>
        </w:tc>
        <w:tc>
          <w:tcPr>
            <w:tcW w:w="8480" w:type="dxa"/>
            <w:vAlign w:val="bottom"/>
            <w:gridSpan w:val="10"/>
            <w:vMerge w:val="continue"/>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60" w:type="dxa"/>
            <w:vAlign w:val="bottom"/>
          </w:tcPr>
          <w:p>
            <w:pPr>
              <w:spacing w:after="0"/>
              <w:rPr>
                <w:sz w:val="24"/>
                <w:szCs w:val="24"/>
                <w:color w:val="auto"/>
              </w:rPr>
            </w:pPr>
          </w:p>
        </w:tc>
        <w:tc>
          <w:tcPr>
            <w:tcW w:w="120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06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6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Statements of Operations (Unaudited)</w:t>
              </w:r>
            </w:hyperlink>
          </w:p>
        </w:tc>
        <w:tc>
          <w:tcPr>
            <w:tcW w:w="4600" w:type="dxa"/>
            <w:vAlign w:val="bottom"/>
            <w:gridSpan w:val="3"/>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60" w:type="dxa"/>
            <w:vAlign w:val="bottom"/>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(Unaudited)</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740" w:type="dxa"/>
            <w:vAlign w:val="bottom"/>
            <w:tcBorders>
              <w:top w:val="single" w:sz="8" w:color="0000EE"/>
            </w:tcBorders>
            <w:gridSpan w:val="7"/>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Consolidated Statements of Cash Flows (Unaudited)</w:t>
              </w:r>
            </w:hyperlink>
          </w:p>
        </w:tc>
        <w:tc>
          <w:tcPr>
            <w:tcW w:w="5320" w:type="dxa"/>
            <w:vAlign w:val="bottom"/>
            <w:gridSpan w:val="6"/>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8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Condensed Consolidated Financial Statements (Unaudited)</w:t>
              </w:r>
            </w:hyperlink>
          </w:p>
        </w:tc>
        <w:tc>
          <w:tcPr>
            <w:tcW w:w="4280" w:type="dxa"/>
            <w:vAlign w:val="bottom"/>
            <w:gridSpan w:val="2"/>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6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2.</w:t>
              </w:r>
            </w:hyperlink>
          </w:p>
        </w:tc>
        <w:tc>
          <w:tcPr>
            <w:tcW w:w="680" w:type="dxa"/>
            <w:vAlign w:val="bottom"/>
          </w:tcPr>
          <w:p>
            <w:pPr>
              <w:spacing w:after="0"/>
              <w:rPr>
                <w:sz w:val="24"/>
                <w:szCs w:val="24"/>
                <w:color w:val="auto"/>
              </w:rPr>
            </w:pPr>
          </w:p>
        </w:tc>
        <w:tc>
          <w:tcPr>
            <w:tcW w:w="9060" w:type="dxa"/>
            <w:vAlign w:val="bottom"/>
            <w:gridSpan w:val="1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6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3.</w:t>
              </w:r>
            </w:hyperlink>
          </w:p>
        </w:tc>
        <w:tc>
          <w:tcPr>
            <w:tcW w:w="680" w:type="dxa"/>
            <w:vAlign w:val="bottom"/>
          </w:tcPr>
          <w:p>
            <w:pPr>
              <w:spacing w:after="0"/>
              <w:rPr>
                <w:sz w:val="24"/>
                <w:szCs w:val="24"/>
                <w:color w:val="auto"/>
              </w:rPr>
            </w:pPr>
          </w:p>
        </w:tc>
        <w:tc>
          <w:tcPr>
            <w:tcW w:w="9060" w:type="dxa"/>
            <w:vAlign w:val="bottom"/>
            <w:gridSpan w:val="1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Disclosures about Market Risk</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2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6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4.</w:t>
              </w:r>
            </w:hyperlink>
          </w:p>
        </w:tc>
        <w:tc>
          <w:tcPr>
            <w:tcW w:w="680" w:type="dxa"/>
            <w:vAlign w:val="bottom"/>
          </w:tcPr>
          <w:p>
            <w:pPr>
              <w:spacing w:after="0"/>
              <w:rPr>
                <w:sz w:val="24"/>
                <w:szCs w:val="24"/>
                <w:color w:val="auto"/>
              </w:rPr>
            </w:pPr>
          </w:p>
        </w:tc>
        <w:tc>
          <w:tcPr>
            <w:tcW w:w="9060" w:type="dxa"/>
            <w:vAlign w:val="bottom"/>
            <w:gridSpan w:val="1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82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820" w:type="dxa"/>
            <w:vAlign w:val="bottom"/>
            <w:gridSpan w:val="18"/>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II – Other Information</w:t>
              </w:r>
            </w:hyperlink>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82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6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2.</w:t>
              </w:r>
            </w:hyperlink>
          </w:p>
        </w:tc>
        <w:tc>
          <w:tcPr>
            <w:tcW w:w="680" w:type="dxa"/>
            <w:vAlign w:val="bottom"/>
          </w:tcPr>
          <w:p>
            <w:pPr>
              <w:spacing w:after="0"/>
              <w:rPr>
                <w:sz w:val="24"/>
                <w:szCs w:val="24"/>
                <w:color w:val="auto"/>
              </w:rPr>
            </w:pPr>
          </w:p>
        </w:tc>
        <w:tc>
          <w:tcPr>
            <w:tcW w:w="9060" w:type="dxa"/>
            <w:vAlign w:val="bottom"/>
            <w:gridSpan w:val="1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Unregistered Sales of Equity Securities and Use of Proceeds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080" w:type="dxa"/>
            <w:vAlign w:val="bottom"/>
            <w:gridSpan w:val="3"/>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482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6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4.</w:t>
              </w:r>
            </w:hyperlink>
          </w:p>
        </w:tc>
        <w:tc>
          <w:tcPr>
            <w:tcW w:w="680" w:type="dxa"/>
            <w:vAlign w:val="bottom"/>
          </w:tcPr>
          <w:p>
            <w:pPr>
              <w:spacing w:after="0"/>
              <w:rPr>
                <w:sz w:val="24"/>
                <w:szCs w:val="24"/>
                <w:color w:val="auto"/>
              </w:rPr>
            </w:pPr>
          </w:p>
        </w:tc>
        <w:tc>
          <w:tcPr>
            <w:tcW w:w="9060" w:type="dxa"/>
            <w:vAlign w:val="bottom"/>
            <w:gridSpan w:val="1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Submission of Matters to a Vote of Security Holders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080" w:type="dxa"/>
            <w:vAlign w:val="bottom"/>
            <w:gridSpan w:val="3"/>
            <w:shd w:val="clear" w:color="auto" w:fill="0000EE"/>
          </w:tcPr>
          <w:p>
            <w:pPr>
              <w:spacing w:after="0" w:line="20" w:lineRule="exact"/>
              <w:rPr>
                <w:sz w:val="1"/>
                <w:szCs w:val="1"/>
                <w:color w:val="auto"/>
              </w:rPr>
            </w:pPr>
          </w:p>
        </w:tc>
        <w:tc>
          <w:tcPr>
            <w:tcW w:w="540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6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6.</w:t>
              </w:r>
            </w:hyperlink>
          </w:p>
        </w:tc>
        <w:tc>
          <w:tcPr>
            <w:tcW w:w="680" w:type="dxa"/>
            <w:vAlign w:val="bottom"/>
          </w:tcPr>
          <w:p>
            <w:pPr>
              <w:spacing w:after="0"/>
              <w:rPr>
                <w:sz w:val="24"/>
                <w:szCs w:val="24"/>
                <w:color w:val="auto"/>
              </w:rPr>
            </w:pPr>
          </w:p>
        </w:tc>
        <w:tc>
          <w:tcPr>
            <w:tcW w:w="9060" w:type="dxa"/>
            <w:vAlign w:val="bottom"/>
            <w:gridSpan w:val="1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760" w:type="dxa"/>
            <w:vAlign w:val="bottom"/>
            <w:gridSpan w:val="5"/>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Signatures</w:t>
              </w:r>
            </w:hyperlink>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60" w:type="dxa"/>
            <w:vAlign w:val="bottom"/>
            <w:tcBorders>
              <w:top w:val="single" w:sz="8" w:color="0000EE"/>
              <w:bottom w:val="single" w:sz="8" w:color="808080"/>
            </w:tcBorders>
          </w:tcPr>
          <w:p>
            <w:pPr>
              <w:spacing w:after="0"/>
              <w:rPr>
                <w:sz w:val="24"/>
                <w:szCs w:val="24"/>
                <w:color w:val="auto"/>
              </w:rPr>
            </w:pPr>
          </w:p>
        </w:tc>
        <w:tc>
          <w:tcPr>
            <w:tcW w:w="240" w:type="dxa"/>
            <w:vAlign w:val="bottom"/>
            <w:tcBorders>
              <w:top w:val="single" w:sz="8" w:color="0000EE"/>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27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27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56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40" w:type="dxa"/>
            <w:vAlign w:val="bottom"/>
            <w:tcBorders>
              <w:right w:val="single" w:sz="8" w:color="808080"/>
            </w:tcBorders>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940" w:type="dxa"/>
            <w:vAlign w:val="bottom"/>
            <w:shd w:val="clear" w:color="auto" w:fill="808080"/>
          </w:tcPr>
          <w:p>
            <w:pPr>
              <w:spacing w:after="0"/>
              <w:rPr>
                <w:sz w:val="5"/>
                <w:szCs w:val="5"/>
                <w:color w:val="auto"/>
              </w:rPr>
            </w:pPr>
          </w:p>
        </w:tc>
        <w:tc>
          <w:tcPr>
            <w:tcW w:w="80" w:type="dxa"/>
            <w:vAlign w:val="bottom"/>
            <w:tcBorders>
              <w:left w:val="single" w:sz="8" w:color="808080"/>
            </w:tcBorders>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27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382" w:right="19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940"/>
        <w:spacing w:after="0" w:line="261" w:lineRule="auto"/>
        <w:rPr>
          <w:sz w:val="20"/>
          <w:szCs w:val="20"/>
          <w:color w:val="auto"/>
        </w:rPr>
      </w:pPr>
      <w:r>
        <w:rPr>
          <w:rFonts w:ascii="Arial" w:cs="Arial" w:eastAsia="Arial" w:hAnsi="Arial"/>
          <w:sz w:val="18"/>
          <w:szCs w:val="18"/>
          <w:b w:val="1"/>
          <w:bCs w:val="1"/>
          <w:color w:val="auto"/>
        </w:rPr>
        <w:t xml:space="preserve">CONDENSED CONSOLIDATED STATEMENTS OF OPERATIONS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0" w:type="dxa"/>
            <w:vAlign w:val="bottom"/>
            <w:gridSpan w:val="3"/>
          </w:tcPr>
          <w:p>
            <w:pPr>
              <w:jc w:val="right"/>
              <w:ind w:right="492"/>
              <w:spacing w:after="0"/>
              <w:rPr>
                <w:sz w:val="20"/>
                <w:szCs w:val="20"/>
                <w:color w:val="auto"/>
              </w:rPr>
            </w:pPr>
            <w:r>
              <w:rPr>
                <w:rFonts w:ascii="Arial" w:cs="Arial" w:eastAsia="Arial" w:hAnsi="Arial"/>
                <w:sz w:val="18"/>
                <w:szCs w:val="18"/>
                <w:b w:val="1"/>
                <w:bCs w:val="1"/>
                <w:i w:val="1"/>
                <w:iCs w:val="1"/>
                <w:color w:val="auto"/>
                <w:w w:val="90"/>
              </w:rPr>
              <w:t>Three months ended</w:t>
            </w:r>
          </w:p>
        </w:tc>
        <w:tc>
          <w:tcPr>
            <w:tcW w:w="320" w:type="dxa"/>
            <w:vAlign w:val="bottom"/>
          </w:tcPr>
          <w:p>
            <w:pPr>
              <w:spacing w:after="0"/>
              <w:rPr>
                <w:sz w:val="18"/>
                <w:szCs w:val="18"/>
                <w:color w:val="auto"/>
              </w:rPr>
            </w:pPr>
          </w:p>
        </w:tc>
        <w:tc>
          <w:tcPr>
            <w:tcW w:w="2140" w:type="dxa"/>
            <w:vAlign w:val="bottom"/>
            <w:gridSpan w:val="3"/>
          </w:tcPr>
          <w:p>
            <w:pPr>
              <w:jc w:val="right"/>
              <w:ind w:right="532"/>
              <w:spacing w:after="0"/>
              <w:rPr>
                <w:sz w:val="20"/>
                <w:szCs w:val="20"/>
                <w:color w:val="auto"/>
              </w:rPr>
            </w:pPr>
            <w:r>
              <w:rPr>
                <w:rFonts w:ascii="Arial" w:cs="Arial" w:eastAsia="Arial" w:hAnsi="Arial"/>
                <w:sz w:val="18"/>
                <w:szCs w:val="18"/>
                <w:b w:val="1"/>
                <w:bCs w:val="1"/>
                <w:i w:val="1"/>
                <w:iCs w:val="1"/>
                <w:color w:val="auto"/>
                <w:w w:val="96"/>
              </w:rPr>
              <w:t>Six months ended</w:t>
            </w:r>
          </w:p>
        </w:tc>
      </w:tr>
      <w:tr>
        <w:trPr>
          <w:trHeight w:val="222"/>
        </w:trPr>
        <w:tc>
          <w:tcPr>
            <w:tcW w:w="5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0" w:type="dxa"/>
            <w:vAlign w:val="bottom"/>
            <w:gridSpan w:val="3"/>
          </w:tcPr>
          <w:p>
            <w:pPr>
              <w:jc w:val="right"/>
              <w:ind w:right="712"/>
              <w:spacing w:after="0"/>
              <w:rPr>
                <w:sz w:val="20"/>
                <w:szCs w:val="20"/>
                <w:color w:val="auto"/>
              </w:rPr>
            </w:pPr>
            <w:r>
              <w:rPr>
                <w:rFonts w:ascii="Arial" w:cs="Arial" w:eastAsia="Arial" w:hAnsi="Arial"/>
                <w:sz w:val="18"/>
                <w:szCs w:val="18"/>
                <w:b w:val="1"/>
                <w:bCs w:val="1"/>
                <w:i w:val="1"/>
                <w:iCs w:val="1"/>
                <w:color w:val="auto"/>
              </w:rPr>
              <w:t>November 30,</w:t>
            </w:r>
          </w:p>
        </w:tc>
        <w:tc>
          <w:tcPr>
            <w:tcW w:w="320" w:type="dxa"/>
            <w:vAlign w:val="bottom"/>
          </w:tcPr>
          <w:p>
            <w:pPr>
              <w:spacing w:after="0"/>
              <w:rPr>
                <w:sz w:val="19"/>
                <w:szCs w:val="19"/>
                <w:color w:val="auto"/>
              </w:rPr>
            </w:pPr>
          </w:p>
        </w:tc>
        <w:tc>
          <w:tcPr>
            <w:tcW w:w="2140" w:type="dxa"/>
            <w:vAlign w:val="bottom"/>
            <w:gridSpan w:val="3"/>
          </w:tcPr>
          <w:p>
            <w:pPr>
              <w:jc w:val="right"/>
              <w:ind w:right="652"/>
              <w:spacing w:after="0"/>
              <w:rPr>
                <w:sz w:val="20"/>
                <w:szCs w:val="20"/>
                <w:color w:val="auto"/>
              </w:rPr>
            </w:pPr>
            <w:r>
              <w:rPr>
                <w:rFonts w:ascii="Arial" w:cs="Arial" w:eastAsia="Arial" w:hAnsi="Arial"/>
                <w:sz w:val="18"/>
                <w:szCs w:val="18"/>
                <w:b w:val="1"/>
                <w:bCs w:val="1"/>
                <w:i w:val="1"/>
                <w:iCs w:val="1"/>
                <w:color w:val="auto"/>
              </w:rPr>
              <w:t>November 30,</w:t>
            </w:r>
          </w:p>
        </w:tc>
      </w:tr>
      <w:tr>
        <w:trPr>
          <w:trHeight w:val="110"/>
        </w:trPr>
        <w:tc>
          <w:tcPr>
            <w:tcW w:w="58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316"/>
        </w:trPr>
        <w:tc>
          <w:tcPr>
            <w:tcW w:w="5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jc w:val="right"/>
              <w:ind w:right="392"/>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24"/>
                <w:szCs w:val="24"/>
                <w:color w:val="auto"/>
              </w:rPr>
            </w:pPr>
          </w:p>
        </w:tc>
        <w:tc>
          <w:tcPr>
            <w:tcW w:w="940" w:type="dxa"/>
            <w:vAlign w:val="bottom"/>
          </w:tcPr>
          <w:p>
            <w:pPr>
              <w:jc w:val="right"/>
              <w:ind w:right="412"/>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24"/>
                <w:szCs w:val="24"/>
                <w:color w:val="auto"/>
              </w:rPr>
            </w:pPr>
          </w:p>
        </w:tc>
        <w:tc>
          <w:tcPr>
            <w:tcW w:w="900" w:type="dxa"/>
            <w:vAlign w:val="bottom"/>
          </w:tcPr>
          <w:p>
            <w:pPr>
              <w:jc w:val="right"/>
              <w:ind w:right="372"/>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24"/>
                <w:szCs w:val="24"/>
                <w:color w:val="auto"/>
              </w:rPr>
            </w:pPr>
          </w:p>
        </w:tc>
        <w:tc>
          <w:tcPr>
            <w:tcW w:w="880" w:type="dxa"/>
            <w:vAlign w:val="bottom"/>
          </w:tcPr>
          <w:p>
            <w:pPr>
              <w:jc w:val="right"/>
              <w:ind w:right="352"/>
              <w:spacing w:after="0"/>
              <w:rPr>
                <w:sz w:val="20"/>
                <w:szCs w:val="20"/>
                <w:color w:val="auto"/>
              </w:rPr>
            </w:pPr>
            <w:r>
              <w:rPr>
                <w:rFonts w:ascii="Arial" w:cs="Arial" w:eastAsia="Arial" w:hAnsi="Arial"/>
                <w:sz w:val="18"/>
                <w:szCs w:val="18"/>
                <w:b w:val="1"/>
                <w:bCs w:val="1"/>
                <w:color w:val="auto"/>
              </w:rPr>
              <w:t>2008</w:t>
            </w:r>
          </w:p>
        </w:tc>
      </w:tr>
      <w:tr>
        <w:trPr>
          <w:trHeight w:val="110"/>
        </w:trPr>
        <w:tc>
          <w:tcPr>
            <w:tcW w:w="58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316"/>
        </w:trPr>
        <w:tc>
          <w:tcPr>
            <w:tcW w:w="584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12"/>
              <w:spacing w:after="0"/>
              <w:rPr>
                <w:sz w:val="20"/>
                <w:szCs w:val="20"/>
                <w:color w:val="auto"/>
              </w:rPr>
            </w:pPr>
            <w:r>
              <w:rPr>
                <w:rFonts w:ascii="Arial" w:cs="Arial" w:eastAsia="Arial" w:hAnsi="Arial"/>
                <w:sz w:val="18"/>
                <w:szCs w:val="18"/>
                <w:b w:val="1"/>
                <w:bCs w:val="1"/>
                <w:color w:val="auto"/>
              </w:rPr>
              <w:t>660.1</w:t>
            </w:r>
          </w:p>
        </w:tc>
        <w:tc>
          <w:tcPr>
            <w:tcW w:w="32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12"/>
              <w:spacing w:after="0"/>
              <w:rPr>
                <w:sz w:val="20"/>
                <w:szCs w:val="20"/>
                <w:color w:val="auto"/>
              </w:rPr>
            </w:pPr>
            <w:r>
              <w:rPr>
                <w:rFonts w:ascii="Arial" w:cs="Arial" w:eastAsia="Arial" w:hAnsi="Arial"/>
                <w:sz w:val="18"/>
                <w:szCs w:val="18"/>
                <w:b w:val="1"/>
                <w:bCs w:val="1"/>
                <w:color w:val="auto"/>
              </w:rPr>
              <w:t>653.3</w:t>
            </w:r>
          </w:p>
        </w:tc>
        <w:tc>
          <w:tcPr>
            <w:tcW w:w="32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92"/>
              <w:spacing w:after="0"/>
              <w:rPr>
                <w:sz w:val="20"/>
                <w:szCs w:val="20"/>
                <w:color w:val="auto"/>
              </w:rPr>
            </w:pPr>
            <w:r>
              <w:rPr>
                <w:rFonts w:ascii="Arial" w:cs="Arial" w:eastAsia="Arial" w:hAnsi="Arial"/>
                <w:sz w:val="18"/>
                <w:szCs w:val="18"/>
                <w:b w:val="1"/>
                <w:bCs w:val="1"/>
                <w:color w:val="auto"/>
              </w:rPr>
              <w:t>975.7</w:t>
            </w:r>
          </w:p>
        </w:tc>
        <w:tc>
          <w:tcPr>
            <w:tcW w:w="36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b w:val="1"/>
                <w:bCs w:val="1"/>
                <w:color w:val="auto"/>
              </w:rPr>
              <w:t>929.7</w:t>
            </w:r>
          </w:p>
        </w:tc>
      </w:tr>
      <w:tr>
        <w:trPr>
          <w:trHeight w:val="358"/>
        </w:trPr>
        <w:tc>
          <w:tcPr>
            <w:tcW w:w="584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5840" w:type="dxa"/>
            <w:vAlign w:val="bottom"/>
          </w:tcPr>
          <w:p>
            <w:pPr>
              <w:ind w:left="160"/>
              <w:spacing w:after="0"/>
              <w:rPr>
                <w:sz w:val="20"/>
                <w:szCs w:val="20"/>
                <w:color w:val="auto"/>
              </w:rPr>
            </w:pPr>
            <w:r>
              <w:rPr>
                <w:rFonts w:ascii="Arial" w:cs="Arial" w:eastAsia="Arial" w:hAnsi="Arial"/>
                <w:sz w:val="18"/>
                <w:szCs w:val="18"/>
                <w:color w:val="auto"/>
              </w:rPr>
              <w:t>Cost of goods sold</w:t>
            </w:r>
          </w:p>
        </w:tc>
        <w:tc>
          <w:tcPr>
            <w:tcW w:w="940" w:type="dxa"/>
            <w:vAlign w:val="bottom"/>
          </w:tcPr>
          <w:p>
            <w:pPr>
              <w:spacing w:after="0"/>
              <w:rPr>
                <w:sz w:val="18"/>
                <w:szCs w:val="18"/>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269.7</w:t>
            </w:r>
          </w:p>
        </w:tc>
        <w:tc>
          <w:tcPr>
            <w:tcW w:w="320" w:type="dxa"/>
            <w:vAlign w:val="bottom"/>
          </w:tcPr>
          <w:p>
            <w:pPr>
              <w:spacing w:after="0"/>
              <w:rPr>
                <w:sz w:val="18"/>
                <w:szCs w:val="18"/>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281.2</w:t>
            </w:r>
          </w:p>
        </w:tc>
        <w:tc>
          <w:tcPr>
            <w:tcW w:w="320" w:type="dxa"/>
            <w:vAlign w:val="bottom"/>
          </w:tcPr>
          <w:p>
            <w:pPr>
              <w:spacing w:after="0"/>
              <w:rPr>
                <w:sz w:val="18"/>
                <w:szCs w:val="18"/>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425.8</w:t>
            </w:r>
          </w:p>
        </w:tc>
        <w:tc>
          <w:tcPr>
            <w:tcW w:w="360" w:type="dxa"/>
            <w:vAlign w:val="bottom"/>
          </w:tcPr>
          <w:p>
            <w:pPr>
              <w:spacing w:after="0"/>
              <w:rPr>
                <w:sz w:val="18"/>
                <w:szCs w:val="18"/>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427.2</w:t>
            </w:r>
          </w:p>
        </w:tc>
      </w:tr>
      <w:tr>
        <w:trPr>
          <w:trHeight w:val="216"/>
        </w:trPr>
        <w:tc>
          <w:tcPr>
            <w:tcW w:w="584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940" w:type="dxa"/>
            <w:vAlign w:val="bottom"/>
          </w:tcPr>
          <w:p>
            <w:pPr>
              <w:spacing w:after="0"/>
              <w:rPr>
                <w:sz w:val="18"/>
                <w:szCs w:val="18"/>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224.4</w:t>
            </w:r>
          </w:p>
        </w:tc>
        <w:tc>
          <w:tcPr>
            <w:tcW w:w="320" w:type="dxa"/>
            <w:vAlign w:val="bottom"/>
          </w:tcPr>
          <w:p>
            <w:pPr>
              <w:spacing w:after="0"/>
              <w:rPr>
                <w:sz w:val="18"/>
                <w:szCs w:val="18"/>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230.5</w:t>
            </w:r>
          </w:p>
        </w:tc>
        <w:tc>
          <w:tcPr>
            <w:tcW w:w="320" w:type="dxa"/>
            <w:vAlign w:val="bottom"/>
          </w:tcPr>
          <w:p>
            <w:pPr>
              <w:spacing w:after="0"/>
              <w:rPr>
                <w:sz w:val="18"/>
                <w:szCs w:val="18"/>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398.1</w:t>
            </w:r>
          </w:p>
        </w:tc>
        <w:tc>
          <w:tcPr>
            <w:tcW w:w="360" w:type="dxa"/>
            <w:vAlign w:val="bottom"/>
          </w:tcPr>
          <w:p>
            <w:pPr>
              <w:spacing w:after="0"/>
              <w:rPr>
                <w:sz w:val="18"/>
                <w:szCs w:val="18"/>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403.4</w:t>
            </w:r>
          </w:p>
        </w:tc>
      </w:tr>
      <w:tr>
        <w:trPr>
          <w:trHeight w:val="216"/>
        </w:trPr>
        <w:tc>
          <w:tcPr>
            <w:tcW w:w="5840" w:type="dxa"/>
            <w:vAlign w:val="bottom"/>
          </w:tcPr>
          <w:p>
            <w:pPr>
              <w:ind w:left="160"/>
              <w:spacing w:after="0"/>
              <w:rPr>
                <w:sz w:val="20"/>
                <w:szCs w:val="20"/>
                <w:color w:val="auto"/>
              </w:rPr>
            </w:pPr>
            <w:r>
              <w:rPr>
                <w:rFonts w:ascii="Arial" w:cs="Arial" w:eastAsia="Arial" w:hAnsi="Arial"/>
                <w:sz w:val="18"/>
                <w:szCs w:val="18"/>
                <w:color w:val="auto"/>
              </w:rPr>
              <w:t>Bad debt expense</w:t>
            </w:r>
          </w:p>
        </w:tc>
        <w:tc>
          <w:tcPr>
            <w:tcW w:w="940" w:type="dxa"/>
            <w:vAlign w:val="bottom"/>
          </w:tcPr>
          <w:p>
            <w:pPr>
              <w:spacing w:after="0"/>
              <w:rPr>
                <w:sz w:val="18"/>
                <w:szCs w:val="18"/>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8"/>
                <w:szCs w:val="18"/>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18"/>
                <w:szCs w:val="18"/>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6.5</w:t>
            </w:r>
          </w:p>
        </w:tc>
        <w:tc>
          <w:tcPr>
            <w:tcW w:w="360" w:type="dxa"/>
            <w:vAlign w:val="bottom"/>
          </w:tcPr>
          <w:p>
            <w:pPr>
              <w:spacing w:after="0"/>
              <w:rPr>
                <w:sz w:val="18"/>
                <w:szCs w:val="18"/>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8.3</w:t>
            </w:r>
          </w:p>
        </w:tc>
      </w:tr>
      <w:tr>
        <w:trPr>
          <w:trHeight w:val="216"/>
        </w:trPr>
        <w:tc>
          <w:tcPr>
            <w:tcW w:w="58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8"/>
                <w:szCs w:val="18"/>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14.8</w:t>
            </w:r>
          </w:p>
        </w:tc>
        <w:tc>
          <w:tcPr>
            <w:tcW w:w="320" w:type="dxa"/>
            <w:vAlign w:val="bottom"/>
          </w:tcPr>
          <w:p>
            <w:pPr>
              <w:spacing w:after="0"/>
              <w:rPr>
                <w:sz w:val="18"/>
                <w:szCs w:val="18"/>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15.0</w:t>
            </w:r>
          </w:p>
        </w:tc>
        <w:tc>
          <w:tcPr>
            <w:tcW w:w="320" w:type="dxa"/>
            <w:vAlign w:val="bottom"/>
          </w:tcPr>
          <w:p>
            <w:pPr>
              <w:spacing w:after="0"/>
              <w:rPr>
                <w:sz w:val="18"/>
                <w:szCs w:val="18"/>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29.5</w:t>
            </w:r>
          </w:p>
        </w:tc>
        <w:tc>
          <w:tcPr>
            <w:tcW w:w="360" w:type="dxa"/>
            <w:vAlign w:val="bottom"/>
          </w:tcPr>
          <w:p>
            <w:pPr>
              <w:spacing w:after="0"/>
              <w:rPr>
                <w:sz w:val="18"/>
                <w:szCs w:val="18"/>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30.7</w:t>
            </w:r>
          </w:p>
        </w:tc>
      </w:tr>
      <w:tr>
        <w:trPr>
          <w:trHeight w:val="216"/>
        </w:trPr>
        <w:tc>
          <w:tcPr>
            <w:tcW w:w="5840" w:type="dxa"/>
            <w:vAlign w:val="bottom"/>
          </w:tcPr>
          <w:p>
            <w:pPr>
              <w:ind w:left="160"/>
              <w:spacing w:after="0"/>
              <w:rPr>
                <w:sz w:val="20"/>
                <w:szCs w:val="20"/>
                <w:color w:val="auto"/>
              </w:rPr>
            </w:pPr>
            <w:r>
              <w:rPr>
                <w:rFonts w:ascii="Arial" w:cs="Arial" w:eastAsia="Arial" w:hAnsi="Arial"/>
                <w:sz w:val="18"/>
                <w:szCs w:val="18"/>
                <w:color w:val="auto"/>
              </w:rPr>
              <w:t>Asset impairments</w:t>
            </w:r>
          </w:p>
        </w:tc>
        <w:tc>
          <w:tcPr>
            <w:tcW w:w="940" w:type="dxa"/>
            <w:vAlign w:val="bottom"/>
          </w:tcPr>
          <w:p>
            <w:pPr>
              <w:spacing w:after="0"/>
              <w:rPr>
                <w:sz w:val="18"/>
                <w:szCs w:val="18"/>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40.1</w:t>
            </w:r>
          </w:p>
        </w:tc>
        <w:tc>
          <w:tcPr>
            <w:tcW w:w="320" w:type="dxa"/>
            <w:vAlign w:val="bottom"/>
          </w:tcPr>
          <w:p>
            <w:pPr>
              <w:spacing w:after="0"/>
              <w:rPr>
                <w:sz w:val="18"/>
                <w:szCs w:val="18"/>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40.1</w:t>
            </w:r>
          </w:p>
        </w:tc>
        <w:tc>
          <w:tcPr>
            <w:tcW w:w="360" w:type="dxa"/>
            <w:vAlign w:val="bottom"/>
          </w:tcPr>
          <w:p>
            <w:pPr>
              <w:spacing w:after="0"/>
              <w:rPr>
                <w:sz w:val="18"/>
                <w:szCs w:val="18"/>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22"/>
        </w:trPr>
        <w:tc>
          <w:tcPr>
            <w:tcW w:w="5840" w:type="dxa"/>
            <w:vAlign w:val="bottom"/>
          </w:tcPr>
          <w:p>
            <w:pPr>
              <w:ind w:left="160"/>
              <w:spacing w:after="0"/>
              <w:rPr>
                <w:sz w:val="20"/>
                <w:szCs w:val="20"/>
                <w:color w:val="auto"/>
              </w:rPr>
            </w:pPr>
            <w:r>
              <w:rPr>
                <w:rFonts w:ascii="Arial" w:cs="Arial" w:eastAsia="Arial" w:hAnsi="Arial"/>
                <w:sz w:val="18"/>
                <w:szCs w:val="18"/>
                <w:color w:val="auto"/>
              </w:rPr>
              <w:t>Severance</w:t>
            </w:r>
          </w:p>
        </w:tc>
        <w:tc>
          <w:tcPr>
            <w:tcW w:w="940" w:type="dxa"/>
            <w:vAlign w:val="bottom"/>
          </w:tcPr>
          <w:p>
            <w:pPr>
              <w:spacing w:after="0"/>
              <w:rPr>
                <w:sz w:val="19"/>
                <w:szCs w:val="19"/>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9"/>
                <w:szCs w:val="19"/>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11.4</w:t>
            </w:r>
          </w:p>
        </w:tc>
        <w:tc>
          <w:tcPr>
            <w:tcW w:w="320" w:type="dxa"/>
            <w:vAlign w:val="bottom"/>
          </w:tcPr>
          <w:p>
            <w:pPr>
              <w:spacing w:after="0"/>
              <w:rPr>
                <w:sz w:val="19"/>
                <w:szCs w:val="19"/>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5.4</w:t>
            </w:r>
          </w:p>
        </w:tc>
        <w:tc>
          <w:tcPr>
            <w:tcW w:w="36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14.4</w:t>
            </w:r>
          </w:p>
        </w:tc>
      </w:tr>
      <w:tr>
        <w:trPr>
          <w:trHeight w:val="110"/>
        </w:trPr>
        <w:tc>
          <w:tcPr>
            <w:tcW w:w="58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316"/>
        </w:trPr>
        <w:tc>
          <w:tcPr>
            <w:tcW w:w="5840" w:type="dxa"/>
            <w:vAlign w:val="bottom"/>
          </w:tcPr>
          <w:p>
            <w:pPr>
              <w:spacing w:after="0"/>
              <w:rPr>
                <w:sz w:val="20"/>
                <w:szCs w:val="20"/>
                <w:color w:val="auto"/>
              </w:rPr>
            </w:pPr>
            <w:r>
              <w:rPr>
                <w:rFonts w:ascii="Arial" w:cs="Arial" w:eastAsia="Arial" w:hAnsi="Arial"/>
                <w:sz w:val="18"/>
                <w:szCs w:val="18"/>
                <w:color w:val="auto"/>
              </w:rPr>
              <w:t>Total operating costs and expenses</w:t>
            </w:r>
          </w:p>
        </w:tc>
        <w:tc>
          <w:tcPr>
            <w:tcW w:w="94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554.5</w:t>
            </w:r>
          </w:p>
        </w:tc>
        <w:tc>
          <w:tcPr>
            <w:tcW w:w="3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545.3</w:t>
            </w:r>
          </w:p>
        </w:tc>
        <w:tc>
          <w:tcPr>
            <w:tcW w:w="320" w:type="dxa"/>
            <w:vAlign w:val="bottom"/>
          </w:tcPr>
          <w:p>
            <w:pPr>
              <w:spacing w:after="0"/>
              <w:rPr>
                <w:sz w:val="24"/>
                <w:szCs w:val="24"/>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905.4</w:t>
            </w:r>
          </w:p>
        </w:tc>
        <w:tc>
          <w:tcPr>
            <w:tcW w:w="360" w:type="dxa"/>
            <w:vAlign w:val="bottom"/>
          </w:tcPr>
          <w:p>
            <w:pPr>
              <w:spacing w:after="0"/>
              <w:rPr>
                <w:sz w:val="24"/>
                <w:szCs w:val="24"/>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884.0</w:t>
            </w:r>
          </w:p>
        </w:tc>
      </w:tr>
      <w:tr>
        <w:trPr>
          <w:trHeight w:val="110"/>
        </w:trPr>
        <w:tc>
          <w:tcPr>
            <w:tcW w:w="58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464"/>
        </w:trPr>
        <w:tc>
          <w:tcPr>
            <w:tcW w:w="58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94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b w:val="1"/>
                <w:bCs w:val="1"/>
                <w:color w:val="auto"/>
              </w:rPr>
              <w:t>105.6</w:t>
            </w:r>
          </w:p>
        </w:tc>
        <w:tc>
          <w:tcPr>
            <w:tcW w:w="3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b w:val="1"/>
                <w:bCs w:val="1"/>
                <w:color w:val="auto"/>
              </w:rPr>
              <w:t>108.0</w:t>
            </w:r>
          </w:p>
        </w:tc>
        <w:tc>
          <w:tcPr>
            <w:tcW w:w="320" w:type="dxa"/>
            <w:vAlign w:val="bottom"/>
          </w:tcPr>
          <w:p>
            <w:pPr>
              <w:spacing w:after="0"/>
              <w:rPr>
                <w:sz w:val="24"/>
                <w:szCs w:val="24"/>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b w:val="1"/>
                <w:bCs w:val="1"/>
                <w:color w:val="auto"/>
              </w:rPr>
              <w:t>70.3</w:t>
            </w:r>
          </w:p>
        </w:tc>
        <w:tc>
          <w:tcPr>
            <w:tcW w:w="360" w:type="dxa"/>
            <w:vAlign w:val="bottom"/>
          </w:tcPr>
          <w:p>
            <w:pPr>
              <w:spacing w:after="0"/>
              <w:rPr>
                <w:sz w:val="24"/>
                <w:szCs w:val="24"/>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b w:val="1"/>
                <w:bCs w:val="1"/>
                <w:color w:val="auto"/>
              </w:rPr>
              <w:t>45.7</w:t>
            </w:r>
          </w:p>
        </w:tc>
      </w:tr>
      <w:tr>
        <w:trPr>
          <w:trHeight w:val="358"/>
        </w:trPr>
        <w:tc>
          <w:tcPr>
            <w:tcW w:w="5840" w:type="dxa"/>
            <w:vAlign w:val="bottom"/>
          </w:tcPr>
          <w:p>
            <w:pPr>
              <w:spacing w:after="0"/>
              <w:rPr>
                <w:sz w:val="20"/>
                <w:szCs w:val="20"/>
                <w:color w:val="auto"/>
              </w:rPr>
            </w:pPr>
            <w:r>
              <w:rPr>
                <w:rFonts w:ascii="Arial" w:cs="Arial" w:eastAsia="Arial" w:hAnsi="Arial"/>
                <w:sz w:val="18"/>
                <w:szCs w:val="18"/>
                <w:color w:val="auto"/>
              </w:rPr>
              <w:t>Other income</w:t>
            </w:r>
          </w:p>
        </w:tc>
        <w:tc>
          <w:tcPr>
            <w:tcW w:w="94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0.9</w:t>
            </w:r>
          </w:p>
        </w:tc>
        <w:tc>
          <w:tcPr>
            <w:tcW w:w="360" w:type="dxa"/>
            <w:vAlign w:val="bottom"/>
          </w:tcPr>
          <w:p>
            <w:pPr>
              <w:spacing w:after="0"/>
              <w:rPr>
                <w:sz w:val="24"/>
                <w:szCs w:val="24"/>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22"/>
        </w:trPr>
        <w:tc>
          <w:tcPr>
            <w:tcW w:w="5840" w:type="dxa"/>
            <w:vAlign w:val="bottom"/>
          </w:tcPr>
          <w:p>
            <w:pPr>
              <w:spacing w:after="0"/>
              <w:rPr>
                <w:sz w:val="20"/>
                <w:szCs w:val="20"/>
                <w:color w:val="auto"/>
              </w:rPr>
            </w:pPr>
            <w:r>
              <w:rPr>
                <w:rFonts w:ascii="Arial" w:cs="Arial" w:eastAsia="Arial" w:hAnsi="Arial"/>
                <w:sz w:val="18"/>
                <w:szCs w:val="18"/>
                <w:color w:val="auto"/>
              </w:rPr>
              <w:t>Interest expense, net</w:t>
            </w:r>
          </w:p>
        </w:tc>
        <w:tc>
          <w:tcPr>
            <w:tcW w:w="940" w:type="dxa"/>
            <w:vAlign w:val="bottom"/>
          </w:tcPr>
          <w:p>
            <w:pPr>
              <w:spacing w:after="0"/>
              <w:rPr>
                <w:sz w:val="19"/>
                <w:szCs w:val="19"/>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19"/>
                <w:szCs w:val="19"/>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7.0</w:t>
            </w:r>
          </w:p>
        </w:tc>
        <w:tc>
          <w:tcPr>
            <w:tcW w:w="320" w:type="dxa"/>
            <w:vAlign w:val="bottom"/>
          </w:tcPr>
          <w:p>
            <w:pPr>
              <w:spacing w:after="0"/>
              <w:rPr>
                <w:sz w:val="19"/>
                <w:szCs w:val="19"/>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8.2</w:t>
            </w:r>
          </w:p>
        </w:tc>
        <w:tc>
          <w:tcPr>
            <w:tcW w:w="36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12.9</w:t>
            </w:r>
          </w:p>
        </w:tc>
      </w:tr>
      <w:tr>
        <w:trPr>
          <w:trHeight w:val="110"/>
        </w:trPr>
        <w:tc>
          <w:tcPr>
            <w:tcW w:w="58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458"/>
        </w:trPr>
        <w:tc>
          <w:tcPr>
            <w:tcW w:w="5840" w:type="dxa"/>
            <w:vAlign w:val="bottom"/>
          </w:tcPr>
          <w:p>
            <w:pPr>
              <w:spacing w:after="0"/>
              <w:rPr>
                <w:sz w:val="20"/>
                <w:szCs w:val="20"/>
                <w:color w:val="auto"/>
              </w:rPr>
            </w:pPr>
            <w:r>
              <w:rPr>
                <w:rFonts w:ascii="Arial" w:cs="Arial" w:eastAsia="Arial" w:hAnsi="Arial"/>
                <w:sz w:val="18"/>
                <w:szCs w:val="18"/>
                <w:b w:val="1"/>
                <w:bCs w:val="1"/>
                <w:color w:val="auto"/>
              </w:rPr>
              <w:t>Earnings from continuing operations before income taxes</w:t>
            </w:r>
          </w:p>
        </w:tc>
        <w:tc>
          <w:tcPr>
            <w:tcW w:w="94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b w:val="1"/>
                <w:bCs w:val="1"/>
                <w:color w:val="auto"/>
              </w:rPr>
              <w:t>101.3</w:t>
            </w:r>
          </w:p>
        </w:tc>
        <w:tc>
          <w:tcPr>
            <w:tcW w:w="3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b w:val="1"/>
                <w:bCs w:val="1"/>
                <w:color w:val="auto"/>
              </w:rPr>
              <w:t>101.0</w:t>
            </w:r>
          </w:p>
        </w:tc>
        <w:tc>
          <w:tcPr>
            <w:tcW w:w="320" w:type="dxa"/>
            <w:vAlign w:val="bottom"/>
          </w:tcPr>
          <w:p>
            <w:pPr>
              <w:spacing w:after="0"/>
              <w:rPr>
                <w:sz w:val="24"/>
                <w:szCs w:val="24"/>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b w:val="1"/>
                <w:bCs w:val="1"/>
                <w:color w:val="auto"/>
              </w:rPr>
              <w:t>63.0</w:t>
            </w:r>
          </w:p>
        </w:tc>
        <w:tc>
          <w:tcPr>
            <w:tcW w:w="360" w:type="dxa"/>
            <w:vAlign w:val="bottom"/>
          </w:tcPr>
          <w:p>
            <w:pPr>
              <w:spacing w:after="0"/>
              <w:rPr>
                <w:sz w:val="24"/>
                <w:szCs w:val="24"/>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b w:val="1"/>
                <w:bCs w:val="1"/>
                <w:color w:val="auto"/>
              </w:rPr>
              <w:t>32.8</w:t>
            </w:r>
          </w:p>
        </w:tc>
      </w:tr>
      <w:tr>
        <w:trPr>
          <w:trHeight w:val="222"/>
        </w:trPr>
        <w:tc>
          <w:tcPr>
            <w:tcW w:w="58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940" w:type="dxa"/>
            <w:vAlign w:val="bottom"/>
          </w:tcPr>
          <w:p>
            <w:pPr>
              <w:spacing w:after="0"/>
              <w:rPr>
                <w:sz w:val="19"/>
                <w:szCs w:val="19"/>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44.5</w:t>
            </w:r>
          </w:p>
        </w:tc>
        <w:tc>
          <w:tcPr>
            <w:tcW w:w="320" w:type="dxa"/>
            <w:vAlign w:val="bottom"/>
          </w:tcPr>
          <w:p>
            <w:pPr>
              <w:spacing w:after="0"/>
              <w:rPr>
                <w:sz w:val="19"/>
                <w:szCs w:val="19"/>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42.5</w:t>
            </w:r>
          </w:p>
        </w:tc>
        <w:tc>
          <w:tcPr>
            <w:tcW w:w="320" w:type="dxa"/>
            <w:vAlign w:val="bottom"/>
          </w:tcPr>
          <w:p>
            <w:pPr>
              <w:spacing w:after="0"/>
              <w:rPr>
                <w:sz w:val="19"/>
                <w:szCs w:val="19"/>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30.8</w:t>
            </w:r>
          </w:p>
        </w:tc>
        <w:tc>
          <w:tcPr>
            <w:tcW w:w="36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17.2</w:t>
            </w:r>
          </w:p>
        </w:tc>
      </w:tr>
      <w:tr>
        <w:trPr>
          <w:trHeight w:val="110"/>
        </w:trPr>
        <w:tc>
          <w:tcPr>
            <w:tcW w:w="58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452"/>
        </w:trPr>
        <w:tc>
          <w:tcPr>
            <w:tcW w:w="5840" w:type="dxa"/>
            <w:vAlign w:val="bottom"/>
          </w:tcPr>
          <w:p>
            <w:pPr>
              <w:spacing w:after="0"/>
              <w:rPr>
                <w:sz w:val="20"/>
                <w:szCs w:val="20"/>
                <w:color w:val="auto"/>
              </w:rPr>
            </w:pPr>
            <w:r>
              <w:rPr>
                <w:rFonts w:ascii="Arial" w:cs="Arial" w:eastAsia="Arial" w:hAnsi="Arial"/>
                <w:sz w:val="18"/>
                <w:szCs w:val="18"/>
                <w:b w:val="1"/>
                <w:bCs w:val="1"/>
                <w:color w:val="auto"/>
              </w:rPr>
              <w:t>Earnings from continuing operations</w:t>
            </w:r>
          </w:p>
        </w:tc>
        <w:tc>
          <w:tcPr>
            <w:tcW w:w="94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b w:val="1"/>
                <w:bCs w:val="1"/>
                <w:color w:val="auto"/>
              </w:rPr>
              <w:t>56.8</w:t>
            </w:r>
          </w:p>
        </w:tc>
        <w:tc>
          <w:tcPr>
            <w:tcW w:w="3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b w:val="1"/>
                <w:bCs w:val="1"/>
                <w:color w:val="auto"/>
              </w:rPr>
              <w:t>58.5</w:t>
            </w:r>
          </w:p>
        </w:tc>
        <w:tc>
          <w:tcPr>
            <w:tcW w:w="320" w:type="dxa"/>
            <w:vAlign w:val="bottom"/>
          </w:tcPr>
          <w:p>
            <w:pPr>
              <w:spacing w:after="0"/>
              <w:rPr>
                <w:sz w:val="24"/>
                <w:szCs w:val="24"/>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b w:val="1"/>
                <w:bCs w:val="1"/>
                <w:color w:val="auto"/>
              </w:rPr>
              <w:t>32.2</w:t>
            </w:r>
          </w:p>
        </w:tc>
        <w:tc>
          <w:tcPr>
            <w:tcW w:w="360" w:type="dxa"/>
            <w:vAlign w:val="bottom"/>
          </w:tcPr>
          <w:p>
            <w:pPr>
              <w:spacing w:after="0"/>
              <w:rPr>
                <w:sz w:val="24"/>
                <w:szCs w:val="24"/>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b w:val="1"/>
                <w:bCs w:val="1"/>
                <w:color w:val="auto"/>
              </w:rPr>
              <w:t>15.6</w:t>
            </w:r>
          </w:p>
        </w:tc>
      </w:tr>
      <w:tr>
        <w:trPr>
          <w:trHeight w:val="228"/>
        </w:trPr>
        <w:tc>
          <w:tcPr>
            <w:tcW w:w="5840" w:type="dxa"/>
            <w:vAlign w:val="bottom"/>
          </w:tcPr>
          <w:p>
            <w:pPr>
              <w:spacing w:after="0"/>
              <w:rPr>
                <w:sz w:val="20"/>
                <w:szCs w:val="20"/>
                <w:color w:val="auto"/>
              </w:rPr>
            </w:pPr>
            <w:r>
              <w:rPr>
                <w:rFonts w:ascii="Arial" w:cs="Arial" w:eastAsia="Arial" w:hAnsi="Arial"/>
                <w:sz w:val="18"/>
                <w:szCs w:val="18"/>
                <w:b w:val="1"/>
                <w:bCs w:val="1"/>
                <w:color w:val="auto"/>
              </w:rPr>
              <w:t>(Loss) earnings from discontinued operations, net of tax</w:t>
            </w:r>
          </w:p>
        </w:tc>
        <w:tc>
          <w:tcPr>
            <w:tcW w:w="94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(1.3)</w:t>
            </w:r>
          </w:p>
        </w:tc>
        <w:tc>
          <w:tcPr>
            <w:tcW w:w="32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(15.4)</w:t>
            </w:r>
          </w:p>
        </w:tc>
        <w:tc>
          <w:tcPr>
            <w:tcW w:w="320" w:type="dxa"/>
            <w:vAlign w:val="bottom"/>
          </w:tcPr>
          <w:p>
            <w:pPr>
              <w:spacing w:after="0"/>
              <w:rPr>
                <w:sz w:val="19"/>
                <w:szCs w:val="19"/>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b w:val="1"/>
                <w:bCs w:val="1"/>
                <w:color w:val="auto"/>
              </w:rPr>
              <w:t>0.3</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(21.6)</w:t>
            </w:r>
          </w:p>
        </w:tc>
      </w:tr>
      <w:tr>
        <w:trPr>
          <w:trHeight w:val="110"/>
        </w:trPr>
        <w:tc>
          <w:tcPr>
            <w:tcW w:w="58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464"/>
        </w:trPr>
        <w:tc>
          <w:tcPr>
            <w:tcW w:w="584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12"/>
              <w:spacing w:after="0"/>
              <w:rPr>
                <w:sz w:val="20"/>
                <w:szCs w:val="20"/>
                <w:color w:val="auto"/>
              </w:rPr>
            </w:pPr>
            <w:r>
              <w:rPr>
                <w:rFonts w:ascii="Arial" w:cs="Arial" w:eastAsia="Arial" w:hAnsi="Arial"/>
                <w:sz w:val="18"/>
                <w:szCs w:val="18"/>
                <w:b w:val="1"/>
                <w:bCs w:val="1"/>
                <w:color w:val="auto"/>
              </w:rPr>
              <w:t>55.5</w:t>
            </w:r>
          </w:p>
        </w:tc>
        <w:tc>
          <w:tcPr>
            <w:tcW w:w="32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12"/>
              <w:spacing w:after="0"/>
              <w:rPr>
                <w:sz w:val="20"/>
                <w:szCs w:val="20"/>
                <w:color w:val="auto"/>
              </w:rPr>
            </w:pPr>
            <w:r>
              <w:rPr>
                <w:rFonts w:ascii="Arial" w:cs="Arial" w:eastAsia="Arial" w:hAnsi="Arial"/>
                <w:sz w:val="18"/>
                <w:szCs w:val="18"/>
                <w:b w:val="1"/>
                <w:bCs w:val="1"/>
                <w:color w:val="auto"/>
              </w:rPr>
              <w:t>43.1</w:t>
            </w:r>
          </w:p>
        </w:tc>
        <w:tc>
          <w:tcPr>
            <w:tcW w:w="32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92"/>
              <w:spacing w:after="0"/>
              <w:rPr>
                <w:sz w:val="20"/>
                <w:szCs w:val="20"/>
                <w:color w:val="auto"/>
              </w:rPr>
            </w:pPr>
            <w:r>
              <w:rPr>
                <w:rFonts w:ascii="Arial" w:cs="Arial" w:eastAsia="Arial" w:hAnsi="Arial"/>
                <w:sz w:val="18"/>
                <w:szCs w:val="18"/>
                <w:b w:val="1"/>
                <w:bCs w:val="1"/>
                <w:color w:val="auto"/>
              </w:rPr>
              <w:t>32.5</w:t>
            </w:r>
          </w:p>
        </w:tc>
        <w:tc>
          <w:tcPr>
            <w:tcW w:w="36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(6.0)</w:t>
            </w:r>
          </w:p>
        </w:tc>
      </w:tr>
      <w:tr>
        <w:trPr>
          <w:trHeight w:val="110"/>
        </w:trPr>
        <w:tc>
          <w:tcPr>
            <w:tcW w:w="58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452"/>
        </w:trPr>
        <w:tc>
          <w:tcPr>
            <w:tcW w:w="5840" w:type="dxa"/>
            <w:vAlign w:val="bottom"/>
          </w:tcPr>
          <w:p>
            <w:pPr>
              <w:spacing w:after="0"/>
              <w:rPr>
                <w:sz w:val="20"/>
                <w:szCs w:val="20"/>
                <w:color w:val="auto"/>
              </w:rPr>
            </w:pPr>
            <w:r>
              <w:rPr>
                <w:rFonts w:ascii="Arial" w:cs="Arial" w:eastAsia="Arial" w:hAnsi="Arial"/>
                <w:sz w:val="18"/>
                <w:szCs w:val="18"/>
                <w:b w:val="1"/>
                <w:bCs w:val="1"/>
                <w:color w:val="auto"/>
                <w:w w:val="99"/>
              </w:rPr>
              <w:t>Basic and diluted earnings (loss) per Share of Class A and Common</w:t>
            </w: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2"/>
        </w:trPr>
        <w:tc>
          <w:tcPr>
            <w:tcW w:w="5840" w:type="dxa"/>
            <w:vAlign w:val="bottom"/>
          </w:tcPr>
          <w:p>
            <w:pPr>
              <w:ind w:left="160"/>
              <w:spacing w:after="0"/>
              <w:rPr>
                <w:sz w:val="20"/>
                <w:szCs w:val="20"/>
                <w:color w:val="auto"/>
              </w:rPr>
            </w:pPr>
            <w:r>
              <w:rPr>
                <w:rFonts w:ascii="Arial" w:cs="Arial" w:eastAsia="Arial" w:hAnsi="Arial"/>
                <w:sz w:val="18"/>
                <w:szCs w:val="18"/>
                <w:b w:val="1"/>
                <w:bCs w:val="1"/>
                <w:color w:val="auto"/>
              </w:rPr>
              <w:t>Stock</w:t>
            </w: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6"/>
        </w:trPr>
        <w:tc>
          <w:tcPr>
            <w:tcW w:w="5840" w:type="dxa"/>
            <w:vAlign w:val="bottom"/>
          </w:tcPr>
          <w:p>
            <w:pPr>
              <w:ind w:left="320"/>
              <w:spacing w:after="0"/>
              <w:rPr>
                <w:sz w:val="20"/>
                <w:szCs w:val="20"/>
                <w:color w:val="auto"/>
              </w:rPr>
            </w:pPr>
            <w:r>
              <w:rPr>
                <w:rFonts w:ascii="Arial" w:cs="Arial" w:eastAsia="Arial" w:hAnsi="Arial"/>
                <w:sz w:val="18"/>
                <w:szCs w:val="18"/>
                <w:color w:val="auto"/>
              </w:rPr>
              <w:t>Basic:</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840" w:type="dxa"/>
            <w:vAlign w:val="bottom"/>
          </w:tcPr>
          <w:p>
            <w:pPr>
              <w:ind w:left="480"/>
              <w:spacing w:after="0"/>
              <w:rPr>
                <w:sz w:val="20"/>
                <w:szCs w:val="20"/>
                <w:color w:val="auto"/>
              </w:rPr>
            </w:pPr>
            <w:r>
              <w:rPr>
                <w:rFonts w:ascii="Arial" w:cs="Arial" w:eastAsia="Arial" w:hAnsi="Arial"/>
                <w:sz w:val="18"/>
                <w:szCs w:val="18"/>
                <w:color w:val="auto"/>
              </w:rPr>
              <w:t>Earnings from continuing operations</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1.56</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1.56</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0.88</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0.41</w:t>
            </w:r>
          </w:p>
        </w:tc>
      </w:tr>
      <w:tr>
        <w:trPr>
          <w:trHeight w:val="216"/>
        </w:trPr>
        <w:tc>
          <w:tcPr>
            <w:tcW w:w="5840" w:type="dxa"/>
            <w:vAlign w:val="bottom"/>
          </w:tcPr>
          <w:p>
            <w:pPr>
              <w:ind w:left="480"/>
              <w:spacing w:after="0"/>
              <w:rPr>
                <w:sz w:val="20"/>
                <w:szCs w:val="20"/>
                <w:color w:val="auto"/>
              </w:rPr>
            </w:pPr>
            <w:r>
              <w:rPr>
                <w:rFonts w:ascii="Arial" w:cs="Arial" w:eastAsia="Arial" w:hAnsi="Arial"/>
                <w:sz w:val="18"/>
                <w:szCs w:val="18"/>
                <w:color w:val="auto"/>
              </w:rPr>
              <w:t>(Loss) earnings from discontinued operations, net of tax</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(0.04)</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(0.41)</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0.01</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(0.57)</w:t>
            </w:r>
          </w:p>
        </w:tc>
      </w:tr>
      <w:tr>
        <w:trPr>
          <w:trHeight w:val="216"/>
        </w:trPr>
        <w:tc>
          <w:tcPr>
            <w:tcW w:w="5840" w:type="dxa"/>
            <w:vAlign w:val="bottom"/>
          </w:tcPr>
          <w:p>
            <w:pPr>
              <w:ind w:left="480"/>
              <w:spacing w:after="0"/>
              <w:rPr>
                <w:sz w:val="20"/>
                <w:szCs w:val="20"/>
                <w:color w:val="auto"/>
              </w:rPr>
            </w:pPr>
            <w:r>
              <w:rPr>
                <w:rFonts w:ascii="Arial" w:cs="Arial" w:eastAsia="Arial" w:hAnsi="Arial"/>
                <w:sz w:val="18"/>
                <w:szCs w:val="18"/>
                <w:color w:val="auto"/>
              </w:rPr>
              <w:t>Net earnings (loss)</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1.52</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1.15</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0.89</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(0.16)</w:t>
            </w:r>
          </w:p>
        </w:tc>
      </w:tr>
      <w:tr>
        <w:trPr>
          <w:trHeight w:val="216"/>
        </w:trPr>
        <w:tc>
          <w:tcPr>
            <w:tcW w:w="5840" w:type="dxa"/>
            <w:vAlign w:val="bottom"/>
          </w:tcPr>
          <w:p>
            <w:pPr>
              <w:ind w:left="320"/>
              <w:spacing w:after="0"/>
              <w:rPr>
                <w:sz w:val="20"/>
                <w:szCs w:val="20"/>
                <w:color w:val="auto"/>
              </w:rPr>
            </w:pPr>
            <w:r>
              <w:rPr>
                <w:rFonts w:ascii="Arial" w:cs="Arial" w:eastAsia="Arial" w:hAnsi="Arial"/>
                <w:sz w:val="18"/>
                <w:szCs w:val="18"/>
                <w:color w:val="auto"/>
              </w:rPr>
              <w:t>Diluted:</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840" w:type="dxa"/>
            <w:vAlign w:val="bottom"/>
          </w:tcPr>
          <w:p>
            <w:pPr>
              <w:ind w:left="480"/>
              <w:spacing w:after="0"/>
              <w:rPr>
                <w:sz w:val="20"/>
                <w:szCs w:val="20"/>
                <w:color w:val="auto"/>
              </w:rPr>
            </w:pPr>
            <w:r>
              <w:rPr>
                <w:rFonts w:ascii="Arial" w:cs="Arial" w:eastAsia="Arial" w:hAnsi="Arial"/>
                <w:sz w:val="18"/>
                <w:szCs w:val="18"/>
                <w:color w:val="auto"/>
              </w:rPr>
              <w:t>Earnings from continuing operations</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1.54</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1.55</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0.88</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0.41</w:t>
            </w:r>
          </w:p>
        </w:tc>
      </w:tr>
      <w:tr>
        <w:trPr>
          <w:trHeight w:val="216"/>
        </w:trPr>
        <w:tc>
          <w:tcPr>
            <w:tcW w:w="5840" w:type="dxa"/>
            <w:vAlign w:val="bottom"/>
          </w:tcPr>
          <w:p>
            <w:pPr>
              <w:ind w:left="480"/>
              <w:spacing w:after="0"/>
              <w:rPr>
                <w:sz w:val="20"/>
                <w:szCs w:val="20"/>
                <w:color w:val="auto"/>
              </w:rPr>
            </w:pPr>
            <w:r>
              <w:rPr>
                <w:rFonts w:ascii="Arial" w:cs="Arial" w:eastAsia="Arial" w:hAnsi="Arial"/>
                <w:sz w:val="18"/>
                <w:szCs w:val="18"/>
                <w:color w:val="auto"/>
              </w:rPr>
              <w:t>Loss from discontinued operations, net of tax</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(0.03)</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(0.40)</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0.00</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(0.57)</w:t>
            </w:r>
          </w:p>
        </w:tc>
      </w:tr>
      <w:tr>
        <w:trPr>
          <w:trHeight w:val="222"/>
        </w:trPr>
        <w:tc>
          <w:tcPr>
            <w:tcW w:w="5840" w:type="dxa"/>
            <w:vAlign w:val="bottom"/>
          </w:tcPr>
          <w:p>
            <w:pPr>
              <w:ind w:left="480"/>
              <w:spacing w:after="0"/>
              <w:rPr>
                <w:sz w:val="20"/>
                <w:szCs w:val="20"/>
                <w:color w:val="auto"/>
              </w:rPr>
            </w:pPr>
            <w:r>
              <w:rPr>
                <w:rFonts w:ascii="Arial" w:cs="Arial" w:eastAsia="Arial" w:hAnsi="Arial"/>
                <w:sz w:val="18"/>
                <w:szCs w:val="18"/>
                <w:color w:val="auto"/>
              </w:rPr>
              <w:t>Net earnings (loss)</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1.51</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1.15</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0.88</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(0.16)</w:t>
            </w:r>
          </w:p>
        </w:tc>
      </w:tr>
      <w:tr>
        <w:trPr>
          <w:trHeight w:val="365"/>
        </w:trPr>
        <w:tc>
          <w:tcPr>
            <w:tcW w:w="5840" w:type="dxa"/>
            <w:vAlign w:val="bottom"/>
          </w:tcPr>
          <w:p>
            <w:pPr>
              <w:ind w:left="320"/>
              <w:spacing w:after="0"/>
              <w:rPr>
                <w:sz w:val="20"/>
                <w:szCs w:val="20"/>
                <w:color w:val="auto"/>
              </w:rPr>
            </w:pPr>
            <w:r>
              <w:rPr>
                <w:rFonts w:ascii="Arial" w:cs="Arial" w:eastAsia="Arial" w:hAnsi="Arial"/>
                <w:sz w:val="18"/>
                <w:szCs w:val="18"/>
                <w:b w:val="1"/>
                <w:bCs w:val="1"/>
                <w:color w:val="auto"/>
              </w:rPr>
              <w:t>Dividends declared per common share</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0.075</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0.075</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0.150</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0.150</w:t>
            </w:r>
          </w:p>
        </w:tc>
      </w:tr>
      <w:tr>
        <w:trPr>
          <w:trHeight w:val="110"/>
        </w:trPr>
        <w:tc>
          <w:tcPr>
            <w:tcW w:w="58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0" w:type="dxa"/>
            <w:vAlign w:val="bottom"/>
          </w:tcPr>
          <w:p>
            <w:pPr>
              <w:spacing w:after="0"/>
              <w:rPr>
                <w:sz w:val="19"/>
                <w:szCs w:val="19"/>
                <w:color w:val="auto"/>
              </w:rPr>
            </w:pPr>
          </w:p>
        </w:tc>
        <w:tc>
          <w:tcPr>
            <w:tcW w:w="230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November 30, 2009</w:t>
            </w:r>
          </w:p>
        </w:tc>
        <w:tc>
          <w:tcPr>
            <w:tcW w:w="144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May 31, 2009</w:t>
            </w:r>
          </w:p>
        </w:tc>
        <w:tc>
          <w:tcPr>
            <w:tcW w:w="190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November 30, 2008</w:t>
            </w:r>
          </w:p>
        </w:tc>
      </w:tr>
      <w:tr>
        <w:trPr>
          <w:trHeight w:val="110"/>
        </w:trPr>
        <w:tc>
          <w:tcPr>
            <w:tcW w:w="58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r>
      <w:tr>
        <w:trPr>
          <w:trHeight w:val="309"/>
        </w:trPr>
        <w:tc>
          <w:tcPr>
            <w:tcW w:w="58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58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Current Assets:</w:t>
            </w:r>
          </w:p>
        </w:tc>
        <w:tc>
          <w:tcPr>
            <w:tcW w:w="1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800" w:type="dxa"/>
            <w:vAlign w:val="bottom"/>
          </w:tcPr>
          <w:p>
            <w:pPr>
              <w:ind w:left="320"/>
              <w:spacing w:after="0"/>
              <w:rPr>
                <w:sz w:val="20"/>
                <w:szCs w:val="20"/>
                <w:color w:val="auto"/>
              </w:rPr>
            </w:pPr>
            <w:r>
              <w:rPr>
                <w:rFonts w:ascii="Arial" w:cs="Arial" w:eastAsia="Arial" w:hAnsi="Arial"/>
                <w:sz w:val="18"/>
                <w:szCs w:val="18"/>
                <w:color w:val="auto"/>
              </w:rPr>
              <w:t>Cash and cash equivalents</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178.3</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143.6</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29.8</w:t>
            </w:r>
          </w:p>
        </w:tc>
      </w:tr>
      <w:tr>
        <w:trPr>
          <w:trHeight w:val="216"/>
        </w:trPr>
        <w:tc>
          <w:tcPr>
            <w:tcW w:w="5800" w:type="dxa"/>
            <w:vAlign w:val="bottom"/>
          </w:tcPr>
          <w:p>
            <w:pPr>
              <w:ind w:left="320"/>
              <w:spacing w:after="0"/>
              <w:rPr>
                <w:sz w:val="20"/>
                <w:szCs w:val="20"/>
                <w:color w:val="auto"/>
              </w:rPr>
            </w:pPr>
            <w:r>
              <w:rPr>
                <w:rFonts w:ascii="Arial" w:cs="Arial" w:eastAsia="Arial" w:hAnsi="Arial"/>
                <w:sz w:val="18"/>
                <w:szCs w:val="18"/>
                <w:color w:val="auto"/>
              </w:rPr>
              <w:t>Accounts receivable, net</w:t>
            </w:r>
          </w:p>
        </w:tc>
        <w:tc>
          <w:tcPr>
            <w:tcW w:w="108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284.6</w:t>
            </w:r>
          </w:p>
        </w:tc>
        <w:tc>
          <w:tcPr>
            <w:tcW w:w="500" w:type="dxa"/>
            <w:vAlign w:val="bottom"/>
          </w:tcPr>
          <w:p>
            <w:pPr>
              <w:spacing w:after="0"/>
              <w:rPr>
                <w:sz w:val="18"/>
                <w:szCs w:val="18"/>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197.4</w:t>
            </w:r>
          </w:p>
        </w:tc>
        <w:tc>
          <w:tcPr>
            <w:tcW w:w="78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264.3</w:t>
            </w:r>
          </w:p>
        </w:tc>
      </w:tr>
      <w:tr>
        <w:trPr>
          <w:trHeight w:val="216"/>
        </w:trPr>
        <w:tc>
          <w:tcPr>
            <w:tcW w:w="5800" w:type="dxa"/>
            <w:vAlign w:val="bottom"/>
          </w:tcPr>
          <w:p>
            <w:pPr>
              <w:ind w:left="320"/>
              <w:spacing w:after="0"/>
              <w:rPr>
                <w:sz w:val="20"/>
                <w:szCs w:val="20"/>
                <w:color w:val="auto"/>
              </w:rPr>
            </w:pPr>
            <w:r>
              <w:rPr>
                <w:rFonts w:ascii="Arial" w:cs="Arial" w:eastAsia="Arial" w:hAnsi="Arial"/>
                <w:sz w:val="18"/>
                <w:szCs w:val="18"/>
                <w:color w:val="auto"/>
              </w:rPr>
              <w:t>Inventories, net</w:t>
            </w:r>
          </w:p>
        </w:tc>
        <w:tc>
          <w:tcPr>
            <w:tcW w:w="108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374.7</w:t>
            </w:r>
          </w:p>
        </w:tc>
        <w:tc>
          <w:tcPr>
            <w:tcW w:w="500" w:type="dxa"/>
            <w:vAlign w:val="bottom"/>
          </w:tcPr>
          <w:p>
            <w:pPr>
              <w:spacing w:after="0"/>
              <w:rPr>
                <w:sz w:val="18"/>
                <w:szCs w:val="18"/>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344.8</w:t>
            </w:r>
          </w:p>
        </w:tc>
        <w:tc>
          <w:tcPr>
            <w:tcW w:w="78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422.5</w:t>
            </w:r>
          </w:p>
        </w:tc>
      </w:tr>
      <w:tr>
        <w:trPr>
          <w:trHeight w:val="216"/>
        </w:trPr>
        <w:tc>
          <w:tcPr>
            <w:tcW w:w="580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108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65.2</w:t>
            </w:r>
          </w:p>
        </w:tc>
        <w:tc>
          <w:tcPr>
            <w:tcW w:w="500" w:type="dxa"/>
            <w:vAlign w:val="bottom"/>
          </w:tcPr>
          <w:p>
            <w:pPr>
              <w:spacing w:after="0"/>
              <w:rPr>
                <w:sz w:val="18"/>
                <w:szCs w:val="18"/>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62.7</w:t>
            </w:r>
          </w:p>
        </w:tc>
        <w:tc>
          <w:tcPr>
            <w:tcW w:w="78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125.2</w:t>
            </w:r>
          </w:p>
        </w:tc>
      </w:tr>
      <w:tr>
        <w:trPr>
          <w:trHeight w:val="216"/>
        </w:trPr>
        <w:tc>
          <w:tcPr>
            <w:tcW w:w="580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108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41.7</w:t>
            </w:r>
          </w:p>
        </w:tc>
        <w:tc>
          <w:tcPr>
            <w:tcW w:w="500" w:type="dxa"/>
            <w:vAlign w:val="bottom"/>
          </w:tcPr>
          <w:p>
            <w:pPr>
              <w:spacing w:after="0"/>
              <w:rPr>
                <w:sz w:val="18"/>
                <w:szCs w:val="18"/>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40.3</w:t>
            </w:r>
          </w:p>
        </w:tc>
        <w:tc>
          <w:tcPr>
            <w:tcW w:w="78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70.6</w:t>
            </w:r>
          </w:p>
        </w:tc>
      </w:tr>
      <w:tr>
        <w:trPr>
          <w:trHeight w:val="222"/>
        </w:trPr>
        <w:tc>
          <w:tcPr>
            <w:tcW w:w="5800" w:type="dxa"/>
            <w:vAlign w:val="bottom"/>
          </w:tcPr>
          <w:p>
            <w:pPr>
              <w:ind w:left="320"/>
              <w:spacing w:after="0"/>
              <w:rPr>
                <w:sz w:val="20"/>
                <w:szCs w:val="20"/>
                <w:color w:val="auto"/>
              </w:rPr>
            </w:pPr>
            <w:r>
              <w:rPr>
                <w:rFonts w:ascii="Arial" w:cs="Arial" w:eastAsia="Arial" w:hAnsi="Arial"/>
                <w:sz w:val="18"/>
                <w:szCs w:val="18"/>
                <w:color w:val="auto"/>
              </w:rPr>
              <w:t>Current assets of discontinued operations</w:t>
            </w:r>
          </w:p>
        </w:tc>
        <w:tc>
          <w:tcPr>
            <w:tcW w:w="1080" w:type="dxa"/>
            <w:vAlign w:val="bottom"/>
          </w:tcPr>
          <w:p>
            <w:pPr>
              <w:spacing w:after="0"/>
              <w:rPr>
                <w:sz w:val="19"/>
                <w:szCs w:val="19"/>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24.4</w:t>
            </w:r>
          </w:p>
        </w:tc>
        <w:tc>
          <w:tcPr>
            <w:tcW w:w="500" w:type="dxa"/>
            <w:vAlign w:val="bottom"/>
          </w:tcPr>
          <w:p>
            <w:pPr>
              <w:spacing w:after="0"/>
              <w:rPr>
                <w:sz w:val="19"/>
                <w:szCs w:val="19"/>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31.0</w:t>
            </w:r>
          </w:p>
        </w:tc>
        <w:tc>
          <w:tcPr>
            <w:tcW w:w="780" w:type="dxa"/>
            <w:vAlign w:val="bottom"/>
          </w:tcPr>
          <w:p>
            <w:pPr>
              <w:spacing w:after="0"/>
              <w:rPr>
                <w:sz w:val="19"/>
                <w:szCs w:val="19"/>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73.3</w:t>
            </w:r>
          </w:p>
        </w:tc>
      </w:tr>
      <w:tr>
        <w:trPr>
          <w:trHeight w:val="110"/>
        </w:trPr>
        <w:tc>
          <w:tcPr>
            <w:tcW w:w="58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r>
      <w:tr>
        <w:trPr>
          <w:trHeight w:val="464"/>
        </w:trPr>
        <w:tc>
          <w:tcPr>
            <w:tcW w:w="5800" w:type="dxa"/>
            <w:vAlign w:val="bottom"/>
          </w:tcPr>
          <w:p>
            <w:pPr>
              <w:ind w:left="480"/>
              <w:spacing w:after="0"/>
              <w:rPr>
                <w:sz w:val="20"/>
                <w:szCs w:val="20"/>
                <w:color w:val="auto"/>
              </w:rPr>
            </w:pPr>
            <w:r>
              <w:rPr>
                <w:rFonts w:ascii="Arial" w:cs="Arial" w:eastAsia="Arial" w:hAnsi="Arial"/>
                <w:sz w:val="18"/>
                <w:szCs w:val="18"/>
                <w:i w:val="1"/>
                <w:iCs w:val="1"/>
                <w:color w:val="auto"/>
              </w:rPr>
              <w:t>Total current assets</w:t>
            </w:r>
          </w:p>
        </w:tc>
        <w:tc>
          <w:tcPr>
            <w:tcW w:w="1080" w:type="dxa"/>
            <w:vAlign w:val="bottom"/>
          </w:tcPr>
          <w:p>
            <w:pPr>
              <w:spacing w:after="0"/>
              <w:rPr>
                <w:sz w:val="24"/>
                <w:szCs w:val="24"/>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968.9</w:t>
            </w:r>
          </w:p>
        </w:tc>
        <w:tc>
          <w:tcPr>
            <w:tcW w:w="500" w:type="dxa"/>
            <w:vAlign w:val="bottom"/>
          </w:tcPr>
          <w:p>
            <w:pPr>
              <w:spacing w:after="0"/>
              <w:rPr>
                <w:sz w:val="24"/>
                <w:szCs w:val="24"/>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819.8</w:t>
            </w:r>
          </w:p>
        </w:tc>
        <w:tc>
          <w:tcPr>
            <w:tcW w:w="780" w:type="dxa"/>
            <w:vAlign w:val="bottom"/>
          </w:tcPr>
          <w:p>
            <w:pPr>
              <w:spacing w:after="0"/>
              <w:rPr>
                <w:sz w:val="24"/>
                <w:szCs w:val="24"/>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985.7</w:t>
            </w:r>
          </w:p>
        </w:tc>
      </w:tr>
      <w:tr>
        <w:trPr>
          <w:trHeight w:val="358"/>
        </w:trPr>
        <w:tc>
          <w:tcPr>
            <w:tcW w:w="5800" w:type="dxa"/>
            <w:vAlign w:val="bottom"/>
          </w:tcPr>
          <w:p>
            <w:pPr>
              <w:ind w:left="320"/>
              <w:spacing w:after="0"/>
              <w:rPr>
                <w:sz w:val="20"/>
                <w:szCs w:val="20"/>
                <w:color w:val="auto"/>
              </w:rPr>
            </w:pPr>
            <w:r>
              <w:rPr>
                <w:rFonts w:ascii="Arial" w:cs="Arial" w:eastAsia="Arial" w:hAnsi="Arial"/>
                <w:sz w:val="18"/>
                <w:szCs w:val="18"/>
                <w:color w:val="auto"/>
              </w:rPr>
              <w:t>Property, plant and equipment, net</w:t>
            </w:r>
          </w:p>
        </w:tc>
        <w:tc>
          <w:tcPr>
            <w:tcW w:w="1080" w:type="dxa"/>
            <w:vAlign w:val="bottom"/>
          </w:tcPr>
          <w:p>
            <w:pPr>
              <w:spacing w:after="0"/>
              <w:rPr>
                <w:sz w:val="24"/>
                <w:szCs w:val="24"/>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305.3</w:t>
            </w:r>
          </w:p>
        </w:tc>
        <w:tc>
          <w:tcPr>
            <w:tcW w:w="500" w:type="dxa"/>
            <w:vAlign w:val="bottom"/>
          </w:tcPr>
          <w:p>
            <w:pPr>
              <w:spacing w:after="0"/>
              <w:rPr>
                <w:sz w:val="24"/>
                <w:szCs w:val="24"/>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315.4</w:t>
            </w:r>
          </w:p>
        </w:tc>
        <w:tc>
          <w:tcPr>
            <w:tcW w:w="780" w:type="dxa"/>
            <w:vAlign w:val="bottom"/>
          </w:tcPr>
          <w:p>
            <w:pPr>
              <w:spacing w:after="0"/>
              <w:rPr>
                <w:sz w:val="24"/>
                <w:szCs w:val="24"/>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323.8</w:t>
            </w:r>
          </w:p>
        </w:tc>
      </w:tr>
      <w:tr>
        <w:trPr>
          <w:trHeight w:val="216"/>
        </w:trPr>
        <w:tc>
          <w:tcPr>
            <w:tcW w:w="5800" w:type="dxa"/>
            <w:vAlign w:val="bottom"/>
          </w:tcPr>
          <w:p>
            <w:pPr>
              <w:ind w:left="320"/>
              <w:spacing w:after="0"/>
              <w:rPr>
                <w:sz w:val="20"/>
                <w:szCs w:val="20"/>
                <w:color w:val="auto"/>
              </w:rPr>
            </w:pPr>
            <w:r>
              <w:rPr>
                <w:rFonts w:ascii="Arial" w:cs="Arial" w:eastAsia="Arial" w:hAnsi="Arial"/>
                <w:sz w:val="18"/>
                <w:szCs w:val="18"/>
                <w:color w:val="auto"/>
              </w:rPr>
              <w:t>Prepublication costs</w:t>
            </w:r>
          </w:p>
        </w:tc>
        <w:tc>
          <w:tcPr>
            <w:tcW w:w="108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111.1</w:t>
            </w:r>
          </w:p>
        </w:tc>
        <w:tc>
          <w:tcPr>
            <w:tcW w:w="500" w:type="dxa"/>
            <w:vAlign w:val="bottom"/>
          </w:tcPr>
          <w:p>
            <w:pPr>
              <w:spacing w:after="0"/>
              <w:rPr>
                <w:sz w:val="18"/>
                <w:szCs w:val="18"/>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121.5</w:t>
            </w:r>
          </w:p>
        </w:tc>
        <w:tc>
          <w:tcPr>
            <w:tcW w:w="78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114.5</w:t>
            </w:r>
          </w:p>
        </w:tc>
      </w:tr>
      <w:tr>
        <w:trPr>
          <w:trHeight w:val="216"/>
        </w:trPr>
        <w:tc>
          <w:tcPr>
            <w:tcW w:w="5800" w:type="dxa"/>
            <w:vAlign w:val="bottom"/>
          </w:tcPr>
          <w:p>
            <w:pPr>
              <w:ind w:left="320"/>
              <w:spacing w:after="0"/>
              <w:rPr>
                <w:sz w:val="20"/>
                <w:szCs w:val="20"/>
                <w:color w:val="auto"/>
              </w:rPr>
            </w:pPr>
            <w:r>
              <w:rPr>
                <w:rFonts w:ascii="Arial" w:cs="Arial" w:eastAsia="Arial" w:hAnsi="Arial"/>
                <w:sz w:val="18"/>
                <w:szCs w:val="18"/>
                <w:color w:val="auto"/>
              </w:rPr>
              <w:t>Royalty advances, net</w:t>
            </w:r>
          </w:p>
        </w:tc>
        <w:tc>
          <w:tcPr>
            <w:tcW w:w="108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41.3</w:t>
            </w:r>
          </w:p>
        </w:tc>
        <w:tc>
          <w:tcPr>
            <w:tcW w:w="500" w:type="dxa"/>
            <w:vAlign w:val="bottom"/>
          </w:tcPr>
          <w:p>
            <w:pPr>
              <w:spacing w:after="0"/>
              <w:rPr>
                <w:sz w:val="18"/>
                <w:szCs w:val="18"/>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41.5</w:t>
            </w:r>
          </w:p>
        </w:tc>
        <w:tc>
          <w:tcPr>
            <w:tcW w:w="78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44.9</w:t>
            </w:r>
          </w:p>
        </w:tc>
      </w:tr>
      <w:tr>
        <w:trPr>
          <w:trHeight w:val="216"/>
        </w:trPr>
        <w:tc>
          <w:tcPr>
            <w:tcW w:w="5800" w:type="dxa"/>
            <w:vAlign w:val="bottom"/>
          </w:tcPr>
          <w:p>
            <w:pPr>
              <w:ind w:left="320"/>
              <w:spacing w:after="0"/>
              <w:rPr>
                <w:sz w:val="20"/>
                <w:szCs w:val="20"/>
                <w:color w:val="auto"/>
              </w:rPr>
            </w:pPr>
            <w:r>
              <w:rPr>
                <w:rFonts w:ascii="Arial" w:cs="Arial" w:eastAsia="Arial" w:hAnsi="Arial"/>
                <w:sz w:val="18"/>
                <w:szCs w:val="18"/>
                <w:color w:val="auto"/>
              </w:rPr>
              <w:t>Production costs</w:t>
            </w:r>
          </w:p>
        </w:tc>
        <w:tc>
          <w:tcPr>
            <w:tcW w:w="108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6.7</w:t>
            </w:r>
          </w:p>
        </w:tc>
        <w:tc>
          <w:tcPr>
            <w:tcW w:w="500" w:type="dxa"/>
            <w:vAlign w:val="bottom"/>
          </w:tcPr>
          <w:p>
            <w:pPr>
              <w:spacing w:after="0"/>
              <w:rPr>
                <w:sz w:val="18"/>
                <w:szCs w:val="18"/>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6.0</w:t>
            </w:r>
          </w:p>
        </w:tc>
        <w:tc>
          <w:tcPr>
            <w:tcW w:w="78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5.6</w:t>
            </w:r>
          </w:p>
        </w:tc>
      </w:tr>
      <w:tr>
        <w:trPr>
          <w:trHeight w:val="216"/>
        </w:trPr>
        <w:tc>
          <w:tcPr>
            <w:tcW w:w="5800" w:type="dxa"/>
            <w:vAlign w:val="bottom"/>
          </w:tcPr>
          <w:p>
            <w:pPr>
              <w:ind w:left="320"/>
              <w:spacing w:after="0"/>
              <w:rPr>
                <w:sz w:val="20"/>
                <w:szCs w:val="20"/>
                <w:color w:val="auto"/>
              </w:rPr>
            </w:pPr>
            <w:r>
              <w:rPr>
                <w:rFonts w:ascii="Arial" w:cs="Arial" w:eastAsia="Arial" w:hAnsi="Arial"/>
                <w:sz w:val="18"/>
                <w:szCs w:val="18"/>
                <w:color w:val="auto"/>
              </w:rPr>
              <w:t>Goodwill</w:t>
            </w:r>
          </w:p>
        </w:tc>
        <w:tc>
          <w:tcPr>
            <w:tcW w:w="108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157.0</w:t>
            </w:r>
          </w:p>
        </w:tc>
        <w:tc>
          <w:tcPr>
            <w:tcW w:w="500" w:type="dxa"/>
            <w:vAlign w:val="bottom"/>
          </w:tcPr>
          <w:p>
            <w:pPr>
              <w:spacing w:after="0"/>
              <w:rPr>
                <w:sz w:val="18"/>
                <w:szCs w:val="18"/>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157.0</w:t>
            </w:r>
          </w:p>
        </w:tc>
        <w:tc>
          <w:tcPr>
            <w:tcW w:w="78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159.7</w:t>
            </w:r>
          </w:p>
        </w:tc>
      </w:tr>
      <w:tr>
        <w:trPr>
          <w:trHeight w:val="216"/>
        </w:trPr>
        <w:tc>
          <w:tcPr>
            <w:tcW w:w="5800" w:type="dxa"/>
            <w:vAlign w:val="bottom"/>
          </w:tcPr>
          <w:p>
            <w:pPr>
              <w:ind w:left="320"/>
              <w:spacing w:after="0"/>
              <w:rPr>
                <w:sz w:val="20"/>
                <w:szCs w:val="20"/>
                <w:color w:val="auto"/>
              </w:rPr>
            </w:pPr>
            <w:r>
              <w:rPr>
                <w:rFonts w:ascii="Arial" w:cs="Arial" w:eastAsia="Arial" w:hAnsi="Arial"/>
                <w:sz w:val="18"/>
                <w:szCs w:val="18"/>
                <w:color w:val="auto"/>
              </w:rPr>
              <w:t>Other intangibles</w:t>
            </w:r>
          </w:p>
        </w:tc>
        <w:tc>
          <w:tcPr>
            <w:tcW w:w="108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18.8</w:t>
            </w:r>
          </w:p>
        </w:tc>
        <w:tc>
          <w:tcPr>
            <w:tcW w:w="500" w:type="dxa"/>
            <w:vAlign w:val="bottom"/>
          </w:tcPr>
          <w:p>
            <w:pPr>
              <w:spacing w:after="0"/>
              <w:rPr>
                <w:sz w:val="18"/>
                <w:szCs w:val="18"/>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46.8</w:t>
            </w:r>
          </w:p>
        </w:tc>
        <w:tc>
          <w:tcPr>
            <w:tcW w:w="78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47.1</w:t>
            </w:r>
          </w:p>
        </w:tc>
      </w:tr>
      <w:tr>
        <w:trPr>
          <w:trHeight w:val="222"/>
        </w:trPr>
        <w:tc>
          <w:tcPr>
            <w:tcW w:w="5800" w:type="dxa"/>
            <w:vAlign w:val="bottom"/>
          </w:tcPr>
          <w:p>
            <w:pPr>
              <w:ind w:left="320"/>
              <w:spacing w:after="0"/>
              <w:rPr>
                <w:sz w:val="20"/>
                <w:szCs w:val="20"/>
                <w:color w:val="auto"/>
              </w:rPr>
            </w:pPr>
            <w:r>
              <w:rPr>
                <w:rFonts w:ascii="Arial" w:cs="Arial" w:eastAsia="Arial" w:hAnsi="Arial"/>
                <w:sz w:val="18"/>
                <w:szCs w:val="18"/>
                <w:color w:val="auto"/>
              </w:rPr>
              <w:t>Other assets and deferred charges</w:t>
            </w:r>
          </w:p>
        </w:tc>
        <w:tc>
          <w:tcPr>
            <w:tcW w:w="1080" w:type="dxa"/>
            <w:vAlign w:val="bottom"/>
          </w:tcPr>
          <w:p>
            <w:pPr>
              <w:spacing w:after="0"/>
              <w:rPr>
                <w:sz w:val="19"/>
                <w:szCs w:val="19"/>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98.6</w:t>
            </w:r>
          </w:p>
        </w:tc>
        <w:tc>
          <w:tcPr>
            <w:tcW w:w="500" w:type="dxa"/>
            <w:vAlign w:val="bottom"/>
          </w:tcPr>
          <w:p>
            <w:pPr>
              <w:spacing w:after="0"/>
              <w:rPr>
                <w:sz w:val="19"/>
                <w:szCs w:val="19"/>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100.8</w:t>
            </w:r>
          </w:p>
        </w:tc>
        <w:tc>
          <w:tcPr>
            <w:tcW w:w="780" w:type="dxa"/>
            <w:vAlign w:val="bottom"/>
          </w:tcPr>
          <w:p>
            <w:pPr>
              <w:spacing w:after="0"/>
              <w:rPr>
                <w:sz w:val="19"/>
                <w:szCs w:val="19"/>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108.4</w:t>
            </w:r>
          </w:p>
        </w:tc>
      </w:tr>
      <w:tr>
        <w:trPr>
          <w:trHeight w:val="110"/>
        </w:trPr>
        <w:tc>
          <w:tcPr>
            <w:tcW w:w="58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r>
      <w:tr>
        <w:trPr>
          <w:trHeight w:val="316"/>
        </w:trPr>
        <w:tc>
          <w:tcPr>
            <w:tcW w:w="58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08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492"/>
              <w:spacing w:after="0"/>
              <w:rPr>
                <w:sz w:val="20"/>
                <w:szCs w:val="20"/>
                <w:color w:val="auto"/>
              </w:rPr>
            </w:pPr>
            <w:r>
              <w:rPr>
                <w:rFonts w:ascii="Arial" w:cs="Arial" w:eastAsia="Arial" w:hAnsi="Arial"/>
                <w:sz w:val="18"/>
                <w:szCs w:val="18"/>
                <w:b w:val="1"/>
                <w:bCs w:val="1"/>
                <w:color w:val="auto"/>
              </w:rPr>
              <w:t>1,707.7</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252"/>
              <w:spacing w:after="0"/>
              <w:rPr>
                <w:sz w:val="20"/>
                <w:szCs w:val="20"/>
                <w:color w:val="auto"/>
              </w:rPr>
            </w:pPr>
            <w:r>
              <w:rPr>
                <w:rFonts w:ascii="Arial" w:cs="Arial" w:eastAsia="Arial" w:hAnsi="Arial"/>
                <w:sz w:val="18"/>
                <w:szCs w:val="18"/>
                <w:b w:val="1"/>
                <w:bCs w:val="1"/>
                <w:color w:val="auto"/>
                <w:w w:val="96"/>
              </w:rPr>
              <w:t>1,608.8</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432"/>
              <w:spacing w:after="0"/>
              <w:rPr>
                <w:sz w:val="20"/>
                <w:szCs w:val="20"/>
                <w:color w:val="auto"/>
              </w:rPr>
            </w:pPr>
            <w:r>
              <w:rPr>
                <w:rFonts w:ascii="Arial" w:cs="Arial" w:eastAsia="Arial" w:hAnsi="Arial"/>
                <w:sz w:val="18"/>
                <w:szCs w:val="18"/>
                <w:b w:val="1"/>
                <w:bCs w:val="1"/>
                <w:color w:val="auto"/>
                <w:w w:val="96"/>
              </w:rPr>
              <w:t>1,789.7</w:t>
            </w:r>
          </w:p>
        </w:tc>
      </w:tr>
      <w:tr>
        <w:trPr>
          <w:trHeight w:val="110"/>
        </w:trPr>
        <w:tc>
          <w:tcPr>
            <w:tcW w:w="58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r>
      <w:tr>
        <w:trPr>
          <w:trHeight w:val="458"/>
        </w:trPr>
        <w:tc>
          <w:tcPr>
            <w:tcW w:w="58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58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Current Liabilities:</w:t>
            </w:r>
          </w:p>
        </w:tc>
        <w:tc>
          <w:tcPr>
            <w:tcW w:w="1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800" w:type="dxa"/>
            <w:vAlign w:val="bottom"/>
          </w:tcPr>
          <w:p>
            <w:pPr>
              <w:ind w:left="320"/>
              <w:spacing w:after="0"/>
              <w:rPr>
                <w:sz w:val="20"/>
                <w:szCs w:val="20"/>
                <w:color w:val="auto"/>
              </w:rPr>
            </w:pPr>
            <w:r>
              <w:rPr>
                <w:rFonts w:ascii="Arial" w:cs="Arial" w:eastAsia="Arial" w:hAnsi="Arial"/>
                <w:sz w:val="18"/>
                <w:szCs w:val="18"/>
                <w:color w:val="auto"/>
              </w:rPr>
              <w:t>Lines of credit, short-term debt and current portion of long-term debt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55.8</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53.7</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70.2</w:t>
            </w:r>
          </w:p>
        </w:tc>
      </w:tr>
      <w:tr>
        <w:trPr>
          <w:trHeight w:val="216"/>
        </w:trPr>
        <w:tc>
          <w:tcPr>
            <w:tcW w:w="5800" w:type="dxa"/>
            <w:vAlign w:val="bottom"/>
          </w:tcPr>
          <w:p>
            <w:pPr>
              <w:ind w:left="320"/>
              <w:spacing w:after="0"/>
              <w:rPr>
                <w:sz w:val="20"/>
                <w:szCs w:val="20"/>
                <w:color w:val="auto"/>
              </w:rPr>
            </w:pPr>
            <w:r>
              <w:rPr>
                <w:rFonts w:ascii="Arial" w:cs="Arial" w:eastAsia="Arial" w:hAnsi="Arial"/>
                <w:sz w:val="18"/>
                <w:szCs w:val="18"/>
                <w:color w:val="auto"/>
              </w:rPr>
              <w:t>Capital lease obligations</w:t>
            </w:r>
          </w:p>
        </w:tc>
        <w:tc>
          <w:tcPr>
            <w:tcW w:w="108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2.2</w:t>
            </w:r>
          </w:p>
        </w:tc>
        <w:tc>
          <w:tcPr>
            <w:tcW w:w="500" w:type="dxa"/>
            <w:vAlign w:val="bottom"/>
          </w:tcPr>
          <w:p>
            <w:pPr>
              <w:spacing w:after="0"/>
              <w:rPr>
                <w:sz w:val="18"/>
                <w:szCs w:val="18"/>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3.4</w:t>
            </w:r>
          </w:p>
        </w:tc>
        <w:tc>
          <w:tcPr>
            <w:tcW w:w="78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4.4</w:t>
            </w:r>
          </w:p>
        </w:tc>
      </w:tr>
      <w:tr>
        <w:trPr>
          <w:trHeight w:val="216"/>
        </w:trPr>
        <w:tc>
          <w:tcPr>
            <w:tcW w:w="580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08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134.4</w:t>
            </w:r>
          </w:p>
        </w:tc>
        <w:tc>
          <w:tcPr>
            <w:tcW w:w="500" w:type="dxa"/>
            <w:vAlign w:val="bottom"/>
          </w:tcPr>
          <w:p>
            <w:pPr>
              <w:spacing w:after="0"/>
              <w:rPr>
                <w:sz w:val="18"/>
                <w:szCs w:val="18"/>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128.2</w:t>
            </w:r>
          </w:p>
        </w:tc>
        <w:tc>
          <w:tcPr>
            <w:tcW w:w="78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120.1</w:t>
            </w:r>
          </w:p>
        </w:tc>
      </w:tr>
      <w:tr>
        <w:trPr>
          <w:trHeight w:val="216"/>
        </w:trPr>
        <w:tc>
          <w:tcPr>
            <w:tcW w:w="5800" w:type="dxa"/>
            <w:vAlign w:val="bottom"/>
          </w:tcPr>
          <w:p>
            <w:pPr>
              <w:ind w:left="320"/>
              <w:spacing w:after="0"/>
              <w:rPr>
                <w:sz w:val="20"/>
                <w:szCs w:val="20"/>
                <w:color w:val="auto"/>
              </w:rPr>
            </w:pPr>
            <w:r>
              <w:rPr>
                <w:rFonts w:ascii="Arial" w:cs="Arial" w:eastAsia="Arial" w:hAnsi="Arial"/>
                <w:sz w:val="18"/>
                <w:szCs w:val="18"/>
                <w:color w:val="auto"/>
              </w:rPr>
              <w:t>Accrued royalties</w:t>
            </w:r>
          </w:p>
        </w:tc>
        <w:tc>
          <w:tcPr>
            <w:tcW w:w="108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47.9</w:t>
            </w:r>
          </w:p>
        </w:tc>
        <w:tc>
          <w:tcPr>
            <w:tcW w:w="500" w:type="dxa"/>
            <w:vAlign w:val="bottom"/>
          </w:tcPr>
          <w:p>
            <w:pPr>
              <w:spacing w:after="0"/>
              <w:rPr>
                <w:sz w:val="18"/>
                <w:szCs w:val="18"/>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41.7</w:t>
            </w:r>
          </w:p>
        </w:tc>
        <w:tc>
          <w:tcPr>
            <w:tcW w:w="78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35.3</w:t>
            </w:r>
          </w:p>
        </w:tc>
      </w:tr>
      <w:tr>
        <w:trPr>
          <w:trHeight w:val="216"/>
        </w:trPr>
        <w:tc>
          <w:tcPr>
            <w:tcW w:w="580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108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73.7</w:t>
            </w:r>
          </w:p>
        </w:tc>
        <w:tc>
          <w:tcPr>
            <w:tcW w:w="500" w:type="dxa"/>
            <w:vAlign w:val="bottom"/>
          </w:tcPr>
          <w:p>
            <w:pPr>
              <w:spacing w:after="0"/>
              <w:rPr>
                <w:sz w:val="18"/>
                <w:szCs w:val="18"/>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34.2</w:t>
            </w:r>
          </w:p>
        </w:tc>
        <w:tc>
          <w:tcPr>
            <w:tcW w:w="78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69.8</w:t>
            </w:r>
          </w:p>
        </w:tc>
      </w:tr>
      <w:tr>
        <w:trPr>
          <w:trHeight w:val="216"/>
        </w:trPr>
        <w:tc>
          <w:tcPr>
            <w:tcW w:w="5800" w:type="dxa"/>
            <w:vAlign w:val="bottom"/>
          </w:tcPr>
          <w:p>
            <w:pPr>
              <w:ind w:left="320"/>
              <w:spacing w:after="0"/>
              <w:rPr>
                <w:sz w:val="20"/>
                <w:szCs w:val="20"/>
                <w:color w:val="auto"/>
              </w:rPr>
            </w:pPr>
            <w:r>
              <w:rPr>
                <w:rFonts w:ascii="Arial" w:cs="Arial" w:eastAsia="Arial" w:hAnsi="Arial"/>
                <w:sz w:val="18"/>
                <w:szCs w:val="18"/>
                <w:color w:val="auto"/>
              </w:rPr>
              <w:t>Other accrued expenses</w:t>
            </w:r>
          </w:p>
        </w:tc>
        <w:tc>
          <w:tcPr>
            <w:tcW w:w="108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183.1</w:t>
            </w:r>
          </w:p>
        </w:tc>
        <w:tc>
          <w:tcPr>
            <w:tcW w:w="500" w:type="dxa"/>
            <w:vAlign w:val="bottom"/>
          </w:tcPr>
          <w:p>
            <w:pPr>
              <w:spacing w:after="0"/>
              <w:rPr>
                <w:sz w:val="18"/>
                <w:szCs w:val="18"/>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138.9</w:t>
            </w:r>
          </w:p>
        </w:tc>
        <w:tc>
          <w:tcPr>
            <w:tcW w:w="78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167.1</w:t>
            </w:r>
          </w:p>
        </w:tc>
      </w:tr>
      <w:tr>
        <w:trPr>
          <w:trHeight w:val="222"/>
        </w:trPr>
        <w:tc>
          <w:tcPr>
            <w:tcW w:w="5800" w:type="dxa"/>
            <w:vAlign w:val="bottom"/>
          </w:tcPr>
          <w:p>
            <w:pPr>
              <w:ind w:left="320"/>
              <w:spacing w:after="0"/>
              <w:rPr>
                <w:sz w:val="20"/>
                <w:szCs w:val="20"/>
                <w:color w:val="auto"/>
              </w:rPr>
            </w:pPr>
            <w:r>
              <w:rPr>
                <w:rFonts w:ascii="Arial" w:cs="Arial" w:eastAsia="Arial" w:hAnsi="Arial"/>
                <w:sz w:val="18"/>
                <w:szCs w:val="18"/>
                <w:color w:val="auto"/>
              </w:rPr>
              <w:t>Current liabilities of discontinued operations</w:t>
            </w:r>
          </w:p>
        </w:tc>
        <w:tc>
          <w:tcPr>
            <w:tcW w:w="1080" w:type="dxa"/>
            <w:vAlign w:val="bottom"/>
          </w:tcPr>
          <w:p>
            <w:pPr>
              <w:spacing w:after="0"/>
              <w:rPr>
                <w:sz w:val="19"/>
                <w:szCs w:val="19"/>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3.2</w:t>
            </w:r>
          </w:p>
        </w:tc>
        <w:tc>
          <w:tcPr>
            <w:tcW w:w="500" w:type="dxa"/>
            <w:vAlign w:val="bottom"/>
          </w:tcPr>
          <w:p>
            <w:pPr>
              <w:spacing w:after="0"/>
              <w:rPr>
                <w:sz w:val="19"/>
                <w:szCs w:val="19"/>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7.3</w:t>
            </w:r>
          </w:p>
        </w:tc>
        <w:tc>
          <w:tcPr>
            <w:tcW w:w="780" w:type="dxa"/>
            <w:vAlign w:val="bottom"/>
          </w:tcPr>
          <w:p>
            <w:pPr>
              <w:spacing w:after="0"/>
              <w:rPr>
                <w:sz w:val="19"/>
                <w:szCs w:val="19"/>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19.4</w:t>
            </w:r>
          </w:p>
        </w:tc>
      </w:tr>
      <w:tr>
        <w:trPr>
          <w:trHeight w:val="110"/>
        </w:trPr>
        <w:tc>
          <w:tcPr>
            <w:tcW w:w="58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r>
      <w:tr>
        <w:trPr>
          <w:trHeight w:val="464"/>
        </w:trPr>
        <w:tc>
          <w:tcPr>
            <w:tcW w:w="5800" w:type="dxa"/>
            <w:vAlign w:val="bottom"/>
          </w:tcPr>
          <w:p>
            <w:pPr>
              <w:ind w:left="480"/>
              <w:spacing w:after="0"/>
              <w:rPr>
                <w:sz w:val="20"/>
                <w:szCs w:val="20"/>
                <w:color w:val="auto"/>
              </w:rPr>
            </w:pPr>
            <w:r>
              <w:rPr>
                <w:rFonts w:ascii="Arial" w:cs="Arial" w:eastAsia="Arial" w:hAnsi="Arial"/>
                <w:sz w:val="18"/>
                <w:szCs w:val="18"/>
                <w:i w:val="1"/>
                <w:iCs w:val="1"/>
                <w:color w:val="auto"/>
              </w:rPr>
              <w:t>Total current liabilities</w:t>
            </w:r>
          </w:p>
        </w:tc>
        <w:tc>
          <w:tcPr>
            <w:tcW w:w="1080" w:type="dxa"/>
            <w:vAlign w:val="bottom"/>
          </w:tcPr>
          <w:p>
            <w:pPr>
              <w:spacing w:after="0"/>
              <w:rPr>
                <w:sz w:val="24"/>
                <w:szCs w:val="24"/>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500.3</w:t>
            </w:r>
          </w:p>
        </w:tc>
        <w:tc>
          <w:tcPr>
            <w:tcW w:w="500" w:type="dxa"/>
            <w:vAlign w:val="bottom"/>
          </w:tcPr>
          <w:p>
            <w:pPr>
              <w:spacing w:after="0"/>
              <w:rPr>
                <w:sz w:val="24"/>
                <w:szCs w:val="24"/>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407.4</w:t>
            </w:r>
          </w:p>
        </w:tc>
        <w:tc>
          <w:tcPr>
            <w:tcW w:w="780" w:type="dxa"/>
            <w:vAlign w:val="bottom"/>
          </w:tcPr>
          <w:p>
            <w:pPr>
              <w:spacing w:after="0"/>
              <w:rPr>
                <w:sz w:val="24"/>
                <w:szCs w:val="24"/>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486.3</w:t>
            </w:r>
          </w:p>
        </w:tc>
      </w:tr>
      <w:tr>
        <w:trPr>
          <w:trHeight w:val="358"/>
        </w:trPr>
        <w:tc>
          <w:tcPr>
            <w:tcW w:w="5800" w:type="dxa"/>
            <w:vAlign w:val="bottom"/>
          </w:tcPr>
          <w:p>
            <w:pPr>
              <w:spacing w:after="0"/>
              <w:rPr>
                <w:sz w:val="20"/>
                <w:szCs w:val="20"/>
                <w:color w:val="auto"/>
              </w:rPr>
            </w:pPr>
            <w:r>
              <w:rPr>
                <w:rFonts w:ascii="Arial" w:cs="Arial" w:eastAsia="Arial" w:hAnsi="Arial"/>
                <w:sz w:val="18"/>
                <w:szCs w:val="18"/>
                <w:b w:val="1"/>
                <w:bCs w:val="1"/>
                <w:i w:val="1"/>
                <w:iCs w:val="1"/>
                <w:color w:val="auto"/>
              </w:rPr>
              <w:t>Noncurrent Liabilities:</w:t>
            </w: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5800" w:type="dxa"/>
            <w:vAlign w:val="bottom"/>
          </w:tcPr>
          <w:p>
            <w:pPr>
              <w:ind w:left="320"/>
              <w:spacing w:after="0"/>
              <w:rPr>
                <w:sz w:val="20"/>
                <w:szCs w:val="20"/>
                <w:color w:val="auto"/>
              </w:rPr>
            </w:pPr>
            <w:r>
              <w:rPr>
                <w:rFonts w:ascii="Arial" w:cs="Arial" w:eastAsia="Arial" w:hAnsi="Arial"/>
                <w:sz w:val="18"/>
                <w:szCs w:val="18"/>
                <w:color w:val="auto"/>
              </w:rPr>
              <w:t>Long-term debt</w:t>
            </w:r>
          </w:p>
        </w:tc>
        <w:tc>
          <w:tcPr>
            <w:tcW w:w="108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223.8</w:t>
            </w:r>
          </w:p>
        </w:tc>
        <w:tc>
          <w:tcPr>
            <w:tcW w:w="500" w:type="dxa"/>
            <w:vAlign w:val="bottom"/>
          </w:tcPr>
          <w:p>
            <w:pPr>
              <w:spacing w:after="0"/>
              <w:rPr>
                <w:sz w:val="18"/>
                <w:szCs w:val="18"/>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250.0</w:t>
            </w:r>
          </w:p>
        </w:tc>
        <w:tc>
          <w:tcPr>
            <w:tcW w:w="78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318.8</w:t>
            </w:r>
          </w:p>
        </w:tc>
      </w:tr>
      <w:tr>
        <w:trPr>
          <w:trHeight w:val="216"/>
        </w:trPr>
        <w:tc>
          <w:tcPr>
            <w:tcW w:w="5800" w:type="dxa"/>
            <w:vAlign w:val="bottom"/>
          </w:tcPr>
          <w:p>
            <w:pPr>
              <w:ind w:left="320"/>
              <w:spacing w:after="0"/>
              <w:rPr>
                <w:sz w:val="20"/>
                <w:szCs w:val="20"/>
                <w:color w:val="auto"/>
              </w:rPr>
            </w:pPr>
            <w:r>
              <w:rPr>
                <w:rFonts w:ascii="Arial" w:cs="Arial" w:eastAsia="Arial" w:hAnsi="Arial"/>
                <w:sz w:val="18"/>
                <w:szCs w:val="18"/>
                <w:color w:val="auto"/>
              </w:rPr>
              <w:t>Capital lease obligations</w:t>
            </w:r>
          </w:p>
        </w:tc>
        <w:tc>
          <w:tcPr>
            <w:tcW w:w="108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54.6</w:t>
            </w:r>
          </w:p>
        </w:tc>
        <w:tc>
          <w:tcPr>
            <w:tcW w:w="500" w:type="dxa"/>
            <w:vAlign w:val="bottom"/>
          </w:tcPr>
          <w:p>
            <w:pPr>
              <w:spacing w:after="0"/>
              <w:rPr>
                <w:sz w:val="18"/>
                <w:szCs w:val="18"/>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54.5</w:t>
            </w:r>
          </w:p>
        </w:tc>
        <w:tc>
          <w:tcPr>
            <w:tcW w:w="78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55.5</w:t>
            </w:r>
          </w:p>
        </w:tc>
      </w:tr>
      <w:tr>
        <w:trPr>
          <w:trHeight w:val="222"/>
        </w:trPr>
        <w:tc>
          <w:tcPr>
            <w:tcW w:w="5800" w:type="dxa"/>
            <w:vAlign w:val="bottom"/>
          </w:tcPr>
          <w:p>
            <w:pPr>
              <w:ind w:left="320"/>
              <w:spacing w:after="0"/>
              <w:rPr>
                <w:sz w:val="20"/>
                <w:szCs w:val="20"/>
                <w:color w:val="auto"/>
              </w:rPr>
            </w:pPr>
            <w:r>
              <w:rPr>
                <w:rFonts w:ascii="Arial" w:cs="Arial" w:eastAsia="Arial" w:hAnsi="Arial"/>
                <w:sz w:val="18"/>
                <w:szCs w:val="18"/>
                <w:color w:val="auto"/>
              </w:rPr>
              <w:t>Other noncurrent liabilities</w:t>
            </w:r>
          </w:p>
        </w:tc>
        <w:tc>
          <w:tcPr>
            <w:tcW w:w="1080" w:type="dxa"/>
            <w:vAlign w:val="bottom"/>
          </w:tcPr>
          <w:p>
            <w:pPr>
              <w:spacing w:after="0"/>
              <w:rPr>
                <w:sz w:val="19"/>
                <w:szCs w:val="19"/>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101.9</w:t>
            </w:r>
          </w:p>
        </w:tc>
        <w:tc>
          <w:tcPr>
            <w:tcW w:w="500" w:type="dxa"/>
            <w:vAlign w:val="bottom"/>
          </w:tcPr>
          <w:p>
            <w:pPr>
              <w:spacing w:after="0"/>
              <w:rPr>
                <w:sz w:val="19"/>
                <w:szCs w:val="19"/>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111.9</w:t>
            </w:r>
          </w:p>
        </w:tc>
        <w:tc>
          <w:tcPr>
            <w:tcW w:w="780" w:type="dxa"/>
            <w:vAlign w:val="bottom"/>
          </w:tcPr>
          <w:p>
            <w:pPr>
              <w:spacing w:after="0"/>
              <w:rPr>
                <w:sz w:val="19"/>
                <w:szCs w:val="19"/>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109.7</w:t>
            </w:r>
          </w:p>
        </w:tc>
      </w:tr>
      <w:tr>
        <w:trPr>
          <w:trHeight w:val="110"/>
        </w:trPr>
        <w:tc>
          <w:tcPr>
            <w:tcW w:w="58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r>
      <w:tr>
        <w:trPr>
          <w:trHeight w:val="464"/>
        </w:trPr>
        <w:tc>
          <w:tcPr>
            <w:tcW w:w="5800" w:type="dxa"/>
            <w:vAlign w:val="bottom"/>
          </w:tcPr>
          <w:p>
            <w:pPr>
              <w:ind w:left="480"/>
              <w:spacing w:after="0"/>
              <w:rPr>
                <w:sz w:val="20"/>
                <w:szCs w:val="20"/>
                <w:color w:val="auto"/>
              </w:rPr>
            </w:pPr>
            <w:r>
              <w:rPr>
                <w:rFonts w:ascii="Arial" w:cs="Arial" w:eastAsia="Arial" w:hAnsi="Arial"/>
                <w:sz w:val="18"/>
                <w:szCs w:val="18"/>
                <w:i w:val="1"/>
                <w:iCs w:val="1"/>
                <w:color w:val="auto"/>
              </w:rPr>
              <w:t>Total noncurrent liabilities</w:t>
            </w:r>
          </w:p>
        </w:tc>
        <w:tc>
          <w:tcPr>
            <w:tcW w:w="1080" w:type="dxa"/>
            <w:vAlign w:val="bottom"/>
          </w:tcPr>
          <w:p>
            <w:pPr>
              <w:spacing w:after="0"/>
              <w:rPr>
                <w:sz w:val="24"/>
                <w:szCs w:val="24"/>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380.3</w:t>
            </w:r>
          </w:p>
        </w:tc>
        <w:tc>
          <w:tcPr>
            <w:tcW w:w="500" w:type="dxa"/>
            <w:vAlign w:val="bottom"/>
          </w:tcPr>
          <w:p>
            <w:pPr>
              <w:spacing w:after="0"/>
              <w:rPr>
                <w:sz w:val="24"/>
                <w:szCs w:val="24"/>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416.4</w:t>
            </w:r>
          </w:p>
        </w:tc>
        <w:tc>
          <w:tcPr>
            <w:tcW w:w="780" w:type="dxa"/>
            <w:vAlign w:val="bottom"/>
          </w:tcPr>
          <w:p>
            <w:pPr>
              <w:spacing w:after="0"/>
              <w:rPr>
                <w:sz w:val="24"/>
                <w:szCs w:val="24"/>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484.0</w:t>
            </w:r>
          </w:p>
        </w:tc>
      </w:tr>
      <w:tr>
        <w:trPr>
          <w:trHeight w:val="365"/>
        </w:trPr>
        <w:tc>
          <w:tcPr>
            <w:tcW w:w="5800" w:type="dxa"/>
            <w:vAlign w:val="bottom"/>
          </w:tcPr>
          <w:p>
            <w:pPr>
              <w:spacing w:after="0"/>
              <w:rPr>
                <w:sz w:val="20"/>
                <w:szCs w:val="20"/>
                <w:color w:val="auto"/>
              </w:rPr>
            </w:pPr>
            <w:r>
              <w:rPr>
                <w:rFonts w:ascii="Arial" w:cs="Arial" w:eastAsia="Arial" w:hAnsi="Arial"/>
                <w:sz w:val="18"/>
                <w:szCs w:val="18"/>
                <w:b w:val="1"/>
                <w:bCs w:val="1"/>
                <w:i w:val="1"/>
                <w:iCs w:val="1"/>
                <w:color w:val="auto"/>
              </w:rPr>
              <w:t>Commitments and Contingencies:</w:t>
            </w:r>
          </w:p>
        </w:tc>
        <w:tc>
          <w:tcPr>
            <w:tcW w:w="1080" w:type="dxa"/>
            <w:vAlign w:val="bottom"/>
          </w:tcPr>
          <w:p>
            <w:pPr>
              <w:spacing w:after="0"/>
              <w:rPr>
                <w:sz w:val="24"/>
                <w:szCs w:val="24"/>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w:t>
            </w:r>
          </w:p>
        </w:tc>
      </w:tr>
      <w:tr>
        <w:trPr>
          <w:trHeight w:val="358"/>
        </w:trPr>
        <w:tc>
          <w:tcPr>
            <w:tcW w:w="5800" w:type="dxa"/>
            <w:vAlign w:val="bottom"/>
          </w:tcPr>
          <w:p>
            <w:pPr>
              <w:spacing w:after="0"/>
              <w:rPr>
                <w:sz w:val="20"/>
                <w:szCs w:val="20"/>
                <w:color w:val="auto"/>
              </w:rPr>
            </w:pPr>
            <w:r>
              <w:rPr>
                <w:rFonts w:ascii="Arial" w:cs="Arial" w:eastAsia="Arial" w:hAnsi="Arial"/>
                <w:sz w:val="18"/>
                <w:szCs w:val="18"/>
                <w:b w:val="1"/>
                <w:bCs w:val="1"/>
                <w:i w:val="1"/>
                <w:iCs w:val="1"/>
                <w:color w:val="auto"/>
              </w:rPr>
              <w:t>Stockholders’ Equity:</w:t>
            </w: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5800" w:type="dxa"/>
            <w:vAlign w:val="bottom"/>
          </w:tcPr>
          <w:p>
            <w:pPr>
              <w:ind w:left="320"/>
              <w:spacing w:after="0"/>
              <w:rPr>
                <w:sz w:val="20"/>
                <w:szCs w:val="20"/>
                <w:color w:val="auto"/>
              </w:rPr>
            </w:pPr>
            <w:r>
              <w:rPr>
                <w:rFonts w:ascii="Arial" w:cs="Arial" w:eastAsia="Arial" w:hAnsi="Arial"/>
                <w:sz w:val="18"/>
                <w:szCs w:val="18"/>
                <w:color w:val="auto"/>
              </w:rPr>
              <w:t>Preferred Stock, $1.00 par value</w:t>
            </w:r>
          </w:p>
        </w:tc>
        <w:tc>
          <w:tcPr>
            <w:tcW w:w="108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tcPr>
          <w:p>
            <w:pPr>
              <w:ind w:left="320"/>
              <w:spacing w:after="0"/>
              <w:rPr>
                <w:sz w:val="20"/>
                <w:szCs w:val="20"/>
                <w:color w:val="auto"/>
              </w:rPr>
            </w:pPr>
            <w:r>
              <w:rPr>
                <w:rFonts w:ascii="Arial" w:cs="Arial" w:eastAsia="Arial" w:hAnsi="Arial"/>
                <w:sz w:val="18"/>
                <w:szCs w:val="18"/>
                <w:color w:val="auto"/>
              </w:rPr>
              <w:t>Class A Stock, $.01 par value</w:t>
            </w:r>
          </w:p>
        </w:tc>
        <w:tc>
          <w:tcPr>
            <w:tcW w:w="108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0.0</w:t>
            </w:r>
          </w:p>
        </w:tc>
        <w:tc>
          <w:tcPr>
            <w:tcW w:w="500" w:type="dxa"/>
            <w:vAlign w:val="bottom"/>
          </w:tcPr>
          <w:p>
            <w:pPr>
              <w:spacing w:after="0"/>
              <w:rPr>
                <w:sz w:val="18"/>
                <w:szCs w:val="18"/>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0.0</w:t>
            </w:r>
          </w:p>
        </w:tc>
        <w:tc>
          <w:tcPr>
            <w:tcW w:w="78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0.0</w:t>
            </w:r>
          </w:p>
        </w:tc>
      </w:tr>
      <w:tr>
        <w:trPr>
          <w:trHeight w:val="216"/>
        </w:trPr>
        <w:tc>
          <w:tcPr>
            <w:tcW w:w="5800" w:type="dxa"/>
            <w:vAlign w:val="bottom"/>
          </w:tcPr>
          <w:p>
            <w:pPr>
              <w:ind w:left="320"/>
              <w:spacing w:after="0"/>
              <w:rPr>
                <w:sz w:val="20"/>
                <w:szCs w:val="20"/>
                <w:color w:val="auto"/>
              </w:rPr>
            </w:pPr>
            <w:r>
              <w:rPr>
                <w:rFonts w:ascii="Arial" w:cs="Arial" w:eastAsia="Arial" w:hAnsi="Arial"/>
                <w:sz w:val="18"/>
                <w:szCs w:val="18"/>
                <w:color w:val="auto"/>
              </w:rPr>
              <w:t>Common Stock, $.01 par value</w:t>
            </w:r>
          </w:p>
        </w:tc>
        <w:tc>
          <w:tcPr>
            <w:tcW w:w="108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0.4</w:t>
            </w:r>
          </w:p>
        </w:tc>
        <w:tc>
          <w:tcPr>
            <w:tcW w:w="500" w:type="dxa"/>
            <w:vAlign w:val="bottom"/>
          </w:tcPr>
          <w:p>
            <w:pPr>
              <w:spacing w:after="0"/>
              <w:rPr>
                <w:sz w:val="18"/>
                <w:szCs w:val="18"/>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0.4</w:t>
            </w:r>
          </w:p>
        </w:tc>
        <w:tc>
          <w:tcPr>
            <w:tcW w:w="78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0.4</w:t>
            </w:r>
          </w:p>
        </w:tc>
      </w:tr>
      <w:tr>
        <w:trPr>
          <w:trHeight w:val="216"/>
        </w:trPr>
        <w:tc>
          <w:tcPr>
            <w:tcW w:w="580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108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559.8</w:t>
            </w:r>
          </w:p>
        </w:tc>
        <w:tc>
          <w:tcPr>
            <w:tcW w:w="500" w:type="dxa"/>
            <w:vAlign w:val="bottom"/>
          </w:tcPr>
          <w:p>
            <w:pPr>
              <w:spacing w:after="0"/>
              <w:rPr>
                <w:sz w:val="18"/>
                <w:szCs w:val="18"/>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552.9</w:t>
            </w:r>
          </w:p>
        </w:tc>
        <w:tc>
          <w:tcPr>
            <w:tcW w:w="78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548.2</w:t>
            </w:r>
          </w:p>
        </w:tc>
      </w:tr>
      <w:tr>
        <w:trPr>
          <w:trHeight w:val="216"/>
        </w:trPr>
        <w:tc>
          <w:tcPr>
            <w:tcW w:w="5800" w:type="dxa"/>
            <w:vAlign w:val="bottom"/>
          </w:tcPr>
          <w:p>
            <w:pPr>
              <w:ind w:left="320"/>
              <w:spacing w:after="0"/>
              <w:rPr>
                <w:sz w:val="20"/>
                <w:szCs w:val="20"/>
                <w:color w:val="auto"/>
              </w:rPr>
            </w:pPr>
            <w:r>
              <w:rPr>
                <w:rFonts w:ascii="Arial" w:cs="Arial" w:eastAsia="Arial" w:hAnsi="Arial"/>
                <w:sz w:val="18"/>
                <w:szCs w:val="18"/>
                <w:color w:val="auto"/>
              </w:rPr>
              <w:t>Accumulated other comprehensive loss</w:t>
            </w:r>
          </w:p>
        </w:tc>
        <w:tc>
          <w:tcPr>
            <w:tcW w:w="1080" w:type="dxa"/>
            <w:vAlign w:val="bottom"/>
          </w:tcPr>
          <w:p>
            <w:pPr>
              <w:spacing w:after="0"/>
              <w:rPr>
                <w:sz w:val="18"/>
                <w:szCs w:val="18"/>
                <w:color w:val="auto"/>
              </w:rPr>
            </w:pPr>
          </w:p>
        </w:tc>
        <w:tc>
          <w:tcPr>
            <w:tcW w:w="1220" w:type="dxa"/>
            <w:vAlign w:val="bottom"/>
          </w:tcPr>
          <w:p>
            <w:pPr>
              <w:jc w:val="right"/>
              <w:ind w:right="432"/>
              <w:spacing w:after="0"/>
              <w:rPr>
                <w:sz w:val="20"/>
                <w:szCs w:val="20"/>
                <w:color w:val="auto"/>
              </w:rPr>
            </w:pPr>
            <w:r>
              <w:rPr>
                <w:rFonts w:ascii="Arial" w:cs="Arial" w:eastAsia="Arial" w:hAnsi="Arial"/>
                <w:sz w:val="18"/>
                <w:szCs w:val="18"/>
                <w:color w:val="auto"/>
              </w:rPr>
              <w:t>(70.4)</w:t>
            </w:r>
          </w:p>
        </w:tc>
        <w:tc>
          <w:tcPr>
            <w:tcW w:w="500" w:type="dxa"/>
            <w:vAlign w:val="bottom"/>
          </w:tcPr>
          <w:p>
            <w:pPr>
              <w:spacing w:after="0"/>
              <w:rPr>
                <w:sz w:val="18"/>
                <w:szCs w:val="18"/>
                <w:color w:val="auto"/>
              </w:rPr>
            </w:pPr>
          </w:p>
        </w:tc>
        <w:tc>
          <w:tcPr>
            <w:tcW w:w="940" w:type="dxa"/>
            <w:vAlign w:val="bottom"/>
          </w:tcPr>
          <w:p>
            <w:pPr>
              <w:jc w:val="right"/>
              <w:ind w:right="192"/>
              <w:spacing w:after="0"/>
              <w:rPr>
                <w:sz w:val="20"/>
                <w:szCs w:val="20"/>
                <w:color w:val="auto"/>
              </w:rPr>
            </w:pPr>
            <w:r>
              <w:rPr>
                <w:rFonts w:ascii="Arial" w:cs="Arial" w:eastAsia="Arial" w:hAnsi="Arial"/>
                <w:sz w:val="18"/>
                <w:szCs w:val="18"/>
                <w:color w:val="auto"/>
              </w:rPr>
              <w:t>(77.1)</w:t>
            </w:r>
          </w:p>
        </w:tc>
        <w:tc>
          <w:tcPr>
            <w:tcW w:w="780" w:type="dxa"/>
            <w:vAlign w:val="bottom"/>
          </w:tcPr>
          <w:p>
            <w:pPr>
              <w:spacing w:after="0"/>
              <w:rPr>
                <w:sz w:val="18"/>
                <w:szCs w:val="18"/>
                <w:color w:val="auto"/>
              </w:rPr>
            </w:pPr>
          </w:p>
        </w:tc>
        <w:tc>
          <w:tcPr>
            <w:tcW w:w="1120" w:type="dxa"/>
            <w:vAlign w:val="bottom"/>
          </w:tcPr>
          <w:p>
            <w:pPr>
              <w:jc w:val="right"/>
              <w:ind w:right="372"/>
              <w:spacing w:after="0"/>
              <w:rPr>
                <w:sz w:val="20"/>
                <w:szCs w:val="20"/>
                <w:color w:val="auto"/>
              </w:rPr>
            </w:pPr>
            <w:r>
              <w:rPr>
                <w:rFonts w:ascii="Arial" w:cs="Arial" w:eastAsia="Arial" w:hAnsi="Arial"/>
                <w:sz w:val="18"/>
                <w:szCs w:val="18"/>
                <w:color w:val="auto"/>
              </w:rPr>
              <w:t>(65.7)</w:t>
            </w:r>
          </w:p>
        </w:tc>
      </w:tr>
      <w:tr>
        <w:trPr>
          <w:trHeight w:val="216"/>
        </w:trPr>
        <w:tc>
          <w:tcPr>
            <w:tcW w:w="5800" w:type="dxa"/>
            <w:vAlign w:val="bottom"/>
          </w:tcPr>
          <w:p>
            <w:pPr>
              <w:ind w:left="320"/>
              <w:spacing w:after="0"/>
              <w:rPr>
                <w:sz w:val="20"/>
                <w:szCs w:val="20"/>
                <w:color w:val="auto"/>
              </w:rPr>
            </w:pPr>
            <w:r>
              <w:rPr>
                <w:rFonts w:ascii="Arial" w:cs="Arial" w:eastAsia="Arial" w:hAnsi="Arial"/>
                <w:sz w:val="18"/>
                <w:szCs w:val="18"/>
                <w:color w:val="auto"/>
              </w:rPr>
              <w:t>Retained earnings</w:t>
            </w:r>
          </w:p>
        </w:tc>
        <w:tc>
          <w:tcPr>
            <w:tcW w:w="108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589.8</w:t>
            </w:r>
          </w:p>
        </w:tc>
        <w:tc>
          <w:tcPr>
            <w:tcW w:w="500" w:type="dxa"/>
            <w:vAlign w:val="bottom"/>
          </w:tcPr>
          <w:p>
            <w:pPr>
              <w:spacing w:after="0"/>
              <w:rPr>
                <w:sz w:val="18"/>
                <w:szCs w:val="18"/>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562.8</w:t>
            </w:r>
          </w:p>
        </w:tc>
        <w:tc>
          <w:tcPr>
            <w:tcW w:w="78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576.6</w:t>
            </w:r>
          </w:p>
        </w:tc>
      </w:tr>
      <w:tr>
        <w:trPr>
          <w:trHeight w:val="222"/>
        </w:trPr>
        <w:tc>
          <w:tcPr>
            <w:tcW w:w="5800" w:type="dxa"/>
            <w:vAlign w:val="bottom"/>
          </w:tcPr>
          <w:p>
            <w:pPr>
              <w:ind w:left="320"/>
              <w:spacing w:after="0"/>
              <w:rPr>
                <w:sz w:val="20"/>
                <w:szCs w:val="20"/>
                <w:color w:val="auto"/>
              </w:rPr>
            </w:pPr>
            <w:r>
              <w:rPr>
                <w:rFonts w:ascii="Arial" w:cs="Arial" w:eastAsia="Arial" w:hAnsi="Arial"/>
                <w:sz w:val="18"/>
                <w:szCs w:val="18"/>
                <w:color w:val="auto"/>
              </w:rPr>
              <w:t>Treasury stock at cost</w:t>
            </w:r>
          </w:p>
        </w:tc>
        <w:tc>
          <w:tcPr>
            <w:tcW w:w="1080" w:type="dxa"/>
            <w:vAlign w:val="bottom"/>
          </w:tcPr>
          <w:p>
            <w:pPr>
              <w:spacing w:after="0"/>
              <w:rPr>
                <w:sz w:val="19"/>
                <w:szCs w:val="19"/>
                <w:color w:val="auto"/>
              </w:rPr>
            </w:pPr>
          </w:p>
        </w:tc>
        <w:tc>
          <w:tcPr>
            <w:tcW w:w="1220" w:type="dxa"/>
            <w:vAlign w:val="bottom"/>
          </w:tcPr>
          <w:p>
            <w:pPr>
              <w:jc w:val="right"/>
              <w:ind w:right="432"/>
              <w:spacing w:after="0"/>
              <w:rPr>
                <w:sz w:val="20"/>
                <w:szCs w:val="20"/>
                <w:color w:val="auto"/>
              </w:rPr>
            </w:pPr>
            <w:r>
              <w:rPr>
                <w:rFonts w:ascii="Arial" w:cs="Arial" w:eastAsia="Arial" w:hAnsi="Arial"/>
                <w:sz w:val="18"/>
                <w:szCs w:val="18"/>
                <w:color w:val="auto"/>
              </w:rPr>
              <w:t>(252.5)</w:t>
            </w:r>
          </w:p>
        </w:tc>
        <w:tc>
          <w:tcPr>
            <w:tcW w:w="500" w:type="dxa"/>
            <w:vAlign w:val="bottom"/>
          </w:tcPr>
          <w:p>
            <w:pPr>
              <w:spacing w:after="0"/>
              <w:rPr>
                <w:sz w:val="19"/>
                <w:szCs w:val="19"/>
                <w:color w:val="auto"/>
              </w:rPr>
            </w:pPr>
          </w:p>
        </w:tc>
        <w:tc>
          <w:tcPr>
            <w:tcW w:w="940" w:type="dxa"/>
            <w:vAlign w:val="bottom"/>
          </w:tcPr>
          <w:p>
            <w:pPr>
              <w:jc w:val="right"/>
              <w:ind w:right="192"/>
              <w:spacing w:after="0"/>
              <w:rPr>
                <w:sz w:val="20"/>
                <w:szCs w:val="20"/>
                <w:color w:val="auto"/>
              </w:rPr>
            </w:pPr>
            <w:r>
              <w:rPr>
                <w:rFonts w:ascii="Arial" w:cs="Arial" w:eastAsia="Arial" w:hAnsi="Arial"/>
                <w:sz w:val="18"/>
                <w:szCs w:val="18"/>
                <w:color w:val="auto"/>
              </w:rPr>
              <w:t>(254.0)</w:t>
            </w:r>
          </w:p>
        </w:tc>
        <w:tc>
          <w:tcPr>
            <w:tcW w:w="780" w:type="dxa"/>
            <w:vAlign w:val="bottom"/>
          </w:tcPr>
          <w:p>
            <w:pPr>
              <w:spacing w:after="0"/>
              <w:rPr>
                <w:sz w:val="19"/>
                <w:szCs w:val="19"/>
                <w:color w:val="auto"/>
              </w:rPr>
            </w:pPr>
          </w:p>
        </w:tc>
        <w:tc>
          <w:tcPr>
            <w:tcW w:w="1120" w:type="dxa"/>
            <w:vAlign w:val="bottom"/>
          </w:tcPr>
          <w:p>
            <w:pPr>
              <w:jc w:val="right"/>
              <w:ind w:right="372"/>
              <w:spacing w:after="0"/>
              <w:rPr>
                <w:sz w:val="20"/>
                <w:szCs w:val="20"/>
                <w:color w:val="auto"/>
              </w:rPr>
            </w:pPr>
            <w:r>
              <w:rPr>
                <w:rFonts w:ascii="Arial" w:cs="Arial" w:eastAsia="Arial" w:hAnsi="Arial"/>
                <w:sz w:val="18"/>
                <w:szCs w:val="18"/>
                <w:color w:val="auto"/>
              </w:rPr>
              <w:t>(240.1)</w:t>
            </w:r>
          </w:p>
        </w:tc>
      </w:tr>
      <w:tr>
        <w:trPr>
          <w:trHeight w:val="110"/>
        </w:trPr>
        <w:tc>
          <w:tcPr>
            <w:tcW w:w="58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r>
      <w:tr>
        <w:trPr>
          <w:trHeight w:val="316"/>
        </w:trPr>
        <w:tc>
          <w:tcPr>
            <w:tcW w:w="5800" w:type="dxa"/>
            <w:vAlign w:val="bottom"/>
          </w:tcPr>
          <w:p>
            <w:pPr>
              <w:ind w:left="480"/>
              <w:spacing w:after="0"/>
              <w:rPr>
                <w:sz w:val="20"/>
                <w:szCs w:val="20"/>
                <w:color w:val="auto"/>
              </w:rPr>
            </w:pPr>
            <w:r>
              <w:rPr>
                <w:rFonts w:ascii="Arial" w:cs="Arial" w:eastAsia="Arial" w:hAnsi="Arial"/>
                <w:sz w:val="18"/>
                <w:szCs w:val="18"/>
                <w:i w:val="1"/>
                <w:iCs w:val="1"/>
                <w:color w:val="auto"/>
              </w:rPr>
              <w:t>Total stockholders’ equity</w:t>
            </w:r>
          </w:p>
        </w:tc>
        <w:tc>
          <w:tcPr>
            <w:tcW w:w="1080" w:type="dxa"/>
            <w:vAlign w:val="bottom"/>
          </w:tcPr>
          <w:p>
            <w:pPr>
              <w:spacing w:after="0"/>
              <w:rPr>
                <w:sz w:val="24"/>
                <w:szCs w:val="24"/>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827.1</w:t>
            </w:r>
          </w:p>
        </w:tc>
        <w:tc>
          <w:tcPr>
            <w:tcW w:w="500" w:type="dxa"/>
            <w:vAlign w:val="bottom"/>
          </w:tcPr>
          <w:p>
            <w:pPr>
              <w:spacing w:after="0"/>
              <w:rPr>
                <w:sz w:val="24"/>
                <w:szCs w:val="24"/>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785.0</w:t>
            </w:r>
          </w:p>
        </w:tc>
        <w:tc>
          <w:tcPr>
            <w:tcW w:w="780" w:type="dxa"/>
            <w:vAlign w:val="bottom"/>
          </w:tcPr>
          <w:p>
            <w:pPr>
              <w:spacing w:after="0"/>
              <w:rPr>
                <w:sz w:val="24"/>
                <w:szCs w:val="24"/>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819.4</w:t>
            </w:r>
          </w:p>
        </w:tc>
      </w:tr>
      <w:tr>
        <w:trPr>
          <w:trHeight w:val="110"/>
        </w:trPr>
        <w:tc>
          <w:tcPr>
            <w:tcW w:w="58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r>
      <w:tr>
        <w:trPr>
          <w:trHeight w:val="316"/>
        </w:trPr>
        <w:tc>
          <w:tcPr>
            <w:tcW w:w="58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8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492"/>
              <w:spacing w:after="0"/>
              <w:rPr>
                <w:sz w:val="20"/>
                <w:szCs w:val="20"/>
                <w:color w:val="auto"/>
              </w:rPr>
            </w:pPr>
            <w:r>
              <w:rPr>
                <w:rFonts w:ascii="Arial" w:cs="Arial" w:eastAsia="Arial" w:hAnsi="Arial"/>
                <w:sz w:val="18"/>
                <w:szCs w:val="18"/>
                <w:b w:val="1"/>
                <w:bCs w:val="1"/>
                <w:color w:val="auto"/>
              </w:rPr>
              <w:t>1,707.7</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252"/>
              <w:spacing w:after="0"/>
              <w:rPr>
                <w:sz w:val="20"/>
                <w:szCs w:val="20"/>
                <w:color w:val="auto"/>
              </w:rPr>
            </w:pPr>
            <w:r>
              <w:rPr>
                <w:rFonts w:ascii="Arial" w:cs="Arial" w:eastAsia="Arial" w:hAnsi="Arial"/>
                <w:sz w:val="18"/>
                <w:szCs w:val="18"/>
                <w:b w:val="1"/>
                <w:bCs w:val="1"/>
                <w:color w:val="auto"/>
                <w:w w:val="96"/>
              </w:rPr>
              <w:t>1,608.8</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432"/>
              <w:spacing w:after="0"/>
              <w:rPr>
                <w:sz w:val="20"/>
                <w:szCs w:val="20"/>
                <w:color w:val="auto"/>
              </w:rPr>
            </w:pPr>
            <w:r>
              <w:rPr>
                <w:rFonts w:ascii="Arial" w:cs="Arial" w:eastAsia="Arial" w:hAnsi="Arial"/>
                <w:sz w:val="18"/>
                <w:szCs w:val="18"/>
                <w:b w:val="1"/>
                <w:bCs w:val="1"/>
                <w:color w:val="auto"/>
                <w:w w:val="96"/>
              </w:rPr>
              <w:t>1,789.7</w:t>
            </w:r>
          </w:p>
        </w:tc>
      </w:tr>
      <w:tr>
        <w:trPr>
          <w:trHeight w:val="110"/>
        </w:trPr>
        <w:tc>
          <w:tcPr>
            <w:tcW w:w="58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40"/>
          </w:cols>
          <w:pgMar w:left="240" w:top="382" w:right="21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left="9200"/>
        <w:spacing w:after="0"/>
        <w:rPr>
          <w:sz w:val="20"/>
          <w:szCs w:val="20"/>
          <w:color w:val="auto"/>
        </w:rPr>
      </w:pPr>
      <w:r>
        <w:rPr>
          <w:rFonts w:ascii="Arial" w:cs="Arial" w:eastAsia="Arial" w:hAnsi="Arial"/>
          <w:sz w:val="18"/>
          <w:szCs w:val="18"/>
          <w:b w:val="1"/>
          <w:bCs w:val="1"/>
          <w:i w:val="1"/>
          <w:iCs w:val="1"/>
          <w:color w:val="auto"/>
        </w:rPr>
        <w:t>Six months ended</w:t>
      </w:r>
    </w:p>
    <w:p>
      <w:pPr>
        <w:spacing w:after="0" w:line="15" w:lineRule="exact"/>
        <w:rPr>
          <w:sz w:val="20"/>
          <w:szCs w:val="20"/>
          <w:color w:val="auto"/>
        </w:rPr>
      </w:pPr>
    </w:p>
    <w:p>
      <w:pPr>
        <w:jc w:val="center"/>
        <w:ind w:left="9200"/>
        <w:spacing w:after="0"/>
        <w:rPr>
          <w:sz w:val="20"/>
          <w:szCs w:val="20"/>
          <w:color w:val="auto"/>
        </w:rPr>
      </w:pPr>
      <w:r>
        <w:rPr>
          <w:rFonts w:ascii="Arial" w:cs="Arial" w:eastAsia="Arial" w:hAnsi="Arial"/>
          <w:sz w:val="18"/>
          <w:szCs w:val="18"/>
          <w:b w:val="1"/>
          <w:bCs w:val="1"/>
          <w:i w:val="1"/>
          <w:iCs w:val="1"/>
          <w:color w:val="auto"/>
        </w:rPr>
        <w:t>November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jc w:val="right"/>
              <w:ind w:right="332"/>
              <w:spacing w:after="0"/>
              <w:rPr>
                <w:sz w:val="20"/>
                <w:szCs w:val="20"/>
                <w:color w:val="auto"/>
              </w:rPr>
            </w:pPr>
            <w:r>
              <w:rPr>
                <w:rFonts w:ascii="Arial" w:cs="Arial" w:eastAsia="Arial" w:hAnsi="Arial"/>
                <w:sz w:val="18"/>
                <w:szCs w:val="18"/>
                <w:b w:val="1"/>
                <w:bCs w:val="1"/>
                <w:color w:val="auto"/>
                <w:w w:val="99"/>
              </w:rPr>
              <w:t>2009</w:t>
            </w:r>
          </w:p>
        </w:tc>
        <w:tc>
          <w:tcPr>
            <w:tcW w:w="320" w:type="dxa"/>
            <w:vAlign w:val="bottom"/>
          </w:tcPr>
          <w:p>
            <w:pPr>
              <w:spacing w:after="0"/>
              <w:rPr>
                <w:sz w:val="19"/>
                <w:szCs w:val="19"/>
                <w:color w:val="auto"/>
              </w:rPr>
            </w:pPr>
          </w:p>
        </w:tc>
        <w:tc>
          <w:tcPr>
            <w:tcW w:w="800" w:type="dxa"/>
            <w:vAlign w:val="bottom"/>
          </w:tcPr>
          <w:p>
            <w:pPr>
              <w:jc w:val="right"/>
              <w:ind w:right="292"/>
              <w:spacing w:after="0"/>
              <w:rPr>
                <w:sz w:val="20"/>
                <w:szCs w:val="20"/>
                <w:color w:val="auto"/>
              </w:rPr>
            </w:pPr>
            <w:r>
              <w:rPr>
                <w:rFonts w:ascii="Arial" w:cs="Arial" w:eastAsia="Arial" w:hAnsi="Arial"/>
                <w:sz w:val="18"/>
                <w:szCs w:val="18"/>
                <w:b w:val="1"/>
                <w:bCs w:val="1"/>
                <w:color w:val="auto"/>
                <w:w w:val="99"/>
              </w:rPr>
              <w:t>2008</w:t>
            </w:r>
          </w:p>
        </w:tc>
        <w:tc>
          <w:tcPr>
            <w:tcW w:w="20" w:type="dxa"/>
            <w:vAlign w:val="bottom"/>
          </w:tcPr>
          <w:p>
            <w:pPr>
              <w:spacing w:after="0"/>
              <w:rPr>
                <w:sz w:val="19"/>
                <w:szCs w:val="19"/>
                <w:color w:val="auto"/>
              </w:rPr>
            </w:pPr>
          </w:p>
        </w:tc>
      </w:tr>
      <w:tr>
        <w:trPr>
          <w:trHeight w:val="110"/>
        </w:trPr>
        <w:tc>
          <w:tcPr>
            <w:tcW w:w="88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8880" w:type="dxa"/>
            <w:vAlign w:val="bottom"/>
          </w:tcPr>
          <w:p>
            <w:pPr>
              <w:spacing w:after="0"/>
              <w:rPr>
                <w:sz w:val="20"/>
                <w:szCs w:val="20"/>
                <w:color w:val="auto"/>
              </w:rPr>
            </w:pPr>
            <w:r>
              <w:rPr>
                <w:rFonts w:ascii="Arial" w:cs="Arial" w:eastAsia="Arial" w:hAnsi="Arial"/>
                <w:sz w:val="18"/>
                <w:szCs w:val="18"/>
                <w:b w:val="1"/>
                <w:bCs w:val="1"/>
                <w:color w:val="auto"/>
              </w:rPr>
              <w:t>Cash flows provided by (used in) operating activities:</w:t>
            </w: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888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32.5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r>
      <w:tr>
        <w:trPr>
          <w:trHeight w:val="222"/>
        </w:trPr>
        <w:tc>
          <w:tcPr>
            <w:tcW w:w="8880" w:type="dxa"/>
            <w:vAlign w:val="bottom"/>
          </w:tcPr>
          <w:p>
            <w:pPr>
              <w:ind w:left="320"/>
              <w:spacing w:after="0"/>
              <w:rPr>
                <w:sz w:val="20"/>
                <w:szCs w:val="20"/>
                <w:color w:val="auto"/>
              </w:rPr>
            </w:pPr>
            <w:r>
              <w:rPr>
                <w:rFonts w:ascii="Arial" w:cs="Arial" w:eastAsia="Arial" w:hAnsi="Arial"/>
                <w:sz w:val="18"/>
                <w:szCs w:val="18"/>
                <w:color w:val="auto"/>
              </w:rPr>
              <w:t>Earnings (loss) from discontinued operations, net of tax</w:t>
            </w:r>
          </w:p>
        </w:tc>
        <w:tc>
          <w:tcPr>
            <w:tcW w:w="600" w:type="dxa"/>
            <w:vAlign w:val="bottom"/>
          </w:tcPr>
          <w:p>
            <w:pPr>
              <w:spacing w:after="0"/>
              <w:rPr>
                <w:sz w:val="19"/>
                <w:szCs w:val="19"/>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(21.6)</w:t>
            </w:r>
          </w:p>
        </w:tc>
        <w:tc>
          <w:tcPr>
            <w:tcW w:w="20" w:type="dxa"/>
            <w:vAlign w:val="bottom"/>
          </w:tcPr>
          <w:p>
            <w:pPr>
              <w:spacing w:after="0"/>
              <w:rPr>
                <w:sz w:val="19"/>
                <w:szCs w:val="19"/>
                <w:color w:val="auto"/>
              </w:rPr>
            </w:pPr>
          </w:p>
        </w:tc>
      </w:tr>
      <w:tr>
        <w:trPr>
          <w:trHeight w:val="110"/>
        </w:trPr>
        <w:tc>
          <w:tcPr>
            <w:tcW w:w="88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8880" w:type="dxa"/>
            <w:vAlign w:val="bottom"/>
          </w:tcPr>
          <w:p>
            <w:pPr>
              <w:ind w:left="320"/>
              <w:spacing w:after="0"/>
              <w:rPr>
                <w:sz w:val="20"/>
                <w:szCs w:val="20"/>
                <w:color w:val="auto"/>
              </w:rPr>
            </w:pPr>
            <w:r>
              <w:rPr>
                <w:rFonts w:ascii="Arial" w:cs="Arial" w:eastAsia="Arial" w:hAnsi="Arial"/>
                <w:sz w:val="18"/>
                <w:szCs w:val="18"/>
                <w:color w:val="auto"/>
              </w:rPr>
              <w:t>Earnings from continuing operations</w:t>
            </w:r>
          </w:p>
        </w:tc>
        <w:tc>
          <w:tcPr>
            <w:tcW w:w="600" w:type="dxa"/>
            <w:vAlign w:val="bottom"/>
          </w:tcPr>
          <w:p>
            <w:pPr>
              <w:spacing w:after="0"/>
              <w:rPr>
                <w:sz w:val="24"/>
                <w:szCs w:val="24"/>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32.2</w:t>
            </w:r>
          </w:p>
        </w:tc>
        <w:tc>
          <w:tcPr>
            <w:tcW w:w="320" w:type="dxa"/>
            <w:vAlign w:val="bottom"/>
          </w:tcPr>
          <w:p>
            <w:pPr>
              <w:spacing w:after="0"/>
              <w:rPr>
                <w:sz w:val="24"/>
                <w:szCs w:val="24"/>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24"/>
                <w:szCs w:val="24"/>
                <w:color w:val="auto"/>
              </w:rPr>
            </w:pPr>
          </w:p>
        </w:tc>
      </w:tr>
      <w:tr>
        <w:trPr>
          <w:trHeight w:val="358"/>
        </w:trPr>
        <w:tc>
          <w:tcPr>
            <w:tcW w:w="8880" w:type="dxa"/>
            <w:vAlign w:val="bottom"/>
          </w:tcPr>
          <w:p>
            <w:pPr>
              <w:ind w:left="160"/>
              <w:spacing w:after="0"/>
              <w:rPr>
                <w:sz w:val="20"/>
                <w:szCs w:val="20"/>
                <w:color w:val="auto"/>
              </w:rPr>
            </w:pPr>
            <w:r>
              <w:rPr>
                <w:rFonts w:ascii="Arial" w:cs="Arial" w:eastAsia="Arial" w:hAnsi="Arial"/>
                <w:sz w:val="18"/>
                <w:szCs w:val="18"/>
                <w:color w:val="auto"/>
                <w:w w:val="93"/>
              </w:rPr>
              <w:t>Adjustments to reconcile earnings from continuing operations to net cash provided by (used in) operating activities of</w:t>
            </w: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8880" w:type="dxa"/>
            <w:vAlign w:val="bottom"/>
          </w:tcPr>
          <w:p>
            <w:pPr>
              <w:ind w:left="320"/>
              <w:spacing w:after="0"/>
              <w:rPr>
                <w:sz w:val="20"/>
                <w:szCs w:val="20"/>
                <w:color w:val="auto"/>
              </w:rPr>
            </w:pPr>
            <w:r>
              <w:rPr>
                <w:rFonts w:ascii="Arial" w:cs="Arial" w:eastAsia="Arial" w:hAnsi="Arial"/>
                <w:sz w:val="18"/>
                <w:szCs w:val="18"/>
                <w:color w:val="auto"/>
              </w:rPr>
              <w:t>continuing operations:</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880" w:type="dxa"/>
            <w:vAlign w:val="bottom"/>
          </w:tcPr>
          <w:p>
            <w:pPr>
              <w:ind w:left="320"/>
              <w:spacing w:after="0"/>
              <w:rPr>
                <w:sz w:val="20"/>
                <w:szCs w:val="20"/>
                <w:color w:val="auto"/>
              </w:rPr>
            </w:pPr>
            <w:r>
              <w:rPr>
                <w:rFonts w:ascii="Arial" w:cs="Arial" w:eastAsia="Arial" w:hAnsi="Arial"/>
                <w:sz w:val="18"/>
                <w:szCs w:val="18"/>
                <w:color w:val="auto"/>
              </w:rPr>
              <w:t>Provision for losses on accounts receivable and other reserves</w:t>
            </w:r>
          </w:p>
        </w:tc>
        <w:tc>
          <w:tcPr>
            <w:tcW w:w="60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24.3</w:t>
            </w:r>
          </w:p>
        </w:tc>
        <w:tc>
          <w:tcPr>
            <w:tcW w:w="32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27.1</w:t>
            </w:r>
          </w:p>
        </w:tc>
        <w:tc>
          <w:tcPr>
            <w:tcW w:w="20" w:type="dxa"/>
            <w:vAlign w:val="bottom"/>
          </w:tcPr>
          <w:p>
            <w:pPr>
              <w:spacing w:after="0"/>
              <w:rPr>
                <w:sz w:val="18"/>
                <w:szCs w:val="18"/>
                <w:color w:val="auto"/>
              </w:rPr>
            </w:pPr>
          </w:p>
        </w:tc>
      </w:tr>
      <w:tr>
        <w:trPr>
          <w:trHeight w:val="216"/>
        </w:trPr>
        <w:tc>
          <w:tcPr>
            <w:tcW w:w="8880" w:type="dxa"/>
            <w:vAlign w:val="bottom"/>
          </w:tcPr>
          <w:p>
            <w:pPr>
              <w:ind w:left="320"/>
              <w:spacing w:after="0"/>
              <w:rPr>
                <w:sz w:val="20"/>
                <w:szCs w:val="20"/>
                <w:color w:val="auto"/>
              </w:rPr>
            </w:pPr>
            <w:r>
              <w:rPr>
                <w:rFonts w:ascii="Arial" w:cs="Arial" w:eastAsia="Arial" w:hAnsi="Arial"/>
                <w:sz w:val="18"/>
                <w:szCs w:val="18"/>
                <w:color w:val="auto"/>
              </w:rPr>
              <w:t>Amortization of prepublication and production costs</w:t>
            </w:r>
          </w:p>
        </w:tc>
        <w:tc>
          <w:tcPr>
            <w:tcW w:w="60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24.3</w:t>
            </w:r>
          </w:p>
        </w:tc>
        <w:tc>
          <w:tcPr>
            <w:tcW w:w="32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20.7</w:t>
            </w:r>
          </w:p>
        </w:tc>
        <w:tc>
          <w:tcPr>
            <w:tcW w:w="20" w:type="dxa"/>
            <w:vAlign w:val="bottom"/>
          </w:tcPr>
          <w:p>
            <w:pPr>
              <w:spacing w:after="0"/>
              <w:rPr>
                <w:sz w:val="18"/>
                <w:szCs w:val="18"/>
                <w:color w:val="auto"/>
              </w:rPr>
            </w:pPr>
          </w:p>
        </w:tc>
      </w:tr>
      <w:tr>
        <w:trPr>
          <w:trHeight w:val="216"/>
        </w:trPr>
        <w:tc>
          <w:tcPr>
            <w:tcW w:w="888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29.5</w:t>
            </w:r>
          </w:p>
        </w:tc>
        <w:tc>
          <w:tcPr>
            <w:tcW w:w="32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30.7</w:t>
            </w:r>
          </w:p>
        </w:tc>
        <w:tc>
          <w:tcPr>
            <w:tcW w:w="20" w:type="dxa"/>
            <w:vAlign w:val="bottom"/>
          </w:tcPr>
          <w:p>
            <w:pPr>
              <w:spacing w:after="0"/>
              <w:rPr>
                <w:sz w:val="18"/>
                <w:szCs w:val="18"/>
                <w:color w:val="auto"/>
              </w:rPr>
            </w:pPr>
          </w:p>
        </w:tc>
      </w:tr>
      <w:tr>
        <w:trPr>
          <w:trHeight w:val="216"/>
        </w:trPr>
        <w:tc>
          <w:tcPr>
            <w:tcW w:w="888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60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8"/>
                <w:szCs w:val="18"/>
                <w:color w:val="auto"/>
              </w:rPr>
            </w:pPr>
          </w:p>
        </w:tc>
      </w:tr>
      <w:tr>
        <w:trPr>
          <w:trHeight w:val="216"/>
        </w:trPr>
        <w:tc>
          <w:tcPr>
            <w:tcW w:w="8880" w:type="dxa"/>
            <w:vAlign w:val="bottom"/>
          </w:tcPr>
          <w:p>
            <w:pPr>
              <w:ind w:left="320"/>
              <w:spacing w:after="0"/>
              <w:rPr>
                <w:sz w:val="20"/>
                <w:szCs w:val="20"/>
                <w:color w:val="auto"/>
              </w:rPr>
            </w:pPr>
            <w:r>
              <w:rPr>
                <w:rFonts w:ascii="Arial" w:cs="Arial" w:eastAsia="Arial" w:hAnsi="Arial"/>
                <w:sz w:val="18"/>
                <w:szCs w:val="18"/>
                <w:color w:val="auto"/>
              </w:rPr>
              <w:t>Non-cash write off related to asset impairments</w:t>
            </w:r>
          </w:p>
        </w:tc>
        <w:tc>
          <w:tcPr>
            <w:tcW w:w="60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40.1</w:t>
            </w:r>
          </w:p>
        </w:tc>
        <w:tc>
          <w:tcPr>
            <w:tcW w:w="32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880" w:type="dxa"/>
            <w:vAlign w:val="bottom"/>
          </w:tcPr>
          <w:p>
            <w:pPr>
              <w:ind w:left="320"/>
              <w:spacing w:after="0"/>
              <w:rPr>
                <w:sz w:val="20"/>
                <w:szCs w:val="20"/>
                <w:color w:val="auto"/>
              </w:rPr>
            </w:pPr>
            <w:r>
              <w:rPr>
                <w:rFonts w:ascii="Arial" w:cs="Arial" w:eastAsia="Arial" w:hAnsi="Arial"/>
                <w:sz w:val="18"/>
                <w:szCs w:val="18"/>
                <w:color w:val="auto"/>
              </w:rPr>
              <w:t>Changes in assets and liabilities:</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88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60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(90.5)</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(82.4)</w:t>
            </w:r>
          </w:p>
        </w:tc>
        <w:tc>
          <w:tcPr>
            <w:tcW w:w="20" w:type="dxa"/>
            <w:vAlign w:val="bottom"/>
          </w:tcPr>
          <w:p>
            <w:pPr>
              <w:spacing w:after="0"/>
              <w:rPr>
                <w:sz w:val="18"/>
                <w:szCs w:val="18"/>
                <w:color w:val="auto"/>
              </w:rPr>
            </w:pPr>
          </w:p>
        </w:tc>
      </w:tr>
      <w:tr>
        <w:trPr>
          <w:trHeight w:val="216"/>
        </w:trPr>
        <w:tc>
          <w:tcPr>
            <w:tcW w:w="888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60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(39.1)</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(97.6)</w:t>
            </w:r>
          </w:p>
        </w:tc>
        <w:tc>
          <w:tcPr>
            <w:tcW w:w="20" w:type="dxa"/>
            <w:vAlign w:val="bottom"/>
          </w:tcPr>
          <w:p>
            <w:pPr>
              <w:spacing w:after="0"/>
              <w:rPr>
                <w:sz w:val="18"/>
                <w:szCs w:val="18"/>
                <w:color w:val="auto"/>
              </w:rPr>
            </w:pPr>
          </w:p>
        </w:tc>
      </w:tr>
      <w:tr>
        <w:trPr>
          <w:trHeight w:val="216"/>
        </w:trPr>
        <w:tc>
          <w:tcPr>
            <w:tcW w:w="8880" w:type="dxa"/>
            <w:vAlign w:val="bottom"/>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60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r>
      <w:tr>
        <w:trPr>
          <w:trHeight w:val="216"/>
        </w:trPr>
        <w:tc>
          <w:tcPr>
            <w:tcW w:w="8880" w:type="dxa"/>
            <w:vAlign w:val="bottom"/>
          </w:tcPr>
          <w:p>
            <w:pPr>
              <w:ind w:left="480"/>
              <w:spacing w:after="0"/>
              <w:rPr>
                <w:sz w:val="20"/>
                <w:szCs w:val="20"/>
                <w:color w:val="auto"/>
              </w:rPr>
            </w:pPr>
            <w:r>
              <w:rPr>
                <w:rFonts w:ascii="Arial" w:cs="Arial" w:eastAsia="Arial" w:hAnsi="Arial"/>
                <w:sz w:val="18"/>
                <w:szCs w:val="18"/>
                <w:color w:val="auto"/>
              </w:rPr>
              <w:t>Deferred promotion costs</w:t>
            </w:r>
          </w:p>
        </w:tc>
        <w:tc>
          <w:tcPr>
            <w:tcW w:w="60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r>
      <w:tr>
        <w:trPr>
          <w:trHeight w:val="216"/>
        </w:trPr>
        <w:tc>
          <w:tcPr>
            <w:tcW w:w="8880" w:type="dxa"/>
            <w:vAlign w:val="bottom"/>
          </w:tcPr>
          <w:p>
            <w:pPr>
              <w:ind w:left="480"/>
              <w:spacing w:after="0"/>
              <w:rPr>
                <w:sz w:val="20"/>
                <w:szCs w:val="20"/>
                <w:color w:val="auto"/>
              </w:rPr>
            </w:pPr>
            <w:r>
              <w:rPr>
                <w:rFonts w:ascii="Arial" w:cs="Arial" w:eastAsia="Arial" w:hAnsi="Arial"/>
                <w:sz w:val="18"/>
                <w:szCs w:val="18"/>
                <w:color w:val="auto"/>
              </w:rPr>
              <w:t>Royalty advances</w:t>
            </w:r>
          </w:p>
        </w:tc>
        <w:tc>
          <w:tcPr>
            <w:tcW w:w="60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r>
      <w:tr>
        <w:trPr>
          <w:trHeight w:val="216"/>
        </w:trPr>
        <w:tc>
          <w:tcPr>
            <w:tcW w:w="8880" w:type="dxa"/>
            <w:vAlign w:val="bottom"/>
          </w:tcPr>
          <w:p>
            <w:pPr>
              <w:ind w:left="480"/>
              <w:spacing w:after="0"/>
              <w:rPr>
                <w:sz w:val="20"/>
                <w:szCs w:val="20"/>
                <w:color w:val="auto"/>
              </w:rPr>
            </w:pPr>
            <w:r>
              <w:rPr>
                <w:rFonts w:ascii="Arial" w:cs="Arial" w:eastAsia="Arial" w:hAnsi="Arial"/>
                <w:sz w:val="18"/>
                <w:szCs w:val="18"/>
                <w:color w:val="auto"/>
              </w:rPr>
              <w:t>Accounts payable and other accrued expenses</w:t>
            </w:r>
          </w:p>
        </w:tc>
        <w:tc>
          <w:tcPr>
            <w:tcW w:w="60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45.5</w:t>
            </w:r>
          </w:p>
        </w:tc>
        <w:tc>
          <w:tcPr>
            <w:tcW w:w="32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8"/>
                <w:szCs w:val="18"/>
                <w:color w:val="auto"/>
              </w:rPr>
            </w:pPr>
          </w:p>
        </w:tc>
      </w:tr>
      <w:tr>
        <w:trPr>
          <w:trHeight w:val="216"/>
        </w:trPr>
        <w:tc>
          <w:tcPr>
            <w:tcW w:w="8880" w:type="dxa"/>
            <w:vAlign w:val="bottom"/>
          </w:tcPr>
          <w:p>
            <w:pPr>
              <w:ind w:left="480"/>
              <w:spacing w:after="0"/>
              <w:rPr>
                <w:sz w:val="20"/>
                <w:szCs w:val="20"/>
                <w:color w:val="auto"/>
              </w:rPr>
            </w:pPr>
            <w:r>
              <w:rPr>
                <w:rFonts w:ascii="Arial" w:cs="Arial" w:eastAsia="Arial" w:hAnsi="Arial"/>
                <w:sz w:val="18"/>
                <w:szCs w:val="18"/>
                <w:color w:val="auto"/>
              </w:rPr>
              <w:t>Accrued royalties</w:t>
            </w:r>
          </w:p>
        </w:tc>
        <w:tc>
          <w:tcPr>
            <w:tcW w:w="60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r>
      <w:tr>
        <w:trPr>
          <w:trHeight w:val="216"/>
        </w:trPr>
        <w:tc>
          <w:tcPr>
            <w:tcW w:w="8880" w:type="dxa"/>
            <w:vAlign w:val="bottom"/>
          </w:tcPr>
          <w:p>
            <w:pPr>
              <w:ind w:left="480"/>
              <w:spacing w:after="0"/>
              <w:rPr>
                <w:sz w:val="20"/>
                <w:szCs w:val="20"/>
                <w:color w:val="auto"/>
              </w:rPr>
            </w:pPr>
            <w:r>
              <w:rPr>
                <w:rFonts w:ascii="Arial" w:cs="Arial" w:eastAsia="Arial" w:hAnsi="Arial"/>
                <w:sz w:val="18"/>
                <w:szCs w:val="18"/>
                <w:color w:val="auto"/>
              </w:rPr>
              <w:t>Deferred revenue</w:t>
            </w:r>
          </w:p>
        </w:tc>
        <w:tc>
          <w:tcPr>
            <w:tcW w:w="60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39.3</w:t>
            </w:r>
          </w:p>
        </w:tc>
        <w:tc>
          <w:tcPr>
            <w:tcW w:w="32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35.7</w:t>
            </w:r>
          </w:p>
        </w:tc>
        <w:tc>
          <w:tcPr>
            <w:tcW w:w="20" w:type="dxa"/>
            <w:vAlign w:val="bottom"/>
          </w:tcPr>
          <w:p>
            <w:pPr>
              <w:spacing w:after="0"/>
              <w:rPr>
                <w:sz w:val="18"/>
                <w:szCs w:val="18"/>
                <w:color w:val="auto"/>
              </w:rPr>
            </w:pPr>
          </w:p>
        </w:tc>
      </w:tr>
      <w:tr>
        <w:trPr>
          <w:trHeight w:val="216"/>
        </w:trPr>
        <w:tc>
          <w:tcPr>
            <w:tcW w:w="8880" w:type="dxa"/>
            <w:vAlign w:val="bottom"/>
          </w:tcPr>
          <w:p>
            <w:pPr>
              <w:ind w:left="480"/>
              <w:spacing w:after="0"/>
              <w:rPr>
                <w:sz w:val="20"/>
                <w:szCs w:val="20"/>
                <w:color w:val="auto"/>
              </w:rPr>
            </w:pPr>
            <w:r>
              <w:rPr>
                <w:rFonts w:ascii="Arial" w:cs="Arial" w:eastAsia="Arial" w:hAnsi="Arial"/>
                <w:sz w:val="18"/>
                <w:szCs w:val="18"/>
                <w:color w:val="auto"/>
              </w:rPr>
              <w:t>Pension and post-retirement liability</w:t>
            </w:r>
          </w:p>
        </w:tc>
        <w:tc>
          <w:tcPr>
            <w:tcW w:w="60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(6.8)</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r>
      <w:tr>
        <w:trPr>
          <w:trHeight w:val="222"/>
        </w:trPr>
        <w:tc>
          <w:tcPr>
            <w:tcW w:w="8880" w:type="dxa"/>
            <w:vAlign w:val="bottom"/>
          </w:tcPr>
          <w:p>
            <w:pPr>
              <w:ind w:left="320"/>
              <w:spacing w:after="0"/>
              <w:rPr>
                <w:sz w:val="20"/>
                <w:szCs w:val="20"/>
                <w:color w:val="auto"/>
              </w:rPr>
            </w:pPr>
            <w:r>
              <w:rPr>
                <w:rFonts w:ascii="Arial" w:cs="Arial" w:eastAsia="Arial" w:hAnsi="Arial"/>
                <w:sz w:val="18"/>
                <w:szCs w:val="18"/>
                <w:color w:val="auto"/>
              </w:rPr>
              <w:t>Other net</w:t>
            </w:r>
          </w:p>
        </w:tc>
        <w:tc>
          <w:tcPr>
            <w:tcW w:w="600" w:type="dxa"/>
            <w:vAlign w:val="bottom"/>
          </w:tcPr>
          <w:p>
            <w:pPr>
              <w:spacing w:after="0"/>
              <w:rPr>
                <w:sz w:val="19"/>
                <w:szCs w:val="19"/>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9"/>
                <w:szCs w:val="19"/>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9"/>
                <w:szCs w:val="19"/>
                <w:color w:val="auto"/>
              </w:rPr>
            </w:pPr>
          </w:p>
        </w:tc>
      </w:tr>
      <w:tr>
        <w:trPr>
          <w:trHeight w:val="110"/>
        </w:trPr>
        <w:tc>
          <w:tcPr>
            <w:tcW w:w="88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8880" w:type="dxa"/>
            <w:vAlign w:val="bottom"/>
          </w:tcPr>
          <w:p>
            <w:pPr>
              <w:ind w:left="160"/>
              <w:spacing w:after="0"/>
              <w:rPr>
                <w:sz w:val="20"/>
                <w:szCs w:val="20"/>
                <w:color w:val="auto"/>
              </w:rPr>
            </w:pPr>
            <w:r>
              <w:rPr>
                <w:rFonts w:ascii="Arial" w:cs="Arial" w:eastAsia="Arial" w:hAnsi="Arial"/>
                <w:sz w:val="18"/>
                <w:szCs w:val="18"/>
                <w:color w:val="auto"/>
              </w:rPr>
              <w:t>Total adjustments</w:t>
            </w:r>
          </w:p>
        </w:tc>
        <w:tc>
          <w:tcPr>
            <w:tcW w:w="600" w:type="dxa"/>
            <w:vAlign w:val="bottom"/>
          </w:tcPr>
          <w:p>
            <w:pPr>
              <w:spacing w:after="0"/>
              <w:rPr>
                <w:sz w:val="24"/>
                <w:szCs w:val="24"/>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68.1</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(73.0)</w:t>
            </w:r>
          </w:p>
        </w:tc>
        <w:tc>
          <w:tcPr>
            <w:tcW w:w="20" w:type="dxa"/>
            <w:vAlign w:val="bottom"/>
          </w:tcPr>
          <w:p>
            <w:pPr>
              <w:spacing w:after="0"/>
              <w:rPr>
                <w:sz w:val="24"/>
                <w:szCs w:val="24"/>
                <w:color w:val="auto"/>
              </w:rPr>
            </w:pPr>
          </w:p>
        </w:tc>
      </w:tr>
      <w:tr>
        <w:trPr>
          <w:trHeight w:val="110"/>
        </w:trPr>
        <w:tc>
          <w:tcPr>
            <w:tcW w:w="88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8880" w:type="dxa"/>
            <w:vAlign w:val="bottom"/>
          </w:tcPr>
          <w:p>
            <w:pPr>
              <w:ind w:left="480"/>
              <w:spacing w:after="0"/>
              <w:rPr>
                <w:sz w:val="20"/>
                <w:szCs w:val="20"/>
                <w:color w:val="auto"/>
              </w:rPr>
            </w:pPr>
            <w:r>
              <w:rPr>
                <w:rFonts w:ascii="Arial" w:cs="Arial" w:eastAsia="Arial" w:hAnsi="Arial"/>
                <w:sz w:val="18"/>
                <w:szCs w:val="18"/>
                <w:color w:val="auto"/>
              </w:rPr>
              <w:t>Net cash provided by (used in) operating activities of continuing operations</w:t>
            </w:r>
          </w:p>
        </w:tc>
        <w:tc>
          <w:tcPr>
            <w:tcW w:w="600" w:type="dxa"/>
            <w:vAlign w:val="bottom"/>
          </w:tcPr>
          <w:p>
            <w:pPr>
              <w:spacing w:after="0"/>
              <w:rPr>
                <w:sz w:val="24"/>
                <w:szCs w:val="24"/>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100.3</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(57.4)</w:t>
            </w:r>
          </w:p>
        </w:tc>
        <w:tc>
          <w:tcPr>
            <w:tcW w:w="20" w:type="dxa"/>
            <w:vAlign w:val="bottom"/>
          </w:tcPr>
          <w:p>
            <w:pPr>
              <w:spacing w:after="0"/>
              <w:rPr>
                <w:sz w:val="24"/>
                <w:szCs w:val="24"/>
                <w:color w:val="auto"/>
              </w:rPr>
            </w:pPr>
          </w:p>
        </w:tc>
      </w:tr>
      <w:tr>
        <w:trPr>
          <w:trHeight w:val="222"/>
        </w:trPr>
        <w:tc>
          <w:tcPr>
            <w:tcW w:w="8880" w:type="dxa"/>
            <w:vAlign w:val="bottom"/>
          </w:tcPr>
          <w:p>
            <w:pPr>
              <w:ind w:left="480"/>
              <w:spacing w:after="0"/>
              <w:rPr>
                <w:sz w:val="20"/>
                <w:szCs w:val="20"/>
                <w:color w:val="auto"/>
              </w:rPr>
            </w:pPr>
            <w:r>
              <w:rPr>
                <w:rFonts w:ascii="Arial" w:cs="Arial" w:eastAsia="Arial" w:hAnsi="Arial"/>
                <w:sz w:val="18"/>
                <w:szCs w:val="18"/>
                <w:color w:val="auto"/>
              </w:rPr>
              <w:t>Net cash provided by (used in) operating activities of discontinued operations</w:t>
            </w:r>
          </w:p>
        </w:tc>
        <w:tc>
          <w:tcPr>
            <w:tcW w:w="600" w:type="dxa"/>
            <w:vAlign w:val="bottom"/>
          </w:tcPr>
          <w:p>
            <w:pPr>
              <w:spacing w:after="0"/>
              <w:rPr>
                <w:sz w:val="19"/>
                <w:szCs w:val="19"/>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9"/>
                <w:szCs w:val="19"/>
                <w:color w:val="auto"/>
              </w:rPr>
            </w:pPr>
          </w:p>
        </w:tc>
      </w:tr>
      <w:tr>
        <w:trPr>
          <w:trHeight w:val="110"/>
        </w:trPr>
        <w:tc>
          <w:tcPr>
            <w:tcW w:w="88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8880" w:type="dxa"/>
            <w:vAlign w:val="bottom"/>
          </w:tcPr>
          <w:p>
            <w:pPr>
              <w:ind w:left="480"/>
              <w:spacing w:after="0"/>
              <w:rPr>
                <w:sz w:val="20"/>
                <w:szCs w:val="20"/>
                <w:color w:val="auto"/>
              </w:rPr>
            </w:pPr>
            <w:r>
              <w:rPr>
                <w:rFonts w:ascii="Arial" w:cs="Arial" w:eastAsia="Arial" w:hAnsi="Arial"/>
                <w:sz w:val="18"/>
                <w:szCs w:val="18"/>
                <w:color w:val="auto"/>
              </w:rPr>
              <w:t>Net cash provided by (used in) operating activities</w:t>
            </w:r>
          </w:p>
        </w:tc>
        <w:tc>
          <w:tcPr>
            <w:tcW w:w="600" w:type="dxa"/>
            <w:vAlign w:val="bottom"/>
          </w:tcPr>
          <w:p>
            <w:pPr>
              <w:spacing w:after="0"/>
              <w:rPr>
                <w:sz w:val="24"/>
                <w:szCs w:val="24"/>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103.0</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(63.3)</w:t>
            </w:r>
          </w:p>
        </w:tc>
        <w:tc>
          <w:tcPr>
            <w:tcW w:w="20" w:type="dxa"/>
            <w:vAlign w:val="bottom"/>
          </w:tcPr>
          <w:p>
            <w:pPr>
              <w:spacing w:after="0"/>
              <w:rPr>
                <w:sz w:val="24"/>
                <w:szCs w:val="24"/>
                <w:color w:val="auto"/>
              </w:rPr>
            </w:pPr>
          </w:p>
        </w:tc>
      </w:tr>
      <w:tr>
        <w:trPr>
          <w:trHeight w:val="358"/>
        </w:trPr>
        <w:tc>
          <w:tcPr>
            <w:tcW w:w="8880" w:type="dxa"/>
            <w:vAlign w:val="bottom"/>
          </w:tcPr>
          <w:p>
            <w:pPr>
              <w:spacing w:after="0"/>
              <w:rPr>
                <w:sz w:val="20"/>
                <w:szCs w:val="20"/>
                <w:color w:val="auto"/>
              </w:rPr>
            </w:pPr>
            <w:r>
              <w:rPr>
                <w:rFonts w:ascii="Arial" w:cs="Arial" w:eastAsia="Arial" w:hAnsi="Arial"/>
                <w:sz w:val="18"/>
                <w:szCs w:val="18"/>
                <w:b w:val="1"/>
                <w:bCs w:val="1"/>
                <w:color w:val="auto"/>
              </w:rPr>
              <w:t>Cash flows provided by (used in) investing activities:</w:t>
            </w: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8880" w:type="dxa"/>
            <w:vAlign w:val="bottom"/>
          </w:tcPr>
          <w:p>
            <w:pPr>
              <w:ind w:left="160"/>
              <w:spacing w:after="0"/>
              <w:rPr>
                <w:sz w:val="20"/>
                <w:szCs w:val="20"/>
                <w:color w:val="auto"/>
              </w:rPr>
            </w:pPr>
            <w:r>
              <w:rPr>
                <w:rFonts w:ascii="Arial" w:cs="Arial" w:eastAsia="Arial" w:hAnsi="Arial"/>
                <w:sz w:val="18"/>
                <w:szCs w:val="18"/>
                <w:color w:val="auto"/>
              </w:rPr>
              <w:t>Prepublication and production expenditures</w:t>
            </w:r>
          </w:p>
        </w:tc>
        <w:tc>
          <w:tcPr>
            <w:tcW w:w="60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(22.1)</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(26.6)</w:t>
            </w:r>
          </w:p>
        </w:tc>
        <w:tc>
          <w:tcPr>
            <w:tcW w:w="20" w:type="dxa"/>
            <w:vAlign w:val="bottom"/>
          </w:tcPr>
          <w:p>
            <w:pPr>
              <w:spacing w:after="0"/>
              <w:rPr>
                <w:sz w:val="18"/>
                <w:szCs w:val="18"/>
                <w:color w:val="auto"/>
              </w:rPr>
            </w:pPr>
          </w:p>
        </w:tc>
      </w:tr>
      <w:tr>
        <w:trPr>
          <w:trHeight w:val="216"/>
        </w:trPr>
        <w:tc>
          <w:tcPr>
            <w:tcW w:w="8880" w:type="dxa"/>
            <w:vAlign w:val="bottom"/>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60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(17.2)</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8"/>
                <w:szCs w:val="18"/>
                <w:color w:val="auto"/>
              </w:rPr>
            </w:pPr>
          </w:p>
        </w:tc>
      </w:tr>
      <w:tr>
        <w:trPr>
          <w:trHeight w:val="216"/>
        </w:trPr>
        <w:tc>
          <w:tcPr>
            <w:tcW w:w="8880" w:type="dxa"/>
            <w:vAlign w:val="bottom"/>
          </w:tcPr>
          <w:p>
            <w:pPr>
              <w:ind w:left="160"/>
              <w:spacing w:after="0"/>
              <w:rPr>
                <w:sz w:val="20"/>
                <w:szCs w:val="20"/>
                <w:color w:val="auto"/>
              </w:rPr>
            </w:pPr>
            <w:r>
              <w:rPr>
                <w:rFonts w:ascii="Arial" w:cs="Arial" w:eastAsia="Arial" w:hAnsi="Arial"/>
                <w:sz w:val="18"/>
                <w:szCs w:val="18"/>
                <w:color w:val="auto"/>
              </w:rPr>
              <w:t>Net proceeds from sale of discontinued operations</w:t>
            </w:r>
          </w:p>
        </w:tc>
        <w:tc>
          <w:tcPr>
            <w:tcW w:w="60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r>
      <w:tr>
        <w:trPr>
          <w:trHeight w:val="216"/>
        </w:trPr>
        <w:tc>
          <w:tcPr>
            <w:tcW w:w="8880" w:type="dxa"/>
            <w:vAlign w:val="bottom"/>
          </w:tcPr>
          <w:p>
            <w:pPr>
              <w:ind w:left="160"/>
              <w:spacing w:after="0"/>
              <w:rPr>
                <w:sz w:val="20"/>
                <w:szCs w:val="20"/>
                <w:color w:val="auto"/>
              </w:rPr>
            </w:pPr>
            <w:r>
              <w:rPr>
                <w:rFonts w:ascii="Arial" w:cs="Arial" w:eastAsia="Arial" w:hAnsi="Arial"/>
                <w:sz w:val="18"/>
                <w:szCs w:val="18"/>
                <w:color w:val="auto"/>
              </w:rPr>
              <w:t>Repayment of loan from investee</w:t>
            </w:r>
          </w:p>
        </w:tc>
        <w:tc>
          <w:tcPr>
            <w:tcW w:w="60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r>
      <w:tr>
        <w:trPr>
          <w:trHeight w:val="222"/>
        </w:trPr>
        <w:tc>
          <w:tcPr>
            <w:tcW w:w="8880" w:type="dxa"/>
            <w:vAlign w:val="bottom"/>
          </w:tcPr>
          <w:p>
            <w:pPr>
              <w:ind w:left="160"/>
              <w:spacing w:after="0"/>
              <w:rPr>
                <w:sz w:val="20"/>
                <w:szCs w:val="20"/>
                <w:color w:val="auto"/>
              </w:rPr>
            </w:pPr>
            <w:r>
              <w:rPr>
                <w:rFonts w:ascii="Arial" w:cs="Arial" w:eastAsia="Arial" w:hAnsi="Arial"/>
                <w:sz w:val="18"/>
                <w:szCs w:val="18"/>
                <w:color w:val="auto"/>
              </w:rPr>
              <w:t>Acquisition related payments</w:t>
            </w:r>
          </w:p>
        </w:tc>
        <w:tc>
          <w:tcPr>
            <w:tcW w:w="600" w:type="dxa"/>
            <w:vAlign w:val="bottom"/>
          </w:tcPr>
          <w:p>
            <w:pPr>
              <w:spacing w:after="0"/>
              <w:rPr>
                <w:sz w:val="19"/>
                <w:szCs w:val="19"/>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r>
      <w:tr>
        <w:trPr>
          <w:trHeight w:val="110"/>
        </w:trPr>
        <w:tc>
          <w:tcPr>
            <w:tcW w:w="88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8880" w:type="dxa"/>
            <w:vAlign w:val="bottom"/>
          </w:tcPr>
          <w:p>
            <w:pPr>
              <w:ind w:left="160"/>
              <w:spacing w:after="0"/>
              <w:rPr>
                <w:sz w:val="20"/>
                <w:szCs w:val="20"/>
                <w:color w:val="auto"/>
              </w:rPr>
            </w:pPr>
            <w:r>
              <w:rPr>
                <w:rFonts w:ascii="Arial" w:cs="Arial" w:eastAsia="Arial" w:hAnsi="Arial"/>
                <w:sz w:val="18"/>
                <w:szCs w:val="18"/>
                <w:color w:val="auto"/>
              </w:rPr>
              <w:t>Net cash used in investing activities of continuing operations</w:t>
            </w:r>
          </w:p>
        </w:tc>
        <w:tc>
          <w:tcPr>
            <w:tcW w:w="600" w:type="dxa"/>
            <w:vAlign w:val="bottom"/>
          </w:tcPr>
          <w:p>
            <w:pPr>
              <w:spacing w:after="0"/>
              <w:rPr>
                <w:sz w:val="24"/>
                <w:szCs w:val="24"/>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(39.1)</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(42.3)</w:t>
            </w:r>
          </w:p>
        </w:tc>
        <w:tc>
          <w:tcPr>
            <w:tcW w:w="20" w:type="dxa"/>
            <w:vAlign w:val="bottom"/>
          </w:tcPr>
          <w:p>
            <w:pPr>
              <w:spacing w:after="0"/>
              <w:rPr>
                <w:sz w:val="24"/>
                <w:szCs w:val="24"/>
                <w:color w:val="auto"/>
              </w:rPr>
            </w:pPr>
          </w:p>
        </w:tc>
      </w:tr>
      <w:tr>
        <w:trPr>
          <w:trHeight w:val="222"/>
        </w:trPr>
        <w:tc>
          <w:tcPr>
            <w:tcW w:w="8880" w:type="dxa"/>
            <w:vAlign w:val="bottom"/>
          </w:tcPr>
          <w:p>
            <w:pPr>
              <w:ind w:left="160"/>
              <w:spacing w:after="0"/>
              <w:rPr>
                <w:sz w:val="20"/>
                <w:szCs w:val="20"/>
                <w:color w:val="auto"/>
              </w:rPr>
            </w:pPr>
            <w:r>
              <w:rPr>
                <w:rFonts w:ascii="Arial" w:cs="Arial" w:eastAsia="Arial" w:hAnsi="Arial"/>
                <w:sz w:val="18"/>
                <w:szCs w:val="18"/>
                <w:color w:val="auto"/>
              </w:rPr>
              <w:t>Net cash used in investing activities of discontinued operations</w:t>
            </w:r>
          </w:p>
        </w:tc>
        <w:tc>
          <w:tcPr>
            <w:tcW w:w="600" w:type="dxa"/>
            <w:vAlign w:val="bottom"/>
          </w:tcPr>
          <w:p>
            <w:pPr>
              <w:spacing w:after="0"/>
              <w:rPr>
                <w:sz w:val="19"/>
                <w:szCs w:val="19"/>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9"/>
                <w:szCs w:val="19"/>
                <w:color w:val="auto"/>
              </w:rPr>
            </w:pPr>
          </w:p>
        </w:tc>
      </w:tr>
      <w:tr>
        <w:trPr>
          <w:trHeight w:val="110"/>
        </w:trPr>
        <w:tc>
          <w:tcPr>
            <w:tcW w:w="88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8880" w:type="dxa"/>
            <w:vAlign w:val="bottom"/>
          </w:tcPr>
          <w:p>
            <w:pPr>
              <w:ind w:left="320"/>
              <w:spacing w:after="0"/>
              <w:rPr>
                <w:sz w:val="20"/>
                <w:szCs w:val="20"/>
                <w:color w:val="auto"/>
              </w:rPr>
            </w:pPr>
            <w:r>
              <w:rPr>
                <w:rFonts w:ascii="Arial" w:cs="Arial" w:eastAsia="Arial" w:hAnsi="Arial"/>
                <w:sz w:val="18"/>
                <w:szCs w:val="18"/>
                <w:color w:val="auto"/>
              </w:rPr>
              <w:t>Net cash used in investing activities</w:t>
            </w:r>
          </w:p>
        </w:tc>
        <w:tc>
          <w:tcPr>
            <w:tcW w:w="600" w:type="dxa"/>
            <w:vAlign w:val="bottom"/>
          </w:tcPr>
          <w:p>
            <w:pPr>
              <w:spacing w:after="0"/>
              <w:rPr>
                <w:sz w:val="24"/>
                <w:szCs w:val="24"/>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(39.1)</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(43.0)</w:t>
            </w:r>
          </w:p>
        </w:tc>
        <w:tc>
          <w:tcPr>
            <w:tcW w:w="20" w:type="dxa"/>
            <w:vAlign w:val="bottom"/>
          </w:tcPr>
          <w:p>
            <w:pPr>
              <w:spacing w:after="0"/>
              <w:rPr>
                <w:sz w:val="24"/>
                <w:szCs w:val="24"/>
                <w:color w:val="auto"/>
              </w:rPr>
            </w:pPr>
          </w:p>
        </w:tc>
      </w:tr>
      <w:tr>
        <w:trPr>
          <w:trHeight w:val="432"/>
        </w:trPr>
        <w:tc>
          <w:tcPr>
            <w:tcW w:w="8880" w:type="dxa"/>
            <w:vAlign w:val="bottom"/>
          </w:tcPr>
          <w:p>
            <w:pPr>
              <w:spacing w:after="0"/>
              <w:rPr>
                <w:sz w:val="20"/>
                <w:szCs w:val="20"/>
                <w:color w:val="auto"/>
              </w:rPr>
            </w:pPr>
            <w:r>
              <w:rPr>
                <w:rFonts w:ascii="Arial" w:cs="Arial" w:eastAsia="Arial" w:hAnsi="Arial"/>
                <w:sz w:val="18"/>
                <w:szCs w:val="18"/>
                <w:i w:val="1"/>
                <w:iCs w:val="1"/>
                <w:color w:val="auto"/>
              </w:rPr>
              <w:t>See accompanying notes</w:t>
            </w: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8880" w:type="dxa"/>
            <w:vAlign w:val="bottom"/>
          </w:tcPr>
          <w:p>
            <w:pPr>
              <w:ind w:left="5680"/>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8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888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382" w:right="1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9020"/>
        <w:spacing w:after="0"/>
        <w:rPr>
          <w:sz w:val="20"/>
          <w:szCs w:val="20"/>
          <w:color w:val="auto"/>
        </w:rPr>
      </w:pPr>
      <w:r>
        <w:rPr>
          <w:rFonts w:ascii="Arial" w:cs="Arial" w:eastAsia="Arial" w:hAnsi="Arial"/>
          <w:sz w:val="18"/>
          <w:szCs w:val="18"/>
          <w:b w:val="1"/>
          <w:bCs w:val="1"/>
          <w:i w:val="1"/>
          <w:i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20" w:type="dxa"/>
            <w:vAlign w:val="bottom"/>
          </w:tcPr>
          <w:p>
            <w:pPr>
              <w:spacing w:after="0"/>
              <w:rPr>
                <w:sz w:val="19"/>
                <w:szCs w:val="19"/>
                <w:color w:val="auto"/>
              </w:rPr>
            </w:pPr>
          </w:p>
        </w:tc>
        <w:tc>
          <w:tcPr>
            <w:tcW w:w="188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November 30, 2009</w:t>
            </w:r>
          </w:p>
        </w:tc>
        <w:tc>
          <w:tcPr>
            <w:tcW w:w="1740" w:type="dxa"/>
            <w:vAlign w:val="bottom"/>
            <w:gridSpan w:val="2"/>
          </w:tcPr>
          <w:p>
            <w:pPr>
              <w:ind w:left="160"/>
              <w:spacing w:after="0"/>
              <w:rPr>
                <w:sz w:val="20"/>
                <w:szCs w:val="20"/>
                <w:color w:val="auto"/>
              </w:rPr>
            </w:pPr>
            <w:r>
              <w:rPr>
                <w:rFonts w:ascii="Arial" w:cs="Arial" w:eastAsia="Arial" w:hAnsi="Arial"/>
                <w:sz w:val="18"/>
                <w:szCs w:val="18"/>
                <w:b w:val="1"/>
                <w:bCs w:val="1"/>
                <w:color w:val="auto"/>
                <w:w w:val="95"/>
              </w:rPr>
              <w:t>November 30, 2008</w:t>
            </w:r>
          </w:p>
        </w:tc>
        <w:tc>
          <w:tcPr>
            <w:tcW w:w="0" w:type="dxa"/>
            <w:vAlign w:val="bottom"/>
          </w:tcPr>
          <w:p>
            <w:pPr>
              <w:spacing w:after="0"/>
              <w:rPr>
                <w:sz w:val="1"/>
                <w:szCs w:val="1"/>
                <w:color w:val="auto"/>
              </w:rPr>
            </w:pPr>
          </w:p>
        </w:tc>
      </w:tr>
      <w:tr>
        <w:trPr>
          <w:trHeight w:val="110"/>
        </w:trPr>
        <w:tc>
          <w:tcPr>
            <w:tcW w:w="78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820" w:type="dxa"/>
            <w:vAlign w:val="bottom"/>
          </w:tcPr>
          <w:p>
            <w:pPr>
              <w:spacing w:after="0"/>
              <w:rPr>
                <w:sz w:val="20"/>
                <w:szCs w:val="20"/>
                <w:color w:val="auto"/>
              </w:rPr>
            </w:pPr>
            <w:r>
              <w:rPr>
                <w:rFonts w:ascii="Arial" w:cs="Arial" w:eastAsia="Arial" w:hAnsi="Arial"/>
                <w:sz w:val="18"/>
                <w:szCs w:val="18"/>
                <w:b w:val="1"/>
                <w:bCs w:val="1"/>
                <w:color w:val="auto"/>
              </w:rPr>
              <w:t>Cash flows provided by (used in) financing activities:</w:t>
            </w: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60"/>
              <w:spacing w:after="0"/>
              <w:rPr>
                <w:sz w:val="20"/>
                <w:szCs w:val="20"/>
                <w:color w:val="auto"/>
              </w:rPr>
            </w:pPr>
            <w:r>
              <w:rPr>
                <w:rFonts w:ascii="Arial" w:cs="Arial" w:eastAsia="Arial" w:hAnsi="Arial"/>
                <w:sz w:val="18"/>
                <w:szCs w:val="18"/>
                <w:color w:val="auto"/>
              </w:rPr>
              <w:t>Borrowings under credit agreement and revolving loan</w:t>
            </w:r>
          </w:p>
        </w:tc>
        <w:tc>
          <w:tcPr>
            <w:tcW w:w="78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7820" w:type="dxa"/>
            <w:vAlign w:val="bottom"/>
          </w:tcPr>
          <w:p>
            <w:pPr>
              <w:ind w:left="160"/>
              <w:spacing w:after="0"/>
              <w:rPr>
                <w:sz w:val="20"/>
                <w:szCs w:val="20"/>
                <w:color w:val="auto"/>
              </w:rPr>
            </w:pPr>
            <w:r>
              <w:rPr>
                <w:rFonts w:ascii="Arial" w:cs="Arial" w:eastAsia="Arial" w:hAnsi="Arial"/>
                <w:sz w:val="18"/>
                <w:szCs w:val="18"/>
                <w:color w:val="auto"/>
              </w:rPr>
              <w:t>Repayment of credit agreement and revolving loan</w:t>
            </w:r>
          </w:p>
        </w:tc>
        <w:tc>
          <w:tcPr>
            <w:tcW w:w="78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7820" w:type="dxa"/>
            <w:vAlign w:val="bottom"/>
          </w:tcPr>
          <w:p>
            <w:pPr>
              <w:ind w:left="160"/>
              <w:spacing w:after="0"/>
              <w:rPr>
                <w:sz w:val="20"/>
                <w:szCs w:val="20"/>
                <w:color w:val="auto"/>
              </w:rPr>
            </w:pPr>
            <w:r>
              <w:rPr>
                <w:rFonts w:ascii="Arial" w:cs="Arial" w:eastAsia="Arial" w:hAnsi="Arial"/>
                <w:sz w:val="18"/>
                <w:szCs w:val="18"/>
                <w:color w:val="auto"/>
              </w:rPr>
              <w:t>Repayment of term loan</w:t>
            </w:r>
          </w:p>
        </w:tc>
        <w:tc>
          <w:tcPr>
            <w:tcW w:w="78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(21.4)</w:t>
            </w:r>
          </w:p>
        </w:tc>
        <w:tc>
          <w:tcPr>
            <w:tcW w:w="7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7820" w:type="dxa"/>
            <w:vAlign w:val="bottom"/>
          </w:tcPr>
          <w:p>
            <w:pPr>
              <w:ind w:left="160"/>
              <w:spacing w:after="0"/>
              <w:rPr>
                <w:sz w:val="20"/>
                <w:szCs w:val="20"/>
                <w:color w:val="auto"/>
              </w:rPr>
            </w:pPr>
            <w:r>
              <w:rPr>
                <w:rFonts w:ascii="Arial" w:cs="Arial" w:eastAsia="Arial" w:hAnsi="Arial"/>
                <w:sz w:val="18"/>
                <w:szCs w:val="18"/>
                <w:color w:val="auto"/>
              </w:rPr>
              <w:t>Repurchase of 5% notes</w:t>
            </w:r>
          </w:p>
        </w:tc>
        <w:tc>
          <w:tcPr>
            <w:tcW w:w="78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(4.1)</w:t>
            </w:r>
          </w:p>
        </w:tc>
        <w:tc>
          <w:tcPr>
            <w:tcW w:w="70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tcPr>
          <w:p>
            <w:pPr>
              <w:ind w:left="160"/>
              <w:spacing w:after="0"/>
              <w:rPr>
                <w:sz w:val="20"/>
                <w:szCs w:val="20"/>
                <w:color w:val="auto"/>
              </w:rPr>
            </w:pPr>
            <w:r>
              <w:rPr>
                <w:rFonts w:ascii="Arial" w:cs="Arial" w:eastAsia="Arial" w:hAnsi="Arial"/>
                <w:sz w:val="18"/>
                <w:szCs w:val="18"/>
                <w:color w:val="auto"/>
              </w:rPr>
              <w:t>Borrowings under lines of credit</w:t>
            </w:r>
          </w:p>
        </w:tc>
        <w:tc>
          <w:tcPr>
            <w:tcW w:w="78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104.5</w:t>
            </w:r>
          </w:p>
        </w:tc>
        <w:tc>
          <w:tcPr>
            <w:tcW w:w="70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319.9</w:t>
            </w:r>
          </w:p>
        </w:tc>
        <w:tc>
          <w:tcPr>
            <w:tcW w:w="0" w:type="dxa"/>
            <w:vAlign w:val="bottom"/>
          </w:tcPr>
          <w:p>
            <w:pPr>
              <w:spacing w:after="0"/>
              <w:rPr>
                <w:sz w:val="1"/>
                <w:szCs w:val="1"/>
                <w:color w:val="auto"/>
              </w:rPr>
            </w:pPr>
          </w:p>
        </w:tc>
      </w:tr>
      <w:tr>
        <w:trPr>
          <w:trHeight w:val="216"/>
        </w:trPr>
        <w:tc>
          <w:tcPr>
            <w:tcW w:w="7820" w:type="dxa"/>
            <w:vAlign w:val="bottom"/>
          </w:tcPr>
          <w:p>
            <w:pPr>
              <w:ind w:left="160"/>
              <w:spacing w:after="0"/>
              <w:rPr>
                <w:sz w:val="20"/>
                <w:szCs w:val="20"/>
                <w:color w:val="auto"/>
              </w:rPr>
            </w:pPr>
            <w:r>
              <w:rPr>
                <w:rFonts w:ascii="Arial" w:cs="Arial" w:eastAsia="Arial" w:hAnsi="Arial"/>
                <w:sz w:val="18"/>
                <w:szCs w:val="18"/>
                <w:color w:val="auto"/>
              </w:rPr>
              <w:t>Repayment of lines of credit</w:t>
            </w:r>
          </w:p>
        </w:tc>
        <w:tc>
          <w:tcPr>
            <w:tcW w:w="78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(99.4)</w:t>
            </w:r>
          </w:p>
        </w:tc>
        <w:tc>
          <w:tcPr>
            <w:tcW w:w="7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(300.5)</w:t>
            </w:r>
          </w:p>
        </w:tc>
        <w:tc>
          <w:tcPr>
            <w:tcW w:w="0" w:type="dxa"/>
            <w:vAlign w:val="bottom"/>
          </w:tcPr>
          <w:p>
            <w:pPr>
              <w:spacing w:after="0"/>
              <w:rPr>
                <w:sz w:val="1"/>
                <w:szCs w:val="1"/>
                <w:color w:val="auto"/>
              </w:rPr>
            </w:pPr>
          </w:p>
        </w:tc>
      </w:tr>
      <w:tr>
        <w:trPr>
          <w:trHeight w:val="216"/>
        </w:trPr>
        <w:tc>
          <w:tcPr>
            <w:tcW w:w="7820" w:type="dxa"/>
            <w:vAlign w:val="bottom"/>
          </w:tcPr>
          <w:p>
            <w:pPr>
              <w:ind w:left="160"/>
              <w:spacing w:after="0"/>
              <w:rPr>
                <w:sz w:val="20"/>
                <w:szCs w:val="20"/>
                <w:color w:val="auto"/>
              </w:rPr>
            </w:pPr>
            <w:r>
              <w:rPr>
                <w:rFonts w:ascii="Arial" w:cs="Arial" w:eastAsia="Arial" w:hAnsi="Arial"/>
                <w:sz w:val="18"/>
                <w:szCs w:val="18"/>
                <w:color w:val="auto"/>
              </w:rPr>
              <w:t>Repayment of capital lease obligations</w:t>
            </w:r>
          </w:p>
        </w:tc>
        <w:tc>
          <w:tcPr>
            <w:tcW w:w="78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(1.8)</w:t>
            </w:r>
          </w:p>
        </w:tc>
        <w:tc>
          <w:tcPr>
            <w:tcW w:w="7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7820" w:type="dxa"/>
            <w:vAlign w:val="bottom"/>
          </w:tcPr>
          <w:p>
            <w:pPr>
              <w:ind w:left="160"/>
              <w:spacing w:after="0"/>
              <w:rPr>
                <w:sz w:val="20"/>
                <w:szCs w:val="20"/>
                <w:color w:val="auto"/>
              </w:rPr>
            </w:pPr>
            <w:r>
              <w:rPr>
                <w:rFonts w:ascii="Arial" w:cs="Arial" w:eastAsia="Arial" w:hAnsi="Arial"/>
                <w:sz w:val="18"/>
                <w:szCs w:val="18"/>
                <w:color w:val="auto"/>
              </w:rPr>
              <w:t>Reacquisition of common stock</w:t>
            </w:r>
          </w:p>
        </w:tc>
        <w:tc>
          <w:tcPr>
            <w:tcW w:w="78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(1.0)</w:t>
            </w:r>
          </w:p>
        </w:tc>
        <w:tc>
          <w:tcPr>
            <w:tcW w:w="7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7820" w:type="dxa"/>
            <w:vAlign w:val="bottom"/>
          </w:tcPr>
          <w:p>
            <w:pPr>
              <w:ind w:left="160"/>
              <w:spacing w:after="0"/>
              <w:rPr>
                <w:sz w:val="20"/>
                <w:szCs w:val="20"/>
                <w:color w:val="auto"/>
              </w:rPr>
            </w:pPr>
            <w:r>
              <w:rPr>
                <w:rFonts w:ascii="Arial" w:cs="Arial" w:eastAsia="Arial" w:hAnsi="Arial"/>
                <w:sz w:val="18"/>
                <w:szCs w:val="18"/>
                <w:color w:val="auto"/>
              </w:rPr>
              <w:t>Payment of dividends</w:t>
            </w:r>
          </w:p>
        </w:tc>
        <w:tc>
          <w:tcPr>
            <w:tcW w:w="78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(2.7)</w:t>
            </w:r>
          </w:p>
        </w:tc>
        <w:tc>
          <w:tcPr>
            <w:tcW w:w="7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2"/>
        </w:trPr>
        <w:tc>
          <w:tcPr>
            <w:tcW w:w="7820" w:type="dxa"/>
            <w:vAlign w:val="bottom"/>
          </w:tcPr>
          <w:p>
            <w:pPr>
              <w:ind w:left="160"/>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19"/>
                <w:szCs w:val="19"/>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(0.5)</w:t>
            </w:r>
          </w:p>
        </w:tc>
        <w:tc>
          <w:tcPr>
            <w:tcW w:w="70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10"/>
        </w:trPr>
        <w:tc>
          <w:tcPr>
            <w:tcW w:w="78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820" w:type="dxa"/>
            <w:vAlign w:val="bottom"/>
          </w:tcPr>
          <w:p>
            <w:pPr>
              <w:ind w:left="160"/>
              <w:spacing w:after="0"/>
              <w:rPr>
                <w:sz w:val="20"/>
                <w:szCs w:val="20"/>
                <w:color w:val="auto"/>
              </w:rPr>
            </w:pPr>
            <w:r>
              <w:rPr>
                <w:rFonts w:ascii="Arial" w:cs="Arial" w:eastAsia="Arial" w:hAnsi="Arial"/>
                <w:sz w:val="18"/>
                <w:szCs w:val="18"/>
                <w:color w:val="auto"/>
              </w:rPr>
              <w:t>Net cash (used in) provided by financing activities of continuing operations</w:t>
            </w:r>
          </w:p>
        </w:tc>
        <w:tc>
          <w:tcPr>
            <w:tcW w:w="780" w:type="dxa"/>
            <w:vAlign w:val="bottom"/>
          </w:tcPr>
          <w:p>
            <w:pPr>
              <w:spacing w:after="0"/>
              <w:rPr>
                <w:sz w:val="24"/>
                <w:szCs w:val="24"/>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(26.4)</w:t>
            </w:r>
          </w:p>
        </w:tc>
        <w:tc>
          <w:tcPr>
            <w:tcW w:w="700" w:type="dxa"/>
            <w:vAlign w:val="bottom"/>
          </w:tcPr>
          <w:p>
            <w:pPr>
              <w:spacing w:after="0"/>
              <w:rPr>
                <w:sz w:val="24"/>
                <w:szCs w:val="24"/>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2"/>
        </w:trPr>
        <w:tc>
          <w:tcPr>
            <w:tcW w:w="7820" w:type="dxa"/>
            <w:vAlign w:val="bottom"/>
          </w:tcPr>
          <w:p>
            <w:pPr>
              <w:ind w:left="160"/>
              <w:spacing w:after="0"/>
              <w:rPr>
                <w:sz w:val="20"/>
                <w:szCs w:val="20"/>
                <w:color w:val="auto"/>
              </w:rPr>
            </w:pPr>
            <w:r>
              <w:rPr>
                <w:rFonts w:ascii="Arial" w:cs="Arial" w:eastAsia="Arial" w:hAnsi="Arial"/>
                <w:sz w:val="18"/>
                <w:szCs w:val="18"/>
                <w:color w:val="auto"/>
              </w:rPr>
              <w:t>Net cash provided by financing activities of discontinued operations</w:t>
            </w:r>
          </w:p>
        </w:tc>
        <w:tc>
          <w:tcPr>
            <w:tcW w:w="780" w:type="dxa"/>
            <w:vAlign w:val="bottom"/>
          </w:tcPr>
          <w:p>
            <w:pPr>
              <w:spacing w:after="0"/>
              <w:rPr>
                <w:sz w:val="19"/>
                <w:szCs w:val="19"/>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78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820" w:type="dxa"/>
            <w:vAlign w:val="bottom"/>
          </w:tcPr>
          <w:p>
            <w:pPr>
              <w:ind w:left="160"/>
              <w:spacing w:after="0"/>
              <w:rPr>
                <w:sz w:val="20"/>
                <w:szCs w:val="20"/>
                <w:color w:val="auto"/>
              </w:rPr>
            </w:pPr>
            <w:r>
              <w:rPr>
                <w:rFonts w:ascii="Arial" w:cs="Arial" w:eastAsia="Arial" w:hAnsi="Arial"/>
                <w:sz w:val="18"/>
                <w:szCs w:val="18"/>
                <w:color w:val="auto"/>
              </w:rPr>
              <w:t>Net cash (used in) provided by financing activities</w:t>
            </w:r>
          </w:p>
        </w:tc>
        <w:tc>
          <w:tcPr>
            <w:tcW w:w="780" w:type="dxa"/>
            <w:vAlign w:val="bottom"/>
          </w:tcPr>
          <w:p>
            <w:pPr>
              <w:spacing w:after="0"/>
              <w:rPr>
                <w:sz w:val="24"/>
                <w:szCs w:val="24"/>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(26.4)</w:t>
            </w:r>
          </w:p>
        </w:tc>
        <w:tc>
          <w:tcPr>
            <w:tcW w:w="700" w:type="dxa"/>
            <w:vAlign w:val="bottom"/>
          </w:tcPr>
          <w:p>
            <w:pPr>
              <w:spacing w:after="0"/>
              <w:rPr>
                <w:sz w:val="24"/>
                <w:szCs w:val="24"/>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2"/>
        </w:trPr>
        <w:tc>
          <w:tcPr>
            <w:tcW w:w="7820" w:type="dxa"/>
            <w:vAlign w:val="bottom"/>
          </w:tcPr>
          <w:p>
            <w:pPr>
              <w:ind w:left="160"/>
              <w:spacing w:after="0"/>
              <w:rPr>
                <w:sz w:val="20"/>
                <w:szCs w:val="20"/>
                <w:color w:val="auto"/>
              </w:rPr>
            </w:pPr>
            <w:r>
              <w:rPr>
                <w:rFonts w:ascii="Arial" w:cs="Arial" w:eastAsia="Arial" w:hAnsi="Arial"/>
                <w:sz w:val="18"/>
                <w:szCs w:val="18"/>
                <w:color w:val="auto"/>
              </w:rPr>
              <w:t>Effect of exchange rate changes on cash and cash equivalents</w:t>
            </w:r>
          </w:p>
        </w:tc>
        <w:tc>
          <w:tcPr>
            <w:tcW w:w="780" w:type="dxa"/>
            <w:vAlign w:val="bottom"/>
          </w:tcPr>
          <w:p>
            <w:pPr>
              <w:spacing w:after="0"/>
              <w:rPr>
                <w:sz w:val="19"/>
                <w:szCs w:val="19"/>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(2.8)</w:t>
            </w:r>
          </w:p>
        </w:tc>
        <w:tc>
          <w:tcPr>
            <w:tcW w:w="7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10"/>
        </w:trPr>
        <w:tc>
          <w:tcPr>
            <w:tcW w:w="78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820" w:type="dxa"/>
            <w:vAlign w:val="bottom"/>
          </w:tcPr>
          <w:p>
            <w:pPr>
              <w:ind w:left="160"/>
              <w:spacing w:after="0"/>
              <w:rPr>
                <w:sz w:val="20"/>
                <w:szCs w:val="20"/>
                <w:color w:val="auto"/>
              </w:rPr>
            </w:pPr>
            <w:r>
              <w:rPr>
                <w:rFonts w:ascii="Arial" w:cs="Arial" w:eastAsia="Arial" w:hAnsi="Arial"/>
                <w:sz w:val="18"/>
                <w:szCs w:val="18"/>
                <w:color w:val="auto"/>
              </w:rPr>
              <w:t>Net increase (decrease) in cash and cash equivalents</w:t>
            </w:r>
          </w:p>
        </w:tc>
        <w:tc>
          <w:tcPr>
            <w:tcW w:w="780" w:type="dxa"/>
            <w:vAlign w:val="bottom"/>
          </w:tcPr>
          <w:p>
            <w:pPr>
              <w:spacing w:after="0"/>
              <w:rPr>
                <w:sz w:val="24"/>
                <w:szCs w:val="24"/>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34.7</w:t>
            </w:r>
          </w:p>
        </w:tc>
        <w:tc>
          <w:tcPr>
            <w:tcW w:w="7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110"/>
        </w:trPr>
        <w:tc>
          <w:tcPr>
            <w:tcW w:w="78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820" w:type="dxa"/>
            <w:vAlign w:val="bottom"/>
          </w:tcPr>
          <w:p>
            <w:pPr>
              <w:ind w:left="160"/>
              <w:spacing w:after="0"/>
              <w:rPr>
                <w:sz w:val="20"/>
                <w:szCs w:val="20"/>
                <w:color w:val="auto"/>
              </w:rPr>
            </w:pPr>
            <w:r>
              <w:rPr>
                <w:rFonts w:ascii="Arial" w:cs="Arial" w:eastAsia="Arial" w:hAnsi="Arial"/>
                <w:sz w:val="18"/>
                <w:szCs w:val="18"/>
                <w:color w:val="auto"/>
                <w:w w:val="92"/>
              </w:rPr>
              <w:t>Cash and cash equivalents at beginning of period, including cash of discontinued operations of $0.0 and</w:t>
            </w: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820" w:type="dxa"/>
            <w:vAlign w:val="bottom"/>
          </w:tcPr>
          <w:p>
            <w:pPr>
              <w:ind w:left="320"/>
              <w:spacing w:after="0"/>
              <w:rPr>
                <w:sz w:val="20"/>
                <w:szCs w:val="20"/>
                <w:color w:val="auto"/>
              </w:rPr>
            </w:pPr>
            <w:r>
              <w:rPr>
                <w:rFonts w:ascii="Arial" w:cs="Arial" w:eastAsia="Arial" w:hAnsi="Arial"/>
                <w:sz w:val="18"/>
                <w:szCs w:val="18"/>
                <w:color w:val="auto"/>
              </w:rPr>
              <w:t>$4.3 at June 1, 2009 and 2008, respectively</w:t>
            </w:r>
          </w:p>
        </w:tc>
        <w:tc>
          <w:tcPr>
            <w:tcW w:w="780" w:type="dxa"/>
            <w:vAlign w:val="bottom"/>
          </w:tcPr>
          <w:p>
            <w:pPr>
              <w:spacing w:after="0"/>
              <w:rPr>
                <w:sz w:val="19"/>
                <w:szCs w:val="19"/>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143.6</w:t>
            </w:r>
          </w:p>
        </w:tc>
        <w:tc>
          <w:tcPr>
            <w:tcW w:w="70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110"/>
        </w:trPr>
        <w:tc>
          <w:tcPr>
            <w:tcW w:w="78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820" w:type="dxa"/>
            <w:vAlign w:val="bottom"/>
          </w:tcPr>
          <w:p>
            <w:pPr>
              <w:spacing w:after="0"/>
              <w:rPr>
                <w:sz w:val="20"/>
                <w:szCs w:val="20"/>
                <w:color w:val="auto"/>
              </w:rPr>
            </w:pPr>
            <w:r>
              <w:rPr>
                <w:rFonts w:ascii="Arial" w:cs="Arial" w:eastAsia="Arial" w:hAnsi="Arial"/>
                <w:sz w:val="18"/>
                <w:szCs w:val="18"/>
                <w:b w:val="1"/>
                <w:bCs w:val="1"/>
                <w:i w:val="1"/>
                <w:iCs w:val="1"/>
                <w:color w:val="auto"/>
                <w:w w:val="86"/>
              </w:rPr>
              <w:t>Cash and cash equivalents at end of period, including cash of discontinued operations of $0.0 and $2.0 at</w:t>
            </w:r>
          </w:p>
        </w:tc>
        <w:tc>
          <w:tcPr>
            <w:tcW w:w="780" w:type="dxa"/>
            <w:vAlign w:val="bottom"/>
            <w:vMerge w:val="restart"/>
          </w:tcPr>
          <w:p>
            <w:pPr>
              <w:jc w:val="right"/>
              <w:ind w:right="412"/>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tcPr>
          <w:p>
            <w:pPr>
              <w:jc w:val="right"/>
              <w:ind w:right="112"/>
              <w:spacing w:after="0"/>
              <w:rPr>
                <w:sz w:val="20"/>
                <w:szCs w:val="20"/>
                <w:color w:val="auto"/>
              </w:rPr>
            </w:pPr>
            <w:r>
              <w:rPr>
                <w:rFonts w:ascii="Arial" w:cs="Arial" w:eastAsia="Arial" w:hAnsi="Arial"/>
                <w:sz w:val="18"/>
                <w:szCs w:val="18"/>
                <w:b w:val="1"/>
                <w:bCs w:val="1"/>
                <w:color w:val="auto"/>
              </w:rPr>
              <w:t>178.3</w:t>
            </w:r>
          </w:p>
        </w:tc>
        <w:tc>
          <w:tcPr>
            <w:tcW w:w="7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10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31.8</w:t>
            </w:r>
          </w:p>
        </w:tc>
        <w:tc>
          <w:tcPr>
            <w:tcW w:w="0" w:type="dxa"/>
            <w:vAlign w:val="bottom"/>
          </w:tcPr>
          <w:p>
            <w:pPr>
              <w:spacing w:after="0"/>
              <w:rPr>
                <w:sz w:val="1"/>
                <w:szCs w:val="1"/>
                <w:color w:val="auto"/>
              </w:rPr>
            </w:pPr>
          </w:p>
        </w:tc>
      </w:tr>
      <w:tr>
        <w:trPr>
          <w:trHeight w:val="222"/>
        </w:trPr>
        <w:tc>
          <w:tcPr>
            <w:tcW w:w="782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November 30, 2009 and 2008, respectively</w:t>
            </w:r>
          </w:p>
        </w:tc>
        <w:tc>
          <w:tcPr>
            <w:tcW w:w="78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8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0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3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accompanying condensed consolidated financial statements consist of the accounts of Scholastic Corporation (the “Corporation”) and all wholly-owned subsidiaries (collectively, “Scholastic” or the “Company”). These financial statements have not been audited but reflect those adjustments consisting of normal recurring items that management considers necessary for a fair presentation of financial position, results of operations and cash flows. These financial statements should be read in conjunction with the consolidated financial statements and related notes in the Annual Report on Form 10-K for the fiscal year ended May 31, 2009.</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fiscal year is not a calendar year. Accordingly, references in this document to fiscal 2009 relate to the twelve month period ended May 31, 2009.</w:t>
      </w:r>
    </w:p>
    <w:p>
      <w:pPr>
        <w:spacing w:after="0" w:line="248"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As more fully described in Note 2, “Discontinued Operations,” the Company has closed or sold several operations during fiscal 2008 and fiscal 2009, and presently holds for sale other operations. All of these businesses are classified as discontinued operations in the Company’s financial statements.</w:t>
      </w:r>
    </w:p>
    <w:p>
      <w:pPr>
        <w:spacing w:after="0" w:line="13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remaining assets and liabilities associated with the foregoing discontinued businesses or operations are presented in the Company’s Condensed Consolidated Balance Sheets as “Current assets of discontinued operations” and “Current liabilities of discontinued operations” as of November 30, 2009, May 31, 2009 and November 30, 2008. The aggregate results of operations of these businesses for the six months ended November 30, 2009 and 2008 are included in the Condensed Consolidated Statements of Operations as “(Loss) earnings from discontinued operations, net of tax.” The aggregate cash flows of these businesses are also presented separately in the Company’s Consolidated Statements of Cash Flows for the six months ended November 30, 2009 and 2008. All corresponding prior year periods presented in the Company’s Condensed Consolidated Financial Statements and accompanying notes have been reclassified to reflect the discontinued operations presentation.</w:t>
      </w:r>
    </w:p>
    <w:p>
      <w:pPr>
        <w:spacing w:after="0" w:line="17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school-based book clubs, school-based book fairs and most of its magazines operate on a school-year basis. Therefore, the Company’s business is highly seasonal. As a result, the Company’s revenues in the first and third quarters of the fiscal year generally are lower than its revenues in the other two fiscal quarters. Typically, school-based book club and book fair revenues are greatest in the second and fourth quarters of the fiscal year, while revenues from the sale of instructional materials and educational technology products are highest in the first and fourth quarters. The Company typically experiences losses from operations in the first and third quarters of each fiscal year. Due to the seasonal fluctuations that occur, the November 30, 2008 Condensed Consolidated Balance Sheet is included for comparative purposes.</w:t>
      </w:r>
    </w:p>
    <w:p>
      <w:pPr>
        <w:spacing w:after="0" w:line="19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Company’s Condensed Consolidated Financial Statements have been prepared in accordance with accounting principles generally accepted in the United States and with the instructions to Form 10-Q and Regulation S-X. The preparation of these financial statements involves the use of estimates and assumptions by management, which affects the amounts reported in the Condensed Consolidated Financial Statements and accompanying notes. The Company bases its estimates on historical experience, future expectations, current business factors, and various other assumptions believed to be reasonable under the circumstances, all of which are necessary in order to form a basis for determining the carrying values of assets and liabilities. Actual results may differ from those estimates and assumptions. On an ongoing basis, the Company evaluates the adequacy of its reserves and the estimates used in calculations, including, but not limited to: collectability of accounts receivable; sales returns; gross margin rates used to determine inventory values and gross profits for book fair operations during interim periods; amortization periods; stock-based compensation expense; pension and other post-retirement obligations; tax obligations; and recoverability of inventories, deferred income tax benefits, prepublication costs, royalty advances, and the fair value of goodwill and other intangibles.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2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31"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In December 2008, the Financial Accounting Standards Board (“FASB”) issued an amendment to existing standards for employer’s disclosures about postretirement benefit plan assets, which will be effective for fiscal years ending after December 15, 2009. The amendment will require additional disclosures regarding investment allocations, major categories, valuation techniques and concentrations of risk related to plan assets held in an employer’s defined benefit pension or post-retirement plan. It also requires disclosure of any effects of utilizing significant unobservable inputs upon the overall change in the fair value of the plan assets during the reporting period. The Company will comply with the disclosure requirements upon adoption.</w:t>
      </w:r>
    </w:p>
    <w:p>
      <w:pPr>
        <w:spacing w:after="0" w:line="17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October 2009, the FASB issued Accounting Standard Update No. 2009-13, “Revenue Recognition (Topic 605)” (“ASU No. 2009-13”). The accounting standard update addresses the accounting for multiple-deliverable arrangements to enable vendors to account for products or services (deliverables) separately rather than as a combined unit. Vendors often provide multiple products or services to their customers. Those deliverables often are provided at different points in time or over different time periods. ASU No. 2009-13 establishes the accounting and reporting guidance for arrangements under which the vendor will perform multiple revenue-generating activities. Specifically, this Subtopic addresses how to separate deliverables and how to measure and allocate arrangement consideration to one or more units of accounting. ASU No. 2009-13 will be effective prospectively for revenue arrangements entered into or materially modified in fiscal years beginning on or after June 15, 2010. Early adoption is permitted. The Company has not chosen early adoption and is evaluating the impact on the Company’s consolidated financial position, results of operations and cash flows.</w:t>
      </w:r>
    </w:p>
    <w:p>
      <w:pPr>
        <w:spacing w:after="0" w:line="17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October 2009, the FASB issued Accounting Standard Update No. 2009-14, “Software (Topic 985) Certain Revenue Arrangements That Include Software Elements” (“ASU No. 2009-14”). The accounting standard update addresses the accounting revenue arrangements that contain tangible products and software and it affects vendors that sell or lease tangible products in an arrangement that contains software that is more than incidental to the tangible product as a whole. The accounting standard amendment clarifies what guidance should be used in allocating and measuring revenue. Tangible products containing software components and non-software components that function together to deliver the tangible product’s essential functionality are no longer within the scope of the software recognition guidance in Subtopic 985-605. The amendment requires that hardware components of a tangible product containing software components always be excluded from the software revenue guidance. ASU No. 2009-14 will be effective prospectively for revenue arrangements entered into or materially modified in fiscal years beginning on or after June 15, 2010. Early adoption is permitted. The Company has not chosen early adoption and is evaluating the impact on the Company’s consolidated financial position, results of operations and cash flows.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August 2009, the FASB issued Accounting Standard Update No. 2009-05, “Fair Value Measurements and Disclosures - Measuring Liabilities at Fair Value” (“ASU No. 2009-05”). The update provides clarification for circumstances in which a quoted price in an active market for an identical liability is not available. ASU No. 2009- 05 is effective for the first reporting period beginning after August 2009. See Note 13, “Fair Value Measurements” for a discussion on the impact of this standard.</w:t>
      </w:r>
    </w:p>
    <w:p>
      <w:pPr>
        <w:spacing w:after="0" w:line="19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September 2009, the Company adopted changes issued by the FASB to the authoritative hierarchy of U.S. generally accepted accounting principles (“GAAP”). These changes establish the FASB Accounting Standards Codification™ as the source of authoritative U.S. GAAP for all non-governmental entities. Rules and interpretive releases of the Securities and Exchange Commission (“SEC”) under authority of federal securities laws are also sources of authoritative U.S. GAAP for SEC registrants. The adoption of these changes did not have a significant impact on the Company’s consolidated financial position, results of operations and cash flows.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w:t>
      </w:r>
    </w:p>
    <w:p>
      <w:pPr>
        <w:spacing w:after="0" w:line="23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fiscal 2008, the Company determined to sell or shut down its domestic, Canadian and UK continuities businesses, and intends to sell a related warehousing and distribution facility located in Maumelle, Arkansas (the “Maumelle Facility”) and an office and distribution facility in Danbury, Connecticut (the “Danbury Facility”). During fiscal 2009, the Company also ceased its operations in Argentina and Mexico, its door-to-door selling operations in Puerto Rico, as well as its continuities business in Australia and New Zealand, its corporate book fairs business and closed its Scarsdale, NY store. The Company also sold a trade magazine. Additionally, the Company sold a non-core market research business and a non-core on-line resource for teachers business. In fiscal 2010, the Company sold a previously discontinued non-core book distribution business. All of the above businesses are classified as discontinued operations in the Company’s financial statements.</w:t>
      </w:r>
    </w:p>
    <w:p>
      <w:pPr>
        <w:spacing w:after="0" w:line="20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Company continues to monitor the expected cash proceeds to be realized from the disposition of discontinued operations assets, and adjusts asset values accordingly.</w:t>
      </w:r>
    </w:p>
    <w:p>
      <w:pPr>
        <w:spacing w:after="0" w:line="186" w:lineRule="exact"/>
        <w:rPr>
          <w:sz w:val="20"/>
          <w:szCs w:val="20"/>
          <w:color w:val="auto"/>
        </w:rPr>
      </w:pPr>
    </w:p>
    <w:p>
      <w:pPr>
        <w:ind w:right="780"/>
        <w:spacing w:after="0" w:line="332" w:lineRule="auto"/>
        <w:rPr>
          <w:sz w:val="20"/>
          <w:szCs w:val="20"/>
          <w:color w:val="auto"/>
        </w:rPr>
      </w:pPr>
      <w:r>
        <w:rPr>
          <w:rFonts w:ascii="Arial" w:cs="Arial" w:eastAsia="Arial" w:hAnsi="Arial"/>
          <w:sz w:val="16"/>
          <w:szCs w:val="16"/>
          <w:color w:val="auto"/>
        </w:rPr>
        <w:t>The Company continuously evaluates its portfolio of businesses for both impairment and economic viability. The Company did not cease any additional operations or classify any additional operations as “held for sale” during the six month period ended November 30, 2009.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operating results of the discontinued operations for the periods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0" w:type="dxa"/>
            <w:vAlign w:val="bottom"/>
            <w:gridSpan w:val="3"/>
          </w:tcPr>
          <w:p>
            <w:pPr>
              <w:jc w:val="right"/>
              <w:ind w:right="352"/>
              <w:spacing w:after="0"/>
              <w:rPr>
                <w:sz w:val="20"/>
                <w:szCs w:val="20"/>
                <w:color w:val="auto"/>
              </w:rPr>
            </w:pPr>
            <w:r>
              <w:rPr>
                <w:rFonts w:ascii="Arial" w:cs="Arial" w:eastAsia="Arial" w:hAnsi="Arial"/>
                <w:sz w:val="18"/>
                <w:szCs w:val="18"/>
                <w:b w:val="1"/>
                <w:bCs w:val="1"/>
                <w:i w:val="1"/>
                <w:iCs w:val="1"/>
                <w:color w:val="auto"/>
                <w:w w:val="86"/>
              </w:rPr>
              <w:t>Three months ended</w:t>
            </w:r>
          </w:p>
        </w:tc>
        <w:tc>
          <w:tcPr>
            <w:tcW w:w="300" w:type="dxa"/>
            <w:vAlign w:val="bottom"/>
          </w:tcPr>
          <w:p>
            <w:pPr>
              <w:spacing w:after="0"/>
              <w:rPr>
                <w:sz w:val="18"/>
                <w:szCs w:val="18"/>
                <w:color w:val="auto"/>
              </w:rPr>
            </w:pPr>
          </w:p>
        </w:tc>
        <w:tc>
          <w:tcPr>
            <w:tcW w:w="1880" w:type="dxa"/>
            <w:vAlign w:val="bottom"/>
            <w:gridSpan w:val="3"/>
          </w:tcPr>
          <w:p>
            <w:pPr>
              <w:jc w:val="right"/>
              <w:ind w:right="352"/>
              <w:spacing w:after="0"/>
              <w:rPr>
                <w:sz w:val="20"/>
                <w:szCs w:val="20"/>
                <w:color w:val="auto"/>
              </w:rPr>
            </w:pPr>
            <w:r>
              <w:rPr>
                <w:rFonts w:ascii="Arial" w:cs="Arial" w:eastAsia="Arial" w:hAnsi="Arial"/>
                <w:sz w:val="18"/>
                <w:szCs w:val="18"/>
                <w:b w:val="1"/>
                <w:bCs w:val="1"/>
                <w:i w:val="1"/>
                <w:iCs w:val="1"/>
                <w:color w:val="auto"/>
                <w:w w:val="91"/>
              </w:rPr>
              <w:t>Six months ended</w:t>
            </w:r>
          </w:p>
        </w:tc>
      </w:tr>
      <w:tr>
        <w:trPr>
          <w:trHeight w:val="222"/>
        </w:trPr>
        <w:tc>
          <w:tcPr>
            <w:tcW w:w="56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00" w:type="dxa"/>
            <w:vAlign w:val="bottom"/>
            <w:gridSpan w:val="3"/>
          </w:tcPr>
          <w:p>
            <w:pPr>
              <w:jc w:val="right"/>
              <w:ind w:right="592"/>
              <w:spacing w:after="0"/>
              <w:rPr>
                <w:sz w:val="20"/>
                <w:szCs w:val="20"/>
                <w:color w:val="auto"/>
              </w:rPr>
            </w:pPr>
            <w:r>
              <w:rPr>
                <w:rFonts w:ascii="Arial" w:cs="Arial" w:eastAsia="Arial" w:hAnsi="Arial"/>
                <w:sz w:val="18"/>
                <w:szCs w:val="18"/>
                <w:b w:val="1"/>
                <w:bCs w:val="1"/>
                <w:i w:val="1"/>
                <w:iCs w:val="1"/>
                <w:color w:val="auto"/>
              </w:rPr>
              <w:t>November 30,</w:t>
            </w:r>
          </w:p>
        </w:tc>
        <w:tc>
          <w:tcPr>
            <w:tcW w:w="300" w:type="dxa"/>
            <w:vAlign w:val="bottom"/>
          </w:tcPr>
          <w:p>
            <w:pPr>
              <w:spacing w:after="0"/>
              <w:rPr>
                <w:sz w:val="19"/>
                <w:szCs w:val="19"/>
                <w:color w:val="auto"/>
              </w:rPr>
            </w:pPr>
          </w:p>
        </w:tc>
        <w:tc>
          <w:tcPr>
            <w:tcW w:w="1880" w:type="dxa"/>
            <w:vAlign w:val="bottom"/>
            <w:gridSpan w:val="3"/>
          </w:tcPr>
          <w:p>
            <w:pPr>
              <w:jc w:val="right"/>
              <w:ind w:right="492"/>
              <w:spacing w:after="0"/>
              <w:rPr>
                <w:sz w:val="20"/>
                <w:szCs w:val="20"/>
                <w:color w:val="auto"/>
              </w:rPr>
            </w:pPr>
            <w:r>
              <w:rPr>
                <w:rFonts w:ascii="Arial" w:cs="Arial" w:eastAsia="Arial" w:hAnsi="Arial"/>
                <w:sz w:val="18"/>
                <w:szCs w:val="18"/>
                <w:b w:val="1"/>
                <w:bCs w:val="1"/>
                <w:i w:val="1"/>
                <w:iCs w:val="1"/>
                <w:color w:val="auto"/>
              </w:rPr>
              <w:t>November 30,</w:t>
            </w:r>
          </w:p>
        </w:tc>
      </w:tr>
      <w:tr>
        <w:trPr>
          <w:trHeight w:val="110"/>
        </w:trPr>
        <w:tc>
          <w:tcPr>
            <w:tcW w:w="564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r>
      <w:tr>
        <w:trPr>
          <w:trHeight w:val="316"/>
        </w:trPr>
        <w:tc>
          <w:tcPr>
            <w:tcW w:w="5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60" w:type="dxa"/>
            <w:vAlign w:val="bottom"/>
          </w:tcPr>
          <w:p>
            <w:pPr>
              <w:jc w:val="right"/>
              <w:ind w:right="352"/>
              <w:spacing w:after="0"/>
              <w:rPr>
                <w:sz w:val="20"/>
                <w:szCs w:val="20"/>
                <w:color w:val="auto"/>
              </w:rPr>
            </w:pPr>
            <w:r>
              <w:rPr>
                <w:rFonts w:ascii="Arial" w:cs="Arial" w:eastAsia="Arial" w:hAnsi="Arial"/>
                <w:sz w:val="18"/>
                <w:szCs w:val="18"/>
                <w:b w:val="1"/>
                <w:bCs w:val="1"/>
                <w:color w:val="auto"/>
                <w:w w:val="99"/>
              </w:rPr>
              <w:t>2009</w:t>
            </w:r>
          </w:p>
        </w:tc>
        <w:tc>
          <w:tcPr>
            <w:tcW w:w="300" w:type="dxa"/>
            <w:vAlign w:val="bottom"/>
          </w:tcPr>
          <w:p>
            <w:pPr>
              <w:spacing w:after="0"/>
              <w:rPr>
                <w:sz w:val="24"/>
                <w:szCs w:val="24"/>
                <w:color w:val="auto"/>
              </w:rPr>
            </w:pPr>
          </w:p>
        </w:tc>
        <w:tc>
          <w:tcPr>
            <w:tcW w:w="840" w:type="dxa"/>
            <w:vAlign w:val="bottom"/>
          </w:tcPr>
          <w:p>
            <w:pPr>
              <w:jc w:val="right"/>
              <w:ind w:right="332"/>
              <w:spacing w:after="0"/>
              <w:rPr>
                <w:sz w:val="20"/>
                <w:szCs w:val="20"/>
                <w:color w:val="auto"/>
              </w:rPr>
            </w:pPr>
            <w:r>
              <w:rPr>
                <w:rFonts w:ascii="Arial" w:cs="Arial" w:eastAsia="Arial" w:hAnsi="Arial"/>
                <w:sz w:val="18"/>
                <w:szCs w:val="18"/>
                <w:b w:val="1"/>
                <w:bCs w:val="1"/>
                <w:color w:val="auto"/>
                <w:w w:val="99"/>
              </w:rPr>
              <w:t>2008</w:t>
            </w:r>
          </w:p>
        </w:tc>
        <w:tc>
          <w:tcPr>
            <w:tcW w:w="300" w:type="dxa"/>
            <w:vAlign w:val="bottom"/>
          </w:tcPr>
          <w:p>
            <w:pPr>
              <w:spacing w:after="0"/>
              <w:rPr>
                <w:sz w:val="24"/>
                <w:szCs w:val="24"/>
                <w:color w:val="auto"/>
              </w:rPr>
            </w:pPr>
          </w:p>
        </w:tc>
        <w:tc>
          <w:tcPr>
            <w:tcW w:w="820" w:type="dxa"/>
            <w:vAlign w:val="bottom"/>
          </w:tcPr>
          <w:p>
            <w:pPr>
              <w:jc w:val="right"/>
              <w:ind w:right="312"/>
              <w:spacing w:after="0"/>
              <w:rPr>
                <w:sz w:val="20"/>
                <w:szCs w:val="20"/>
                <w:color w:val="auto"/>
              </w:rPr>
            </w:pPr>
            <w:r>
              <w:rPr>
                <w:rFonts w:ascii="Arial" w:cs="Arial" w:eastAsia="Arial" w:hAnsi="Arial"/>
                <w:sz w:val="18"/>
                <w:szCs w:val="18"/>
                <w:b w:val="1"/>
                <w:bCs w:val="1"/>
                <w:color w:val="auto"/>
                <w:w w:val="99"/>
              </w:rPr>
              <w:t>2009</w:t>
            </w:r>
          </w:p>
        </w:tc>
        <w:tc>
          <w:tcPr>
            <w:tcW w:w="300" w:type="dxa"/>
            <w:vAlign w:val="bottom"/>
          </w:tcPr>
          <w:p>
            <w:pPr>
              <w:spacing w:after="0"/>
              <w:rPr>
                <w:sz w:val="24"/>
                <w:szCs w:val="24"/>
                <w:color w:val="auto"/>
              </w:rPr>
            </w:pPr>
          </w:p>
        </w:tc>
        <w:tc>
          <w:tcPr>
            <w:tcW w:w="760" w:type="dxa"/>
            <w:vAlign w:val="bottom"/>
          </w:tcPr>
          <w:p>
            <w:pPr>
              <w:jc w:val="right"/>
              <w:ind w:right="252"/>
              <w:spacing w:after="0"/>
              <w:rPr>
                <w:sz w:val="20"/>
                <w:szCs w:val="20"/>
                <w:color w:val="auto"/>
              </w:rPr>
            </w:pPr>
            <w:r>
              <w:rPr>
                <w:rFonts w:ascii="Arial" w:cs="Arial" w:eastAsia="Arial" w:hAnsi="Arial"/>
                <w:sz w:val="18"/>
                <w:szCs w:val="18"/>
                <w:b w:val="1"/>
                <w:bCs w:val="1"/>
                <w:color w:val="auto"/>
                <w:w w:val="99"/>
              </w:rPr>
              <w:t>2008</w:t>
            </w:r>
          </w:p>
        </w:tc>
      </w:tr>
      <w:tr>
        <w:trPr>
          <w:trHeight w:val="110"/>
        </w:trPr>
        <w:tc>
          <w:tcPr>
            <w:tcW w:w="564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r>
      <w:tr>
        <w:trPr>
          <w:trHeight w:val="316"/>
        </w:trPr>
        <w:tc>
          <w:tcPr>
            <w:tcW w:w="5640" w:type="dxa"/>
            <w:vAlign w:val="bottom"/>
          </w:tcPr>
          <w:p>
            <w:pPr>
              <w:spacing w:after="0"/>
              <w:rPr>
                <w:sz w:val="20"/>
                <w:szCs w:val="20"/>
                <w:color w:val="auto"/>
              </w:rPr>
            </w:pPr>
            <w:r>
              <w:rPr>
                <w:rFonts w:ascii="Arial" w:cs="Arial" w:eastAsia="Arial" w:hAnsi="Arial"/>
                <w:sz w:val="18"/>
                <w:szCs w:val="18"/>
                <w:color w:val="auto"/>
              </w:rPr>
              <w:t>Revenues</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1.1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18.8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2.3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61.9</w:t>
            </w:r>
          </w:p>
        </w:tc>
      </w:tr>
      <w:tr>
        <w:trPr>
          <w:trHeight w:val="426"/>
        </w:trPr>
        <w:tc>
          <w:tcPr>
            <w:tcW w:w="5640" w:type="dxa"/>
            <w:vAlign w:val="bottom"/>
          </w:tcPr>
          <w:p>
            <w:pPr>
              <w:spacing w:after="0"/>
              <w:rPr>
                <w:sz w:val="20"/>
                <w:szCs w:val="20"/>
                <w:color w:val="auto"/>
              </w:rPr>
            </w:pPr>
            <w:r>
              <w:rPr>
                <w:rFonts w:ascii="Arial" w:cs="Arial" w:eastAsia="Arial" w:hAnsi="Arial"/>
                <w:sz w:val="18"/>
                <w:szCs w:val="18"/>
                <w:color w:val="auto"/>
              </w:rPr>
              <w:t>(Loss) gain on sale</w:t>
            </w:r>
          </w:p>
        </w:tc>
        <w:tc>
          <w:tcPr>
            <w:tcW w:w="1620" w:type="dxa"/>
            <w:vAlign w:val="bottom"/>
          </w:tcPr>
          <w:p>
            <w:pPr>
              <w:spacing w:after="0"/>
              <w:rPr>
                <w:sz w:val="24"/>
                <w:szCs w:val="24"/>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4"/>
                <w:szCs w:val="24"/>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10.5</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Non-cash impairment charges and gain (loss) on operations</w:t>
            </w:r>
          </w:p>
        </w:tc>
        <w:tc>
          <w:tcPr>
            <w:tcW w:w="1620" w:type="dxa"/>
            <w:vAlign w:val="bottom"/>
          </w:tcPr>
          <w:p>
            <w:pPr>
              <w:spacing w:after="0"/>
              <w:rPr>
                <w:sz w:val="18"/>
                <w:szCs w:val="18"/>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(20.9)</w:t>
            </w:r>
          </w:p>
        </w:tc>
        <w:tc>
          <w:tcPr>
            <w:tcW w:w="30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22"/>
        </w:trPr>
        <w:tc>
          <w:tcPr>
            <w:tcW w:w="56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620" w:type="dxa"/>
            <w:vAlign w:val="bottom"/>
          </w:tcPr>
          <w:p>
            <w:pPr>
              <w:spacing w:after="0"/>
              <w:rPr>
                <w:sz w:val="19"/>
                <w:szCs w:val="19"/>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9"/>
                <w:szCs w:val="19"/>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3.9</w:t>
            </w:r>
          </w:p>
        </w:tc>
      </w:tr>
      <w:tr>
        <w:trPr>
          <w:trHeight w:val="110"/>
        </w:trPr>
        <w:tc>
          <w:tcPr>
            <w:tcW w:w="564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r>
      <w:tr>
        <w:trPr>
          <w:trHeight w:val="464"/>
        </w:trPr>
        <w:tc>
          <w:tcPr>
            <w:tcW w:w="5640" w:type="dxa"/>
            <w:vAlign w:val="bottom"/>
          </w:tcPr>
          <w:p>
            <w:pPr>
              <w:spacing w:after="0"/>
              <w:rPr>
                <w:sz w:val="20"/>
                <w:szCs w:val="20"/>
                <w:color w:val="auto"/>
              </w:rPr>
            </w:pPr>
            <w:r>
              <w:rPr>
                <w:rFonts w:ascii="Arial" w:cs="Arial" w:eastAsia="Arial" w:hAnsi="Arial"/>
                <w:sz w:val="18"/>
                <w:szCs w:val="18"/>
                <w:b w:val="1"/>
                <w:bCs w:val="1"/>
                <w:color w:val="auto"/>
              </w:rPr>
              <w:t>(Loss) earnings from discontinued operations, net of tax</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72"/>
              <w:spacing w:after="0"/>
              <w:rPr>
                <w:sz w:val="20"/>
                <w:szCs w:val="20"/>
                <w:color w:val="auto"/>
              </w:rPr>
            </w:pPr>
            <w:r>
              <w:rPr>
                <w:rFonts w:ascii="Arial" w:cs="Arial" w:eastAsia="Arial" w:hAnsi="Arial"/>
                <w:sz w:val="18"/>
                <w:szCs w:val="18"/>
                <w:b w:val="1"/>
                <w:bCs w:val="1"/>
                <w:color w:val="auto"/>
              </w:rPr>
              <w:t>(1.3)</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b w:val="1"/>
                <w:bCs w:val="1"/>
                <w:color w:val="auto"/>
              </w:rPr>
              <w:t>(15.4)</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92"/>
              <w:spacing w:after="0"/>
              <w:rPr>
                <w:sz w:val="20"/>
                <w:szCs w:val="20"/>
                <w:color w:val="auto"/>
              </w:rPr>
            </w:pPr>
            <w:r>
              <w:rPr>
                <w:rFonts w:ascii="Arial" w:cs="Arial" w:eastAsia="Arial" w:hAnsi="Arial"/>
                <w:sz w:val="18"/>
                <w:szCs w:val="18"/>
                <w:b w:val="1"/>
                <w:bCs w:val="1"/>
                <w:color w:val="auto"/>
              </w:rPr>
              <w:t>0.3</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(21.6)</w:t>
            </w:r>
          </w:p>
        </w:tc>
      </w:tr>
      <w:tr>
        <w:trPr>
          <w:trHeight w:val="110"/>
        </w:trPr>
        <w:tc>
          <w:tcPr>
            <w:tcW w:w="564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following table sets forth the assets and liabilities of the discontinued operations included in the Condensed Consolidated Balance Sheets of the Company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637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20" w:type="dxa"/>
            <w:vAlign w:val="bottom"/>
          </w:tcPr>
          <w:p>
            <w:pPr>
              <w:spacing w:after="0"/>
              <w:rPr>
                <w:sz w:val="19"/>
                <w:szCs w:val="19"/>
                <w:color w:val="auto"/>
              </w:rPr>
            </w:pPr>
          </w:p>
        </w:tc>
        <w:tc>
          <w:tcPr>
            <w:tcW w:w="3620" w:type="dxa"/>
            <w:vAlign w:val="bottom"/>
            <w:gridSpan w:val="2"/>
          </w:tcPr>
          <w:p>
            <w:pPr>
              <w:jc w:val="right"/>
              <w:ind w:right="192"/>
              <w:spacing w:after="0"/>
              <w:rPr>
                <w:sz w:val="20"/>
                <w:szCs w:val="20"/>
                <w:color w:val="auto"/>
              </w:rPr>
            </w:pPr>
            <w:r>
              <w:rPr>
                <w:rFonts w:ascii="Arial" w:cs="Arial" w:eastAsia="Arial" w:hAnsi="Arial"/>
                <w:sz w:val="18"/>
                <w:szCs w:val="18"/>
                <w:b w:val="1"/>
                <w:bCs w:val="1"/>
                <w:i w:val="1"/>
                <w:iCs w:val="1"/>
                <w:color w:val="auto"/>
              </w:rPr>
              <w:t>November 30, 2009</w:t>
            </w:r>
          </w:p>
        </w:tc>
        <w:tc>
          <w:tcPr>
            <w:tcW w:w="1500" w:type="dxa"/>
            <w:vAlign w:val="bottom"/>
            <w:gridSpan w:val="2"/>
          </w:tcPr>
          <w:p>
            <w:pPr>
              <w:jc w:val="right"/>
              <w:ind w:right="172"/>
              <w:spacing w:after="0"/>
              <w:rPr>
                <w:sz w:val="20"/>
                <w:szCs w:val="20"/>
                <w:color w:val="auto"/>
              </w:rPr>
            </w:pPr>
            <w:r>
              <w:rPr>
                <w:rFonts w:ascii="Arial" w:cs="Arial" w:eastAsia="Arial" w:hAnsi="Arial"/>
                <w:sz w:val="18"/>
                <w:szCs w:val="18"/>
                <w:b w:val="1"/>
                <w:bCs w:val="1"/>
                <w:i w:val="1"/>
                <w:iCs w:val="1"/>
                <w:color w:val="auto"/>
              </w:rPr>
              <w:t>May 31, 2009</w:t>
            </w:r>
          </w:p>
        </w:tc>
        <w:tc>
          <w:tcPr>
            <w:tcW w:w="1800" w:type="dxa"/>
            <w:vAlign w:val="bottom"/>
            <w:gridSpan w:val="2"/>
          </w:tcPr>
          <w:p>
            <w:pPr>
              <w:jc w:val="right"/>
              <w:ind w:right="72"/>
              <w:spacing w:after="0"/>
              <w:rPr>
                <w:sz w:val="20"/>
                <w:szCs w:val="20"/>
                <w:color w:val="auto"/>
              </w:rPr>
            </w:pPr>
            <w:r>
              <w:rPr>
                <w:rFonts w:ascii="Arial" w:cs="Arial" w:eastAsia="Arial" w:hAnsi="Arial"/>
                <w:sz w:val="18"/>
                <w:szCs w:val="18"/>
                <w:b w:val="1"/>
                <w:bCs w:val="1"/>
                <w:i w:val="1"/>
                <w:iCs w:val="1"/>
                <w:color w:val="auto"/>
                <w:w w:val="99"/>
              </w:rPr>
              <w:t>November 30, 2008</w:t>
            </w:r>
          </w:p>
        </w:tc>
        <w:tc>
          <w:tcPr>
            <w:tcW w:w="20" w:type="dxa"/>
            <w:vAlign w:val="bottom"/>
          </w:tcPr>
          <w:p>
            <w:pPr>
              <w:spacing w:after="0"/>
              <w:rPr>
                <w:sz w:val="19"/>
                <w:szCs w:val="19"/>
                <w:color w:val="auto"/>
              </w:rPr>
            </w:pPr>
          </w:p>
        </w:tc>
      </w:tr>
      <w:tr>
        <w:trPr>
          <w:trHeight w:val="110"/>
        </w:trPr>
        <w:tc>
          <w:tcPr>
            <w:tcW w:w="4520" w:type="dxa"/>
            <w:vAlign w:val="bottom"/>
            <w:tcBorders>
              <w:bottom w:val="single" w:sz="8" w:color="808080"/>
            </w:tcBorders>
          </w:tcPr>
          <w:p>
            <w:pPr>
              <w:spacing w:after="0"/>
              <w:rPr>
                <w:sz w:val="9"/>
                <w:szCs w:val="9"/>
                <w:color w:val="auto"/>
              </w:rPr>
            </w:pPr>
          </w:p>
        </w:tc>
        <w:tc>
          <w:tcPr>
            <w:tcW w:w="25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45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540" w:type="dxa"/>
            <w:vAlign w:val="bottom"/>
          </w:tcPr>
          <w:p>
            <w:pPr>
              <w:spacing w:after="0"/>
              <w:rPr>
                <w:sz w:val="24"/>
                <w:szCs w:val="24"/>
                <w:color w:val="auto"/>
              </w:rPr>
            </w:pPr>
          </w:p>
        </w:tc>
        <w:tc>
          <w:tcPr>
            <w:tcW w:w="1080" w:type="dxa"/>
            <w:vAlign w:val="bottom"/>
          </w:tcPr>
          <w:p>
            <w:pPr>
              <w:jc w:val="right"/>
              <w:ind w:right="472"/>
              <w:spacing w:after="0"/>
              <w:rPr>
                <w:sz w:val="20"/>
                <w:szCs w:val="20"/>
                <w:color w:val="auto"/>
              </w:rPr>
            </w:pPr>
            <w:r>
              <w:rPr>
                <w:rFonts w:ascii="Arial" w:cs="Arial" w:eastAsia="Arial" w:hAnsi="Arial"/>
                <w:sz w:val="18"/>
                <w:szCs w:val="18"/>
                <w:color w:val="auto"/>
              </w:rPr>
              <w:t>7.4</w:t>
            </w:r>
          </w:p>
        </w:tc>
        <w:tc>
          <w:tcPr>
            <w:tcW w:w="660" w:type="dxa"/>
            <w:vAlign w:val="bottom"/>
          </w:tcPr>
          <w:p>
            <w:pPr>
              <w:spacing w:after="0"/>
              <w:rPr>
                <w:sz w:val="24"/>
                <w:szCs w:val="24"/>
                <w:color w:val="auto"/>
              </w:rPr>
            </w:pP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13.6</w:t>
            </w:r>
          </w:p>
        </w:tc>
        <w:tc>
          <w:tcPr>
            <w:tcW w:w="840" w:type="dxa"/>
            <w:vAlign w:val="bottom"/>
          </w:tcPr>
          <w:p>
            <w:pPr>
              <w:spacing w:after="0"/>
              <w:rPr>
                <w:sz w:val="24"/>
                <w:szCs w:val="24"/>
                <w:color w:val="auto"/>
              </w:rPr>
            </w:pPr>
          </w:p>
        </w:tc>
        <w:tc>
          <w:tcPr>
            <w:tcW w:w="960" w:type="dxa"/>
            <w:vAlign w:val="bottom"/>
          </w:tcPr>
          <w:p>
            <w:pPr>
              <w:jc w:val="right"/>
              <w:ind w:right="372"/>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24"/>
                <w:szCs w:val="24"/>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Inventories, net</w:t>
            </w:r>
          </w:p>
        </w:tc>
        <w:tc>
          <w:tcPr>
            <w:tcW w:w="2540" w:type="dxa"/>
            <w:vAlign w:val="bottom"/>
          </w:tcPr>
          <w:p>
            <w:pPr>
              <w:spacing w:after="0"/>
              <w:rPr>
                <w:sz w:val="18"/>
                <w:szCs w:val="18"/>
                <w:color w:val="auto"/>
              </w:rPr>
            </w:pPr>
          </w:p>
        </w:tc>
        <w:tc>
          <w:tcPr>
            <w:tcW w:w="1080" w:type="dxa"/>
            <w:vAlign w:val="bottom"/>
          </w:tcPr>
          <w:p>
            <w:pPr>
              <w:jc w:val="right"/>
              <w:ind w:right="472"/>
              <w:spacing w:after="0"/>
              <w:rPr>
                <w:sz w:val="20"/>
                <w:szCs w:val="20"/>
                <w:color w:val="auto"/>
              </w:rPr>
            </w:pPr>
            <w:r>
              <w:rPr>
                <w:rFonts w:ascii="Arial" w:cs="Arial" w:eastAsia="Arial" w:hAnsi="Arial"/>
                <w:sz w:val="18"/>
                <w:szCs w:val="18"/>
                <w:color w:val="auto"/>
              </w:rPr>
              <w:t>0.1</w:t>
            </w:r>
          </w:p>
        </w:tc>
        <w:tc>
          <w:tcPr>
            <w:tcW w:w="660" w:type="dxa"/>
            <w:vAlign w:val="bottom"/>
          </w:tcPr>
          <w:p>
            <w:pPr>
              <w:spacing w:after="0"/>
              <w:rPr>
                <w:sz w:val="18"/>
                <w:szCs w:val="18"/>
                <w:color w:val="auto"/>
              </w:rPr>
            </w:pP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0.8</w:t>
            </w:r>
          </w:p>
        </w:tc>
        <w:tc>
          <w:tcPr>
            <w:tcW w:w="840" w:type="dxa"/>
            <w:vAlign w:val="bottom"/>
          </w:tcPr>
          <w:p>
            <w:pPr>
              <w:spacing w:after="0"/>
              <w:rPr>
                <w:sz w:val="18"/>
                <w:szCs w:val="18"/>
                <w:color w:val="auto"/>
              </w:rPr>
            </w:pPr>
          </w:p>
        </w:tc>
        <w:tc>
          <w:tcPr>
            <w:tcW w:w="960" w:type="dxa"/>
            <w:vAlign w:val="bottom"/>
          </w:tcPr>
          <w:p>
            <w:pPr>
              <w:jc w:val="right"/>
              <w:ind w:right="372"/>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r>
      <w:tr>
        <w:trPr>
          <w:trHeight w:val="222"/>
        </w:trPr>
        <w:tc>
          <w:tcPr>
            <w:tcW w:w="4520" w:type="dxa"/>
            <w:vAlign w:val="bottom"/>
          </w:tcPr>
          <w:p>
            <w:pPr>
              <w:spacing w:after="0"/>
              <w:rPr>
                <w:sz w:val="20"/>
                <w:szCs w:val="20"/>
                <w:color w:val="auto"/>
              </w:rPr>
            </w:pPr>
            <w:r>
              <w:rPr>
                <w:rFonts w:ascii="Arial" w:cs="Arial" w:eastAsia="Arial" w:hAnsi="Arial"/>
                <w:sz w:val="18"/>
                <w:szCs w:val="18"/>
                <w:color w:val="auto"/>
              </w:rPr>
              <w:t>Other assets</w:t>
            </w:r>
          </w:p>
        </w:tc>
        <w:tc>
          <w:tcPr>
            <w:tcW w:w="2540" w:type="dxa"/>
            <w:vAlign w:val="bottom"/>
          </w:tcPr>
          <w:p>
            <w:pPr>
              <w:spacing w:after="0"/>
              <w:rPr>
                <w:sz w:val="19"/>
                <w:szCs w:val="19"/>
                <w:color w:val="auto"/>
              </w:rPr>
            </w:pPr>
          </w:p>
        </w:tc>
        <w:tc>
          <w:tcPr>
            <w:tcW w:w="1080" w:type="dxa"/>
            <w:vAlign w:val="bottom"/>
          </w:tcPr>
          <w:p>
            <w:pPr>
              <w:jc w:val="right"/>
              <w:ind w:right="472"/>
              <w:spacing w:after="0"/>
              <w:rPr>
                <w:sz w:val="20"/>
                <w:szCs w:val="20"/>
                <w:color w:val="auto"/>
              </w:rPr>
            </w:pPr>
            <w:r>
              <w:rPr>
                <w:rFonts w:ascii="Arial" w:cs="Arial" w:eastAsia="Arial" w:hAnsi="Arial"/>
                <w:sz w:val="18"/>
                <w:szCs w:val="18"/>
                <w:color w:val="auto"/>
              </w:rPr>
              <w:t>16.9</w:t>
            </w:r>
          </w:p>
        </w:tc>
        <w:tc>
          <w:tcPr>
            <w:tcW w:w="660" w:type="dxa"/>
            <w:vAlign w:val="bottom"/>
          </w:tcPr>
          <w:p>
            <w:pPr>
              <w:spacing w:after="0"/>
              <w:rPr>
                <w:sz w:val="19"/>
                <w:szCs w:val="19"/>
                <w:color w:val="auto"/>
              </w:rPr>
            </w:pP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16.6</w:t>
            </w:r>
          </w:p>
        </w:tc>
        <w:tc>
          <w:tcPr>
            <w:tcW w:w="840" w:type="dxa"/>
            <w:vAlign w:val="bottom"/>
          </w:tcPr>
          <w:p>
            <w:pPr>
              <w:spacing w:after="0"/>
              <w:rPr>
                <w:sz w:val="19"/>
                <w:szCs w:val="19"/>
                <w:color w:val="auto"/>
              </w:rPr>
            </w:pPr>
          </w:p>
        </w:tc>
        <w:tc>
          <w:tcPr>
            <w:tcW w:w="960" w:type="dxa"/>
            <w:vAlign w:val="bottom"/>
          </w:tcPr>
          <w:p>
            <w:pPr>
              <w:jc w:val="right"/>
              <w:ind w:right="372"/>
              <w:spacing w:after="0"/>
              <w:rPr>
                <w:sz w:val="20"/>
                <w:szCs w:val="20"/>
                <w:color w:val="auto"/>
              </w:rPr>
            </w:pPr>
            <w:r>
              <w:rPr>
                <w:rFonts w:ascii="Arial" w:cs="Arial" w:eastAsia="Arial" w:hAnsi="Arial"/>
                <w:sz w:val="18"/>
                <w:szCs w:val="18"/>
                <w:color w:val="auto"/>
              </w:rPr>
              <w:t>39.0</w:t>
            </w:r>
          </w:p>
        </w:tc>
        <w:tc>
          <w:tcPr>
            <w:tcW w:w="20" w:type="dxa"/>
            <w:vAlign w:val="bottom"/>
          </w:tcPr>
          <w:p>
            <w:pPr>
              <w:spacing w:after="0"/>
              <w:rPr>
                <w:sz w:val="19"/>
                <w:szCs w:val="19"/>
                <w:color w:val="auto"/>
              </w:rPr>
            </w:pPr>
          </w:p>
        </w:tc>
      </w:tr>
      <w:tr>
        <w:trPr>
          <w:trHeight w:val="110"/>
        </w:trPr>
        <w:tc>
          <w:tcPr>
            <w:tcW w:w="4520" w:type="dxa"/>
            <w:vAlign w:val="bottom"/>
            <w:tcBorders>
              <w:bottom w:val="single" w:sz="8" w:color="808080"/>
            </w:tcBorders>
          </w:tcPr>
          <w:p>
            <w:pPr>
              <w:spacing w:after="0"/>
              <w:rPr>
                <w:sz w:val="9"/>
                <w:szCs w:val="9"/>
                <w:color w:val="auto"/>
              </w:rPr>
            </w:pPr>
          </w:p>
        </w:tc>
        <w:tc>
          <w:tcPr>
            <w:tcW w:w="25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520" w:type="dxa"/>
            <w:vAlign w:val="bottom"/>
          </w:tcPr>
          <w:p>
            <w:pPr>
              <w:spacing w:after="0"/>
              <w:rPr>
                <w:sz w:val="20"/>
                <w:szCs w:val="20"/>
                <w:color w:val="auto"/>
              </w:rPr>
            </w:pPr>
            <w:r>
              <w:rPr>
                <w:rFonts w:ascii="Arial" w:cs="Arial" w:eastAsia="Arial" w:hAnsi="Arial"/>
                <w:sz w:val="18"/>
                <w:szCs w:val="18"/>
                <w:b w:val="1"/>
                <w:bCs w:val="1"/>
                <w:color w:val="auto"/>
              </w:rPr>
              <w:t>Current assets of discontinued operations</w:t>
            </w:r>
          </w:p>
        </w:tc>
        <w:tc>
          <w:tcPr>
            <w:tcW w:w="2540" w:type="dxa"/>
            <w:vAlign w:val="bottom"/>
          </w:tcPr>
          <w:p>
            <w:pPr>
              <w:jc w:val="right"/>
              <w:ind w:right="132"/>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472"/>
              <w:spacing w:after="0"/>
              <w:rPr>
                <w:sz w:val="20"/>
                <w:szCs w:val="20"/>
                <w:color w:val="auto"/>
              </w:rPr>
            </w:pPr>
            <w:r>
              <w:rPr>
                <w:rFonts w:ascii="Arial" w:cs="Arial" w:eastAsia="Arial" w:hAnsi="Arial"/>
                <w:sz w:val="18"/>
                <w:szCs w:val="18"/>
                <w:b w:val="1"/>
                <w:bCs w:val="1"/>
                <w:color w:val="auto"/>
              </w:rPr>
              <w:t>24.4</w:t>
            </w:r>
          </w:p>
        </w:tc>
        <w:tc>
          <w:tcPr>
            <w:tcW w:w="66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252"/>
              <w:spacing w:after="0"/>
              <w:rPr>
                <w:sz w:val="20"/>
                <w:szCs w:val="20"/>
                <w:color w:val="auto"/>
              </w:rPr>
            </w:pPr>
            <w:r>
              <w:rPr>
                <w:rFonts w:ascii="Arial" w:cs="Arial" w:eastAsia="Arial" w:hAnsi="Arial"/>
                <w:sz w:val="18"/>
                <w:szCs w:val="18"/>
                <w:b w:val="1"/>
                <w:bCs w:val="1"/>
                <w:color w:val="auto"/>
              </w:rPr>
              <w:t>31.0</w:t>
            </w:r>
          </w:p>
        </w:tc>
        <w:tc>
          <w:tcPr>
            <w:tcW w:w="84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372"/>
              <w:spacing w:after="0"/>
              <w:rPr>
                <w:sz w:val="20"/>
                <w:szCs w:val="20"/>
                <w:color w:val="auto"/>
              </w:rPr>
            </w:pPr>
            <w:r>
              <w:rPr>
                <w:rFonts w:ascii="Arial" w:cs="Arial" w:eastAsia="Arial" w:hAnsi="Arial"/>
                <w:sz w:val="18"/>
                <w:szCs w:val="18"/>
                <w:b w:val="1"/>
                <w:bCs w:val="1"/>
                <w:color w:val="auto"/>
              </w:rPr>
              <w:t>73.3</w:t>
            </w:r>
          </w:p>
        </w:tc>
        <w:tc>
          <w:tcPr>
            <w:tcW w:w="20" w:type="dxa"/>
            <w:vAlign w:val="bottom"/>
          </w:tcPr>
          <w:p>
            <w:pPr>
              <w:spacing w:after="0"/>
              <w:rPr>
                <w:sz w:val="24"/>
                <w:szCs w:val="24"/>
                <w:color w:val="auto"/>
              </w:rPr>
            </w:pPr>
          </w:p>
        </w:tc>
      </w:tr>
      <w:tr>
        <w:trPr>
          <w:trHeight w:val="110"/>
        </w:trPr>
        <w:tc>
          <w:tcPr>
            <w:tcW w:w="4520" w:type="dxa"/>
            <w:vAlign w:val="bottom"/>
            <w:tcBorders>
              <w:bottom w:val="single" w:sz="8" w:color="808080"/>
            </w:tcBorders>
          </w:tcPr>
          <w:p>
            <w:pPr>
              <w:spacing w:after="0"/>
              <w:rPr>
                <w:sz w:val="9"/>
                <w:szCs w:val="9"/>
                <w:color w:val="auto"/>
              </w:rPr>
            </w:pPr>
          </w:p>
        </w:tc>
        <w:tc>
          <w:tcPr>
            <w:tcW w:w="25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4520" w:type="dxa"/>
            <w:vAlign w:val="bottom"/>
          </w:tcPr>
          <w:p>
            <w:pPr>
              <w:spacing w:after="0"/>
              <w:rPr>
                <w:sz w:val="20"/>
                <w:szCs w:val="20"/>
                <w:color w:val="auto"/>
              </w:rPr>
            </w:pPr>
            <w:r>
              <w:rPr>
                <w:rFonts w:ascii="Arial" w:cs="Arial" w:eastAsia="Arial" w:hAnsi="Arial"/>
                <w:sz w:val="18"/>
                <w:szCs w:val="18"/>
                <w:color w:val="auto"/>
              </w:rPr>
              <w:t>Accounts payable</w:t>
            </w:r>
          </w:p>
        </w:tc>
        <w:tc>
          <w:tcPr>
            <w:tcW w:w="2540" w:type="dxa"/>
            <w:vAlign w:val="bottom"/>
          </w:tcPr>
          <w:p>
            <w:pPr>
              <w:spacing w:after="0"/>
              <w:rPr>
                <w:sz w:val="24"/>
                <w:szCs w:val="24"/>
                <w:color w:val="auto"/>
              </w:rPr>
            </w:pPr>
          </w:p>
        </w:tc>
        <w:tc>
          <w:tcPr>
            <w:tcW w:w="1080" w:type="dxa"/>
            <w:vAlign w:val="bottom"/>
          </w:tcPr>
          <w:p>
            <w:pPr>
              <w:jc w:val="right"/>
              <w:ind w:right="472"/>
              <w:spacing w:after="0"/>
              <w:rPr>
                <w:sz w:val="20"/>
                <w:szCs w:val="20"/>
                <w:color w:val="auto"/>
              </w:rPr>
            </w:pPr>
            <w:r>
              <w:rPr>
                <w:rFonts w:ascii="Arial" w:cs="Arial" w:eastAsia="Arial" w:hAnsi="Arial"/>
                <w:sz w:val="18"/>
                <w:szCs w:val="18"/>
                <w:color w:val="auto"/>
              </w:rPr>
              <w:t>0.5</w:t>
            </w:r>
          </w:p>
        </w:tc>
        <w:tc>
          <w:tcPr>
            <w:tcW w:w="660" w:type="dxa"/>
            <w:vAlign w:val="bottom"/>
          </w:tcPr>
          <w:p>
            <w:pPr>
              <w:spacing w:after="0"/>
              <w:rPr>
                <w:sz w:val="24"/>
                <w:szCs w:val="24"/>
                <w:color w:val="auto"/>
              </w:rPr>
            </w:pP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2.2</w:t>
            </w:r>
          </w:p>
        </w:tc>
        <w:tc>
          <w:tcPr>
            <w:tcW w:w="840" w:type="dxa"/>
            <w:vAlign w:val="bottom"/>
          </w:tcPr>
          <w:p>
            <w:pPr>
              <w:spacing w:after="0"/>
              <w:rPr>
                <w:sz w:val="24"/>
                <w:szCs w:val="24"/>
                <w:color w:val="auto"/>
              </w:rPr>
            </w:pPr>
          </w:p>
        </w:tc>
        <w:tc>
          <w:tcPr>
            <w:tcW w:w="960" w:type="dxa"/>
            <w:vAlign w:val="bottom"/>
          </w:tcPr>
          <w:p>
            <w:pPr>
              <w:jc w:val="right"/>
              <w:ind w:right="37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4"/>
                <w:szCs w:val="24"/>
                <w:color w:val="auto"/>
              </w:rPr>
            </w:pPr>
          </w:p>
        </w:tc>
      </w:tr>
      <w:tr>
        <w:trPr>
          <w:trHeight w:val="222"/>
        </w:trPr>
        <w:tc>
          <w:tcPr>
            <w:tcW w:w="452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2540" w:type="dxa"/>
            <w:vAlign w:val="bottom"/>
          </w:tcPr>
          <w:p>
            <w:pPr>
              <w:spacing w:after="0"/>
              <w:rPr>
                <w:sz w:val="19"/>
                <w:szCs w:val="19"/>
                <w:color w:val="auto"/>
              </w:rPr>
            </w:pPr>
          </w:p>
        </w:tc>
        <w:tc>
          <w:tcPr>
            <w:tcW w:w="1080" w:type="dxa"/>
            <w:vAlign w:val="bottom"/>
          </w:tcPr>
          <w:p>
            <w:pPr>
              <w:jc w:val="right"/>
              <w:ind w:right="472"/>
              <w:spacing w:after="0"/>
              <w:rPr>
                <w:sz w:val="20"/>
                <w:szCs w:val="20"/>
                <w:color w:val="auto"/>
              </w:rPr>
            </w:pPr>
            <w:r>
              <w:rPr>
                <w:rFonts w:ascii="Arial" w:cs="Arial" w:eastAsia="Arial" w:hAnsi="Arial"/>
                <w:sz w:val="18"/>
                <w:szCs w:val="18"/>
                <w:color w:val="auto"/>
              </w:rPr>
              <w:t>2.7</w:t>
            </w:r>
          </w:p>
        </w:tc>
        <w:tc>
          <w:tcPr>
            <w:tcW w:w="660" w:type="dxa"/>
            <w:vAlign w:val="bottom"/>
          </w:tcPr>
          <w:p>
            <w:pPr>
              <w:spacing w:after="0"/>
              <w:rPr>
                <w:sz w:val="19"/>
                <w:szCs w:val="19"/>
                <w:color w:val="auto"/>
              </w:rPr>
            </w:pP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5.1</w:t>
            </w:r>
          </w:p>
        </w:tc>
        <w:tc>
          <w:tcPr>
            <w:tcW w:w="840" w:type="dxa"/>
            <w:vAlign w:val="bottom"/>
          </w:tcPr>
          <w:p>
            <w:pPr>
              <w:spacing w:after="0"/>
              <w:rPr>
                <w:sz w:val="19"/>
                <w:szCs w:val="19"/>
                <w:color w:val="auto"/>
              </w:rPr>
            </w:pPr>
          </w:p>
        </w:tc>
        <w:tc>
          <w:tcPr>
            <w:tcW w:w="960" w:type="dxa"/>
            <w:vAlign w:val="bottom"/>
          </w:tcPr>
          <w:p>
            <w:pPr>
              <w:jc w:val="right"/>
              <w:ind w:right="372"/>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9"/>
                <w:szCs w:val="19"/>
                <w:color w:val="auto"/>
              </w:rPr>
            </w:pPr>
          </w:p>
        </w:tc>
      </w:tr>
      <w:tr>
        <w:trPr>
          <w:trHeight w:val="110"/>
        </w:trPr>
        <w:tc>
          <w:tcPr>
            <w:tcW w:w="4520" w:type="dxa"/>
            <w:vAlign w:val="bottom"/>
            <w:tcBorders>
              <w:bottom w:val="single" w:sz="8" w:color="808080"/>
            </w:tcBorders>
          </w:tcPr>
          <w:p>
            <w:pPr>
              <w:spacing w:after="0"/>
              <w:rPr>
                <w:sz w:val="9"/>
                <w:szCs w:val="9"/>
                <w:color w:val="auto"/>
              </w:rPr>
            </w:pPr>
          </w:p>
        </w:tc>
        <w:tc>
          <w:tcPr>
            <w:tcW w:w="25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520" w:type="dxa"/>
            <w:vAlign w:val="bottom"/>
          </w:tcPr>
          <w:p>
            <w:pPr>
              <w:spacing w:after="0"/>
              <w:rPr>
                <w:sz w:val="20"/>
                <w:szCs w:val="20"/>
                <w:color w:val="auto"/>
              </w:rPr>
            </w:pPr>
            <w:r>
              <w:rPr>
                <w:rFonts w:ascii="Arial" w:cs="Arial" w:eastAsia="Arial" w:hAnsi="Arial"/>
                <w:sz w:val="18"/>
                <w:szCs w:val="18"/>
                <w:b w:val="1"/>
                <w:bCs w:val="1"/>
                <w:color w:val="auto"/>
              </w:rPr>
              <w:t>Current liabilities of discontinued operations</w:t>
            </w:r>
          </w:p>
        </w:tc>
        <w:tc>
          <w:tcPr>
            <w:tcW w:w="2540" w:type="dxa"/>
            <w:vAlign w:val="bottom"/>
          </w:tcPr>
          <w:p>
            <w:pPr>
              <w:jc w:val="right"/>
              <w:ind w:right="132"/>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472"/>
              <w:spacing w:after="0"/>
              <w:rPr>
                <w:sz w:val="20"/>
                <w:szCs w:val="20"/>
                <w:color w:val="auto"/>
              </w:rPr>
            </w:pPr>
            <w:r>
              <w:rPr>
                <w:rFonts w:ascii="Arial" w:cs="Arial" w:eastAsia="Arial" w:hAnsi="Arial"/>
                <w:sz w:val="18"/>
                <w:szCs w:val="18"/>
                <w:b w:val="1"/>
                <w:bCs w:val="1"/>
                <w:color w:val="auto"/>
              </w:rPr>
              <w:t>3.2</w:t>
            </w:r>
          </w:p>
        </w:tc>
        <w:tc>
          <w:tcPr>
            <w:tcW w:w="66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252"/>
              <w:spacing w:after="0"/>
              <w:rPr>
                <w:sz w:val="20"/>
                <w:szCs w:val="20"/>
                <w:color w:val="auto"/>
              </w:rPr>
            </w:pPr>
            <w:r>
              <w:rPr>
                <w:rFonts w:ascii="Arial" w:cs="Arial" w:eastAsia="Arial" w:hAnsi="Arial"/>
                <w:sz w:val="18"/>
                <w:szCs w:val="18"/>
                <w:b w:val="1"/>
                <w:bCs w:val="1"/>
                <w:color w:val="auto"/>
              </w:rPr>
              <w:t>7.3</w:t>
            </w:r>
          </w:p>
        </w:tc>
        <w:tc>
          <w:tcPr>
            <w:tcW w:w="84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372"/>
              <w:spacing w:after="0"/>
              <w:rPr>
                <w:sz w:val="20"/>
                <w:szCs w:val="20"/>
                <w:color w:val="auto"/>
              </w:rPr>
            </w:pPr>
            <w:r>
              <w:rPr>
                <w:rFonts w:ascii="Arial" w:cs="Arial" w:eastAsia="Arial" w:hAnsi="Arial"/>
                <w:sz w:val="18"/>
                <w:szCs w:val="18"/>
                <w:b w:val="1"/>
                <w:bCs w:val="1"/>
                <w:color w:val="auto"/>
              </w:rPr>
              <w:t>19.4</w:t>
            </w:r>
          </w:p>
        </w:tc>
        <w:tc>
          <w:tcPr>
            <w:tcW w:w="20" w:type="dxa"/>
            <w:vAlign w:val="bottom"/>
          </w:tcPr>
          <w:p>
            <w:pPr>
              <w:spacing w:after="0"/>
              <w:rPr>
                <w:sz w:val="24"/>
                <w:szCs w:val="24"/>
                <w:color w:val="auto"/>
              </w:rPr>
            </w:pPr>
          </w:p>
        </w:tc>
      </w:tr>
      <w:tr>
        <w:trPr>
          <w:trHeight w:val="110"/>
        </w:trPr>
        <w:tc>
          <w:tcPr>
            <w:tcW w:w="4520" w:type="dxa"/>
            <w:vAlign w:val="bottom"/>
            <w:tcBorders>
              <w:bottom w:val="single" w:sz="8" w:color="808080"/>
            </w:tcBorders>
          </w:tcPr>
          <w:p>
            <w:pPr>
              <w:spacing w:after="0"/>
              <w:rPr>
                <w:sz w:val="9"/>
                <w:szCs w:val="9"/>
                <w:color w:val="auto"/>
              </w:rPr>
            </w:pPr>
          </w:p>
        </w:tc>
        <w:tc>
          <w:tcPr>
            <w:tcW w:w="25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532"/>
        </w:trPr>
        <w:tc>
          <w:tcPr>
            <w:tcW w:w="4520" w:type="dxa"/>
            <w:vAlign w:val="bottom"/>
          </w:tcPr>
          <w:p>
            <w:pPr>
              <w:spacing w:after="0"/>
              <w:rPr>
                <w:sz w:val="24"/>
                <w:szCs w:val="24"/>
                <w:color w:val="auto"/>
              </w:rPr>
            </w:pPr>
          </w:p>
        </w:tc>
        <w:tc>
          <w:tcPr>
            <w:tcW w:w="2540" w:type="dxa"/>
            <w:vAlign w:val="bottom"/>
          </w:tcPr>
          <w:p>
            <w:pPr>
              <w:jc w:val="right"/>
              <w:ind w:right="1212"/>
              <w:spacing w:after="0"/>
              <w:rPr>
                <w:sz w:val="20"/>
                <w:szCs w:val="20"/>
                <w:color w:val="auto"/>
              </w:rPr>
            </w:pPr>
            <w:r>
              <w:rPr>
                <w:rFonts w:ascii="Arial" w:cs="Arial" w:eastAsia="Arial" w:hAnsi="Arial"/>
                <w:sz w:val="18"/>
                <w:szCs w:val="18"/>
                <w:color w:val="auto"/>
              </w:rPr>
              <w:t>7</w:t>
            </w: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45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4520" w:type="dxa"/>
            <w:vAlign w:val="bottom"/>
            <w:shd w:val="clear" w:color="auto" w:fill="808080"/>
          </w:tcPr>
          <w:p>
            <w:pPr>
              <w:spacing w:after="0"/>
              <w:rPr>
                <w:sz w:val="5"/>
                <w:szCs w:val="5"/>
                <w:color w:val="auto"/>
              </w:rPr>
            </w:pPr>
          </w:p>
        </w:tc>
        <w:tc>
          <w:tcPr>
            <w:tcW w:w="254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382" w:right="1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Information</w:t>
      </w:r>
    </w:p>
    <w:p>
      <w:pPr>
        <w:spacing w:after="0" w:line="2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 xml:space="preserve">The Company categorizes its businesses into four reportable segments: </w:t>
      </w:r>
      <w:r>
        <w:rPr>
          <w:rFonts w:ascii="Arial" w:cs="Arial" w:eastAsia="Arial" w:hAnsi="Arial"/>
          <w:sz w:val="18"/>
          <w:szCs w:val="18"/>
          <w:i w:val="1"/>
          <w:iCs w:val="1"/>
          <w:color w:val="auto"/>
        </w:rPr>
        <w:t>Children’s Book Publishing and Distribution; Educational Publishing; International; and</w:t>
      </w:r>
      <w:r>
        <w:rPr>
          <w:rFonts w:ascii="Arial" w:cs="Arial" w:eastAsia="Arial" w:hAnsi="Arial"/>
          <w:sz w:val="18"/>
          <w:szCs w:val="18"/>
          <w:color w:val="auto"/>
        </w:rPr>
        <w:t xml:space="preserve"> </w:t>
      </w:r>
      <w:r>
        <w:rPr>
          <w:rFonts w:ascii="Arial" w:cs="Arial" w:eastAsia="Arial" w:hAnsi="Arial"/>
          <w:sz w:val="18"/>
          <w:szCs w:val="18"/>
          <w:i w:val="1"/>
          <w:iCs w:val="1"/>
          <w:color w:val="auto"/>
        </w:rPr>
        <w:t>Media, Licensing and Advertising</w:t>
      </w:r>
      <w:r>
        <w:rPr>
          <w:rFonts w:ascii="Arial" w:cs="Arial" w:eastAsia="Arial" w:hAnsi="Arial"/>
          <w:sz w:val="18"/>
          <w:szCs w:val="18"/>
          <w:color w:val="auto"/>
        </w:rPr>
        <w:t>.</w:t>
      </w:r>
    </w:p>
    <w:p>
      <w:pPr>
        <w:spacing w:after="0" w:line="186" w:lineRule="exact"/>
        <w:rPr>
          <w:sz w:val="20"/>
          <w:szCs w:val="20"/>
          <w:color w:val="auto"/>
        </w:rPr>
      </w:pPr>
    </w:p>
    <w:p>
      <w:pPr>
        <w:ind w:right="220" w:firstLine="8"/>
        <w:spacing w:after="0" w:line="259" w:lineRule="auto"/>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 xml:space="preserve">Children’s Book Publishing and Distribution </w:t>
      </w:r>
      <w:r>
        <w:rPr>
          <w:rFonts w:ascii="Arial" w:cs="Arial" w:eastAsia="Arial" w:hAnsi="Arial"/>
          <w:sz w:val="18"/>
          <w:szCs w:val="18"/>
          <w:color w:val="auto"/>
        </w:rPr>
        <w:t>operates as an integrated business which includes the publication and distribution of children’s books, media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interactive products in the United States through school-based book clubs and book fairs and the trade channel. This segment is comprised of three operating segments.</w:t>
      </w:r>
    </w:p>
    <w:p>
      <w:pPr>
        <w:spacing w:after="0" w:line="194" w:lineRule="exact"/>
        <w:rPr>
          <w:rFonts w:ascii="Arial" w:cs="Arial" w:eastAsia="Arial" w:hAnsi="Arial"/>
          <w:sz w:val="18"/>
          <w:szCs w:val="18"/>
          <w:color w:val="auto"/>
        </w:rPr>
      </w:pPr>
    </w:p>
    <w:p>
      <w:pPr>
        <w:ind w:right="160" w:firstLine="8"/>
        <w:spacing w:after="0" w:line="259" w:lineRule="auto"/>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 xml:space="preserve">Educational Publishing </w:t>
      </w:r>
      <w:r>
        <w:rPr>
          <w:rFonts w:ascii="Arial" w:cs="Arial" w:eastAsia="Arial" w:hAnsi="Arial"/>
          <w:sz w:val="18"/>
          <w:szCs w:val="18"/>
          <w:color w:val="auto"/>
        </w:rPr>
        <w:t>includes the production and/or publication and distribution to schools and libraries of educational technology products, curriculum</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children’s books, classroom magazines and print and on-line reference and non-fiction products for grades pre-kindergarten to 12 in the United States. This segment is comprised of two operating segments.</w:t>
      </w:r>
    </w:p>
    <w:p>
      <w:pPr>
        <w:spacing w:after="0" w:line="194" w:lineRule="exact"/>
        <w:rPr>
          <w:rFonts w:ascii="Arial" w:cs="Arial" w:eastAsia="Arial" w:hAnsi="Arial"/>
          <w:sz w:val="18"/>
          <w:szCs w:val="18"/>
          <w:color w:val="auto"/>
        </w:rPr>
      </w:pPr>
    </w:p>
    <w:p>
      <w:pPr>
        <w:ind w:right="400" w:firstLine="8"/>
        <w:spacing w:after="0" w:line="268" w:lineRule="auto"/>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includes the publication and distribution of products and services outside the United States by the Company’s international operations,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export and foreign rights businesses. This segment is comprised of two operating segments.</w:t>
      </w:r>
    </w:p>
    <w:p>
      <w:pPr>
        <w:spacing w:after="0" w:line="185" w:lineRule="exact"/>
        <w:rPr>
          <w:rFonts w:ascii="Arial" w:cs="Arial" w:eastAsia="Arial" w:hAnsi="Arial"/>
          <w:sz w:val="18"/>
          <w:szCs w:val="18"/>
          <w:color w:val="auto"/>
        </w:rPr>
      </w:pPr>
    </w:p>
    <w:p>
      <w:pPr>
        <w:ind w:right="60" w:firstLine="8"/>
        <w:spacing w:after="0" w:line="268" w:lineRule="auto"/>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 xml:space="preserve">Media, Licensing and Advertising </w:t>
      </w:r>
      <w:r>
        <w:rPr>
          <w:rFonts w:ascii="Arial" w:cs="Arial" w:eastAsia="Arial" w:hAnsi="Arial"/>
          <w:sz w:val="18"/>
          <w:szCs w:val="18"/>
          <w:color w:val="auto"/>
        </w:rPr>
        <w:t>includes the production and/or distribution of media, merchandising and advertising revenue, including sponsorship programs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consumer promotions. This segment is comprised of three operating segments.</w:t>
      </w:r>
    </w:p>
    <w:p>
      <w:pPr>
        <w:spacing w:after="0" w:line="18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the first quarter of fiscal 2010, the Company reclassified certain revenues and operating expenses formerly included in the Media, Licensing and Advertising segment to the Children’s Book Publishing and Distribution segment. This reclassification consists of revenues and operating expenses derived from sales of media and interactive products sold through the various channels employed by the Children’s Book Publishing and Distribution segment. This change in reporting is consistent with changes in the Company’s internal financial reporting structure, and reflects the chief operating decision maker’s assessment of performance and asset allocation. Prior period results have been reclassified for consistency with this change in reporting structure. Revenues and operating income of $12.2 and $5.6, respectively, for the quarter ended November 30, 2008, and $13.0 and $5.9, respectively, for the six months ended November 30, 2008, were reclassified to the Children’s Book Publishing and Distribution segment from the Media, Licensing and Advertising segment.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tcPr>
          <w:p>
            <w:pPr>
              <w:jc w:val="center"/>
              <w:ind w:right="192"/>
              <w:spacing w:after="0"/>
              <w:rPr>
                <w:sz w:val="20"/>
                <w:szCs w:val="20"/>
                <w:color w:val="auto"/>
              </w:rPr>
            </w:pPr>
            <w:r>
              <w:rPr>
                <w:rFonts w:ascii="Arial" w:cs="Arial" w:eastAsia="Arial" w:hAnsi="Arial"/>
                <w:sz w:val="14"/>
                <w:szCs w:val="14"/>
                <w:b w:val="1"/>
                <w:bCs w:val="1"/>
                <w:color w:val="auto"/>
                <w:w w:val="87"/>
              </w:rPr>
              <w:t>Children’s Book</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432"/>
              <w:spacing w:after="0"/>
              <w:rPr>
                <w:sz w:val="20"/>
                <w:szCs w:val="20"/>
                <w:color w:val="auto"/>
              </w:rPr>
            </w:pPr>
            <w:r>
              <w:rPr>
                <w:rFonts w:ascii="Arial" w:cs="Arial" w:eastAsia="Arial" w:hAnsi="Arial"/>
                <w:sz w:val="14"/>
                <w:szCs w:val="14"/>
                <w:b w:val="1"/>
                <w:bCs w:val="1"/>
                <w:color w:val="auto"/>
              </w:rPr>
              <w:t>Media,</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40" w:type="dxa"/>
            <w:vAlign w:val="bottom"/>
          </w:tcPr>
          <w:p>
            <w:pPr>
              <w:jc w:val="center"/>
              <w:ind w:right="192"/>
              <w:spacing w:after="0" w:line="156" w:lineRule="exact"/>
              <w:rPr>
                <w:sz w:val="20"/>
                <w:szCs w:val="20"/>
                <w:color w:val="auto"/>
              </w:rPr>
            </w:pPr>
            <w:r>
              <w:rPr>
                <w:rFonts w:ascii="Arial" w:cs="Arial" w:eastAsia="Arial" w:hAnsi="Arial"/>
                <w:sz w:val="14"/>
                <w:szCs w:val="14"/>
                <w:b w:val="1"/>
                <w:bCs w:val="1"/>
                <w:color w:val="auto"/>
                <w:w w:val="85"/>
              </w:rPr>
              <w:t>Publishing and</w:t>
            </w:r>
          </w:p>
        </w:tc>
        <w:tc>
          <w:tcPr>
            <w:tcW w:w="260" w:type="dxa"/>
            <w:vAlign w:val="bottom"/>
          </w:tcPr>
          <w:p>
            <w:pPr>
              <w:spacing w:after="0"/>
              <w:rPr>
                <w:sz w:val="13"/>
                <w:szCs w:val="13"/>
                <w:color w:val="auto"/>
              </w:rPr>
            </w:pPr>
          </w:p>
        </w:tc>
        <w:tc>
          <w:tcPr>
            <w:tcW w:w="1060" w:type="dxa"/>
            <w:vAlign w:val="bottom"/>
          </w:tcPr>
          <w:p>
            <w:pPr>
              <w:jc w:val="right"/>
              <w:ind w:right="252"/>
              <w:spacing w:after="0" w:line="156" w:lineRule="exact"/>
              <w:rPr>
                <w:sz w:val="20"/>
                <w:szCs w:val="20"/>
                <w:color w:val="auto"/>
              </w:rPr>
            </w:pPr>
            <w:r>
              <w:rPr>
                <w:rFonts w:ascii="Arial" w:cs="Arial" w:eastAsia="Arial" w:hAnsi="Arial"/>
                <w:sz w:val="14"/>
                <w:szCs w:val="14"/>
                <w:b w:val="1"/>
                <w:bCs w:val="1"/>
                <w:color w:val="auto"/>
                <w:w w:val="90"/>
              </w:rPr>
              <w:t>Educational</w:t>
            </w:r>
          </w:p>
        </w:tc>
        <w:tc>
          <w:tcPr>
            <w:tcW w:w="240" w:type="dxa"/>
            <w:vAlign w:val="bottom"/>
          </w:tcPr>
          <w:p>
            <w:pPr>
              <w:spacing w:after="0"/>
              <w:rPr>
                <w:sz w:val="13"/>
                <w:szCs w:val="13"/>
                <w:color w:val="auto"/>
              </w:rPr>
            </w:pPr>
          </w:p>
        </w:tc>
        <w:tc>
          <w:tcPr>
            <w:tcW w:w="1120" w:type="dxa"/>
            <w:vAlign w:val="bottom"/>
          </w:tcPr>
          <w:p>
            <w:pPr>
              <w:jc w:val="right"/>
              <w:ind w:right="212"/>
              <w:spacing w:after="0" w:line="156" w:lineRule="exact"/>
              <w:rPr>
                <w:sz w:val="20"/>
                <w:szCs w:val="20"/>
                <w:color w:val="auto"/>
              </w:rPr>
            </w:pPr>
            <w:r>
              <w:rPr>
                <w:rFonts w:ascii="Arial" w:cs="Arial" w:eastAsia="Arial" w:hAnsi="Arial"/>
                <w:sz w:val="14"/>
                <w:szCs w:val="14"/>
                <w:b w:val="1"/>
                <w:bCs w:val="1"/>
                <w:color w:val="auto"/>
                <w:w w:val="87"/>
              </w:rPr>
              <w:t>Licensing and</w:t>
            </w:r>
          </w:p>
        </w:tc>
        <w:tc>
          <w:tcPr>
            <w:tcW w:w="240" w:type="dxa"/>
            <w:vAlign w:val="bottom"/>
          </w:tcPr>
          <w:p>
            <w:pPr>
              <w:spacing w:after="0"/>
              <w:rPr>
                <w:sz w:val="13"/>
                <w:szCs w:val="13"/>
                <w:color w:val="auto"/>
              </w:rPr>
            </w:pPr>
          </w:p>
        </w:tc>
        <w:tc>
          <w:tcPr>
            <w:tcW w:w="11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w w:val="81"/>
              </w:rPr>
              <w:t>Overhead</w:t>
            </w:r>
            <w:r>
              <w:rPr>
                <w:rFonts w:ascii="Arial" w:cs="Arial" w:eastAsia="Arial" w:hAnsi="Arial"/>
                <w:sz w:val="22"/>
                <w:szCs w:val="22"/>
                <w:b w:val="1"/>
                <w:bCs w:val="1"/>
                <w:color w:val="auto"/>
                <w:w w:val="81"/>
                <w:vertAlign w:val="superscript"/>
              </w:rPr>
              <w:t>(1)(2)</w:t>
            </w:r>
          </w:p>
        </w:tc>
        <w:tc>
          <w:tcPr>
            <w:tcW w:w="860" w:type="dxa"/>
            <w:vAlign w:val="bottom"/>
          </w:tcPr>
          <w:p>
            <w:pPr>
              <w:jc w:val="right"/>
              <w:ind w:right="232"/>
              <w:spacing w:after="0" w:line="156" w:lineRule="exact"/>
              <w:rPr>
                <w:sz w:val="20"/>
                <w:szCs w:val="20"/>
                <w:color w:val="auto"/>
              </w:rPr>
            </w:pPr>
            <w:r>
              <w:rPr>
                <w:rFonts w:ascii="Arial" w:cs="Arial" w:eastAsia="Arial" w:hAnsi="Arial"/>
                <w:sz w:val="14"/>
                <w:szCs w:val="14"/>
                <w:b w:val="1"/>
                <w:bCs w:val="1"/>
                <w:color w:val="auto"/>
              </w:rPr>
              <w:t>Total</w:t>
            </w:r>
          </w:p>
        </w:tc>
        <w:tc>
          <w:tcPr>
            <w:tcW w:w="1340" w:type="dxa"/>
            <w:vAlign w:val="bottom"/>
            <w:gridSpan w:val="2"/>
            <w:vMerge w:val="restart"/>
          </w:tcPr>
          <w:p>
            <w:pPr>
              <w:jc w:val="right"/>
              <w:ind w:right="152"/>
              <w:spacing w:after="0"/>
              <w:rPr>
                <w:sz w:val="20"/>
                <w:szCs w:val="20"/>
                <w:color w:val="auto"/>
              </w:rPr>
            </w:pPr>
            <w:r>
              <w:rPr>
                <w:rFonts w:ascii="Arial" w:cs="Arial" w:eastAsia="Arial" w:hAnsi="Arial"/>
                <w:sz w:val="14"/>
                <w:szCs w:val="14"/>
                <w:b w:val="1"/>
                <w:bCs w:val="1"/>
                <w:color w:val="auto"/>
              </w:rPr>
              <w:t>International</w:t>
            </w:r>
            <w:r>
              <w:rPr>
                <w:rFonts w:ascii="Arial" w:cs="Arial" w:eastAsia="Arial" w:hAnsi="Arial"/>
                <w:sz w:val="22"/>
                <w:szCs w:val="22"/>
                <w:b w:val="1"/>
                <w:bCs w:val="1"/>
                <w:color w:val="auto"/>
                <w:vertAlign w:val="superscript"/>
              </w:rPr>
              <w:t>(1)</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9"/>
        </w:trPr>
        <w:tc>
          <w:tcPr>
            <w:tcW w:w="25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jc w:val="center"/>
              <w:ind w:right="172"/>
              <w:spacing w:after="0"/>
              <w:rPr>
                <w:sz w:val="20"/>
                <w:szCs w:val="20"/>
                <w:color w:val="auto"/>
              </w:rPr>
            </w:pPr>
            <w:r>
              <w:rPr>
                <w:rFonts w:ascii="Arial" w:cs="Arial" w:eastAsia="Arial" w:hAnsi="Arial"/>
                <w:sz w:val="14"/>
                <w:szCs w:val="14"/>
                <w:b w:val="1"/>
                <w:bCs w:val="1"/>
                <w:color w:val="auto"/>
                <w:w w:val="87"/>
              </w:rPr>
              <w:t>Distribution</w:t>
            </w:r>
            <w:r>
              <w:rPr>
                <w:rFonts w:ascii="Arial" w:cs="Arial" w:eastAsia="Arial" w:hAnsi="Arial"/>
                <w:sz w:val="22"/>
                <w:szCs w:val="22"/>
                <w:b w:val="1"/>
                <w:bCs w:val="1"/>
                <w:color w:val="auto"/>
                <w:w w:val="87"/>
                <w:vertAlign w:val="superscript"/>
              </w:rPr>
              <w:t>(1)</w:t>
            </w:r>
          </w:p>
        </w:tc>
        <w:tc>
          <w:tcPr>
            <w:tcW w:w="26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jc w:val="right"/>
              <w:ind w:right="232"/>
              <w:spacing w:after="0"/>
              <w:rPr>
                <w:sz w:val="20"/>
                <w:szCs w:val="20"/>
                <w:color w:val="auto"/>
              </w:rPr>
            </w:pPr>
            <w:r>
              <w:rPr>
                <w:rFonts w:ascii="Arial" w:cs="Arial" w:eastAsia="Arial" w:hAnsi="Arial"/>
                <w:sz w:val="14"/>
                <w:szCs w:val="14"/>
                <w:b w:val="1"/>
                <w:bCs w:val="1"/>
                <w:color w:val="auto"/>
                <w:w w:val="82"/>
              </w:rPr>
              <w:t>Publishing</w:t>
            </w:r>
            <w:r>
              <w:rPr>
                <w:rFonts w:ascii="Arial" w:cs="Arial" w:eastAsia="Arial" w:hAnsi="Arial"/>
                <w:sz w:val="22"/>
                <w:szCs w:val="22"/>
                <w:b w:val="1"/>
                <w:bCs w:val="1"/>
                <w:color w:val="auto"/>
                <w:w w:val="82"/>
                <w:vertAlign w:val="superscript"/>
              </w:rPr>
              <w:t>(1)</w:t>
            </w:r>
          </w:p>
        </w:tc>
        <w:tc>
          <w:tcPr>
            <w:tcW w:w="2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jc w:val="right"/>
              <w:ind w:right="212"/>
              <w:spacing w:after="0"/>
              <w:rPr>
                <w:sz w:val="20"/>
                <w:szCs w:val="20"/>
                <w:color w:val="auto"/>
              </w:rPr>
            </w:pPr>
            <w:r>
              <w:rPr>
                <w:rFonts w:ascii="Arial" w:cs="Arial" w:eastAsia="Arial" w:hAnsi="Arial"/>
                <w:sz w:val="14"/>
                <w:szCs w:val="14"/>
                <w:b w:val="1"/>
                <w:bCs w:val="1"/>
                <w:color w:val="auto"/>
                <w:w w:val="86"/>
              </w:rPr>
              <w:t>Advertising</w:t>
            </w:r>
            <w:r>
              <w:rPr>
                <w:rFonts w:ascii="Arial" w:cs="Arial" w:eastAsia="Arial" w:hAnsi="Arial"/>
                <w:sz w:val="22"/>
                <w:szCs w:val="22"/>
                <w:b w:val="1"/>
                <w:bCs w:val="1"/>
                <w:color w:val="auto"/>
                <w:w w:val="86"/>
                <w:vertAlign w:val="superscript"/>
              </w:rPr>
              <w:t>(1)</w:t>
            </w:r>
          </w:p>
        </w:tc>
        <w:tc>
          <w:tcPr>
            <w:tcW w:w="2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vMerge w:val="continue"/>
          </w:tcPr>
          <w:p>
            <w:pPr>
              <w:spacing w:after="0"/>
              <w:rPr>
                <w:sz w:val="24"/>
                <w:szCs w:val="24"/>
                <w:color w:val="auto"/>
              </w:rPr>
            </w:pPr>
          </w:p>
        </w:tc>
        <w:tc>
          <w:tcPr>
            <w:tcW w:w="860" w:type="dxa"/>
            <w:vAlign w:val="bottom"/>
            <w:tcBorders>
              <w:bottom w:val="single" w:sz="8" w:color="808080"/>
            </w:tcBorders>
          </w:tcPr>
          <w:p>
            <w:pPr>
              <w:jc w:val="right"/>
              <w:ind w:right="112"/>
              <w:spacing w:after="0"/>
              <w:rPr>
                <w:sz w:val="20"/>
                <w:szCs w:val="20"/>
                <w:color w:val="auto"/>
              </w:rPr>
            </w:pPr>
            <w:r>
              <w:rPr>
                <w:rFonts w:ascii="Arial" w:cs="Arial" w:eastAsia="Arial" w:hAnsi="Arial"/>
                <w:sz w:val="14"/>
                <w:szCs w:val="14"/>
                <w:b w:val="1"/>
                <w:bCs w:val="1"/>
                <w:color w:val="auto"/>
              </w:rPr>
              <w:t>Domestic</w:t>
            </w:r>
          </w:p>
        </w:tc>
        <w:tc>
          <w:tcPr>
            <w:tcW w:w="1340" w:type="dxa"/>
            <w:vAlign w:val="bottom"/>
            <w:tcBorders>
              <w:bottom w:val="single" w:sz="8" w:color="808080"/>
            </w:tcBorders>
            <w:gridSpan w:val="2"/>
            <w:vMerge w:val="continue"/>
          </w:tcPr>
          <w:p>
            <w:pPr>
              <w:spacing w:after="0"/>
              <w:rPr>
                <w:sz w:val="24"/>
                <w:szCs w:val="24"/>
                <w:color w:val="auto"/>
              </w:rPr>
            </w:pPr>
          </w:p>
        </w:tc>
        <w:tc>
          <w:tcPr>
            <w:tcW w:w="860" w:type="dxa"/>
            <w:vAlign w:val="bottom"/>
            <w:tcBorders>
              <w:bottom w:val="single" w:sz="8" w:color="808080"/>
            </w:tcBorders>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86"/>
        </w:trPr>
        <w:tc>
          <w:tcPr>
            <w:tcW w:w="2500" w:type="dxa"/>
            <w:vAlign w:val="bottom"/>
          </w:tcPr>
          <w:p>
            <w:pPr>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500" w:type="dxa"/>
            <w:vAlign w:val="bottom"/>
          </w:tcPr>
          <w:p>
            <w:pPr>
              <w:spacing w:after="0"/>
              <w:rPr>
                <w:sz w:val="20"/>
                <w:szCs w:val="20"/>
                <w:color w:val="auto"/>
              </w:rPr>
            </w:pPr>
            <w:r>
              <w:rPr>
                <w:rFonts w:ascii="Arial" w:cs="Arial" w:eastAsia="Arial" w:hAnsi="Arial"/>
                <w:sz w:val="14"/>
                <w:szCs w:val="14"/>
                <w:b w:val="1"/>
                <w:bCs w:val="1"/>
                <w:color w:val="auto"/>
              </w:rPr>
              <w:t>November 30, 2009</w:t>
            </w:r>
          </w:p>
        </w:tc>
        <w:tc>
          <w:tcPr>
            <w:tcW w:w="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5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88"/>
        </w:trPr>
        <w:tc>
          <w:tcPr>
            <w:tcW w:w="2500" w:type="dxa"/>
            <w:vAlign w:val="bottom"/>
          </w:tcPr>
          <w:p>
            <w:pPr>
              <w:ind w:left="160"/>
              <w:spacing w:after="0"/>
              <w:rPr>
                <w:sz w:val="20"/>
                <w:szCs w:val="20"/>
                <w:color w:val="auto"/>
              </w:rPr>
            </w:pPr>
            <w:r>
              <w:rPr>
                <w:rFonts w:ascii="Arial" w:cs="Arial" w:eastAsia="Arial" w:hAnsi="Arial"/>
                <w:sz w:val="14"/>
                <w:szCs w:val="14"/>
                <w:color w:val="auto"/>
              </w:rPr>
              <w:t>Revenues</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92"/>
              <w:spacing w:after="0"/>
              <w:rPr>
                <w:sz w:val="20"/>
                <w:szCs w:val="20"/>
                <w:color w:val="auto"/>
              </w:rPr>
            </w:pPr>
            <w:r>
              <w:rPr>
                <w:rFonts w:ascii="Arial" w:cs="Arial" w:eastAsia="Arial" w:hAnsi="Arial"/>
                <w:sz w:val="14"/>
                <w:szCs w:val="14"/>
                <w:color w:val="auto"/>
              </w:rPr>
              <w:t>368.8</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32"/>
              <w:spacing w:after="0"/>
              <w:rPr>
                <w:sz w:val="20"/>
                <w:szCs w:val="20"/>
                <w:color w:val="auto"/>
              </w:rPr>
            </w:pPr>
            <w:r>
              <w:rPr>
                <w:rFonts w:ascii="Arial" w:cs="Arial" w:eastAsia="Arial" w:hAnsi="Arial"/>
                <w:sz w:val="14"/>
                <w:szCs w:val="14"/>
                <w:color w:val="auto"/>
              </w:rPr>
              <w:t>122.6</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12"/>
              <w:spacing w:after="0"/>
              <w:rPr>
                <w:sz w:val="20"/>
                <w:szCs w:val="20"/>
                <w:color w:val="auto"/>
              </w:rPr>
            </w:pPr>
            <w:r>
              <w:rPr>
                <w:rFonts w:ascii="Arial" w:cs="Arial" w:eastAsia="Arial" w:hAnsi="Arial"/>
                <w:sz w:val="14"/>
                <w:szCs w:val="14"/>
                <w:color w:val="auto"/>
              </w:rPr>
              <w:t>37.8</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   529.2</w:t>
            </w:r>
          </w:p>
        </w:tc>
        <w:tc>
          <w:tcPr>
            <w:tcW w:w="56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92"/>
              <w:spacing w:after="0"/>
              <w:rPr>
                <w:sz w:val="20"/>
                <w:szCs w:val="20"/>
                <w:color w:val="auto"/>
              </w:rPr>
            </w:pPr>
            <w:r>
              <w:rPr>
                <w:rFonts w:ascii="Arial" w:cs="Arial" w:eastAsia="Arial" w:hAnsi="Arial"/>
                <w:sz w:val="14"/>
                <w:szCs w:val="14"/>
                <w:color w:val="auto"/>
              </w:rPr>
              <w:t>130.9</w:t>
            </w: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   660.1</w:t>
            </w:r>
          </w:p>
        </w:tc>
        <w:tc>
          <w:tcPr>
            <w:tcW w:w="0" w:type="dxa"/>
            <w:vAlign w:val="bottom"/>
          </w:tcPr>
          <w:p>
            <w:pPr>
              <w:spacing w:after="0"/>
              <w:rPr>
                <w:sz w:val="1"/>
                <w:szCs w:val="1"/>
                <w:color w:val="auto"/>
              </w:rPr>
            </w:pPr>
          </w:p>
        </w:tc>
      </w:tr>
      <w:tr>
        <w:trPr>
          <w:trHeight w:val="144"/>
        </w:trPr>
        <w:tc>
          <w:tcPr>
            <w:tcW w:w="2500" w:type="dxa"/>
            <w:vAlign w:val="bottom"/>
          </w:tcPr>
          <w:p>
            <w:pPr>
              <w:ind w:left="160"/>
              <w:spacing w:after="0" w:line="144" w:lineRule="exact"/>
              <w:rPr>
                <w:sz w:val="20"/>
                <w:szCs w:val="20"/>
                <w:color w:val="auto"/>
              </w:rPr>
            </w:pPr>
            <w:r>
              <w:rPr>
                <w:rFonts w:ascii="Arial" w:cs="Arial" w:eastAsia="Arial" w:hAnsi="Arial"/>
                <w:sz w:val="14"/>
                <w:szCs w:val="14"/>
                <w:color w:val="auto"/>
              </w:rPr>
              <w:t>Bad debt expense</w:t>
            </w:r>
          </w:p>
        </w:tc>
        <w:tc>
          <w:tcPr>
            <w:tcW w:w="580" w:type="dxa"/>
            <w:vAlign w:val="bottom"/>
          </w:tcPr>
          <w:p>
            <w:pPr>
              <w:spacing w:after="0"/>
              <w:rPr>
                <w:sz w:val="12"/>
                <w:szCs w:val="12"/>
                <w:color w:val="auto"/>
              </w:rPr>
            </w:pPr>
          </w:p>
        </w:tc>
        <w:tc>
          <w:tcPr>
            <w:tcW w:w="1240" w:type="dxa"/>
            <w:vAlign w:val="bottom"/>
          </w:tcPr>
          <w:p>
            <w:pPr>
              <w:jc w:val="right"/>
              <w:ind w:right="92"/>
              <w:spacing w:after="0" w:line="144" w:lineRule="exact"/>
              <w:rPr>
                <w:sz w:val="20"/>
                <w:szCs w:val="20"/>
                <w:color w:val="auto"/>
              </w:rPr>
            </w:pPr>
            <w:r>
              <w:rPr>
                <w:rFonts w:ascii="Arial" w:cs="Arial" w:eastAsia="Arial" w:hAnsi="Arial"/>
                <w:sz w:val="14"/>
                <w:szCs w:val="14"/>
                <w:color w:val="auto"/>
              </w:rPr>
              <w:t>1.4</w:t>
            </w:r>
          </w:p>
        </w:tc>
        <w:tc>
          <w:tcPr>
            <w:tcW w:w="260" w:type="dxa"/>
            <w:vAlign w:val="bottom"/>
          </w:tcPr>
          <w:p>
            <w:pPr>
              <w:spacing w:after="0"/>
              <w:rPr>
                <w:sz w:val="12"/>
                <w:szCs w:val="12"/>
                <w:color w:val="auto"/>
              </w:rPr>
            </w:pPr>
          </w:p>
        </w:tc>
        <w:tc>
          <w:tcPr>
            <w:tcW w:w="1060" w:type="dxa"/>
            <w:vAlign w:val="bottom"/>
          </w:tcPr>
          <w:p>
            <w:pPr>
              <w:jc w:val="right"/>
              <w:ind w:right="132"/>
              <w:spacing w:after="0" w:line="144" w:lineRule="exact"/>
              <w:rPr>
                <w:sz w:val="20"/>
                <w:szCs w:val="20"/>
                <w:color w:val="auto"/>
              </w:rPr>
            </w:pPr>
            <w:r>
              <w:rPr>
                <w:rFonts w:ascii="Arial" w:cs="Arial" w:eastAsia="Arial" w:hAnsi="Arial"/>
                <w:sz w:val="14"/>
                <w:szCs w:val="14"/>
                <w:color w:val="auto"/>
              </w:rPr>
              <w:t>1.0</w:t>
            </w:r>
          </w:p>
        </w:tc>
        <w:tc>
          <w:tcPr>
            <w:tcW w:w="240" w:type="dxa"/>
            <w:vAlign w:val="bottom"/>
          </w:tcPr>
          <w:p>
            <w:pPr>
              <w:spacing w:after="0"/>
              <w:rPr>
                <w:sz w:val="12"/>
                <w:szCs w:val="12"/>
                <w:color w:val="auto"/>
              </w:rPr>
            </w:pPr>
          </w:p>
        </w:tc>
        <w:tc>
          <w:tcPr>
            <w:tcW w:w="112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40" w:type="dxa"/>
            <w:vAlign w:val="bottom"/>
          </w:tcPr>
          <w:p>
            <w:pPr>
              <w:jc w:val="right"/>
              <w:ind w:right="132"/>
              <w:spacing w:after="0" w:line="144"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92"/>
              <w:spacing w:after="0" w:line="144" w:lineRule="exact"/>
              <w:rPr>
                <w:sz w:val="20"/>
                <w:szCs w:val="20"/>
                <w:color w:val="auto"/>
              </w:rPr>
            </w:pPr>
            <w:r>
              <w:rPr>
                <w:rFonts w:ascii="Arial" w:cs="Arial" w:eastAsia="Arial" w:hAnsi="Arial"/>
                <w:sz w:val="14"/>
                <w:szCs w:val="14"/>
                <w:color w:val="auto"/>
              </w:rPr>
              <w:t>2.4</w:t>
            </w:r>
          </w:p>
        </w:tc>
        <w:tc>
          <w:tcPr>
            <w:tcW w:w="560" w:type="dxa"/>
            <w:vAlign w:val="bottom"/>
          </w:tcPr>
          <w:p>
            <w:pPr>
              <w:spacing w:after="0"/>
              <w:rPr>
                <w:sz w:val="12"/>
                <w:szCs w:val="12"/>
                <w:color w:val="auto"/>
              </w:rPr>
            </w:pPr>
          </w:p>
        </w:tc>
        <w:tc>
          <w:tcPr>
            <w:tcW w:w="780" w:type="dxa"/>
            <w:vAlign w:val="bottom"/>
          </w:tcPr>
          <w:p>
            <w:pPr>
              <w:jc w:val="right"/>
              <w:ind w:right="92"/>
              <w:spacing w:after="0" w:line="144" w:lineRule="exact"/>
              <w:rPr>
                <w:sz w:val="20"/>
                <w:szCs w:val="20"/>
                <w:color w:val="auto"/>
              </w:rPr>
            </w:pPr>
            <w:r>
              <w:rPr>
                <w:rFonts w:ascii="Arial" w:cs="Arial" w:eastAsia="Arial" w:hAnsi="Arial"/>
                <w:sz w:val="14"/>
                <w:szCs w:val="14"/>
                <w:color w:val="auto"/>
              </w:rPr>
              <w:t>2.0</w:t>
            </w:r>
          </w:p>
        </w:tc>
        <w:tc>
          <w:tcPr>
            <w:tcW w:w="860" w:type="dxa"/>
            <w:vAlign w:val="bottom"/>
          </w:tcPr>
          <w:p>
            <w:pPr>
              <w:jc w:val="right"/>
              <w:ind w:right="52"/>
              <w:spacing w:after="0" w:line="144"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76"/>
        </w:trPr>
        <w:tc>
          <w:tcPr>
            <w:tcW w:w="2500" w:type="dxa"/>
            <w:vAlign w:val="bottom"/>
          </w:tcPr>
          <w:p>
            <w:pPr>
              <w:ind w:left="16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(3)</w:t>
            </w:r>
          </w:p>
        </w:tc>
        <w:tc>
          <w:tcPr>
            <w:tcW w:w="580" w:type="dxa"/>
            <w:vAlign w:val="bottom"/>
          </w:tcPr>
          <w:p>
            <w:pPr>
              <w:spacing w:after="0"/>
              <w:rPr>
                <w:sz w:val="15"/>
                <w:szCs w:val="15"/>
                <w:color w:val="auto"/>
              </w:rPr>
            </w:pPr>
          </w:p>
        </w:tc>
        <w:tc>
          <w:tcPr>
            <w:tcW w:w="1240" w:type="dxa"/>
            <w:vAlign w:val="bottom"/>
          </w:tcPr>
          <w:p>
            <w:pPr>
              <w:jc w:val="right"/>
              <w:ind w:right="92"/>
              <w:spacing w:after="0"/>
              <w:rPr>
                <w:sz w:val="20"/>
                <w:szCs w:val="20"/>
                <w:color w:val="auto"/>
              </w:rPr>
            </w:pPr>
            <w:r>
              <w:rPr>
                <w:rFonts w:ascii="Arial" w:cs="Arial" w:eastAsia="Arial" w:hAnsi="Arial"/>
                <w:sz w:val="14"/>
                <w:szCs w:val="14"/>
                <w:color w:val="auto"/>
              </w:rPr>
              <w:t>3.6</w:t>
            </w:r>
          </w:p>
        </w:tc>
        <w:tc>
          <w:tcPr>
            <w:tcW w:w="260" w:type="dxa"/>
            <w:vAlign w:val="bottom"/>
          </w:tcPr>
          <w:p>
            <w:pPr>
              <w:spacing w:after="0"/>
              <w:rPr>
                <w:sz w:val="15"/>
                <w:szCs w:val="15"/>
                <w:color w:val="auto"/>
              </w:rPr>
            </w:pPr>
          </w:p>
        </w:tc>
        <w:tc>
          <w:tcPr>
            <w:tcW w:w="1060" w:type="dxa"/>
            <w:vAlign w:val="bottom"/>
          </w:tcPr>
          <w:p>
            <w:pPr>
              <w:jc w:val="right"/>
              <w:ind w:right="132"/>
              <w:spacing w:after="0"/>
              <w:rPr>
                <w:sz w:val="20"/>
                <w:szCs w:val="20"/>
                <w:color w:val="auto"/>
              </w:rPr>
            </w:pPr>
            <w:r>
              <w:rPr>
                <w:rFonts w:ascii="Arial" w:cs="Arial" w:eastAsia="Arial" w:hAnsi="Arial"/>
                <w:sz w:val="14"/>
                <w:szCs w:val="14"/>
                <w:color w:val="auto"/>
              </w:rPr>
              <w:t>0.7</w:t>
            </w:r>
          </w:p>
        </w:tc>
        <w:tc>
          <w:tcPr>
            <w:tcW w:w="240" w:type="dxa"/>
            <w:vAlign w:val="bottom"/>
          </w:tcPr>
          <w:p>
            <w:pPr>
              <w:spacing w:after="0"/>
              <w:rPr>
                <w:sz w:val="15"/>
                <w:szCs w:val="15"/>
                <w:color w:val="auto"/>
              </w:rPr>
            </w:pPr>
          </w:p>
        </w:tc>
        <w:tc>
          <w:tcPr>
            <w:tcW w:w="1120" w:type="dxa"/>
            <w:vAlign w:val="bottom"/>
          </w:tcPr>
          <w:p>
            <w:pPr>
              <w:jc w:val="right"/>
              <w:ind w:right="112"/>
              <w:spacing w:after="0"/>
              <w:rPr>
                <w:sz w:val="20"/>
                <w:szCs w:val="20"/>
                <w:color w:val="auto"/>
              </w:rPr>
            </w:pPr>
            <w:r>
              <w:rPr>
                <w:rFonts w:ascii="Arial" w:cs="Arial" w:eastAsia="Arial" w:hAnsi="Arial"/>
                <w:sz w:val="14"/>
                <w:szCs w:val="14"/>
                <w:color w:val="auto"/>
              </w:rPr>
              <w:t>0.2</w:t>
            </w:r>
          </w:p>
        </w:tc>
        <w:tc>
          <w:tcPr>
            <w:tcW w:w="240" w:type="dxa"/>
            <w:vAlign w:val="bottom"/>
          </w:tcPr>
          <w:p>
            <w:pPr>
              <w:spacing w:after="0"/>
              <w:rPr>
                <w:sz w:val="15"/>
                <w:szCs w:val="15"/>
                <w:color w:val="auto"/>
              </w:rPr>
            </w:pPr>
          </w:p>
        </w:tc>
        <w:tc>
          <w:tcPr>
            <w:tcW w:w="1140" w:type="dxa"/>
            <w:vAlign w:val="bottom"/>
          </w:tcPr>
          <w:p>
            <w:pPr>
              <w:jc w:val="right"/>
              <w:ind w:right="132"/>
              <w:spacing w:after="0"/>
              <w:rPr>
                <w:sz w:val="20"/>
                <w:szCs w:val="20"/>
                <w:color w:val="auto"/>
              </w:rPr>
            </w:pPr>
            <w:r>
              <w:rPr>
                <w:rFonts w:ascii="Arial" w:cs="Arial" w:eastAsia="Arial" w:hAnsi="Arial"/>
                <w:sz w:val="14"/>
                <w:szCs w:val="14"/>
                <w:color w:val="auto"/>
              </w:rPr>
              <w:t>8.8</w:t>
            </w: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13.3</w:t>
            </w:r>
          </w:p>
        </w:tc>
        <w:tc>
          <w:tcPr>
            <w:tcW w:w="560" w:type="dxa"/>
            <w:vAlign w:val="bottom"/>
          </w:tcPr>
          <w:p>
            <w:pPr>
              <w:spacing w:after="0"/>
              <w:rPr>
                <w:sz w:val="15"/>
                <w:szCs w:val="15"/>
                <w:color w:val="auto"/>
              </w:rPr>
            </w:pPr>
          </w:p>
        </w:tc>
        <w:tc>
          <w:tcPr>
            <w:tcW w:w="780" w:type="dxa"/>
            <w:vAlign w:val="bottom"/>
          </w:tcPr>
          <w:p>
            <w:pPr>
              <w:jc w:val="right"/>
              <w:ind w:right="92"/>
              <w:spacing w:after="0"/>
              <w:rPr>
                <w:sz w:val="20"/>
                <w:szCs w:val="20"/>
                <w:color w:val="auto"/>
              </w:rPr>
            </w:pPr>
            <w:r>
              <w:rPr>
                <w:rFonts w:ascii="Arial" w:cs="Arial" w:eastAsia="Arial" w:hAnsi="Arial"/>
                <w:sz w:val="14"/>
                <w:szCs w:val="14"/>
                <w:color w:val="auto"/>
              </w:rPr>
              <w:t>1.5</w:t>
            </w: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80"/>
        </w:trPr>
        <w:tc>
          <w:tcPr>
            <w:tcW w:w="2500" w:type="dxa"/>
            <w:vAlign w:val="bottom"/>
          </w:tcPr>
          <w:p>
            <w:pPr>
              <w:ind w:left="160"/>
              <w:spacing w:after="0" w:line="181"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(4)</w:t>
            </w:r>
          </w:p>
        </w:tc>
        <w:tc>
          <w:tcPr>
            <w:tcW w:w="580" w:type="dxa"/>
            <w:vAlign w:val="bottom"/>
          </w:tcPr>
          <w:p>
            <w:pPr>
              <w:spacing w:after="0"/>
              <w:rPr>
                <w:sz w:val="15"/>
                <w:szCs w:val="15"/>
                <w:color w:val="auto"/>
              </w:rPr>
            </w:pPr>
          </w:p>
        </w:tc>
        <w:tc>
          <w:tcPr>
            <w:tcW w:w="1240" w:type="dxa"/>
            <w:vAlign w:val="bottom"/>
          </w:tcPr>
          <w:p>
            <w:pPr>
              <w:jc w:val="right"/>
              <w:ind w:right="92"/>
              <w:spacing w:after="0"/>
              <w:rPr>
                <w:sz w:val="20"/>
                <w:szCs w:val="20"/>
                <w:color w:val="auto"/>
              </w:rPr>
            </w:pPr>
            <w:r>
              <w:rPr>
                <w:rFonts w:ascii="Arial" w:cs="Arial" w:eastAsia="Arial" w:hAnsi="Arial"/>
                <w:sz w:val="14"/>
                <w:szCs w:val="14"/>
                <w:color w:val="auto"/>
              </w:rPr>
              <w:t>3.0</w:t>
            </w:r>
          </w:p>
        </w:tc>
        <w:tc>
          <w:tcPr>
            <w:tcW w:w="260" w:type="dxa"/>
            <w:vAlign w:val="bottom"/>
          </w:tcPr>
          <w:p>
            <w:pPr>
              <w:spacing w:after="0"/>
              <w:rPr>
                <w:sz w:val="15"/>
                <w:szCs w:val="15"/>
                <w:color w:val="auto"/>
              </w:rPr>
            </w:pPr>
          </w:p>
        </w:tc>
        <w:tc>
          <w:tcPr>
            <w:tcW w:w="1060" w:type="dxa"/>
            <w:vAlign w:val="bottom"/>
          </w:tcPr>
          <w:p>
            <w:pPr>
              <w:jc w:val="right"/>
              <w:ind w:right="132"/>
              <w:spacing w:after="0"/>
              <w:rPr>
                <w:sz w:val="20"/>
                <w:szCs w:val="20"/>
                <w:color w:val="auto"/>
              </w:rPr>
            </w:pPr>
            <w:r>
              <w:rPr>
                <w:rFonts w:ascii="Arial" w:cs="Arial" w:eastAsia="Arial" w:hAnsi="Arial"/>
                <w:sz w:val="14"/>
                <w:szCs w:val="14"/>
                <w:color w:val="auto"/>
              </w:rPr>
              <w:t>6.6</w:t>
            </w:r>
          </w:p>
        </w:tc>
        <w:tc>
          <w:tcPr>
            <w:tcW w:w="240" w:type="dxa"/>
            <w:vAlign w:val="bottom"/>
          </w:tcPr>
          <w:p>
            <w:pPr>
              <w:spacing w:after="0"/>
              <w:rPr>
                <w:sz w:val="15"/>
                <w:szCs w:val="15"/>
                <w:color w:val="auto"/>
              </w:rPr>
            </w:pPr>
          </w:p>
        </w:tc>
        <w:tc>
          <w:tcPr>
            <w:tcW w:w="1120" w:type="dxa"/>
            <w:vAlign w:val="bottom"/>
          </w:tcPr>
          <w:p>
            <w:pPr>
              <w:jc w:val="right"/>
              <w:ind w:right="112"/>
              <w:spacing w:after="0"/>
              <w:rPr>
                <w:sz w:val="20"/>
                <w:szCs w:val="20"/>
                <w:color w:val="auto"/>
              </w:rPr>
            </w:pPr>
            <w:r>
              <w:rPr>
                <w:rFonts w:ascii="Arial" w:cs="Arial" w:eastAsia="Arial" w:hAnsi="Arial"/>
                <w:sz w:val="14"/>
                <w:szCs w:val="14"/>
                <w:color w:val="auto"/>
              </w:rPr>
              <w:t>2.0</w:t>
            </w:r>
          </w:p>
        </w:tc>
        <w:tc>
          <w:tcPr>
            <w:tcW w:w="240" w:type="dxa"/>
            <w:vAlign w:val="bottom"/>
          </w:tcPr>
          <w:p>
            <w:pPr>
              <w:spacing w:after="0"/>
              <w:rPr>
                <w:sz w:val="15"/>
                <w:szCs w:val="15"/>
                <w:color w:val="auto"/>
              </w:rPr>
            </w:pPr>
          </w:p>
        </w:tc>
        <w:tc>
          <w:tcPr>
            <w:tcW w:w="114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11.6</w:t>
            </w:r>
          </w:p>
        </w:tc>
        <w:tc>
          <w:tcPr>
            <w:tcW w:w="560" w:type="dxa"/>
            <w:vAlign w:val="bottom"/>
          </w:tcPr>
          <w:p>
            <w:pPr>
              <w:spacing w:after="0"/>
              <w:rPr>
                <w:sz w:val="15"/>
                <w:szCs w:val="15"/>
                <w:color w:val="auto"/>
              </w:rPr>
            </w:pPr>
          </w:p>
        </w:tc>
        <w:tc>
          <w:tcPr>
            <w:tcW w:w="780" w:type="dxa"/>
            <w:vAlign w:val="bottom"/>
          </w:tcPr>
          <w:p>
            <w:pPr>
              <w:jc w:val="right"/>
              <w:ind w:right="92"/>
              <w:spacing w:after="0"/>
              <w:rPr>
                <w:sz w:val="20"/>
                <w:szCs w:val="20"/>
                <w:color w:val="auto"/>
              </w:rPr>
            </w:pPr>
            <w:r>
              <w:rPr>
                <w:rFonts w:ascii="Arial" w:cs="Arial" w:eastAsia="Arial" w:hAnsi="Arial"/>
                <w:sz w:val="14"/>
                <w:szCs w:val="14"/>
                <w:color w:val="auto"/>
              </w:rPr>
              <w:t>0.6</w:t>
            </w: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49"/>
        </w:trPr>
        <w:tc>
          <w:tcPr>
            <w:tcW w:w="2500" w:type="dxa"/>
            <w:vAlign w:val="bottom"/>
          </w:tcPr>
          <w:p>
            <w:pPr>
              <w:ind w:left="160"/>
              <w:spacing w:after="0" w:line="149" w:lineRule="exact"/>
              <w:rPr>
                <w:sz w:val="20"/>
                <w:szCs w:val="20"/>
                <w:color w:val="auto"/>
              </w:rPr>
            </w:pPr>
            <w:r>
              <w:rPr>
                <w:rFonts w:ascii="Arial" w:cs="Arial" w:eastAsia="Arial" w:hAnsi="Arial"/>
                <w:sz w:val="14"/>
                <w:szCs w:val="14"/>
                <w:color w:val="auto"/>
              </w:rPr>
              <w:t>Asset impairments</w:t>
            </w:r>
          </w:p>
        </w:tc>
        <w:tc>
          <w:tcPr>
            <w:tcW w:w="580" w:type="dxa"/>
            <w:vAlign w:val="bottom"/>
          </w:tcPr>
          <w:p>
            <w:pPr>
              <w:spacing w:after="0"/>
              <w:rPr>
                <w:sz w:val="12"/>
                <w:szCs w:val="12"/>
                <w:color w:val="auto"/>
              </w:rPr>
            </w:pPr>
          </w:p>
        </w:tc>
        <w:tc>
          <w:tcPr>
            <w:tcW w:w="12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36.3</w:t>
            </w:r>
          </w:p>
        </w:tc>
        <w:tc>
          <w:tcPr>
            <w:tcW w:w="240" w:type="dxa"/>
            <w:vAlign w:val="bottom"/>
          </w:tcPr>
          <w:p>
            <w:pPr>
              <w:spacing w:after="0"/>
              <w:rPr>
                <w:sz w:val="12"/>
                <w:szCs w:val="12"/>
                <w:color w:val="auto"/>
              </w:rPr>
            </w:pPr>
          </w:p>
        </w:tc>
        <w:tc>
          <w:tcPr>
            <w:tcW w:w="11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36.3</w:t>
            </w:r>
          </w:p>
        </w:tc>
        <w:tc>
          <w:tcPr>
            <w:tcW w:w="560" w:type="dxa"/>
            <w:vAlign w:val="bottom"/>
          </w:tcPr>
          <w:p>
            <w:pPr>
              <w:spacing w:after="0"/>
              <w:rPr>
                <w:sz w:val="12"/>
                <w:szCs w:val="12"/>
                <w:color w:val="auto"/>
              </w:rPr>
            </w:pPr>
          </w:p>
        </w:tc>
        <w:tc>
          <w:tcPr>
            <w:tcW w:w="7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3.8</w:t>
            </w: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149"/>
        </w:trPr>
        <w:tc>
          <w:tcPr>
            <w:tcW w:w="2500" w:type="dxa"/>
            <w:vAlign w:val="bottom"/>
          </w:tcPr>
          <w:p>
            <w:pPr>
              <w:ind w:left="160"/>
              <w:spacing w:after="0" w:line="149" w:lineRule="exact"/>
              <w:rPr>
                <w:sz w:val="20"/>
                <w:szCs w:val="20"/>
                <w:color w:val="auto"/>
              </w:rPr>
            </w:pPr>
            <w:r>
              <w:rPr>
                <w:rFonts w:ascii="Arial" w:cs="Arial" w:eastAsia="Arial" w:hAnsi="Arial"/>
                <w:sz w:val="14"/>
                <w:szCs w:val="14"/>
                <w:color w:val="auto"/>
              </w:rPr>
              <w:t>Royalty advances expensed</w:t>
            </w:r>
          </w:p>
        </w:tc>
        <w:tc>
          <w:tcPr>
            <w:tcW w:w="580" w:type="dxa"/>
            <w:vAlign w:val="bottom"/>
          </w:tcPr>
          <w:p>
            <w:pPr>
              <w:spacing w:after="0"/>
              <w:rPr>
                <w:sz w:val="12"/>
                <w:szCs w:val="12"/>
                <w:color w:val="auto"/>
              </w:rPr>
            </w:pPr>
          </w:p>
        </w:tc>
        <w:tc>
          <w:tcPr>
            <w:tcW w:w="12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4.5</w:t>
            </w:r>
          </w:p>
        </w:tc>
        <w:tc>
          <w:tcPr>
            <w:tcW w:w="260" w:type="dxa"/>
            <w:vAlign w:val="bottom"/>
          </w:tcPr>
          <w:p>
            <w:pPr>
              <w:spacing w:after="0"/>
              <w:rPr>
                <w:sz w:val="12"/>
                <w:szCs w:val="12"/>
                <w:color w:val="auto"/>
              </w:rPr>
            </w:pPr>
          </w:p>
        </w:tc>
        <w:tc>
          <w:tcPr>
            <w:tcW w:w="10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0.3</w:t>
            </w:r>
          </w:p>
        </w:tc>
        <w:tc>
          <w:tcPr>
            <w:tcW w:w="240" w:type="dxa"/>
            <w:vAlign w:val="bottom"/>
          </w:tcPr>
          <w:p>
            <w:pPr>
              <w:spacing w:after="0"/>
              <w:rPr>
                <w:sz w:val="12"/>
                <w:szCs w:val="12"/>
                <w:color w:val="auto"/>
              </w:rPr>
            </w:pPr>
          </w:p>
        </w:tc>
        <w:tc>
          <w:tcPr>
            <w:tcW w:w="11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4.8</w:t>
            </w:r>
          </w:p>
        </w:tc>
        <w:tc>
          <w:tcPr>
            <w:tcW w:w="560" w:type="dxa"/>
            <w:vAlign w:val="bottom"/>
          </w:tcPr>
          <w:p>
            <w:pPr>
              <w:spacing w:after="0"/>
              <w:rPr>
                <w:sz w:val="12"/>
                <w:szCs w:val="12"/>
                <w:color w:val="auto"/>
              </w:rPr>
            </w:pPr>
          </w:p>
        </w:tc>
        <w:tc>
          <w:tcPr>
            <w:tcW w:w="7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0.3</w:t>
            </w: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2500" w:type="dxa"/>
            <w:vAlign w:val="bottom"/>
          </w:tcPr>
          <w:p>
            <w:pPr>
              <w:ind w:left="160"/>
              <w:spacing w:after="0" w:line="149" w:lineRule="exact"/>
              <w:rPr>
                <w:sz w:val="20"/>
                <w:szCs w:val="20"/>
                <w:color w:val="auto"/>
              </w:rPr>
            </w:pPr>
            <w:r>
              <w:rPr>
                <w:rFonts w:ascii="Arial" w:cs="Arial" w:eastAsia="Arial" w:hAnsi="Arial"/>
                <w:sz w:val="14"/>
                <w:szCs w:val="14"/>
                <w:color w:val="auto"/>
              </w:rPr>
              <w:t>Operating income (loss)</w:t>
            </w:r>
          </w:p>
        </w:tc>
        <w:tc>
          <w:tcPr>
            <w:tcW w:w="580" w:type="dxa"/>
            <w:vAlign w:val="bottom"/>
          </w:tcPr>
          <w:p>
            <w:pPr>
              <w:spacing w:after="0"/>
              <w:rPr>
                <w:sz w:val="12"/>
                <w:szCs w:val="12"/>
                <w:color w:val="auto"/>
              </w:rPr>
            </w:pPr>
          </w:p>
        </w:tc>
        <w:tc>
          <w:tcPr>
            <w:tcW w:w="12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107.8</w:t>
            </w:r>
          </w:p>
        </w:tc>
        <w:tc>
          <w:tcPr>
            <w:tcW w:w="260" w:type="dxa"/>
            <w:vAlign w:val="bottom"/>
          </w:tcPr>
          <w:p>
            <w:pPr>
              <w:spacing w:after="0"/>
              <w:rPr>
                <w:sz w:val="12"/>
                <w:szCs w:val="12"/>
                <w:color w:val="auto"/>
              </w:rPr>
            </w:pPr>
          </w:p>
        </w:tc>
        <w:tc>
          <w:tcPr>
            <w:tcW w:w="10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(4.1)</w:t>
            </w:r>
          </w:p>
        </w:tc>
        <w:tc>
          <w:tcPr>
            <w:tcW w:w="240" w:type="dxa"/>
            <w:vAlign w:val="bottom"/>
          </w:tcPr>
          <w:p>
            <w:pPr>
              <w:spacing w:after="0"/>
              <w:rPr>
                <w:sz w:val="12"/>
                <w:szCs w:val="12"/>
                <w:color w:val="auto"/>
              </w:rPr>
            </w:pPr>
          </w:p>
        </w:tc>
        <w:tc>
          <w:tcPr>
            <w:tcW w:w="11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2.6</w:t>
            </w:r>
          </w:p>
        </w:tc>
        <w:tc>
          <w:tcPr>
            <w:tcW w:w="240" w:type="dxa"/>
            <w:vAlign w:val="bottom"/>
          </w:tcPr>
          <w:p>
            <w:pPr>
              <w:spacing w:after="0"/>
              <w:rPr>
                <w:sz w:val="12"/>
                <w:szCs w:val="12"/>
                <w:color w:val="auto"/>
              </w:rPr>
            </w:pPr>
          </w:p>
        </w:tc>
        <w:tc>
          <w:tcPr>
            <w:tcW w:w="11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(15.5)</w:t>
            </w:r>
          </w:p>
        </w:tc>
        <w:tc>
          <w:tcPr>
            <w:tcW w:w="8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90.8</w:t>
            </w:r>
          </w:p>
        </w:tc>
        <w:tc>
          <w:tcPr>
            <w:tcW w:w="560" w:type="dxa"/>
            <w:vAlign w:val="bottom"/>
          </w:tcPr>
          <w:p>
            <w:pPr>
              <w:spacing w:after="0"/>
              <w:rPr>
                <w:sz w:val="12"/>
                <w:szCs w:val="12"/>
                <w:color w:val="auto"/>
              </w:rPr>
            </w:pPr>
          </w:p>
        </w:tc>
        <w:tc>
          <w:tcPr>
            <w:tcW w:w="7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14.8</w:t>
            </w: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105.6</w:t>
            </w:r>
          </w:p>
        </w:tc>
        <w:tc>
          <w:tcPr>
            <w:tcW w:w="0" w:type="dxa"/>
            <w:vAlign w:val="bottom"/>
          </w:tcPr>
          <w:p>
            <w:pPr>
              <w:spacing w:after="0"/>
              <w:rPr>
                <w:sz w:val="1"/>
                <w:szCs w:val="1"/>
                <w:color w:val="auto"/>
              </w:rPr>
            </w:pPr>
          </w:p>
        </w:tc>
      </w:tr>
      <w:tr>
        <w:trPr>
          <w:trHeight w:val="172"/>
        </w:trPr>
        <w:tc>
          <w:tcPr>
            <w:tcW w:w="2500" w:type="dxa"/>
            <w:vAlign w:val="bottom"/>
          </w:tcPr>
          <w:p>
            <w:pPr>
              <w:ind w:left="160"/>
              <w:spacing w:after="0"/>
              <w:rPr>
                <w:sz w:val="20"/>
                <w:szCs w:val="20"/>
                <w:color w:val="auto"/>
              </w:rPr>
            </w:pPr>
            <w:r>
              <w:rPr>
                <w:rFonts w:ascii="Arial" w:cs="Arial" w:eastAsia="Arial" w:hAnsi="Arial"/>
                <w:sz w:val="14"/>
                <w:szCs w:val="14"/>
                <w:color w:val="auto"/>
              </w:rPr>
              <w:t>Expenditures for long-lived assets</w:t>
            </w:r>
          </w:p>
        </w:tc>
        <w:tc>
          <w:tcPr>
            <w:tcW w:w="580" w:type="dxa"/>
            <w:vAlign w:val="bottom"/>
          </w:tcPr>
          <w:p>
            <w:pPr>
              <w:spacing w:after="0"/>
              <w:rPr>
                <w:sz w:val="14"/>
                <w:szCs w:val="14"/>
                <w:color w:val="auto"/>
              </w:rPr>
            </w:pPr>
          </w:p>
        </w:tc>
        <w:tc>
          <w:tcPr>
            <w:tcW w:w="1240" w:type="dxa"/>
            <w:vAlign w:val="bottom"/>
          </w:tcPr>
          <w:p>
            <w:pPr>
              <w:jc w:val="right"/>
              <w:ind w:right="92"/>
              <w:spacing w:after="0"/>
              <w:rPr>
                <w:sz w:val="20"/>
                <w:szCs w:val="20"/>
                <w:color w:val="auto"/>
              </w:rPr>
            </w:pPr>
            <w:r>
              <w:rPr>
                <w:rFonts w:ascii="Arial" w:cs="Arial" w:eastAsia="Arial" w:hAnsi="Arial"/>
                <w:sz w:val="14"/>
                <w:szCs w:val="14"/>
                <w:color w:val="auto"/>
              </w:rPr>
              <w:t>11.0</w:t>
            </w:r>
          </w:p>
        </w:tc>
        <w:tc>
          <w:tcPr>
            <w:tcW w:w="260" w:type="dxa"/>
            <w:vAlign w:val="bottom"/>
          </w:tcPr>
          <w:p>
            <w:pPr>
              <w:spacing w:after="0"/>
              <w:rPr>
                <w:sz w:val="14"/>
                <w:szCs w:val="14"/>
                <w:color w:val="auto"/>
              </w:rPr>
            </w:pPr>
          </w:p>
        </w:tc>
        <w:tc>
          <w:tcPr>
            <w:tcW w:w="1060" w:type="dxa"/>
            <w:vAlign w:val="bottom"/>
          </w:tcPr>
          <w:p>
            <w:pPr>
              <w:jc w:val="right"/>
              <w:ind w:right="132"/>
              <w:spacing w:after="0"/>
              <w:rPr>
                <w:sz w:val="20"/>
                <w:szCs w:val="20"/>
                <w:color w:val="auto"/>
              </w:rPr>
            </w:pPr>
            <w:r>
              <w:rPr>
                <w:rFonts w:ascii="Arial" w:cs="Arial" w:eastAsia="Arial" w:hAnsi="Arial"/>
                <w:sz w:val="14"/>
                <w:szCs w:val="14"/>
                <w:color w:val="auto"/>
              </w:rPr>
              <w:t>7.0</w:t>
            </w:r>
          </w:p>
        </w:tc>
        <w:tc>
          <w:tcPr>
            <w:tcW w:w="240" w:type="dxa"/>
            <w:vAlign w:val="bottom"/>
          </w:tcPr>
          <w:p>
            <w:pPr>
              <w:spacing w:after="0"/>
              <w:rPr>
                <w:sz w:val="14"/>
                <w:szCs w:val="14"/>
                <w:color w:val="auto"/>
              </w:rPr>
            </w:pPr>
          </w:p>
        </w:tc>
        <w:tc>
          <w:tcPr>
            <w:tcW w:w="1120" w:type="dxa"/>
            <w:vAlign w:val="bottom"/>
          </w:tcPr>
          <w:p>
            <w:pPr>
              <w:jc w:val="right"/>
              <w:ind w:right="112"/>
              <w:spacing w:after="0"/>
              <w:rPr>
                <w:sz w:val="20"/>
                <w:szCs w:val="20"/>
                <w:color w:val="auto"/>
              </w:rPr>
            </w:pPr>
            <w:r>
              <w:rPr>
                <w:rFonts w:ascii="Arial" w:cs="Arial" w:eastAsia="Arial" w:hAnsi="Arial"/>
                <w:sz w:val="14"/>
                <w:szCs w:val="14"/>
                <w:color w:val="auto"/>
              </w:rPr>
              <w:t>1.5</w:t>
            </w:r>
          </w:p>
        </w:tc>
        <w:tc>
          <w:tcPr>
            <w:tcW w:w="240" w:type="dxa"/>
            <w:vAlign w:val="bottom"/>
          </w:tcPr>
          <w:p>
            <w:pPr>
              <w:spacing w:after="0"/>
              <w:rPr>
                <w:sz w:val="14"/>
                <w:szCs w:val="14"/>
                <w:color w:val="auto"/>
              </w:rPr>
            </w:pPr>
          </w:p>
        </w:tc>
        <w:tc>
          <w:tcPr>
            <w:tcW w:w="1140" w:type="dxa"/>
            <w:vAlign w:val="bottom"/>
          </w:tcPr>
          <w:p>
            <w:pPr>
              <w:jc w:val="right"/>
              <w:ind w:right="132"/>
              <w:spacing w:after="0"/>
              <w:rPr>
                <w:sz w:val="20"/>
                <w:szCs w:val="20"/>
                <w:color w:val="auto"/>
              </w:rPr>
            </w:pPr>
            <w:r>
              <w:rPr>
                <w:rFonts w:ascii="Arial" w:cs="Arial" w:eastAsia="Arial" w:hAnsi="Arial"/>
                <w:sz w:val="14"/>
                <w:szCs w:val="14"/>
                <w:color w:val="auto"/>
              </w:rPr>
              <w:t>4.2</w:t>
            </w: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23.7</w:t>
            </w:r>
          </w:p>
        </w:tc>
        <w:tc>
          <w:tcPr>
            <w:tcW w:w="560" w:type="dxa"/>
            <w:vAlign w:val="bottom"/>
          </w:tcPr>
          <w:p>
            <w:pPr>
              <w:spacing w:after="0"/>
              <w:rPr>
                <w:sz w:val="14"/>
                <w:szCs w:val="14"/>
                <w:color w:val="auto"/>
              </w:rPr>
            </w:pPr>
          </w:p>
        </w:tc>
        <w:tc>
          <w:tcPr>
            <w:tcW w:w="780" w:type="dxa"/>
            <w:vAlign w:val="bottom"/>
          </w:tcPr>
          <w:p>
            <w:pPr>
              <w:jc w:val="right"/>
              <w:ind w:right="92"/>
              <w:spacing w:after="0"/>
              <w:rPr>
                <w:sz w:val="20"/>
                <w:szCs w:val="20"/>
                <w:color w:val="auto"/>
              </w:rPr>
            </w:pPr>
            <w:r>
              <w:rPr>
                <w:rFonts w:ascii="Arial" w:cs="Arial" w:eastAsia="Arial" w:hAnsi="Arial"/>
                <w:sz w:val="14"/>
                <w:szCs w:val="14"/>
                <w:color w:val="auto"/>
              </w:rPr>
              <w:t>1.6</w:t>
            </w: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95"/>
        </w:trPr>
        <w:tc>
          <w:tcPr>
            <w:tcW w:w="25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center"/>
              <w:ind w:right="192"/>
              <w:spacing w:after="0"/>
              <w:rPr>
                <w:sz w:val="20"/>
                <w:szCs w:val="20"/>
                <w:color w:val="auto"/>
              </w:rPr>
            </w:pPr>
            <w:r>
              <w:rPr>
                <w:rFonts w:ascii="Arial" w:cs="Arial" w:eastAsia="Arial" w:hAnsi="Arial"/>
                <w:sz w:val="14"/>
                <w:szCs w:val="14"/>
                <w:b w:val="1"/>
                <w:bCs w:val="1"/>
                <w:color w:val="auto"/>
                <w:w w:val="87"/>
              </w:rPr>
              <w:t>Children’s Book</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452"/>
              <w:spacing w:after="0"/>
              <w:rPr>
                <w:sz w:val="20"/>
                <w:szCs w:val="20"/>
                <w:color w:val="auto"/>
              </w:rPr>
            </w:pPr>
            <w:r>
              <w:rPr>
                <w:rFonts w:ascii="Arial" w:cs="Arial" w:eastAsia="Arial" w:hAnsi="Arial"/>
                <w:sz w:val="14"/>
                <w:szCs w:val="14"/>
                <w:b w:val="1"/>
                <w:bCs w:val="1"/>
                <w:color w:val="auto"/>
              </w:rPr>
              <w:t>Media,</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center"/>
              <w:ind w:right="192"/>
              <w:spacing w:after="0" w:line="156" w:lineRule="exact"/>
              <w:rPr>
                <w:sz w:val="20"/>
                <w:szCs w:val="20"/>
                <w:color w:val="auto"/>
              </w:rPr>
            </w:pPr>
            <w:r>
              <w:rPr>
                <w:rFonts w:ascii="Arial" w:cs="Arial" w:eastAsia="Arial" w:hAnsi="Arial"/>
                <w:sz w:val="14"/>
                <w:szCs w:val="14"/>
                <w:b w:val="1"/>
                <w:bCs w:val="1"/>
                <w:color w:val="auto"/>
                <w:w w:val="85"/>
              </w:rPr>
              <w:t>Publishing and</w:t>
            </w:r>
          </w:p>
        </w:tc>
        <w:tc>
          <w:tcPr>
            <w:tcW w:w="240" w:type="dxa"/>
            <w:vAlign w:val="bottom"/>
          </w:tcPr>
          <w:p>
            <w:pPr>
              <w:spacing w:after="0"/>
              <w:rPr>
                <w:sz w:val="13"/>
                <w:szCs w:val="13"/>
                <w:color w:val="auto"/>
              </w:rPr>
            </w:pPr>
          </w:p>
        </w:tc>
        <w:tc>
          <w:tcPr>
            <w:tcW w:w="1040" w:type="dxa"/>
            <w:vAlign w:val="bottom"/>
          </w:tcPr>
          <w:p>
            <w:pPr>
              <w:jc w:val="right"/>
              <w:ind w:right="232"/>
              <w:spacing w:after="0" w:line="156" w:lineRule="exact"/>
              <w:rPr>
                <w:sz w:val="20"/>
                <w:szCs w:val="20"/>
                <w:color w:val="auto"/>
              </w:rPr>
            </w:pPr>
            <w:r>
              <w:rPr>
                <w:rFonts w:ascii="Arial" w:cs="Arial" w:eastAsia="Arial" w:hAnsi="Arial"/>
                <w:sz w:val="14"/>
                <w:szCs w:val="14"/>
                <w:b w:val="1"/>
                <w:bCs w:val="1"/>
                <w:color w:val="auto"/>
                <w:w w:val="90"/>
              </w:rPr>
              <w:t>Educational</w:t>
            </w:r>
          </w:p>
        </w:tc>
        <w:tc>
          <w:tcPr>
            <w:tcW w:w="260" w:type="dxa"/>
            <w:vAlign w:val="bottom"/>
          </w:tcPr>
          <w:p>
            <w:pPr>
              <w:spacing w:after="0"/>
              <w:rPr>
                <w:sz w:val="13"/>
                <w:szCs w:val="13"/>
                <w:color w:val="auto"/>
              </w:rPr>
            </w:pPr>
          </w:p>
        </w:tc>
        <w:tc>
          <w:tcPr>
            <w:tcW w:w="1140" w:type="dxa"/>
            <w:vAlign w:val="bottom"/>
          </w:tcPr>
          <w:p>
            <w:pPr>
              <w:jc w:val="right"/>
              <w:ind w:right="252"/>
              <w:spacing w:after="0" w:line="156" w:lineRule="exact"/>
              <w:rPr>
                <w:sz w:val="20"/>
                <w:szCs w:val="20"/>
                <w:color w:val="auto"/>
              </w:rPr>
            </w:pPr>
            <w:r>
              <w:rPr>
                <w:rFonts w:ascii="Arial" w:cs="Arial" w:eastAsia="Arial" w:hAnsi="Arial"/>
                <w:sz w:val="14"/>
                <w:szCs w:val="14"/>
                <w:b w:val="1"/>
                <w:bCs w:val="1"/>
                <w:color w:val="auto"/>
                <w:w w:val="84"/>
              </w:rPr>
              <w:t>Licensing and</w:t>
            </w:r>
          </w:p>
        </w:tc>
        <w:tc>
          <w:tcPr>
            <w:tcW w:w="240" w:type="dxa"/>
            <w:vAlign w:val="bottom"/>
          </w:tcPr>
          <w:p>
            <w:pPr>
              <w:spacing w:after="0"/>
              <w:rPr>
                <w:sz w:val="13"/>
                <w:szCs w:val="13"/>
                <w:color w:val="auto"/>
              </w:rPr>
            </w:pPr>
          </w:p>
        </w:tc>
        <w:tc>
          <w:tcPr>
            <w:tcW w:w="116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w w:val="83"/>
              </w:rPr>
              <w:t>Overhead</w:t>
            </w:r>
            <w:r>
              <w:rPr>
                <w:rFonts w:ascii="Arial" w:cs="Arial" w:eastAsia="Arial" w:hAnsi="Arial"/>
                <w:sz w:val="22"/>
                <w:szCs w:val="22"/>
                <w:b w:val="1"/>
                <w:bCs w:val="1"/>
                <w:color w:val="auto"/>
                <w:w w:val="83"/>
                <w:vertAlign w:val="superscript"/>
              </w:rPr>
              <w:t>(1)(2)</w:t>
            </w:r>
          </w:p>
        </w:tc>
        <w:tc>
          <w:tcPr>
            <w:tcW w:w="260" w:type="dxa"/>
            <w:vAlign w:val="bottom"/>
          </w:tcPr>
          <w:p>
            <w:pPr>
              <w:spacing w:after="0"/>
              <w:rPr>
                <w:sz w:val="13"/>
                <w:szCs w:val="13"/>
                <w:color w:val="auto"/>
              </w:rPr>
            </w:pPr>
          </w:p>
        </w:tc>
        <w:tc>
          <w:tcPr>
            <w:tcW w:w="880" w:type="dxa"/>
            <w:vAlign w:val="bottom"/>
          </w:tcPr>
          <w:p>
            <w:pPr>
              <w:jc w:val="right"/>
              <w:ind w:right="352"/>
              <w:spacing w:after="0" w:line="156" w:lineRule="exact"/>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3"/>
                <w:szCs w:val="13"/>
                <w:color w:val="auto"/>
              </w:rPr>
            </w:pPr>
          </w:p>
        </w:tc>
        <w:tc>
          <w:tcPr>
            <w:tcW w:w="11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w w:val="86"/>
              </w:rPr>
              <w:t>International</w:t>
            </w:r>
            <w:r>
              <w:rPr>
                <w:rFonts w:ascii="Arial" w:cs="Arial" w:eastAsia="Arial" w:hAnsi="Arial"/>
                <w:sz w:val="22"/>
                <w:szCs w:val="22"/>
                <w:b w:val="1"/>
                <w:bCs w:val="1"/>
                <w:color w:val="auto"/>
                <w:w w:val="86"/>
                <w:vertAlign w:val="superscript"/>
              </w:rPr>
              <w:t>(1)</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9"/>
        </w:trPr>
        <w:tc>
          <w:tcPr>
            <w:tcW w:w="22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jc w:val="center"/>
              <w:ind w:right="172"/>
              <w:spacing w:after="0"/>
              <w:rPr>
                <w:sz w:val="20"/>
                <w:szCs w:val="20"/>
                <w:color w:val="auto"/>
              </w:rPr>
            </w:pPr>
            <w:r>
              <w:rPr>
                <w:rFonts w:ascii="Arial" w:cs="Arial" w:eastAsia="Arial" w:hAnsi="Arial"/>
                <w:sz w:val="14"/>
                <w:szCs w:val="14"/>
                <w:b w:val="1"/>
                <w:bCs w:val="1"/>
                <w:color w:val="auto"/>
                <w:w w:val="87"/>
              </w:rPr>
              <w:t>Distribution</w:t>
            </w:r>
            <w:r>
              <w:rPr>
                <w:rFonts w:ascii="Arial" w:cs="Arial" w:eastAsia="Arial" w:hAnsi="Arial"/>
                <w:sz w:val="22"/>
                <w:szCs w:val="22"/>
                <w:b w:val="1"/>
                <w:bCs w:val="1"/>
                <w:color w:val="auto"/>
                <w:w w:val="87"/>
                <w:vertAlign w:val="superscript"/>
              </w:rPr>
              <w:t>(1)</w:t>
            </w:r>
          </w:p>
        </w:tc>
        <w:tc>
          <w:tcPr>
            <w:tcW w:w="24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jc w:val="right"/>
              <w:ind w:right="192"/>
              <w:spacing w:after="0"/>
              <w:rPr>
                <w:sz w:val="20"/>
                <w:szCs w:val="20"/>
                <w:color w:val="auto"/>
              </w:rPr>
            </w:pPr>
            <w:r>
              <w:rPr>
                <w:rFonts w:ascii="Arial" w:cs="Arial" w:eastAsia="Arial" w:hAnsi="Arial"/>
                <w:sz w:val="14"/>
                <w:szCs w:val="14"/>
                <w:b w:val="1"/>
                <w:bCs w:val="1"/>
                <w:color w:val="auto"/>
                <w:w w:val="81"/>
              </w:rPr>
              <w:t xml:space="preserve">Publishing </w:t>
            </w:r>
            <w:r>
              <w:rPr>
                <w:rFonts w:ascii="Arial" w:cs="Arial" w:eastAsia="Arial" w:hAnsi="Arial"/>
                <w:sz w:val="22"/>
                <w:szCs w:val="22"/>
                <w:b w:val="1"/>
                <w:bCs w:val="1"/>
                <w:color w:val="auto"/>
                <w:w w:val="81"/>
                <w:vertAlign w:val="superscript"/>
              </w:rPr>
              <w:t>(1)</w:t>
            </w:r>
          </w:p>
        </w:tc>
        <w:tc>
          <w:tcPr>
            <w:tcW w:w="2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jc w:val="right"/>
              <w:ind w:right="252"/>
              <w:spacing w:after="0"/>
              <w:rPr>
                <w:sz w:val="20"/>
                <w:szCs w:val="20"/>
                <w:color w:val="auto"/>
              </w:rPr>
            </w:pPr>
            <w:r>
              <w:rPr>
                <w:rFonts w:ascii="Arial" w:cs="Arial" w:eastAsia="Arial" w:hAnsi="Arial"/>
                <w:sz w:val="14"/>
                <w:szCs w:val="14"/>
                <w:b w:val="1"/>
                <w:bCs w:val="1"/>
                <w:color w:val="auto"/>
                <w:w w:val="84"/>
              </w:rPr>
              <w:t>Advertising</w:t>
            </w:r>
            <w:r>
              <w:rPr>
                <w:rFonts w:ascii="Arial" w:cs="Arial" w:eastAsia="Arial" w:hAnsi="Arial"/>
                <w:sz w:val="22"/>
                <w:szCs w:val="22"/>
                <w:b w:val="1"/>
                <w:bCs w:val="1"/>
                <w:color w:val="auto"/>
                <w:w w:val="84"/>
                <w:vertAlign w:val="superscript"/>
              </w:rPr>
              <w:t>(1)</w:t>
            </w:r>
          </w:p>
        </w:tc>
        <w:tc>
          <w:tcPr>
            <w:tcW w:w="2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vMerge w:val="continue"/>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jc w:val="right"/>
              <w:ind w:right="252"/>
              <w:spacing w:after="0"/>
              <w:rPr>
                <w:sz w:val="20"/>
                <w:szCs w:val="20"/>
                <w:color w:val="auto"/>
              </w:rPr>
            </w:pPr>
            <w:r>
              <w:rPr>
                <w:rFonts w:ascii="Arial" w:cs="Arial" w:eastAsia="Arial" w:hAnsi="Arial"/>
                <w:sz w:val="14"/>
                <w:szCs w:val="14"/>
                <w:b w:val="1"/>
                <w:bCs w:val="1"/>
                <w:color w:val="auto"/>
                <w:w w:val="85"/>
              </w:rPr>
              <w:t>Domestic</w:t>
            </w:r>
          </w:p>
        </w:tc>
        <w:tc>
          <w:tcPr>
            <w:tcW w:w="2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vMerge w:val="continue"/>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jc w:val="right"/>
              <w:ind w:right="23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386"/>
        </w:trPr>
        <w:tc>
          <w:tcPr>
            <w:tcW w:w="2280" w:type="dxa"/>
            <w:vAlign w:val="bottom"/>
          </w:tcPr>
          <w:p>
            <w:pPr>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280" w:type="dxa"/>
            <w:vAlign w:val="bottom"/>
          </w:tcPr>
          <w:p>
            <w:pPr>
              <w:spacing w:after="0"/>
              <w:rPr>
                <w:sz w:val="20"/>
                <w:szCs w:val="20"/>
                <w:color w:val="auto"/>
              </w:rPr>
            </w:pPr>
            <w:r>
              <w:rPr>
                <w:rFonts w:ascii="Arial" w:cs="Arial" w:eastAsia="Arial" w:hAnsi="Arial"/>
                <w:sz w:val="14"/>
                <w:szCs w:val="14"/>
                <w:b w:val="1"/>
                <w:bCs w:val="1"/>
                <w:color w:val="auto"/>
              </w:rPr>
              <w:t>November 30, 2008</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2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88"/>
        </w:trPr>
        <w:tc>
          <w:tcPr>
            <w:tcW w:w="2280" w:type="dxa"/>
            <w:vAlign w:val="bottom"/>
          </w:tcPr>
          <w:p>
            <w:pPr>
              <w:ind w:left="160"/>
              <w:spacing w:after="0"/>
              <w:rPr>
                <w:sz w:val="20"/>
                <w:szCs w:val="20"/>
                <w:color w:val="auto"/>
              </w:rPr>
            </w:pPr>
            <w:r>
              <w:rPr>
                <w:rFonts w:ascii="Arial" w:cs="Arial" w:eastAsia="Arial" w:hAnsi="Arial"/>
                <w:sz w:val="14"/>
                <w:szCs w:val="14"/>
                <w:color w:val="auto"/>
              </w:rPr>
              <w:t>Revenues</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92"/>
              <w:spacing w:after="0"/>
              <w:rPr>
                <w:sz w:val="20"/>
                <w:szCs w:val="20"/>
                <w:color w:val="auto"/>
              </w:rPr>
            </w:pPr>
            <w:r>
              <w:rPr>
                <w:rFonts w:ascii="Arial" w:cs="Arial" w:eastAsia="Arial" w:hAnsi="Arial"/>
                <w:sz w:val="14"/>
                <w:szCs w:val="14"/>
                <w:color w:val="auto"/>
              </w:rPr>
              <w:t>392.9</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12"/>
              <w:spacing w:after="0"/>
              <w:rPr>
                <w:sz w:val="20"/>
                <w:szCs w:val="20"/>
                <w:color w:val="auto"/>
              </w:rPr>
            </w:pPr>
            <w:r>
              <w:rPr>
                <w:rFonts w:ascii="Arial" w:cs="Arial" w:eastAsia="Arial" w:hAnsi="Arial"/>
                <w:sz w:val="14"/>
                <w:szCs w:val="14"/>
                <w:color w:val="auto"/>
              </w:rPr>
              <w:t>91.0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32"/>
              <w:spacing w:after="0"/>
              <w:rPr>
                <w:sz w:val="20"/>
                <w:szCs w:val="20"/>
                <w:color w:val="auto"/>
              </w:rPr>
            </w:pPr>
            <w:r>
              <w:rPr>
                <w:rFonts w:ascii="Arial" w:cs="Arial" w:eastAsia="Arial" w:hAnsi="Arial"/>
                <w:sz w:val="14"/>
                <w:szCs w:val="14"/>
                <w:color w:val="auto"/>
              </w:rPr>
              <w:t>47.4</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12"/>
              <w:spacing w:after="0"/>
              <w:rPr>
                <w:sz w:val="20"/>
                <w:szCs w:val="20"/>
                <w:color w:val="auto"/>
              </w:rPr>
            </w:pPr>
            <w:r>
              <w:rPr>
                <w:rFonts w:ascii="Arial" w:cs="Arial" w:eastAsia="Arial" w:hAnsi="Arial"/>
                <w:sz w:val="14"/>
                <w:szCs w:val="14"/>
                <w:color w:val="auto"/>
              </w:rPr>
              <w:t>531.3</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92"/>
              <w:spacing w:after="0"/>
              <w:rPr>
                <w:sz w:val="20"/>
                <w:szCs w:val="20"/>
                <w:color w:val="auto"/>
              </w:rPr>
            </w:pPr>
            <w:r>
              <w:rPr>
                <w:rFonts w:ascii="Arial" w:cs="Arial" w:eastAsia="Arial" w:hAnsi="Arial"/>
                <w:sz w:val="14"/>
                <w:szCs w:val="14"/>
                <w:color w:val="auto"/>
              </w:rPr>
              <w:t>122.0</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72"/>
              <w:spacing w:after="0"/>
              <w:rPr>
                <w:sz w:val="20"/>
                <w:szCs w:val="20"/>
                <w:color w:val="auto"/>
              </w:rPr>
            </w:pPr>
            <w:r>
              <w:rPr>
                <w:rFonts w:ascii="Arial" w:cs="Arial" w:eastAsia="Arial" w:hAnsi="Arial"/>
                <w:sz w:val="14"/>
                <w:szCs w:val="14"/>
                <w:color w:val="auto"/>
              </w:rPr>
              <w:t>653.3</w:t>
            </w:r>
          </w:p>
        </w:tc>
        <w:tc>
          <w:tcPr>
            <w:tcW w:w="0" w:type="dxa"/>
            <w:vAlign w:val="bottom"/>
          </w:tcPr>
          <w:p>
            <w:pPr>
              <w:spacing w:after="0"/>
              <w:rPr>
                <w:sz w:val="1"/>
                <w:szCs w:val="1"/>
                <w:color w:val="auto"/>
              </w:rPr>
            </w:pPr>
          </w:p>
        </w:tc>
      </w:tr>
      <w:tr>
        <w:trPr>
          <w:trHeight w:val="144"/>
        </w:trPr>
        <w:tc>
          <w:tcPr>
            <w:tcW w:w="2280" w:type="dxa"/>
            <w:vAlign w:val="bottom"/>
          </w:tcPr>
          <w:p>
            <w:pPr>
              <w:ind w:left="160"/>
              <w:spacing w:after="0" w:line="144" w:lineRule="exact"/>
              <w:rPr>
                <w:sz w:val="20"/>
                <w:szCs w:val="20"/>
                <w:color w:val="auto"/>
              </w:rPr>
            </w:pPr>
            <w:r>
              <w:rPr>
                <w:rFonts w:ascii="Arial" w:cs="Arial" w:eastAsia="Arial" w:hAnsi="Arial"/>
                <w:sz w:val="14"/>
                <w:szCs w:val="14"/>
                <w:color w:val="auto"/>
              </w:rPr>
              <w:t>Bad debt expense</w:t>
            </w:r>
          </w:p>
        </w:tc>
        <w:tc>
          <w:tcPr>
            <w:tcW w:w="380" w:type="dxa"/>
            <w:vAlign w:val="bottom"/>
          </w:tcPr>
          <w:p>
            <w:pPr>
              <w:spacing w:after="0"/>
              <w:rPr>
                <w:sz w:val="12"/>
                <w:szCs w:val="12"/>
                <w:color w:val="auto"/>
              </w:rPr>
            </w:pPr>
          </w:p>
        </w:tc>
        <w:tc>
          <w:tcPr>
            <w:tcW w:w="1240" w:type="dxa"/>
            <w:vAlign w:val="bottom"/>
          </w:tcPr>
          <w:p>
            <w:pPr>
              <w:jc w:val="right"/>
              <w:ind w:right="92"/>
              <w:spacing w:after="0" w:line="144" w:lineRule="exact"/>
              <w:rPr>
                <w:sz w:val="20"/>
                <w:szCs w:val="20"/>
                <w:color w:val="auto"/>
              </w:rPr>
            </w:pPr>
            <w:r>
              <w:rPr>
                <w:rFonts w:ascii="Arial" w:cs="Arial" w:eastAsia="Arial" w:hAnsi="Arial"/>
                <w:sz w:val="14"/>
                <w:szCs w:val="14"/>
                <w:color w:val="auto"/>
              </w:rPr>
              <w:t>4.5</w:t>
            </w:r>
          </w:p>
        </w:tc>
        <w:tc>
          <w:tcPr>
            <w:tcW w:w="240" w:type="dxa"/>
            <w:vAlign w:val="bottom"/>
          </w:tcPr>
          <w:p>
            <w:pPr>
              <w:spacing w:after="0"/>
              <w:rPr>
                <w:sz w:val="12"/>
                <w:szCs w:val="12"/>
                <w:color w:val="auto"/>
              </w:rPr>
            </w:pPr>
          </w:p>
        </w:tc>
        <w:tc>
          <w:tcPr>
            <w:tcW w:w="104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0.6</w:t>
            </w:r>
          </w:p>
        </w:tc>
        <w:tc>
          <w:tcPr>
            <w:tcW w:w="260" w:type="dxa"/>
            <w:vAlign w:val="bottom"/>
          </w:tcPr>
          <w:p>
            <w:pPr>
              <w:spacing w:after="0"/>
              <w:rPr>
                <w:sz w:val="12"/>
                <w:szCs w:val="12"/>
                <w:color w:val="auto"/>
              </w:rPr>
            </w:pPr>
          </w:p>
        </w:tc>
        <w:tc>
          <w:tcPr>
            <w:tcW w:w="1140" w:type="dxa"/>
            <w:vAlign w:val="bottom"/>
          </w:tcPr>
          <w:p>
            <w:pPr>
              <w:jc w:val="right"/>
              <w:ind w:right="132"/>
              <w:spacing w:after="0" w:line="144" w:lineRule="exact"/>
              <w:rPr>
                <w:sz w:val="20"/>
                <w:szCs w:val="20"/>
                <w:color w:val="auto"/>
              </w:rPr>
            </w:pPr>
            <w:r>
              <w:rPr>
                <w:rFonts w:ascii="Arial" w:cs="Arial" w:eastAsia="Arial" w:hAnsi="Arial"/>
                <w:sz w:val="14"/>
                <w:szCs w:val="14"/>
                <w:color w:val="auto"/>
              </w:rPr>
              <w:t>0.4</w:t>
            </w:r>
          </w:p>
        </w:tc>
        <w:tc>
          <w:tcPr>
            <w:tcW w:w="240" w:type="dxa"/>
            <w:vAlign w:val="bottom"/>
          </w:tcPr>
          <w:p>
            <w:pPr>
              <w:spacing w:after="0"/>
              <w:rPr>
                <w:sz w:val="12"/>
                <w:szCs w:val="12"/>
                <w:color w:val="auto"/>
              </w:rPr>
            </w:pPr>
          </w:p>
        </w:tc>
        <w:tc>
          <w:tcPr>
            <w:tcW w:w="1160" w:type="dxa"/>
            <w:vAlign w:val="bottom"/>
          </w:tcPr>
          <w:p>
            <w:pPr>
              <w:jc w:val="right"/>
              <w:ind w:right="132"/>
              <w:spacing w:after="0" w:line="144"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5.5</w:t>
            </w:r>
          </w:p>
        </w:tc>
        <w:tc>
          <w:tcPr>
            <w:tcW w:w="260" w:type="dxa"/>
            <w:vAlign w:val="bottom"/>
          </w:tcPr>
          <w:p>
            <w:pPr>
              <w:spacing w:after="0"/>
              <w:rPr>
                <w:sz w:val="12"/>
                <w:szCs w:val="12"/>
                <w:color w:val="auto"/>
              </w:rPr>
            </w:pPr>
          </w:p>
        </w:tc>
        <w:tc>
          <w:tcPr>
            <w:tcW w:w="1140" w:type="dxa"/>
            <w:vAlign w:val="bottom"/>
          </w:tcPr>
          <w:p>
            <w:pPr>
              <w:jc w:val="right"/>
              <w:ind w:right="92"/>
              <w:spacing w:after="0" w:line="144" w:lineRule="exact"/>
              <w:rPr>
                <w:sz w:val="20"/>
                <w:szCs w:val="20"/>
                <w:color w:val="auto"/>
              </w:rPr>
            </w:pPr>
            <w:r>
              <w:rPr>
                <w:rFonts w:ascii="Arial" w:cs="Arial" w:eastAsia="Arial" w:hAnsi="Arial"/>
                <w:sz w:val="14"/>
                <w:szCs w:val="14"/>
                <w:color w:val="auto"/>
              </w:rPr>
              <w:t>1.7</w:t>
            </w:r>
          </w:p>
        </w:tc>
        <w:tc>
          <w:tcPr>
            <w:tcW w:w="300" w:type="dxa"/>
            <w:vAlign w:val="bottom"/>
          </w:tcPr>
          <w:p>
            <w:pPr>
              <w:spacing w:after="0"/>
              <w:rPr>
                <w:sz w:val="12"/>
                <w:szCs w:val="12"/>
                <w:color w:val="auto"/>
              </w:rPr>
            </w:pPr>
          </w:p>
        </w:tc>
        <w:tc>
          <w:tcPr>
            <w:tcW w:w="620" w:type="dxa"/>
            <w:vAlign w:val="bottom"/>
          </w:tcPr>
          <w:p>
            <w:pPr>
              <w:jc w:val="right"/>
              <w:ind w:right="72"/>
              <w:spacing w:after="0" w:line="144"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76"/>
        </w:trPr>
        <w:tc>
          <w:tcPr>
            <w:tcW w:w="2280" w:type="dxa"/>
            <w:vAlign w:val="bottom"/>
          </w:tcPr>
          <w:p>
            <w:pPr>
              <w:ind w:left="16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(3)</w:t>
            </w:r>
          </w:p>
        </w:tc>
        <w:tc>
          <w:tcPr>
            <w:tcW w:w="380" w:type="dxa"/>
            <w:vAlign w:val="bottom"/>
          </w:tcPr>
          <w:p>
            <w:pPr>
              <w:spacing w:after="0"/>
              <w:rPr>
                <w:sz w:val="15"/>
                <w:szCs w:val="15"/>
                <w:color w:val="auto"/>
              </w:rPr>
            </w:pPr>
          </w:p>
        </w:tc>
        <w:tc>
          <w:tcPr>
            <w:tcW w:w="1240" w:type="dxa"/>
            <w:vAlign w:val="bottom"/>
          </w:tcPr>
          <w:p>
            <w:pPr>
              <w:jc w:val="right"/>
              <w:ind w:right="92"/>
              <w:spacing w:after="0"/>
              <w:rPr>
                <w:sz w:val="20"/>
                <w:szCs w:val="20"/>
                <w:color w:val="auto"/>
              </w:rPr>
            </w:pPr>
            <w:r>
              <w:rPr>
                <w:rFonts w:ascii="Arial" w:cs="Arial" w:eastAsia="Arial" w:hAnsi="Arial"/>
                <w:sz w:val="14"/>
                <w:szCs w:val="14"/>
                <w:color w:val="auto"/>
              </w:rPr>
              <w:t>1.9</w:t>
            </w:r>
          </w:p>
        </w:tc>
        <w:tc>
          <w:tcPr>
            <w:tcW w:w="240" w:type="dxa"/>
            <w:vAlign w:val="bottom"/>
          </w:tcPr>
          <w:p>
            <w:pPr>
              <w:spacing w:after="0"/>
              <w:rPr>
                <w:sz w:val="15"/>
                <w:szCs w:val="15"/>
                <w:color w:val="auto"/>
              </w:rPr>
            </w:pPr>
          </w:p>
        </w:tc>
        <w:tc>
          <w:tcPr>
            <w:tcW w:w="1040" w:type="dxa"/>
            <w:vAlign w:val="bottom"/>
          </w:tcPr>
          <w:p>
            <w:pPr>
              <w:jc w:val="right"/>
              <w:ind w:right="112"/>
              <w:spacing w:after="0"/>
              <w:rPr>
                <w:sz w:val="20"/>
                <w:szCs w:val="20"/>
                <w:color w:val="auto"/>
              </w:rPr>
            </w:pPr>
            <w:r>
              <w:rPr>
                <w:rFonts w:ascii="Arial" w:cs="Arial" w:eastAsia="Arial" w:hAnsi="Arial"/>
                <w:sz w:val="14"/>
                <w:szCs w:val="14"/>
                <w:color w:val="auto"/>
              </w:rPr>
              <w:t>0.7</w:t>
            </w:r>
          </w:p>
        </w:tc>
        <w:tc>
          <w:tcPr>
            <w:tcW w:w="260" w:type="dxa"/>
            <w:vAlign w:val="bottom"/>
          </w:tcPr>
          <w:p>
            <w:pPr>
              <w:spacing w:after="0"/>
              <w:rPr>
                <w:sz w:val="15"/>
                <w:szCs w:val="15"/>
                <w:color w:val="auto"/>
              </w:rPr>
            </w:pPr>
          </w:p>
        </w:tc>
        <w:tc>
          <w:tcPr>
            <w:tcW w:w="1140" w:type="dxa"/>
            <w:vAlign w:val="bottom"/>
          </w:tcPr>
          <w:p>
            <w:pPr>
              <w:jc w:val="right"/>
              <w:ind w:right="132"/>
              <w:spacing w:after="0"/>
              <w:rPr>
                <w:sz w:val="20"/>
                <w:szCs w:val="20"/>
                <w:color w:val="auto"/>
              </w:rPr>
            </w:pPr>
            <w:r>
              <w:rPr>
                <w:rFonts w:ascii="Arial" w:cs="Arial" w:eastAsia="Arial" w:hAnsi="Arial"/>
                <w:sz w:val="14"/>
                <w:szCs w:val="14"/>
                <w:color w:val="auto"/>
              </w:rPr>
              <w:t>0.4</w:t>
            </w:r>
          </w:p>
        </w:tc>
        <w:tc>
          <w:tcPr>
            <w:tcW w:w="240" w:type="dxa"/>
            <w:vAlign w:val="bottom"/>
          </w:tcPr>
          <w:p>
            <w:pPr>
              <w:spacing w:after="0"/>
              <w:rPr>
                <w:sz w:val="15"/>
                <w:szCs w:val="15"/>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color w:val="auto"/>
              </w:rPr>
              <w:t>10.5</w:t>
            </w:r>
          </w:p>
        </w:tc>
        <w:tc>
          <w:tcPr>
            <w:tcW w:w="260" w:type="dxa"/>
            <w:vAlign w:val="bottom"/>
          </w:tcPr>
          <w:p>
            <w:pPr>
              <w:spacing w:after="0"/>
              <w:rPr>
                <w:sz w:val="15"/>
                <w:szCs w:val="15"/>
                <w:color w:val="auto"/>
              </w:rPr>
            </w:pPr>
          </w:p>
        </w:tc>
        <w:tc>
          <w:tcPr>
            <w:tcW w:w="880" w:type="dxa"/>
            <w:vAlign w:val="bottom"/>
          </w:tcPr>
          <w:p>
            <w:pPr>
              <w:jc w:val="right"/>
              <w:ind w:right="112"/>
              <w:spacing w:after="0"/>
              <w:rPr>
                <w:sz w:val="20"/>
                <w:szCs w:val="20"/>
                <w:color w:val="auto"/>
              </w:rPr>
            </w:pPr>
            <w:r>
              <w:rPr>
                <w:rFonts w:ascii="Arial" w:cs="Arial" w:eastAsia="Arial" w:hAnsi="Arial"/>
                <w:sz w:val="14"/>
                <w:szCs w:val="14"/>
                <w:color w:val="auto"/>
              </w:rPr>
              <w:t>13.5</w:t>
            </w:r>
          </w:p>
        </w:tc>
        <w:tc>
          <w:tcPr>
            <w:tcW w:w="260" w:type="dxa"/>
            <w:vAlign w:val="bottom"/>
          </w:tcPr>
          <w:p>
            <w:pPr>
              <w:spacing w:after="0"/>
              <w:rPr>
                <w:sz w:val="15"/>
                <w:szCs w:val="15"/>
                <w:color w:val="auto"/>
              </w:rPr>
            </w:pPr>
          </w:p>
        </w:tc>
        <w:tc>
          <w:tcPr>
            <w:tcW w:w="1140" w:type="dxa"/>
            <w:vAlign w:val="bottom"/>
          </w:tcPr>
          <w:p>
            <w:pPr>
              <w:jc w:val="right"/>
              <w:ind w:right="92"/>
              <w:spacing w:after="0"/>
              <w:rPr>
                <w:sz w:val="20"/>
                <w:szCs w:val="20"/>
                <w:color w:val="auto"/>
              </w:rPr>
            </w:pPr>
            <w:r>
              <w:rPr>
                <w:rFonts w:ascii="Arial" w:cs="Arial" w:eastAsia="Arial" w:hAnsi="Arial"/>
                <w:sz w:val="14"/>
                <w:szCs w:val="14"/>
                <w:color w:val="auto"/>
              </w:rPr>
              <w:t>1.5</w:t>
            </w:r>
          </w:p>
        </w:tc>
        <w:tc>
          <w:tcPr>
            <w:tcW w:w="300" w:type="dxa"/>
            <w:vAlign w:val="bottom"/>
          </w:tcPr>
          <w:p>
            <w:pPr>
              <w:spacing w:after="0"/>
              <w:rPr>
                <w:sz w:val="15"/>
                <w:szCs w:val="15"/>
                <w:color w:val="auto"/>
              </w:rPr>
            </w:pPr>
          </w:p>
        </w:tc>
        <w:tc>
          <w:tcPr>
            <w:tcW w:w="620" w:type="dxa"/>
            <w:vAlign w:val="bottom"/>
          </w:tcPr>
          <w:p>
            <w:pPr>
              <w:jc w:val="right"/>
              <w:ind w:right="72"/>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80"/>
        </w:trPr>
        <w:tc>
          <w:tcPr>
            <w:tcW w:w="2280" w:type="dxa"/>
            <w:vAlign w:val="bottom"/>
          </w:tcPr>
          <w:p>
            <w:pPr>
              <w:ind w:left="160"/>
              <w:spacing w:after="0" w:line="181"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(4)</w:t>
            </w:r>
          </w:p>
        </w:tc>
        <w:tc>
          <w:tcPr>
            <w:tcW w:w="380" w:type="dxa"/>
            <w:vAlign w:val="bottom"/>
          </w:tcPr>
          <w:p>
            <w:pPr>
              <w:spacing w:after="0"/>
              <w:rPr>
                <w:sz w:val="15"/>
                <w:szCs w:val="15"/>
                <w:color w:val="auto"/>
              </w:rPr>
            </w:pPr>
          </w:p>
        </w:tc>
        <w:tc>
          <w:tcPr>
            <w:tcW w:w="1240" w:type="dxa"/>
            <w:vAlign w:val="bottom"/>
          </w:tcPr>
          <w:p>
            <w:pPr>
              <w:jc w:val="right"/>
              <w:ind w:right="92"/>
              <w:spacing w:after="0"/>
              <w:rPr>
                <w:sz w:val="20"/>
                <w:szCs w:val="20"/>
                <w:color w:val="auto"/>
              </w:rPr>
            </w:pPr>
            <w:r>
              <w:rPr>
                <w:rFonts w:ascii="Arial" w:cs="Arial" w:eastAsia="Arial" w:hAnsi="Arial"/>
                <w:sz w:val="14"/>
                <w:szCs w:val="14"/>
                <w:color w:val="auto"/>
              </w:rPr>
              <w:t>2.9</w:t>
            </w:r>
          </w:p>
        </w:tc>
        <w:tc>
          <w:tcPr>
            <w:tcW w:w="240" w:type="dxa"/>
            <w:vAlign w:val="bottom"/>
          </w:tcPr>
          <w:p>
            <w:pPr>
              <w:spacing w:after="0"/>
              <w:rPr>
                <w:sz w:val="15"/>
                <w:szCs w:val="15"/>
                <w:color w:val="auto"/>
              </w:rPr>
            </w:pPr>
          </w:p>
        </w:tc>
        <w:tc>
          <w:tcPr>
            <w:tcW w:w="1040" w:type="dxa"/>
            <w:vAlign w:val="bottom"/>
          </w:tcPr>
          <w:p>
            <w:pPr>
              <w:jc w:val="right"/>
              <w:ind w:right="112"/>
              <w:spacing w:after="0"/>
              <w:rPr>
                <w:sz w:val="20"/>
                <w:szCs w:val="20"/>
                <w:color w:val="auto"/>
              </w:rPr>
            </w:pPr>
            <w:r>
              <w:rPr>
                <w:rFonts w:ascii="Arial" w:cs="Arial" w:eastAsia="Arial" w:hAnsi="Arial"/>
                <w:sz w:val="14"/>
                <w:szCs w:val="14"/>
                <w:color w:val="auto"/>
              </w:rPr>
              <w:t>5.3</w:t>
            </w:r>
          </w:p>
        </w:tc>
        <w:tc>
          <w:tcPr>
            <w:tcW w:w="260" w:type="dxa"/>
            <w:vAlign w:val="bottom"/>
          </w:tcPr>
          <w:p>
            <w:pPr>
              <w:spacing w:after="0"/>
              <w:rPr>
                <w:sz w:val="15"/>
                <w:szCs w:val="15"/>
                <w:color w:val="auto"/>
              </w:rPr>
            </w:pPr>
          </w:p>
        </w:tc>
        <w:tc>
          <w:tcPr>
            <w:tcW w:w="1140" w:type="dxa"/>
            <w:vAlign w:val="bottom"/>
          </w:tcPr>
          <w:p>
            <w:pPr>
              <w:jc w:val="right"/>
              <w:ind w:right="132"/>
              <w:spacing w:after="0"/>
              <w:rPr>
                <w:sz w:val="20"/>
                <w:szCs w:val="20"/>
                <w:color w:val="auto"/>
              </w:rPr>
            </w:pPr>
            <w:r>
              <w:rPr>
                <w:rFonts w:ascii="Arial" w:cs="Arial" w:eastAsia="Arial" w:hAnsi="Arial"/>
                <w:sz w:val="14"/>
                <w:szCs w:val="14"/>
                <w:color w:val="auto"/>
              </w:rPr>
              <w:t>2.0</w:t>
            </w:r>
          </w:p>
        </w:tc>
        <w:tc>
          <w:tcPr>
            <w:tcW w:w="240" w:type="dxa"/>
            <w:vAlign w:val="bottom"/>
          </w:tcPr>
          <w:p>
            <w:pPr>
              <w:spacing w:after="0"/>
              <w:rPr>
                <w:sz w:val="15"/>
                <w:szCs w:val="15"/>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ind w:right="112"/>
              <w:spacing w:after="0"/>
              <w:rPr>
                <w:sz w:val="20"/>
                <w:szCs w:val="20"/>
                <w:color w:val="auto"/>
              </w:rPr>
            </w:pPr>
            <w:r>
              <w:rPr>
                <w:rFonts w:ascii="Arial" w:cs="Arial" w:eastAsia="Arial" w:hAnsi="Arial"/>
                <w:sz w:val="14"/>
                <w:szCs w:val="14"/>
                <w:color w:val="auto"/>
              </w:rPr>
              <w:t>10.2</w:t>
            </w:r>
          </w:p>
        </w:tc>
        <w:tc>
          <w:tcPr>
            <w:tcW w:w="260" w:type="dxa"/>
            <w:vAlign w:val="bottom"/>
          </w:tcPr>
          <w:p>
            <w:pPr>
              <w:spacing w:after="0"/>
              <w:rPr>
                <w:sz w:val="15"/>
                <w:szCs w:val="15"/>
                <w:color w:val="auto"/>
              </w:rPr>
            </w:pPr>
          </w:p>
        </w:tc>
        <w:tc>
          <w:tcPr>
            <w:tcW w:w="1140" w:type="dxa"/>
            <w:vAlign w:val="bottom"/>
          </w:tcPr>
          <w:p>
            <w:pPr>
              <w:jc w:val="right"/>
              <w:ind w:right="92"/>
              <w:spacing w:after="0"/>
              <w:rPr>
                <w:sz w:val="20"/>
                <w:szCs w:val="20"/>
                <w:color w:val="auto"/>
              </w:rPr>
            </w:pPr>
            <w:r>
              <w:rPr>
                <w:rFonts w:ascii="Arial" w:cs="Arial" w:eastAsia="Arial" w:hAnsi="Arial"/>
                <w:sz w:val="14"/>
                <w:szCs w:val="14"/>
                <w:color w:val="auto"/>
              </w:rPr>
              <w:t>0.5</w:t>
            </w:r>
          </w:p>
        </w:tc>
        <w:tc>
          <w:tcPr>
            <w:tcW w:w="300" w:type="dxa"/>
            <w:vAlign w:val="bottom"/>
          </w:tcPr>
          <w:p>
            <w:pPr>
              <w:spacing w:after="0"/>
              <w:rPr>
                <w:sz w:val="15"/>
                <w:szCs w:val="15"/>
                <w:color w:val="auto"/>
              </w:rPr>
            </w:pPr>
          </w:p>
        </w:tc>
        <w:tc>
          <w:tcPr>
            <w:tcW w:w="620" w:type="dxa"/>
            <w:vAlign w:val="bottom"/>
          </w:tcPr>
          <w:p>
            <w:pPr>
              <w:jc w:val="right"/>
              <w:ind w:right="72"/>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49"/>
        </w:trPr>
        <w:tc>
          <w:tcPr>
            <w:tcW w:w="2280" w:type="dxa"/>
            <w:vAlign w:val="bottom"/>
          </w:tcPr>
          <w:p>
            <w:pPr>
              <w:ind w:left="160"/>
              <w:spacing w:after="0" w:line="149" w:lineRule="exact"/>
              <w:rPr>
                <w:sz w:val="20"/>
                <w:szCs w:val="20"/>
                <w:color w:val="auto"/>
              </w:rPr>
            </w:pPr>
            <w:r>
              <w:rPr>
                <w:rFonts w:ascii="Arial" w:cs="Arial" w:eastAsia="Arial" w:hAnsi="Arial"/>
                <w:sz w:val="14"/>
                <w:szCs w:val="14"/>
                <w:color w:val="auto"/>
              </w:rPr>
              <w:t>Royalty advances expensed</w:t>
            </w:r>
          </w:p>
        </w:tc>
        <w:tc>
          <w:tcPr>
            <w:tcW w:w="380" w:type="dxa"/>
            <w:vAlign w:val="bottom"/>
          </w:tcPr>
          <w:p>
            <w:pPr>
              <w:spacing w:after="0"/>
              <w:rPr>
                <w:sz w:val="12"/>
                <w:szCs w:val="12"/>
                <w:color w:val="auto"/>
              </w:rPr>
            </w:pPr>
          </w:p>
        </w:tc>
        <w:tc>
          <w:tcPr>
            <w:tcW w:w="12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7.6</w:t>
            </w:r>
          </w:p>
        </w:tc>
        <w:tc>
          <w:tcPr>
            <w:tcW w:w="240" w:type="dxa"/>
            <w:vAlign w:val="bottom"/>
          </w:tcPr>
          <w:p>
            <w:pPr>
              <w:spacing w:after="0"/>
              <w:rPr>
                <w:sz w:val="12"/>
                <w:szCs w:val="12"/>
                <w:color w:val="auto"/>
              </w:rPr>
            </w:pPr>
          </w:p>
        </w:tc>
        <w:tc>
          <w:tcPr>
            <w:tcW w:w="10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0.2</w:t>
            </w:r>
          </w:p>
        </w:tc>
        <w:tc>
          <w:tcPr>
            <w:tcW w:w="260" w:type="dxa"/>
            <w:vAlign w:val="bottom"/>
          </w:tcPr>
          <w:p>
            <w:pPr>
              <w:spacing w:after="0"/>
              <w:rPr>
                <w:sz w:val="12"/>
                <w:szCs w:val="12"/>
                <w:color w:val="auto"/>
              </w:rPr>
            </w:pPr>
          </w:p>
        </w:tc>
        <w:tc>
          <w:tcPr>
            <w:tcW w:w="11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0.3</w:t>
            </w:r>
          </w:p>
        </w:tc>
        <w:tc>
          <w:tcPr>
            <w:tcW w:w="240" w:type="dxa"/>
            <w:vAlign w:val="bottom"/>
          </w:tcPr>
          <w:p>
            <w:pPr>
              <w:spacing w:after="0"/>
              <w:rPr>
                <w:sz w:val="12"/>
                <w:szCs w:val="12"/>
                <w:color w:val="auto"/>
              </w:rPr>
            </w:pPr>
          </w:p>
        </w:tc>
        <w:tc>
          <w:tcPr>
            <w:tcW w:w="11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8.1</w:t>
            </w:r>
          </w:p>
        </w:tc>
        <w:tc>
          <w:tcPr>
            <w:tcW w:w="260" w:type="dxa"/>
            <w:vAlign w:val="bottom"/>
          </w:tcPr>
          <w:p>
            <w:pPr>
              <w:spacing w:after="0"/>
              <w:rPr>
                <w:sz w:val="12"/>
                <w:szCs w:val="12"/>
                <w:color w:val="auto"/>
              </w:rPr>
            </w:pPr>
          </w:p>
        </w:tc>
        <w:tc>
          <w:tcPr>
            <w:tcW w:w="11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1.1</w:t>
            </w:r>
          </w:p>
        </w:tc>
        <w:tc>
          <w:tcPr>
            <w:tcW w:w="300" w:type="dxa"/>
            <w:vAlign w:val="bottom"/>
          </w:tcPr>
          <w:p>
            <w:pPr>
              <w:spacing w:after="0"/>
              <w:rPr>
                <w:sz w:val="12"/>
                <w:szCs w:val="12"/>
                <w:color w:val="auto"/>
              </w:rPr>
            </w:pP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49"/>
        </w:trPr>
        <w:tc>
          <w:tcPr>
            <w:tcW w:w="2280" w:type="dxa"/>
            <w:vAlign w:val="bottom"/>
          </w:tcPr>
          <w:p>
            <w:pPr>
              <w:ind w:left="160"/>
              <w:spacing w:after="0" w:line="149" w:lineRule="exact"/>
              <w:rPr>
                <w:sz w:val="20"/>
                <w:szCs w:val="20"/>
                <w:color w:val="auto"/>
              </w:rPr>
            </w:pPr>
            <w:r>
              <w:rPr>
                <w:rFonts w:ascii="Arial" w:cs="Arial" w:eastAsia="Arial" w:hAnsi="Arial"/>
                <w:sz w:val="14"/>
                <w:szCs w:val="14"/>
                <w:color w:val="auto"/>
              </w:rPr>
              <w:t>Operating income (loss)</w:t>
            </w:r>
          </w:p>
        </w:tc>
        <w:tc>
          <w:tcPr>
            <w:tcW w:w="380" w:type="dxa"/>
            <w:vAlign w:val="bottom"/>
          </w:tcPr>
          <w:p>
            <w:pPr>
              <w:spacing w:after="0"/>
              <w:rPr>
                <w:sz w:val="12"/>
                <w:szCs w:val="12"/>
                <w:color w:val="auto"/>
              </w:rPr>
            </w:pPr>
          </w:p>
        </w:tc>
        <w:tc>
          <w:tcPr>
            <w:tcW w:w="12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105.1</w:t>
            </w:r>
          </w:p>
        </w:tc>
        <w:tc>
          <w:tcPr>
            <w:tcW w:w="240" w:type="dxa"/>
            <w:vAlign w:val="bottom"/>
          </w:tcPr>
          <w:p>
            <w:pPr>
              <w:spacing w:after="0"/>
              <w:rPr>
                <w:sz w:val="12"/>
                <w:szCs w:val="12"/>
                <w:color w:val="auto"/>
              </w:rPr>
            </w:pPr>
          </w:p>
        </w:tc>
        <w:tc>
          <w:tcPr>
            <w:tcW w:w="10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13.8</w:t>
            </w:r>
          </w:p>
        </w:tc>
        <w:tc>
          <w:tcPr>
            <w:tcW w:w="260" w:type="dxa"/>
            <w:vAlign w:val="bottom"/>
          </w:tcPr>
          <w:p>
            <w:pPr>
              <w:spacing w:after="0"/>
              <w:rPr>
                <w:sz w:val="12"/>
                <w:szCs w:val="12"/>
                <w:color w:val="auto"/>
              </w:rPr>
            </w:pPr>
          </w:p>
        </w:tc>
        <w:tc>
          <w:tcPr>
            <w:tcW w:w="11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4.0</w:t>
            </w:r>
          </w:p>
        </w:tc>
        <w:tc>
          <w:tcPr>
            <w:tcW w:w="240" w:type="dxa"/>
            <w:vAlign w:val="bottom"/>
          </w:tcPr>
          <w:p>
            <w:pPr>
              <w:spacing w:after="0"/>
              <w:rPr>
                <w:sz w:val="12"/>
                <w:szCs w:val="12"/>
                <w:color w:val="auto"/>
              </w:rPr>
            </w:pPr>
          </w:p>
        </w:tc>
        <w:tc>
          <w:tcPr>
            <w:tcW w:w="11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(28.9)</w:t>
            </w:r>
          </w:p>
        </w:tc>
        <w:tc>
          <w:tcPr>
            <w:tcW w:w="260" w:type="dxa"/>
            <w:vAlign w:val="bottom"/>
          </w:tcPr>
          <w:p>
            <w:pPr>
              <w:spacing w:after="0"/>
              <w:rPr>
                <w:sz w:val="12"/>
                <w:szCs w:val="12"/>
                <w:color w:val="auto"/>
              </w:rPr>
            </w:pP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94.0</w:t>
            </w:r>
          </w:p>
        </w:tc>
        <w:tc>
          <w:tcPr>
            <w:tcW w:w="260" w:type="dxa"/>
            <w:vAlign w:val="bottom"/>
          </w:tcPr>
          <w:p>
            <w:pPr>
              <w:spacing w:after="0"/>
              <w:rPr>
                <w:sz w:val="12"/>
                <w:szCs w:val="12"/>
                <w:color w:val="auto"/>
              </w:rPr>
            </w:pPr>
          </w:p>
        </w:tc>
        <w:tc>
          <w:tcPr>
            <w:tcW w:w="11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14.0</w:t>
            </w:r>
          </w:p>
        </w:tc>
        <w:tc>
          <w:tcPr>
            <w:tcW w:w="300" w:type="dxa"/>
            <w:vAlign w:val="bottom"/>
          </w:tcPr>
          <w:p>
            <w:pPr>
              <w:spacing w:after="0"/>
              <w:rPr>
                <w:sz w:val="12"/>
                <w:szCs w:val="12"/>
                <w:color w:val="auto"/>
              </w:rPr>
            </w:pP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108.0</w:t>
            </w:r>
          </w:p>
        </w:tc>
        <w:tc>
          <w:tcPr>
            <w:tcW w:w="0" w:type="dxa"/>
            <w:vAlign w:val="bottom"/>
          </w:tcPr>
          <w:p>
            <w:pPr>
              <w:spacing w:after="0"/>
              <w:rPr>
                <w:sz w:val="1"/>
                <w:szCs w:val="1"/>
                <w:color w:val="auto"/>
              </w:rPr>
            </w:pPr>
          </w:p>
        </w:tc>
      </w:tr>
      <w:tr>
        <w:trPr>
          <w:trHeight w:val="172"/>
        </w:trPr>
        <w:tc>
          <w:tcPr>
            <w:tcW w:w="2280" w:type="dxa"/>
            <w:vAlign w:val="bottom"/>
          </w:tcPr>
          <w:p>
            <w:pPr>
              <w:ind w:left="160"/>
              <w:spacing w:after="0"/>
              <w:rPr>
                <w:sz w:val="20"/>
                <w:szCs w:val="20"/>
                <w:color w:val="auto"/>
              </w:rPr>
            </w:pPr>
            <w:r>
              <w:rPr>
                <w:rFonts w:ascii="Arial" w:cs="Arial" w:eastAsia="Arial" w:hAnsi="Arial"/>
                <w:sz w:val="14"/>
                <w:szCs w:val="14"/>
                <w:color w:val="auto"/>
                <w:w w:val="99"/>
              </w:rPr>
              <w:t>Expenditures for long-lived assets</w:t>
            </w:r>
          </w:p>
        </w:tc>
        <w:tc>
          <w:tcPr>
            <w:tcW w:w="380" w:type="dxa"/>
            <w:vAlign w:val="bottom"/>
          </w:tcPr>
          <w:p>
            <w:pPr>
              <w:spacing w:after="0"/>
              <w:rPr>
                <w:sz w:val="14"/>
                <w:szCs w:val="14"/>
                <w:color w:val="auto"/>
              </w:rPr>
            </w:pPr>
          </w:p>
        </w:tc>
        <w:tc>
          <w:tcPr>
            <w:tcW w:w="1240" w:type="dxa"/>
            <w:vAlign w:val="bottom"/>
          </w:tcPr>
          <w:p>
            <w:pPr>
              <w:jc w:val="right"/>
              <w:ind w:right="92"/>
              <w:spacing w:after="0"/>
              <w:rPr>
                <w:sz w:val="20"/>
                <w:szCs w:val="20"/>
                <w:color w:val="auto"/>
              </w:rPr>
            </w:pPr>
            <w:r>
              <w:rPr>
                <w:rFonts w:ascii="Arial" w:cs="Arial" w:eastAsia="Arial" w:hAnsi="Arial"/>
                <w:sz w:val="14"/>
                <w:szCs w:val="14"/>
                <w:color w:val="auto"/>
              </w:rPr>
              <w:t>14.1</w:t>
            </w:r>
          </w:p>
        </w:tc>
        <w:tc>
          <w:tcPr>
            <w:tcW w:w="240" w:type="dxa"/>
            <w:vAlign w:val="bottom"/>
          </w:tcPr>
          <w:p>
            <w:pPr>
              <w:spacing w:after="0"/>
              <w:rPr>
                <w:sz w:val="14"/>
                <w:szCs w:val="14"/>
                <w:color w:val="auto"/>
              </w:rPr>
            </w:pPr>
          </w:p>
        </w:tc>
        <w:tc>
          <w:tcPr>
            <w:tcW w:w="1040" w:type="dxa"/>
            <w:vAlign w:val="bottom"/>
          </w:tcPr>
          <w:p>
            <w:pPr>
              <w:jc w:val="right"/>
              <w:ind w:right="112"/>
              <w:spacing w:after="0"/>
              <w:rPr>
                <w:sz w:val="20"/>
                <w:szCs w:val="20"/>
                <w:color w:val="auto"/>
              </w:rPr>
            </w:pPr>
            <w:r>
              <w:rPr>
                <w:rFonts w:ascii="Arial" w:cs="Arial" w:eastAsia="Arial" w:hAnsi="Arial"/>
                <w:sz w:val="14"/>
                <w:szCs w:val="14"/>
                <w:color w:val="auto"/>
              </w:rPr>
              <w:t>9.8</w:t>
            </w:r>
          </w:p>
        </w:tc>
        <w:tc>
          <w:tcPr>
            <w:tcW w:w="260" w:type="dxa"/>
            <w:vAlign w:val="bottom"/>
          </w:tcPr>
          <w:p>
            <w:pPr>
              <w:spacing w:after="0"/>
              <w:rPr>
                <w:sz w:val="14"/>
                <w:szCs w:val="14"/>
                <w:color w:val="auto"/>
              </w:rPr>
            </w:pPr>
          </w:p>
        </w:tc>
        <w:tc>
          <w:tcPr>
            <w:tcW w:w="1140" w:type="dxa"/>
            <w:vAlign w:val="bottom"/>
          </w:tcPr>
          <w:p>
            <w:pPr>
              <w:jc w:val="right"/>
              <w:ind w:right="132"/>
              <w:spacing w:after="0"/>
              <w:rPr>
                <w:sz w:val="20"/>
                <w:szCs w:val="20"/>
                <w:color w:val="auto"/>
              </w:rPr>
            </w:pPr>
            <w:r>
              <w:rPr>
                <w:rFonts w:ascii="Arial" w:cs="Arial" w:eastAsia="Arial" w:hAnsi="Arial"/>
                <w:sz w:val="14"/>
                <w:szCs w:val="14"/>
                <w:color w:val="auto"/>
              </w:rPr>
              <w:t>3.2</w:t>
            </w:r>
          </w:p>
        </w:tc>
        <w:tc>
          <w:tcPr>
            <w:tcW w:w="240" w:type="dxa"/>
            <w:vAlign w:val="bottom"/>
          </w:tcPr>
          <w:p>
            <w:pPr>
              <w:spacing w:after="0"/>
              <w:rPr>
                <w:sz w:val="14"/>
                <w:szCs w:val="14"/>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color w:val="auto"/>
              </w:rPr>
              <w:t>7.3</w:t>
            </w:r>
          </w:p>
        </w:tc>
        <w:tc>
          <w:tcPr>
            <w:tcW w:w="260" w:type="dxa"/>
            <w:vAlign w:val="bottom"/>
          </w:tcPr>
          <w:p>
            <w:pPr>
              <w:spacing w:after="0"/>
              <w:rPr>
                <w:sz w:val="14"/>
                <w:szCs w:val="14"/>
                <w:color w:val="auto"/>
              </w:rPr>
            </w:pPr>
          </w:p>
        </w:tc>
        <w:tc>
          <w:tcPr>
            <w:tcW w:w="880" w:type="dxa"/>
            <w:vAlign w:val="bottom"/>
          </w:tcPr>
          <w:p>
            <w:pPr>
              <w:jc w:val="right"/>
              <w:ind w:right="112"/>
              <w:spacing w:after="0"/>
              <w:rPr>
                <w:sz w:val="20"/>
                <w:szCs w:val="20"/>
                <w:color w:val="auto"/>
              </w:rPr>
            </w:pPr>
            <w:r>
              <w:rPr>
                <w:rFonts w:ascii="Arial" w:cs="Arial" w:eastAsia="Arial" w:hAnsi="Arial"/>
                <w:sz w:val="14"/>
                <w:szCs w:val="14"/>
                <w:color w:val="auto"/>
              </w:rPr>
              <w:t>34.4</w:t>
            </w:r>
          </w:p>
        </w:tc>
        <w:tc>
          <w:tcPr>
            <w:tcW w:w="260" w:type="dxa"/>
            <w:vAlign w:val="bottom"/>
          </w:tcPr>
          <w:p>
            <w:pPr>
              <w:spacing w:after="0"/>
              <w:rPr>
                <w:sz w:val="14"/>
                <w:szCs w:val="14"/>
                <w:color w:val="auto"/>
              </w:rPr>
            </w:pPr>
          </w:p>
        </w:tc>
        <w:tc>
          <w:tcPr>
            <w:tcW w:w="1140" w:type="dxa"/>
            <w:vAlign w:val="bottom"/>
          </w:tcPr>
          <w:p>
            <w:pPr>
              <w:jc w:val="right"/>
              <w:ind w:right="92"/>
              <w:spacing w:after="0"/>
              <w:rPr>
                <w:sz w:val="20"/>
                <w:szCs w:val="20"/>
                <w:color w:val="auto"/>
              </w:rPr>
            </w:pPr>
            <w:r>
              <w:rPr>
                <w:rFonts w:ascii="Arial" w:cs="Arial" w:eastAsia="Arial" w:hAnsi="Arial"/>
                <w:sz w:val="14"/>
                <w:szCs w:val="14"/>
                <w:color w:val="auto"/>
              </w:rPr>
              <w:t>2.8</w:t>
            </w:r>
          </w:p>
        </w:tc>
        <w:tc>
          <w:tcPr>
            <w:tcW w:w="300" w:type="dxa"/>
            <w:vAlign w:val="bottom"/>
          </w:tcPr>
          <w:p>
            <w:pPr>
              <w:spacing w:after="0"/>
              <w:rPr>
                <w:sz w:val="14"/>
                <w:szCs w:val="14"/>
                <w:color w:val="auto"/>
              </w:rPr>
            </w:pPr>
          </w:p>
        </w:tc>
        <w:tc>
          <w:tcPr>
            <w:tcW w:w="620" w:type="dxa"/>
            <w:vAlign w:val="bottom"/>
          </w:tcPr>
          <w:p>
            <w:pPr>
              <w:jc w:val="right"/>
              <w:ind w:right="72"/>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271"/>
        </w:trPr>
        <w:tc>
          <w:tcPr>
            <w:tcW w:w="2280" w:type="dxa"/>
            <w:vAlign w:val="bottom"/>
          </w:tcPr>
          <w:p>
            <w:pPr>
              <w:spacing w:after="0"/>
              <w:rPr>
                <w:sz w:val="20"/>
                <w:szCs w:val="20"/>
                <w:color w:val="auto"/>
              </w:rPr>
            </w:pPr>
            <w:r>
              <w:rPr>
                <w:rFonts w:ascii="Arial" w:cs="Arial" w:eastAsia="Arial" w:hAnsi="Arial"/>
                <w:sz w:val="14"/>
                <w:szCs w:val="14"/>
                <w:b w:val="1"/>
                <w:bCs w:val="1"/>
                <w:color w:val="auto"/>
              </w:rPr>
              <w:t>Six months ended</w:t>
            </w: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2280" w:type="dxa"/>
            <w:vAlign w:val="bottom"/>
          </w:tcPr>
          <w:p>
            <w:pPr>
              <w:spacing w:after="0"/>
              <w:rPr>
                <w:sz w:val="20"/>
                <w:szCs w:val="20"/>
                <w:color w:val="auto"/>
              </w:rPr>
            </w:pPr>
            <w:r>
              <w:rPr>
                <w:rFonts w:ascii="Arial" w:cs="Arial" w:eastAsia="Arial" w:hAnsi="Arial"/>
                <w:sz w:val="14"/>
                <w:szCs w:val="14"/>
                <w:b w:val="1"/>
                <w:bCs w:val="1"/>
                <w:color w:val="auto"/>
              </w:rPr>
              <w:t>November 30, 2009</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2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280" w:type="dxa"/>
            <w:vAlign w:val="bottom"/>
          </w:tcPr>
          <w:p>
            <w:pPr>
              <w:ind w:left="160"/>
              <w:spacing w:after="0"/>
              <w:rPr>
                <w:sz w:val="20"/>
                <w:szCs w:val="20"/>
                <w:color w:val="auto"/>
              </w:rPr>
            </w:pPr>
            <w:r>
              <w:rPr>
                <w:rFonts w:ascii="Arial" w:cs="Arial" w:eastAsia="Arial" w:hAnsi="Arial"/>
                <w:sz w:val="14"/>
                <w:szCs w:val="14"/>
                <w:color w:val="auto"/>
              </w:rPr>
              <w:t>Revenues</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92"/>
              <w:spacing w:after="0"/>
              <w:rPr>
                <w:sz w:val="20"/>
                <w:szCs w:val="20"/>
                <w:color w:val="auto"/>
              </w:rPr>
            </w:pPr>
            <w:r>
              <w:rPr>
                <w:rFonts w:ascii="Arial" w:cs="Arial" w:eastAsia="Arial" w:hAnsi="Arial"/>
                <w:sz w:val="14"/>
                <w:szCs w:val="14"/>
                <w:color w:val="auto"/>
              </w:rPr>
              <w:t>445.0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12"/>
              <w:spacing w:after="0"/>
              <w:rPr>
                <w:sz w:val="20"/>
                <w:szCs w:val="20"/>
                <w:color w:val="auto"/>
              </w:rPr>
            </w:pPr>
            <w:r>
              <w:rPr>
                <w:rFonts w:ascii="Arial" w:cs="Arial" w:eastAsia="Arial" w:hAnsi="Arial"/>
                <w:sz w:val="14"/>
                <w:szCs w:val="14"/>
                <w:color w:val="auto"/>
              </w:rPr>
              <w:t>271.3</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32"/>
              <w:spacing w:after="0"/>
              <w:rPr>
                <w:sz w:val="20"/>
                <w:szCs w:val="20"/>
                <w:color w:val="auto"/>
              </w:rPr>
            </w:pPr>
            <w:r>
              <w:rPr>
                <w:rFonts w:ascii="Arial" w:cs="Arial" w:eastAsia="Arial" w:hAnsi="Arial"/>
                <w:sz w:val="14"/>
                <w:szCs w:val="14"/>
                <w:color w:val="auto"/>
              </w:rPr>
              <w:t>52.9</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12"/>
              <w:spacing w:after="0"/>
              <w:rPr>
                <w:sz w:val="20"/>
                <w:szCs w:val="20"/>
                <w:color w:val="auto"/>
              </w:rPr>
            </w:pPr>
            <w:r>
              <w:rPr>
                <w:rFonts w:ascii="Arial" w:cs="Arial" w:eastAsia="Arial" w:hAnsi="Arial"/>
                <w:sz w:val="14"/>
                <w:szCs w:val="14"/>
                <w:color w:val="auto"/>
              </w:rPr>
              <w:t>769.2</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92"/>
              <w:spacing w:after="0"/>
              <w:rPr>
                <w:sz w:val="20"/>
                <w:szCs w:val="20"/>
                <w:color w:val="auto"/>
              </w:rPr>
            </w:pPr>
            <w:r>
              <w:rPr>
                <w:rFonts w:ascii="Arial" w:cs="Arial" w:eastAsia="Arial" w:hAnsi="Arial"/>
                <w:sz w:val="14"/>
                <w:szCs w:val="14"/>
                <w:color w:val="auto"/>
              </w:rPr>
              <w:t>206.5</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72"/>
              <w:spacing w:after="0"/>
              <w:rPr>
                <w:sz w:val="20"/>
                <w:szCs w:val="20"/>
                <w:color w:val="auto"/>
              </w:rPr>
            </w:pPr>
            <w:r>
              <w:rPr>
                <w:rFonts w:ascii="Arial" w:cs="Arial" w:eastAsia="Arial" w:hAnsi="Arial"/>
                <w:sz w:val="14"/>
                <w:szCs w:val="14"/>
                <w:color w:val="auto"/>
              </w:rPr>
              <w:t>975.7</w:t>
            </w:r>
          </w:p>
        </w:tc>
        <w:tc>
          <w:tcPr>
            <w:tcW w:w="0" w:type="dxa"/>
            <w:vAlign w:val="bottom"/>
          </w:tcPr>
          <w:p>
            <w:pPr>
              <w:spacing w:after="0"/>
              <w:rPr>
                <w:sz w:val="1"/>
                <w:szCs w:val="1"/>
                <w:color w:val="auto"/>
              </w:rPr>
            </w:pPr>
          </w:p>
        </w:tc>
      </w:tr>
      <w:tr>
        <w:trPr>
          <w:trHeight w:val="144"/>
        </w:trPr>
        <w:tc>
          <w:tcPr>
            <w:tcW w:w="2280" w:type="dxa"/>
            <w:vAlign w:val="bottom"/>
          </w:tcPr>
          <w:p>
            <w:pPr>
              <w:ind w:left="160"/>
              <w:spacing w:after="0" w:line="144" w:lineRule="exact"/>
              <w:rPr>
                <w:sz w:val="20"/>
                <w:szCs w:val="20"/>
                <w:color w:val="auto"/>
              </w:rPr>
            </w:pPr>
            <w:r>
              <w:rPr>
                <w:rFonts w:ascii="Arial" w:cs="Arial" w:eastAsia="Arial" w:hAnsi="Arial"/>
                <w:sz w:val="14"/>
                <w:szCs w:val="14"/>
                <w:color w:val="auto"/>
              </w:rPr>
              <w:t>Bad debt expense</w:t>
            </w:r>
          </w:p>
        </w:tc>
        <w:tc>
          <w:tcPr>
            <w:tcW w:w="380" w:type="dxa"/>
            <w:vAlign w:val="bottom"/>
          </w:tcPr>
          <w:p>
            <w:pPr>
              <w:spacing w:after="0"/>
              <w:rPr>
                <w:sz w:val="12"/>
                <w:szCs w:val="12"/>
                <w:color w:val="auto"/>
              </w:rPr>
            </w:pPr>
          </w:p>
        </w:tc>
        <w:tc>
          <w:tcPr>
            <w:tcW w:w="1240" w:type="dxa"/>
            <w:vAlign w:val="bottom"/>
          </w:tcPr>
          <w:p>
            <w:pPr>
              <w:jc w:val="right"/>
              <w:ind w:right="92"/>
              <w:spacing w:after="0" w:line="144" w:lineRule="exact"/>
              <w:rPr>
                <w:sz w:val="20"/>
                <w:szCs w:val="20"/>
                <w:color w:val="auto"/>
              </w:rPr>
            </w:pPr>
            <w:r>
              <w:rPr>
                <w:rFonts w:ascii="Arial" w:cs="Arial" w:eastAsia="Arial" w:hAnsi="Arial"/>
                <w:sz w:val="14"/>
                <w:szCs w:val="14"/>
                <w:color w:val="auto"/>
              </w:rPr>
              <w:t>2.4</w:t>
            </w:r>
          </w:p>
        </w:tc>
        <w:tc>
          <w:tcPr>
            <w:tcW w:w="240" w:type="dxa"/>
            <w:vAlign w:val="bottom"/>
          </w:tcPr>
          <w:p>
            <w:pPr>
              <w:spacing w:after="0"/>
              <w:rPr>
                <w:sz w:val="12"/>
                <w:szCs w:val="12"/>
                <w:color w:val="auto"/>
              </w:rPr>
            </w:pPr>
          </w:p>
        </w:tc>
        <w:tc>
          <w:tcPr>
            <w:tcW w:w="104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1.2</w:t>
            </w:r>
          </w:p>
        </w:tc>
        <w:tc>
          <w:tcPr>
            <w:tcW w:w="260" w:type="dxa"/>
            <w:vAlign w:val="bottom"/>
          </w:tcPr>
          <w:p>
            <w:pPr>
              <w:spacing w:after="0"/>
              <w:rPr>
                <w:sz w:val="12"/>
                <w:szCs w:val="12"/>
                <w:color w:val="auto"/>
              </w:rPr>
            </w:pPr>
          </w:p>
        </w:tc>
        <w:tc>
          <w:tcPr>
            <w:tcW w:w="1140" w:type="dxa"/>
            <w:vAlign w:val="bottom"/>
          </w:tcPr>
          <w:p>
            <w:pPr>
              <w:jc w:val="right"/>
              <w:ind w:right="132"/>
              <w:spacing w:after="0" w:line="144"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60" w:type="dxa"/>
            <w:vAlign w:val="bottom"/>
          </w:tcPr>
          <w:p>
            <w:pPr>
              <w:jc w:val="right"/>
              <w:ind w:right="132"/>
              <w:spacing w:after="0" w:line="144"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3.6</w:t>
            </w:r>
          </w:p>
        </w:tc>
        <w:tc>
          <w:tcPr>
            <w:tcW w:w="260" w:type="dxa"/>
            <w:vAlign w:val="bottom"/>
          </w:tcPr>
          <w:p>
            <w:pPr>
              <w:spacing w:after="0"/>
              <w:rPr>
                <w:sz w:val="12"/>
                <w:szCs w:val="12"/>
                <w:color w:val="auto"/>
              </w:rPr>
            </w:pPr>
          </w:p>
        </w:tc>
        <w:tc>
          <w:tcPr>
            <w:tcW w:w="1140" w:type="dxa"/>
            <w:vAlign w:val="bottom"/>
          </w:tcPr>
          <w:p>
            <w:pPr>
              <w:jc w:val="right"/>
              <w:ind w:right="92"/>
              <w:spacing w:after="0" w:line="144" w:lineRule="exact"/>
              <w:rPr>
                <w:sz w:val="20"/>
                <w:szCs w:val="20"/>
                <w:color w:val="auto"/>
              </w:rPr>
            </w:pPr>
            <w:r>
              <w:rPr>
                <w:rFonts w:ascii="Arial" w:cs="Arial" w:eastAsia="Arial" w:hAnsi="Arial"/>
                <w:sz w:val="14"/>
                <w:szCs w:val="14"/>
                <w:color w:val="auto"/>
              </w:rPr>
              <w:t>2.9</w:t>
            </w:r>
          </w:p>
        </w:tc>
        <w:tc>
          <w:tcPr>
            <w:tcW w:w="300" w:type="dxa"/>
            <w:vAlign w:val="bottom"/>
          </w:tcPr>
          <w:p>
            <w:pPr>
              <w:spacing w:after="0"/>
              <w:rPr>
                <w:sz w:val="12"/>
                <w:szCs w:val="12"/>
                <w:color w:val="auto"/>
              </w:rPr>
            </w:pPr>
          </w:p>
        </w:tc>
        <w:tc>
          <w:tcPr>
            <w:tcW w:w="620" w:type="dxa"/>
            <w:vAlign w:val="bottom"/>
          </w:tcPr>
          <w:p>
            <w:pPr>
              <w:jc w:val="right"/>
              <w:ind w:right="72"/>
              <w:spacing w:after="0" w:line="144"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76"/>
        </w:trPr>
        <w:tc>
          <w:tcPr>
            <w:tcW w:w="2280" w:type="dxa"/>
            <w:vAlign w:val="bottom"/>
          </w:tcPr>
          <w:p>
            <w:pPr>
              <w:ind w:left="16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(3)</w:t>
            </w:r>
          </w:p>
        </w:tc>
        <w:tc>
          <w:tcPr>
            <w:tcW w:w="380" w:type="dxa"/>
            <w:vAlign w:val="bottom"/>
          </w:tcPr>
          <w:p>
            <w:pPr>
              <w:spacing w:after="0"/>
              <w:rPr>
                <w:sz w:val="15"/>
                <w:szCs w:val="15"/>
                <w:color w:val="auto"/>
              </w:rPr>
            </w:pPr>
          </w:p>
        </w:tc>
        <w:tc>
          <w:tcPr>
            <w:tcW w:w="1240" w:type="dxa"/>
            <w:vAlign w:val="bottom"/>
          </w:tcPr>
          <w:p>
            <w:pPr>
              <w:jc w:val="right"/>
              <w:ind w:right="92"/>
              <w:spacing w:after="0"/>
              <w:rPr>
                <w:sz w:val="20"/>
                <w:szCs w:val="20"/>
                <w:color w:val="auto"/>
              </w:rPr>
            </w:pPr>
            <w:r>
              <w:rPr>
                <w:rFonts w:ascii="Arial" w:cs="Arial" w:eastAsia="Arial" w:hAnsi="Arial"/>
                <w:sz w:val="14"/>
                <w:szCs w:val="14"/>
                <w:color w:val="auto"/>
              </w:rPr>
              <w:t>6.9</w:t>
            </w:r>
          </w:p>
        </w:tc>
        <w:tc>
          <w:tcPr>
            <w:tcW w:w="240" w:type="dxa"/>
            <w:vAlign w:val="bottom"/>
          </w:tcPr>
          <w:p>
            <w:pPr>
              <w:spacing w:after="0"/>
              <w:rPr>
                <w:sz w:val="15"/>
                <w:szCs w:val="15"/>
                <w:color w:val="auto"/>
              </w:rPr>
            </w:pPr>
          </w:p>
        </w:tc>
        <w:tc>
          <w:tcPr>
            <w:tcW w:w="1040" w:type="dxa"/>
            <w:vAlign w:val="bottom"/>
          </w:tcPr>
          <w:p>
            <w:pPr>
              <w:jc w:val="right"/>
              <w:ind w:right="112"/>
              <w:spacing w:after="0"/>
              <w:rPr>
                <w:sz w:val="20"/>
                <w:szCs w:val="20"/>
                <w:color w:val="auto"/>
              </w:rPr>
            </w:pPr>
            <w:r>
              <w:rPr>
                <w:rFonts w:ascii="Arial" w:cs="Arial" w:eastAsia="Arial" w:hAnsi="Arial"/>
                <w:sz w:val="14"/>
                <w:szCs w:val="14"/>
                <w:color w:val="auto"/>
              </w:rPr>
              <w:t>1.6</w:t>
            </w:r>
          </w:p>
        </w:tc>
        <w:tc>
          <w:tcPr>
            <w:tcW w:w="260" w:type="dxa"/>
            <w:vAlign w:val="bottom"/>
          </w:tcPr>
          <w:p>
            <w:pPr>
              <w:spacing w:after="0"/>
              <w:rPr>
                <w:sz w:val="15"/>
                <w:szCs w:val="15"/>
                <w:color w:val="auto"/>
              </w:rPr>
            </w:pPr>
          </w:p>
        </w:tc>
        <w:tc>
          <w:tcPr>
            <w:tcW w:w="1140" w:type="dxa"/>
            <w:vAlign w:val="bottom"/>
          </w:tcPr>
          <w:p>
            <w:pPr>
              <w:jc w:val="right"/>
              <w:ind w:right="132"/>
              <w:spacing w:after="0"/>
              <w:rPr>
                <w:sz w:val="20"/>
                <w:szCs w:val="20"/>
                <w:color w:val="auto"/>
              </w:rPr>
            </w:pPr>
            <w:r>
              <w:rPr>
                <w:rFonts w:ascii="Arial" w:cs="Arial" w:eastAsia="Arial" w:hAnsi="Arial"/>
                <w:sz w:val="14"/>
                <w:szCs w:val="14"/>
                <w:color w:val="auto"/>
              </w:rPr>
              <w:t>0.4</w:t>
            </w:r>
          </w:p>
        </w:tc>
        <w:tc>
          <w:tcPr>
            <w:tcW w:w="240" w:type="dxa"/>
            <w:vAlign w:val="bottom"/>
          </w:tcPr>
          <w:p>
            <w:pPr>
              <w:spacing w:after="0"/>
              <w:rPr>
                <w:sz w:val="15"/>
                <w:szCs w:val="15"/>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color w:val="auto"/>
              </w:rPr>
              <w:t>17.6</w:t>
            </w:r>
          </w:p>
        </w:tc>
        <w:tc>
          <w:tcPr>
            <w:tcW w:w="260" w:type="dxa"/>
            <w:vAlign w:val="bottom"/>
          </w:tcPr>
          <w:p>
            <w:pPr>
              <w:spacing w:after="0"/>
              <w:rPr>
                <w:sz w:val="15"/>
                <w:szCs w:val="15"/>
                <w:color w:val="auto"/>
              </w:rPr>
            </w:pPr>
          </w:p>
        </w:tc>
        <w:tc>
          <w:tcPr>
            <w:tcW w:w="880" w:type="dxa"/>
            <w:vAlign w:val="bottom"/>
          </w:tcPr>
          <w:p>
            <w:pPr>
              <w:jc w:val="right"/>
              <w:ind w:right="112"/>
              <w:spacing w:after="0"/>
              <w:rPr>
                <w:sz w:val="20"/>
                <w:szCs w:val="20"/>
                <w:color w:val="auto"/>
              </w:rPr>
            </w:pPr>
            <w:r>
              <w:rPr>
                <w:rFonts w:ascii="Arial" w:cs="Arial" w:eastAsia="Arial" w:hAnsi="Arial"/>
                <w:sz w:val="14"/>
                <w:szCs w:val="14"/>
                <w:color w:val="auto"/>
              </w:rPr>
              <w:t>26.5</w:t>
            </w:r>
          </w:p>
        </w:tc>
        <w:tc>
          <w:tcPr>
            <w:tcW w:w="260" w:type="dxa"/>
            <w:vAlign w:val="bottom"/>
          </w:tcPr>
          <w:p>
            <w:pPr>
              <w:spacing w:after="0"/>
              <w:rPr>
                <w:sz w:val="15"/>
                <w:szCs w:val="15"/>
                <w:color w:val="auto"/>
              </w:rPr>
            </w:pPr>
          </w:p>
        </w:tc>
        <w:tc>
          <w:tcPr>
            <w:tcW w:w="1140" w:type="dxa"/>
            <w:vAlign w:val="bottom"/>
          </w:tcPr>
          <w:p>
            <w:pPr>
              <w:jc w:val="right"/>
              <w:ind w:right="92"/>
              <w:spacing w:after="0"/>
              <w:rPr>
                <w:sz w:val="20"/>
                <w:szCs w:val="20"/>
                <w:color w:val="auto"/>
              </w:rPr>
            </w:pPr>
            <w:r>
              <w:rPr>
                <w:rFonts w:ascii="Arial" w:cs="Arial" w:eastAsia="Arial" w:hAnsi="Arial"/>
                <w:sz w:val="14"/>
                <w:szCs w:val="14"/>
                <w:color w:val="auto"/>
              </w:rPr>
              <w:t>3.0</w:t>
            </w:r>
          </w:p>
        </w:tc>
        <w:tc>
          <w:tcPr>
            <w:tcW w:w="300" w:type="dxa"/>
            <w:vAlign w:val="bottom"/>
          </w:tcPr>
          <w:p>
            <w:pPr>
              <w:spacing w:after="0"/>
              <w:rPr>
                <w:sz w:val="15"/>
                <w:szCs w:val="15"/>
                <w:color w:val="auto"/>
              </w:rPr>
            </w:pPr>
          </w:p>
        </w:tc>
        <w:tc>
          <w:tcPr>
            <w:tcW w:w="620" w:type="dxa"/>
            <w:vAlign w:val="bottom"/>
          </w:tcPr>
          <w:p>
            <w:pPr>
              <w:jc w:val="right"/>
              <w:ind w:right="72"/>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180"/>
        </w:trPr>
        <w:tc>
          <w:tcPr>
            <w:tcW w:w="2280" w:type="dxa"/>
            <w:vAlign w:val="bottom"/>
          </w:tcPr>
          <w:p>
            <w:pPr>
              <w:ind w:left="160"/>
              <w:spacing w:after="0" w:line="181"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(4)</w:t>
            </w:r>
          </w:p>
        </w:tc>
        <w:tc>
          <w:tcPr>
            <w:tcW w:w="380" w:type="dxa"/>
            <w:vAlign w:val="bottom"/>
          </w:tcPr>
          <w:p>
            <w:pPr>
              <w:spacing w:after="0"/>
              <w:rPr>
                <w:sz w:val="15"/>
                <w:szCs w:val="15"/>
                <w:color w:val="auto"/>
              </w:rPr>
            </w:pPr>
          </w:p>
        </w:tc>
        <w:tc>
          <w:tcPr>
            <w:tcW w:w="1240" w:type="dxa"/>
            <w:vAlign w:val="bottom"/>
          </w:tcPr>
          <w:p>
            <w:pPr>
              <w:jc w:val="right"/>
              <w:ind w:right="92"/>
              <w:spacing w:after="0"/>
              <w:rPr>
                <w:sz w:val="20"/>
                <w:szCs w:val="20"/>
                <w:color w:val="auto"/>
              </w:rPr>
            </w:pPr>
            <w:r>
              <w:rPr>
                <w:rFonts w:ascii="Arial" w:cs="Arial" w:eastAsia="Arial" w:hAnsi="Arial"/>
                <w:sz w:val="14"/>
                <w:szCs w:val="14"/>
                <w:color w:val="auto"/>
              </w:rPr>
              <w:t>5.5</w:t>
            </w:r>
          </w:p>
        </w:tc>
        <w:tc>
          <w:tcPr>
            <w:tcW w:w="240" w:type="dxa"/>
            <w:vAlign w:val="bottom"/>
          </w:tcPr>
          <w:p>
            <w:pPr>
              <w:spacing w:after="0"/>
              <w:rPr>
                <w:sz w:val="15"/>
                <w:szCs w:val="15"/>
                <w:color w:val="auto"/>
              </w:rPr>
            </w:pPr>
          </w:p>
        </w:tc>
        <w:tc>
          <w:tcPr>
            <w:tcW w:w="1040" w:type="dxa"/>
            <w:vAlign w:val="bottom"/>
          </w:tcPr>
          <w:p>
            <w:pPr>
              <w:jc w:val="right"/>
              <w:ind w:right="112"/>
              <w:spacing w:after="0"/>
              <w:rPr>
                <w:sz w:val="20"/>
                <w:szCs w:val="20"/>
                <w:color w:val="auto"/>
              </w:rPr>
            </w:pPr>
            <w:r>
              <w:rPr>
                <w:rFonts w:ascii="Arial" w:cs="Arial" w:eastAsia="Arial" w:hAnsi="Arial"/>
                <w:sz w:val="14"/>
                <w:szCs w:val="14"/>
                <w:color w:val="auto"/>
              </w:rPr>
              <w:t>13.4</w:t>
            </w:r>
          </w:p>
        </w:tc>
        <w:tc>
          <w:tcPr>
            <w:tcW w:w="260" w:type="dxa"/>
            <w:vAlign w:val="bottom"/>
          </w:tcPr>
          <w:p>
            <w:pPr>
              <w:spacing w:after="0"/>
              <w:rPr>
                <w:sz w:val="15"/>
                <w:szCs w:val="15"/>
                <w:color w:val="auto"/>
              </w:rPr>
            </w:pPr>
          </w:p>
        </w:tc>
        <w:tc>
          <w:tcPr>
            <w:tcW w:w="1140" w:type="dxa"/>
            <w:vAlign w:val="bottom"/>
          </w:tcPr>
          <w:p>
            <w:pPr>
              <w:jc w:val="right"/>
              <w:ind w:right="132"/>
              <w:spacing w:after="0"/>
              <w:rPr>
                <w:sz w:val="20"/>
                <w:szCs w:val="20"/>
                <w:color w:val="auto"/>
              </w:rPr>
            </w:pPr>
            <w:r>
              <w:rPr>
                <w:rFonts w:ascii="Arial" w:cs="Arial" w:eastAsia="Arial" w:hAnsi="Arial"/>
                <w:sz w:val="14"/>
                <w:szCs w:val="14"/>
                <w:color w:val="auto"/>
              </w:rPr>
              <w:t>4.2</w:t>
            </w:r>
          </w:p>
        </w:tc>
        <w:tc>
          <w:tcPr>
            <w:tcW w:w="240" w:type="dxa"/>
            <w:vAlign w:val="bottom"/>
          </w:tcPr>
          <w:p>
            <w:pPr>
              <w:spacing w:after="0"/>
              <w:rPr>
                <w:sz w:val="15"/>
                <w:szCs w:val="15"/>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ind w:right="112"/>
              <w:spacing w:after="0"/>
              <w:rPr>
                <w:sz w:val="20"/>
                <w:szCs w:val="20"/>
                <w:color w:val="auto"/>
              </w:rPr>
            </w:pPr>
            <w:r>
              <w:rPr>
                <w:rFonts w:ascii="Arial" w:cs="Arial" w:eastAsia="Arial" w:hAnsi="Arial"/>
                <w:sz w:val="14"/>
                <w:szCs w:val="14"/>
                <w:color w:val="auto"/>
              </w:rPr>
              <w:t>23.1</w:t>
            </w:r>
          </w:p>
        </w:tc>
        <w:tc>
          <w:tcPr>
            <w:tcW w:w="260" w:type="dxa"/>
            <w:vAlign w:val="bottom"/>
          </w:tcPr>
          <w:p>
            <w:pPr>
              <w:spacing w:after="0"/>
              <w:rPr>
                <w:sz w:val="15"/>
                <w:szCs w:val="15"/>
                <w:color w:val="auto"/>
              </w:rPr>
            </w:pPr>
          </w:p>
        </w:tc>
        <w:tc>
          <w:tcPr>
            <w:tcW w:w="1140" w:type="dxa"/>
            <w:vAlign w:val="bottom"/>
          </w:tcPr>
          <w:p>
            <w:pPr>
              <w:jc w:val="right"/>
              <w:ind w:right="92"/>
              <w:spacing w:after="0"/>
              <w:rPr>
                <w:sz w:val="20"/>
                <w:szCs w:val="20"/>
                <w:color w:val="auto"/>
              </w:rPr>
            </w:pPr>
            <w:r>
              <w:rPr>
                <w:rFonts w:ascii="Arial" w:cs="Arial" w:eastAsia="Arial" w:hAnsi="Arial"/>
                <w:sz w:val="14"/>
                <w:szCs w:val="14"/>
                <w:color w:val="auto"/>
              </w:rPr>
              <w:t>1.2</w:t>
            </w:r>
          </w:p>
        </w:tc>
        <w:tc>
          <w:tcPr>
            <w:tcW w:w="300" w:type="dxa"/>
            <w:vAlign w:val="bottom"/>
          </w:tcPr>
          <w:p>
            <w:pPr>
              <w:spacing w:after="0"/>
              <w:rPr>
                <w:sz w:val="15"/>
                <w:szCs w:val="15"/>
                <w:color w:val="auto"/>
              </w:rPr>
            </w:pPr>
          </w:p>
        </w:tc>
        <w:tc>
          <w:tcPr>
            <w:tcW w:w="620" w:type="dxa"/>
            <w:vAlign w:val="bottom"/>
          </w:tcPr>
          <w:p>
            <w:pPr>
              <w:jc w:val="right"/>
              <w:ind w:right="72"/>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49"/>
        </w:trPr>
        <w:tc>
          <w:tcPr>
            <w:tcW w:w="2280" w:type="dxa"/>
            <w:vAlign w:val="bottom"/>
          </w:tcPr>
          <w:p>
            <w:pPr>
              <w:ind w:left="160"/>
              <w:spacing w:after="0" w:line="149" w:lineRule="exact"/>
              <w:rPr>
                <w:sz w:val="20"/>
                <w:szCs w:val="20"/>
                <w:color w:val="auto"/>
              </w:rPr>
            </w:pPr>
            <w:r>
              <w:rPr>
                <w:rFonts w:ascii="Arial" w:cs="Arial" w:eastAsia="Arial" w:hAnsi="Arial"/>
                <w:sz w:val="14"/>
                <w:szCs w:val="14"/>
                <w:color w:val="auto"/>
              </w:rPr>
              <w:t>Asset impairments</w:t>
            </w:r>
          </w:p>
        </w:tc>
        <w:tc>
          <w:tcPr>
            <w:tcW w:w="380" w:type="dxa"/>
            <w:vAlign w:val="bottom"/>
          </w:tcPr>
          <w:p>
            <w:pPr>
              <w:spacing w:after="0"/>
              <w:rPr>
                <w:sz w:val="12"/>
                <w:szCs w:val="12"/>
                <w:color w:val="auto"/>
              </w:rPr>
            </w:pPr>
          </w:p>
        </w:tc>
        <w:tc>
          <w:tcPr>
            <w:tcW w:w="12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36.3</w:t>
            </w:r>
          </w:p>
        </w:tc>
        <w:tc>
          <w:tcPr>
            <w:tcW w:w="260" w:type="dxa"/>
            <w:vAlign w:val="bottom"/>
          </w:tcPr>
          <w:p>
            <w:pPr>
              <w:spacing w:after="0"/>
              <w:rPr>
                <w:sz w:val="12"/>
                <w:szCs w:val="12"/>
                <w:color w:val="auto"/>
              </w:rPr>
            </w:pPr>
          </w:p>
        </w:tc>
        <w:tc>
          <w:tcPr>
            <w:tcW w:w="11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36.3</w:t>
            </w:r>
          </w:p>
        </w:tc>
        <w:tc>
          <w:tcPr>
            <w:tcW w:w="260" w:type="dxa"/>
            <w:vAlign w:val="bottom"/>
          </w:tcPr>
          <w:p>
            <w:pPr>
              <w:spacing w:after="0"/>
              <w:rPr>
                <w:sz w:val="12"/>
                <w:szCs w:val="12"/>
                <w:color w:val="auto"/>
              </w:rPr>
            </w:pPr>
          </w:p>
        </w:tc>
        <w:tc>
          <w:tcPr>
            <w:tcW w:w="11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3.8</w:t>
            </w:r>
          </w:p>
        </w:tc>
        <w:tc>
          <w:tcPr>
            <w:tcW w:w="300" w:type="dxa"/>
            <w:vAlign w:val="bottom"/>
          </w:tcPr>
          <w:p>
            <w:pPr>
              <w:spacing w:after="0"/>
              <w:rPr>
                <w:sz w:val="12"/>
                <w:szCs w:val="12"/>
                <w:color w:val="auto"/>
              </w:rPr>
            </w:pP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149"/>
        </w:trPr>
        <w:tc>
          <w:tcPr>
            <w:tcW w:w="2280" w:type="dxa"/>
            <w:vAlign w:val="bottom"/>
          </w:tcPr>
          <w:p>
            <w:pPr>
              <w:ind w:left="160"/>
              <w:spacing w:after="0" w:line="149" w:lineRule="exact"/>
              <w:rPr>
                <w:sz w:val="20"/>
                <w:szCs w:val="20"/>
                <w:color w:val="auto"/>
              </w:rPr>
            </w:pPr>
            <w:r>
              <w:rPr>
                <w:rFonts w:ascii="Arial" w:cs="Arial" w:eastAsia="Arial" w:hAnsi="Arial"/>
                <w:sz w:val="14"/>
                <w:szCs w:val="14"/>
                <w:color w:val="auto"/>
              </w:rPr>
              <w:t>Royalty advances expensed</w:t>
            </w:r>
          </w:p>
        </w:tc>
        <w:tc>
          <w:tcPr>
            <w:tcW w:w="380" w:type="dxa"/>
            <w:vAlign w:val="bottom"/>
          </w:tcPr>
          <w:p>
            <w:pPr>
              <w:spacing w:after="0"/>
              <w:rPr>
                <w:sz w:val="12"/>
                <w:szCs w:val="12"/>
                <w:color w:val="auto"/>
              </w:rPr>
            </w:pPr>
          </w:p>
        </w:tc>
        <w:tc>
          <w:tcPr>
            <w:tcW w:w="12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9.6</w:t>
            </w:r>
          </w:p>
        </w:tc>
        <w:tc>
          <w:tcPr>
            <w:tcW w:w="240" w:type="dxa"/>
            <w:vAlign w:val="bottom"/>
          </w:tcPr>
          <w:p>
            <w:pPr>
              <w:spacing w:after="0"/>
              <w:rPr>
                <w:sz w:val="12"/>
                <w:szCs w:val="12"/>
                <w:color w:val="auto"/>
              </w:rPr>
            </w:pPr>
          </w:p>
        </w:tc>
        <w:tc>
          <w:tcPr>
            <w:tcW w:w="10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0.2</w:t>
            </w:r>
          </w:p>
        </w:tc>
        <w:tc>
          <w:tcPr>
            <w:tcW w:w="260" w:type="dxa"/>
            <w:vAlign w:val="bottom"/>
          </w:tcPr>
          <w:p>
            <w:pPr>
              <w:spacing w:after="0"/>
              <w:rPr>
                <w:sz w:val="12"/>
                <w:szCs w:val="12"/>
                <w:color w:val="auto"/>
              </w:rPr>
            </w:pPr>
          </w:p>
        </w:tc>
        <w:tc>
          <w:tcPr>
            <w:tcW w:w="11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0.4</w:t>
            </w:r>
          </w:p>
        </w:tc>
        <w:tc>
          <w:tcPr>
            <w:tcW w:w="240" w:type="dxa"/>
            <w:vAlign w:val="bottom"/>
          </w:tcPr>
          <w:p>
            <w:pPr>
              <w:spacing w:after="0"/>
              <w:rPr>
                <w:sz w:val="12"/>
                <w:szCs w:val="12"/>
                <w:color w:val="auto"/>
              </w:rPr>
            </w:pPr>
          </w:p>
        </w:tc>
        <w:tc>
          <w:tcPr>
            <w:tcW w:w="11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10.2</w:t>
            </w:r>
          </w:p>
        </w:tc>
        <w:tc>
          <w:tcPr>
            <w:tcW w:w="260" w:type="dxa"/>
            <w:vAlign w:val="bottom"/>
          </w:tcPr>
          <w:p>
            <w:pPr>
              <w:spacing w:after="0"/>
              <w:rPr>
                <w:sz w:val="12"/>
                <w:szCs w:val="12"/>
                <w:color w:val="auto"/>
              </w:rPr>
            </w:pPr>
          </w:p>
        </w:tc>
        <w:tc>
          <w:tcPr>
            <w:tcW w:w="11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1.8</w:t>
            </w:r>
          </w:p>
        </w:tc>
        <w:tc>
          <w:tcPr>
            <w:tcW w:w="300" w:type="dxa"/>
            <w:vAlign w:val="bottom"/>
          </w:tcPr>
          <w:p>
            <w:pPr>
              <w:spacing w:after="0"/>
              <w:rPr>
                <w:sz w:val="12"/>
                <w:szCs w:val="12"/>
                <w:color w:val="auto"/>
              </w:rPr>
            </w:pP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9"/>
        </w:trPr>
        <w:tc>
          <w:tcPr>
            <w:tcW w:w="2280" w:type="dxa"/>
            <w:vAlign w:val="bottom"/>
          </w:tcPr>
          <w:p>
            <w:pPr>
              <w:ind w:left="160"/>
              <w:spacing w:after="0" w:line="149" w:lineRule="exact"/>
              <w:rPr>
                <w:sz w:val="20"/>
                <w:szCs w:val="20"/>
                <w:color w:val="auto"/>
              </w:rPr>
            </w:pPr>
            <w:r>
              <w:rPr>
                <w:rFonts w:ascii="Arial" w:cs="Arial" w:eastAsia="Arial" w:hAnsi="Arial"/>
                <w:sz w:val="14"/>
                <w:szCs w:val="14"/>
                <w:color w:val="auto"/>
              </w:rPr>
              <w:t>Operating income (loss)</w:t>
            </w:r>
          </w:p>
        </w:tc>
        <w:tc>
          <w:tcPr>
            <w:tcW w:w="380" w:type="dxa"/>
            <w:vAlign w:val="bottom"/>
          </w:tcPr>
          <w:p>
            <w:pPr>
              <w:spacing w:after="0"/>
              <w:rPr>
                <w:sz w:val="12"/>
                <w:szCs w:val="12"/>
                <w:color w:val="auto"/>
              </w:rPr>
            </w:pPr>
          </w:p>
        </w:tc>
        <w:tc>
          <w:tcPr>
            <w:tcW w:w="12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60.3</w:t>
            </w:r>
          </w:p>
        </w:tc>
        <w:tc>
          <w:tcPr>
            <w:tcW w:w="240" w:type="dxa"/>
            <w:vAlign w:val="bottom"/>
          </w:tcPr>
          <w:p>
            <w:pPr>
              <w:spacing w:after="0"/>
              <w:rPr>
                <w:sz w:val="12"/>
                <w:szCs w:val="12"/>
                <w:color w:val="auto"/>
              </w:rPr>
            </w:pPr>
          </w:p>
        </w:tc>
        <w:tc>
          <w:tcPr>
            <w:tcW w:w="10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37.2</w:t>
            </w:r>
          </w:p>
        </w:tc>
        <w:tc>
          <w:tcPr>
            <w:tcW w:w="260" w:type="dxa"/>
            <w:vAlign w:val="bottom"/>
          </w:tcPr>
          <w:p>
            <w:pPr>
              <w:spacing w:after="0"/>
              <w:rPr>
                <w:sz w:val="12"/>
                <w:szCs w:val="12"/>
                <w:color w:val="auto"/>
              </w:rPr>
            </w:pPr>
          </w:p>
        </w:tc>
        <w:tc>
          <w:tcPr>
            <w:tcW w:w="11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(1.1)</w:t>
            </w:r>
          </w:p>
        </w:tc>
        <w:tc>
          <w:tcPr>
            <w:tcW w:w="240" w:type="dxa"/>
            <w:vAlign w:val="bottom"/>
          </w:tcPr>
          <w:p>
            <w:pPr>
              <w:spacing w:after="0"/>
              <w:rPr>
                <w:sz w:val="12"/>
                <w:szCs w:val="12"/>
                <w:color w:val="auto"/>
              </w:rPr>
            </w:pPr>
          </w:p>
        </w:tc>
        <w:tc>
          <w:tcPr>
            <w:tcW w:w="11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(39.0)</w:t>
            </w:r>
          </w:p>
        </w:tc>
        <w:tc>
          <w:tcPr>
            <w:tcW w:w="260" w:type="dxa"/>
            <w:vAlign w:val="bottom"/>
          </w:tcPr>
          <w:p>
            <w:pPr>
              <w:spacing w:after="0"/>
              <w:rPr>
                <w:sz w:val="12"/>
                <w:szCs w:val="12"/>
                <w:color w:val="auto"/>
              </w:rPr>
            </w:pP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57.4</w:t>
            </w:r>
          </w:p>
        </w:tc>
        <w:tc>
          <w:tcPr>
            <w:tcW w:w="260" w:type="dxa"/>
            <w:vAlign w:val="bottom"/>
          </w:tcPr>
          <w:p>
            <w:pPr>
              <w:spacing w:after="0"/>
              <w:rPr>
                <w:sz w:val="12"/>
                <w:szCs w:val="12"/>
                <w:color w:val="auto"/>
              </w:rPr>
            </w:pPr>
          </w:p>
        </w:tc>
        <w:tc>
          <w:tcPr>
            <w:tcW w:w="11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12.9</w:t>
            </w:r>
          </w:p>
        </w:tc>
        <w:tc>
          <w:tcPr>
            <w:tcW w:w="300" w:type="dxa"/>
            <w:vAlign w:val="bottom"/>
          </w:tcPr>
          <w:p>
            <w:pPr>
              <w:spacing w:after="0"/>
              <w:rPr>
                <w:sz w:val="12"/>
                <w:szCs w:val="12"/>
                <w:color w:val="auto"/>
              </w:rPr>
            </w:pP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70.3</w:t>
            </w:r>
          </w:p>
        </w:tc>
        <w:tc>
          <w:tcPr>
            <w:tcW w:w="0" w:type="dxa"/>
            <w:vAlign w:val="bottom"/>
          </w:tcPr>
          <w:p>
            <w:pPr>
              <w:spacing w:after="0"/>
              <w:rPr>
                <w:sz w:val="1"/>
                <w:szCs w:val="1"/>
                <w:color w:val="auto"/>
              </w:rPr>
            </w:pPr>
          </w:p>
        </w:tc>
      </w:tr>
      <w:tr>
        <w:trPr>
          <w:trHeight w:val="149"/>
        </w:trPr>
        <w:tc>
          <w:tcPr>
            <w:tcW w:w="2280" w:type="dxa"/>
            <w:vAlign w:val="bottom"/>
          </w:tcPr>
          <w:p>
            <w:pPr>
              <w:ind w:left="160"/>
              <w:spacing w:after="0" w:line="149" w:lineRule="exact"/>
              <w:rPr>
                <w:sz w:val="20"/>
                <w:szCs w:val="20"/>
                <w:color w:val="auto"/>
              </w:rPr>
            </w:pPr>
            <w:r>
              <w:rPr>
                <w:rFonts w:ascii="Arial" w:cs="Arial" w:eastAsia="Arial" w:hAnsi="Arial"/>
                <w:sz w:val="14"/>
                <w:szCs w:val="14"/>
                <w:color w:val="auto"/>
              </w:rPr>
              <w:t>Segment assets</w:t>
            </w:r>
          </w:p>
        </w:tc>
        <w:tc>
          <w:tcPr>
            <w:tcW w:w="380" w:type="dxa"/>
            <w:vAlign w:val="bottom"/>
          </w:tcPr>
          <w:p>
            <w:pPr>
              <w:spacing w:after="0"/>
              <w:rPr>
                <w:sz w:val="12"/>
                <w:szCs w:val="12"/>
                <w:color w:val="auto"/>
              </w:rPr>
            </w:pPr>
          </w:p>
        </w:tc>
        <w:tc>
          <w:tcPr>
            <w:tcW w:w="12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523.3</w:t>
            </w:r>
          </w:p>
        </w:tc>
        <w:tc>
          <w:tcPr>
            <w:tcW w:w="240" w:type="dxa"/>
            <w:vAlign w:val="bottom"/>
          </w:tcPr>
          <w:p>
            <w:pPr>
              <w:spacing w:after="0"/>
              <w:rPr>
                <w:sz w:val="12"/>
                <w:szCs w:val="12"/>
                <w:color w:val="auto"/>
              </w:rPr>
            </w:pPr>
          </w:p>
        </w:tc>
        <w:tc>
          <w:tcPr>
            <w:tcW w:w="10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314.0</w:t>
            </w:r>
          </w:p>
        </w:tc>
        <w:tc>
          <w:tcPr>
            <w:tcW w:w="260" w:type="dxa"/>
            <w:vAlign w:val="bottom"/>
          </w:tcPr>
          <w:p>
            <w:pPr>
              <w:spacing w:after="0"/>
              <w:rPr>
                <w:sz w:val="12"/>
                <w:szCs w:val="12"/>
                <w:color w:val="auto"/>
              </w:rPr>
            </w:pPr>
          </w:p>
        </w:tc>
        <w:tc>
          <w:tcPr>
            <w:tcW w:w="11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66.7</w:t>
            </w:r>
          </w:p>
        </w:tc>
        <w:tc>
          <w:tcPr>
            <w:tcW w:w="240" w:type="dxa"/>
            <w:vAlign w:val="bottom"/>
          </w:tcPr>
          <w:p>
            <w:pPr>
              <w:spacing w:after="0"/>
              <w:rPr>
                <w:sz w:val="12"/>
                <w:szCs w:val="12"/>
                <w:color w:val="auto"/>
              </w:rPr>
            </w:pPr>
          </w:p>
        </w:tc>
        <w:tc>
          <w:tcPr>
            <w:tcW w:w="11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508.7</w:t>
            </w:r>
          </w:p>
        </w:tc>
        <w:tc>
          <w:tcPr>
            <w:tcW w:w="260" w:type="dxa"/>
            <w:vAlign w:val="bottom"/>
          </w:tcPr>
          <w:p>
            <w:pPr>
              <w:spacing w:after="0"/>
              <w:rPr>
                <w:sz w:val="12"/>
                <w:szCs w:val="12"/>
                <w:color w:val="auto"/>
              </w:rPr>
            </w:pP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1,412.7</w:t>
            </w:r>
          </w:p>
        </w:tc>
        <w:tc>
          <w:tcPr>
            <w:tcW w:w="260" w:type="dxa"/>
            <w:vAlign w:val="bottom"/>
          </w:tcPr>
          <w:p>
            <w:pPr>
              <w:spacing w:after="0"/>
              <w:rPr>
                <w:sz w:val="12"/>
                <w:szCs w:val="12"/>
                <w:color w:val="auto"/>
              </w:rPr>
            </w:pPr>
          </w:p>
        </w:tc>
        <w:tc>
          <w:tcPr>
            <w:tcW w:w="11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270.6</w:t>
            </w:r>
          </w:p>
        </w:tc>
        <w:tc>
          <w:tcPr>
            <w:tcW w:w="300" w:type="dxa"/>
            <w:vAlign w:val="bottom"/>
          </w:tcPr>
          <w:p>
            <w:pPr>
              <w:spacing w:after="0"/>
              <w:rPr>
                <w:sz w:val="12"/>
                <w:szCs w:val="12"/>
                <w:color w:val="auto"/>
              </w:rPr>
            </w:pP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color w:val="auto"/>
                <w:w w:val="98"/>
              </w:rPr>
              <w:t>1,683.3</w:t>
            </w:r>
          </w:p>
        </w:tc>
        <w:tc>
          <w:tcPr>
            <w:tcW w:w="0" w:type="dxa"/>
            <w:vAlign w:val="bottom"/>
          </w:tcPr>
          <w:p>
            <w:pPr>
              <w:spacing w:after="0"/>
              <w:rPr>
                <w:sz w:val="1"/>
                <w:szCs w:val="1"/>
                <w:color w:val="auto"/>
              </w:rPr>
            </w:pPr>
          </w:p>
        </w:tc>
      </w:tr>
      <w:tr>
        <w:trPr>
          <w:trHeight w:val="149"/>
        </w:trPr>
        <w:tc>
          <w:tcPr>
            <w:tcW w:w="2280" w:type="dxa"/>
            <w:vAlign w:val="bottom"/>
          </w:tcPr>
          <w:p>
            <w:pPr>
              <w:ind w:left="160"/>
              <w:spacing w:after="0" w:line="149" w:lineRule="exact"/>
              <w:rPr>
                <w:sz w:val="20"/>
                <w:szCs w:val="20"/>
                <w:color w:val="auto"/>
              </w:rPr>
            </w:pPr>
            <w:r>
              <w:rPr>
                <w:rFonts w:ascii="Arial" w:cs="Arial" w:eastAsia="Arial" w:hAnsi="Arial"/>
                <w:sz w:val="14"/>
                <w:szCs w:val="14"/>
                <w:color w:val="auto"/>
              </w:rPr>
              <w:t>Goodwill</w:t>
            </w:r>
          </w:p>
        </w:tc>
        <w:tc>
          <w:tcPr>
            <w:tcW w:w="380" w:type="dxa"/>
            <w:vAlign w:val="bottom"/>
          </w:tcPr>
          <w:p>
            <w:pPr>
              <w:spacing w:after="0"/>
              <w:rPr>
                <w:sz w:val="12"/>
                <w:szCs w:val="12"/>
                <w:color w:val="auto"/>
              </w:rPr>
            </w:pPr>
          </w:p>
        </w:tc>
        <w:tc>
          <w:tcPr>
            <w:tcW w:w="12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54.3</w:t>
            </w:r>
          </w:p>
        </w:tc>
        <w:tc>
          <w:tcPr>
            <w:tcW w:w="240" w:type="dxa"/>
            <w:vAlign w:val="bottom"/>
          </w:tcPr>
          <w:p>
            <w:pPr>
              <w:spacing w:after="0"/>
              <w:rPr>
                <w:sz w:val="12"/>
                <w:szCs w:val="12"/>
                <w:color w:val="auto"/>
              </w:rPr>
            </w:pPr>
          </w:p>
        </w:tc>
        <w:tc>
          <w:tcPr>
            <w:tcW w:w="10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88.4</w:t>
            </w:r>
          </w:p>
        </w:tc>
        <w:tc>
          <w:tcPr>
            <w:tcW w:w="260" w:type="dxa"/>
            <w:vAlign w:val="bottom"/>
          </w:tcPr>
          <w:p>
            <w:pPr>
              <w:spacing w:after="0"/>
              <w:rPr>
                <w:sz w:val="12"/>
                <w:szCs w:val="12"/>
                <w:color w:val="auto"/>
              </w:rPr>
            </w:pPr>
          </w:p>
        </w:tc>
        <w:tc>
          <w:tcPr>
            <w:tcW w:w="11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5.9</w:t>
            </w:r>
          </w:p>
        </w:tc>
        <w:tc>
          <w:tcPr>
            <w:tcW w:w="240" w:type="dxa"/>
            <w:vAlign w:val="bottom"/>
          </w:tcPr>
          <w:p>
            <w:pPr>
              <w:spacing w:after="0"/>
              <w:rPr>
                <w:sz w:val="12"/>
                <w:szCs w:val="12"/>
                <w:color w:val="auto"/>
              </w:rPr>
            </w:pPr>
          </w:p>
        </w:tc>
        <w:tc>
          <w:tcPr>
            <w:tcW w:w="11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148.6</w:t>
            </w:r>
          </w:p>
        </w:tc>
        <w:tc>
          <w:tcPr>
            <w:tcW w:w="260" w:type="dxa"/>
            <w:vAlign w:val="bottom"/>
          </w:tcPr>
          <w:p>
            <w:pPr>
              <w:spacing w:after="0"/>
              <w:rPr>
                <w:sz w:val="12"/>
                <w:szCs w:val="12"/>
                <w:color w:val="auto"/>
              </w:rPr>
            </w:pPr>
          </w:p>
        </w:tc>
        <w:tc>
          <w:tcPr>
            <w:tcW w:w="11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8.4</w:t>
            </w:r>
          </w:p>
        </w:tc>
        <w:tc>
          <w:tcPr>
            <w:tcW w:w="300" w:type="dxa"/>
            <w:vAlign w:val="bottom"/>
          </w:tcPr>
          <w:p>
            <w:pPr>
              <w:spacing w:after="0"/>
              <w:rPr>
                <w:sz w:val="12"/>
                <w:szCs w:val="12"/>
                <w:color w:val="auto"/>
              </w:rPr>
            </w:pP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157.0</w:t>
            </w:r>
          </w:p>
        </w:tc>
        <w:tc>
          <w:tcPr>
            <w:tcW w:w="0" w:type="dxa"/>
            <w:vAlign w:val="bottom"/>
          </w:tcPr>
          <w:p>
            <w:pPr>
              <w:spacing w:after="0"/>
              <w:rPr>
                <w:sz w:val="1"/>
                <w:szCs w:val="1"/>
                <w:color w:val="auto"/>
              </w:rPr>
            </w:pPr>
          </w:p>
        </w:tc>
      </w:tr>
      <w:tr>
        <w:trPr>
          <w:trHeight w:val="144"/>
        </w:trPr>
        <w:tc>
          <w:tcPr>
            <w:tcW w:w="2280" w:type="dxa"/>
            <w:vAlign w:val="bottom"/>
          </w:tcPr>
          <w:p>
            <w:pPr>
              <w:ind w:left="160"/>
              <w:spacing w:after="0" w:line="144" w:lineRule="exact"/>
              <w:rPr>
                <w:sz w:val="20"/>
                <w:szCs w:val="20"/>
                <w:color w:val="auto"/>
              </w:rPr>
            </w:pPr>
            <w:r>
              <w:rPr>
                <w:rFonts w:ascii="Arial" w:cs="Arial" w:eastAsia="Arial" w:hAnsi="Arial"/>
                <w:sz w:val="14"/>
                <w:szCs w:val="14"/>
                <w:color w:val="auto"/>
                <w:w w:val="99"/>
              </w:rPr>
              <w:t>Expenditures for long-lived assets</w:t>
            </w:r>
          </w:p>
        </w:tc>
        <w:tc>
          <w:tcPr>
            <w:tcW w:w="380" w:type="dxa"/>
            <w:vAlign w:val="bottom"/>
          </w:tcPr>
          <w:p>
            <w:pPr>
              <w:spacing w:after="0"/>
              <w:rPr>
                <w:sz w:val="12"/>
                <w:szCs w:val="12"/>
                <w:color w:val="auto"/>
              </w:rPr>
            </w:pPr>
          </w:p>
        </w:tc>
        <w:tc>
          <w:tcPr>
            <w:tcW w:w="1240" w:type="dxa"/>
            <w:vAlign w:val="bottom"/>
          </w:tcPr>
          <w:p>
            <w:pPr>
              <w:jc w:val="right"/>
              <w:ind w:right="92"/>
              <w:spacing w:after="0" w:line="144" w:lineRule="exact"/>
              <w:rPr>
                <w:sz w:val="20"/>
                <w:szCs w:val="20"/>
                <w:color w:val="auto"/>
              </w:rPr>
            </w:pPr>
            <w:r>
              <w:rPr>
                <w:rFonts w:ascii="Arial" w:cs="Arial" w:eastAsia="Arial" w:hAnsi="Arial"/>
                <w:sz w:val="14"/>
                <w:szCs w:val="14"/>
                <w:color w:val="auto"/>
              </w:rPr>
              <w:t>23.7</w:t>
            </w:r>
          </w:p>
        </w:tc>
        <w:tc>
          <w:tcPr>
            <w:tcW w:w="240" w:type="dxa"/>
            <w:vAlign w:val="bottom"/>
          </w:tcPr>
          <w:p>
            <w:pPr>
              <w:spacing w:after="0"/>
              <w:rPr>
                <w:sz w:val="12"/>
                <w:szCs w:val="12"/>
                <w:color w:val="auto"/>
              </w:rPr>
            </w:pPr>
          </w:p>
        </w:tc>
        <w:tc>
          <w:tcPr>
            <w:tcW w:w="104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12.6</w:t>
            </w:r>
          </w:p>
        </w:tc>
        <w:tc>
          <w:tcPr>
            <w:tcW w:w="260" w:type="dxa"/>
            <w:vAlign w:val="bottom"/>
          </w:tcPr>
          <w:p>
            <w:pPr>
              <w:spacing w:after="0"/>
              <w:rPr>
                <w:sz w:val="12"/>
                <w:szCs w:val="12"/>
                <w:color w:val="auto"/>
              </w:rPr>
            </w:pPr>
          </w:p>
        </w:tc>
        <w:tc>
          <w:tcPr>
            <w:tcW w:w="1140" w:type="dxa"/>
            <w:vAlign w:val="bottom"/>
          </w:tcPr>
          <w:p>
            <w:pPr>
              <w:jc w:val="right"/>
              <w:ind w:right="132"/>
              <w:spacing w:after="0" w:line="144" w:lineRule="exact"/>
              <w:rPr>
                <w:sz w:val="20"/>
                <w:szCs w:val="20"/>
                <w:color w:val="auto"/>
              </w:rPr>
            </w:pPr>
            <w:r>
              <w:rPr>
                <w:rFonts w:ascii="Arial" w:cs="Arial" w:eastAsia="Arial" w:hAnsi="Arial"/>
                <w:sz w:val="14"/>
                <w:szCs w:val="14"/>
                <w:color w:val="auto"/>
              </w:rPr>
              <w:t>3.1</w:t>
            </w:r>
          </w:p>
        </w:tc>
        <w:tc>
          <w:tcPr>
            <w:tcW w:w="240" w:type="dxa"/>
            <w:vAlign w:val="bottom"/>
          </w:tcPr>
          <w:p>
            <w:pPr>
              <w:spacing w:after="0"/>
              <w:rPr>
                <w:sz w:val="12"/>
                <w:szCs w:val="12"/>
                <w:color w:val="auto"/>
              </w:rPr>
            </w:pPr>
          </w:p>
        </w:tc>
        <w:tc>
          <w:tcPr>
            <w:tcW w:w="1160" w:type="dxa"/>
            <w:vAlign w:val="bottom"/>
          </w:tcPr>
          <w:p>
            <w:pPr>
              <w:jc w:val="right"/>
              <w:ind w:right="132"/>
              <w:spacing w:after="0" w:line="144" w:lineRule="exact"/>
              <w:rPr>
                <w:sz w:val="20"/>
                <w:szCs w:val="20"/>
                <w:color w:val="auto"/>
              </w:rPr>
            </w:pPr>
            <w:r>
              <w:rPr>
                <w:rFonts w:ascii="Arial" w:cs="Arial" w:eastAsia="Arial" w:hAnsi="Arial"/>
                <w:sz w:val="14"/>
                <w:szCs w:val="14"/>
                <w:color w:val="auto"/>
              </w:rPr>
              <w:t>7.1</w:t>
            </w:r>
          </w:p>
        </w:tc>
        <w:tc>
          <w:tcPr>
            <w:tcW w:w="260" w:type="dxa"/>
            <w:vAlign w:val="bottom"/>
          </w:tcPr>
          <w:p>
            <w:pPr>
              <w:spacing w:after="0"/>
              <w:rPr>
                <w:sz w:val="12"/>
                <w:szCs w:val="12"/>
                <w:color w:val="auto"/>
              </w:rPr>
            </w:pPr>
          </w:p>
        </w:tc>
        <w:tc>
          <w:tcPr>
            <w:tcW w:w="88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46.5</w:t>
            </w:r>
          </w:p>
        </w:tc>
        <w:tc>
          <w:tcPr>
            <w:tcW w:w="260" w:type="dxa"/>
            <w:vAlign w:val="bottom"/>
          </w:tcPr>
          <w:p>
            <w:pPr>
              <w:spacing w:after="0"/>
              <w:rPr>
                <w:sz w:val="12"/>
                <w:szCs w:val="12"/>
                <w:color w:val="auto"/>
              </w:rPr>
            </w:pPr>
          </w:p>
        </w:tc>
        <w:tc>
          <w:tcPr>
            <w:tcW w:w="1140" w:type="dxa"/>
            <w:vAlign w:val="bottom"/>
          </w:tcPr>
          <w:p>
            <w:pPr>
              <w:jc w:val="right"/>
              <w:ind w:right="92"/>
              <w:spacing w:after="0" w:line="144" w:lineRule="exact"/>
              <w:rPr>
                <w:sz w:val="20"/>
                <w:szCs w:val="20"/>
                <w:color w:val="auto"/>
              </w:rPr>
            </w:pPr>
            <w:r>
              <w:rPr>
                <w:rFonts w:ascii="Arial" w:cs="Arial" w:eastAsia="Arial" w:hAnsi="Arial"/>
                <w:sz w:val="14"/>
                <w:szCs w:val="14"/>
                <w:color w:val="auto"/>
              </w:rPr>
              <w:t>4.4</w:t>
            </w:r>
          </w:p>
        </w:tc>
        <w:tc>
          <w:tcPr>
            <w:tcW w:w="300" w:type="dxa"/>
            <w:vAlign w:val="bottom"/>
          </w:tcPr>
          <w:p>
            <w:pPr>
              <w:spacing w:after="0"/>
              <w:rPr>
                <w:sz w:val="12"/>
                <w:szCs w:val="12"/>
                <w:color w:val="auto"/>
              </w:rPr>
            </w:pPr>
          </w:p>
        </w:tc>
        <w:tc>
          <w:tcPr>
            <w:tcW w:w="620" w:type="dxa"/>
            <w:vAlign w:val="bottom"/>
          </w:tcPr>
          <w:p>
            <w:pPr>
              <w:jc w:val="right"/>
              <w:ind w:right="72"/>
              <w:spacing w:after="0" w:line="144" w:lineRule="exact"/>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293"/>
        </w:trPr>
        <w:tc>
          <w:tcPr>
            <w:tcW w:w="2280" w:type="dxa"/>
            <w:vAlign w:val="bottom"/>
          </w:tcPr>
          <w:p>
            <w:pPr>
              <w:ind w:left="160"/>
              <w:spacing w:after="0"/>
              <w:rPr>
                <w:sz w:val="20"/>
                <w:szCs w:val="20"/>
                <w:color w:val="auto"/>
              </w:rPr>
            </w:pPr>
            <w:r>
              <w:rPr>
                <w:rFonts w:ascii="Arial" w:cs="Arial" w:eastAsia="Arial" w:hAnsi="Arial"/>
                <w:sz w:val="14"/>
                <w:szCs w:val="14"/>
                <w:color w:val="auto"/>
              </w:rPr>
              <w:t>Long-lived assets</w:t>
            </w:r>
            <w:r>
              <w:rPr>
                <w:rFonts w:ascii="Arial" w:cs="Arial" w:eastAsia="Arial" w:hAnsi="Arial"/>
                <w:sz w:val="22"/>
                <w:szCs w:val="22"/>
                <w:color w:val="auto"/>
                <w:vertAlign w:val="superscript"/>
              </w:rPr>
              <w:t>(5)</w:t>
            </w:r>
          </w:p>
        </w:tc>
        <w:tc>
          <w:tcPr>
            <w:tcW w:w="380" w:type="dxa"/>
            <w:vAlign w:val="bottom"/>
          </w:tcPr>
          <w:p>
            <w:pPr>
              <w:spacing w:after="0"/>
              <w:rPr>
                <w:sz w:val="24"/>
                <w:szCs w:val="24"/>
                <w:color w:val="auto"/>
              </w:rPr>
            </w:pPr>
          </w:p>
        </w:tc>
        <w:tc>
          <w:tcPr>
            <w:tcW w:w="1240" w:type="dxa"/>
            <w:vAlign w:val="bottom"/>
          </w:tcPr>
          <w:p>
            <w:pPr>
              <w:jc w:val="right"/>
              <w:ind w:right="92"/>
              <w:spacing w:after="0"/>
              <w:rPr>
                <w:sz w:val="20"/>
                <w:szCs w:val="20"/>
                <w:color w:val="auto"/>
              </w:rPr>
            </w:pPr>
            <w:r>
              <w:rPr>
                <w:rFonts w:ascii="Arial" w:cs="Arial" w:eastAsia="Arial" w:hAnsi="Arial"/>
                <w:sz w:val="14"/>
                <w:szCs w:val="14"/>
                <w:color w:val="auto"/>
              </w:rPr>
              <w:t>181.5</w:t>
            </w:r>
          </w:p>
        </w:tc>
        <w:tc>
          <w:tcPr>
            <w:tcW w:w="240" w:type="dxa"/>
            <w:vAlign w:val="bottom"/>
          </w:tcPr>
          <w:p>
            <w:pPr>
              <w:spacing w:after="0"/>
              <w:rPr>
                <w:sz w:val="24"/>
                <w:szCs w:val="24"/>
                <w:color w:val="auto"/>
              </w:rPr>
            </w:pPr>
          </w:p>
        </w:tc>
        <w:tc>
          <w:tcPr>
            <w:tcW w:w="1040" w:type="dxa"/>
            <w:vAlign w:val="bottom"/>
          </w:tcPr>
          <w:p>
            <w:pPr>
              <w:jc w:val="right"/>
              <w:ind w:right="112"/>
              <w:spacing w:after="0"/>
              <w:rPr>
                <w:sz w:val="20"/>
                <w:szCs w:val="20"/>
                <w:color w:val="auto"/>
              </w:rPr>
            </w:pPr>
            <w:r>
              <w:rPr>
                <w:rFonts w:ascii="Arial" w:cs="Arial" w:eastAsia="Arial" w:hAnsi="Arial"/>
                <w:sz w:val="14"/>
                <w:szCs w:val="14"/>
                <w:color w:val="auto"/>
              </w:rPr>
              <w:t>167.5</w:t>
            </w:r>
          </w:p>
        </w:tc>
        <w:tc>
          <w:tcPr>
            <w:tcW w:w="260" w:type="dxa"/>
            <w:vAlign w:val="bottom"/>
          </w:tcPr>
          <w:p>
            <w:pPr>
              <w:spacing w:after="0"/>
              <w:rPr>
                <w:sz w:val="24"/>
                <w:szCs w:val="24"/>
                <w:color w:val="auto"/>
              </w:rPr>
            </w:pPr>
          </w:p>
        </w:tc>
        <w:tc>
          <w:tcPr>
            <w:tcW w:w="1140" w:type="dxa"/>
            <w:vAlign w:val="bottom"/>
          </w:tcPr>
          <w:p>
            <w:pPr>
              <w:jc w:val="right"/>
              <w:ind w:right="132"/>
              <w:spacing w:after="0"/>
              <w:rPr>
                <w:sz w:val="20"/>
                <w:szCs w:val="20"/>
                <w:color w:val="auto"/>
              </w:rPr>
            </w:pPr>
            <w:r>
              <w:rPr>
                <w:rFonts w:ascii="Arial" w:cs="Arial" w:eastAsia="Arial" w:hAnsi="Arial"/>
                <w:sz w:val="14"/>
                <w:szCs w:val="14"/>
                <w:color w:val="auto"/>
              </w:rPr>
              <w:t>25.0</w:t>
            </w:r>
          </w:p>
        </w:tc>
        <w:tc>
          <w:tcPr>
            <w:tcW w:w="24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color w:val="auto"/>
              </w:rPr>
              <w:t>218.1</w:t>
            </w:r>
          </w:p>
        </w:tc>
        <w:tc>
          <w:tcPr>
            <w:tcW w:w="260" w:type="dxa"/>
            <w:vAlign w:val="bottom"/>
          </w:tcPr>
          <w:p>
            <w:pPr>
              <w:spacing w:after="0"/>
              <w:rPr>
                <w:sz w:val="24"/>
                <w:szCs w:val="24"/>
                <w:color w:val="auto"/>
              </w:rPr>
            </w:pPr>
          </w:p>
        </w:tc>
        <w:tc>
          <w:tcPr>
            <w:tcW w:w="880" w:type="dxa"/>
            <w:vAlign w:val="bottom"/>
          </w:tcPr>
          <w:p>
            <w:pPr>
              <w:jc w:val="right"/>
              <w:ind w:right="112"/>
              <w:spacing w:after="0"/>
              <w:rPr>
                <w:sz w:val="20"/>
                <w:szCs w:val="20"/>
                <w:color w:val="auto"/>
              </w:rPr>
            </w:pPr>
            <w:r>
              <w:rPr>
                <w:rFonts w:ascii="Arial" w:cs="Arial" w:eastAsia="Arial" w:hAnsi="Arial"/>
                <w:sz w:val="14"/>
                <w:szCs w:val="14"/>
                <w:color w:val="auto"/>
              </w:rPr>
              <w:t>592.1</w:t>
            </w:r>
          </w:p>
        </w:tc>
        <w:tc>
          <w:tcPr>
            <w:tcW w:w="260" w:type="dxa"/>
            <w:vAlign w:val="bottom"/>
          </w:tcPr>
          <w:p>
            <w:pPr>
              <w:spacing w:after="0"/>
              <w:rPr>
                <w:sz w:val="24"/>
                <w:szCs w:val="24"/>
                <w:color w:val="auto"/>
              </w:rPr>
            </w:pPr>
          </w:p>
        </w:tc>
        <w:tc>
          <w:tcPr>
            <w:tcW w:w="1140" w:type="dxa"/>
            <w:vAlign w:val="bottom"/>
          </w:tcPr>
          <w:p>
            <w:pPr>
              <w:jc w:val="right"/>
              <w:ind w:right="92"/>
              <w:spacing w:after="0"/>
              <w:rPr>
                <w:sz w:val="20"/>
                <w:szCs w:val="20"/>
                <w:color w:val="auto"/>
              </w:rPr>
            </w:pPr>
            <w:r>
              <w:rPr>
                <w:rFonts w:ascii="Arial" w:cs="Arial" w:eastAsia="Arial" w:hAnsi="Arial"/>
                <w:sz w:val="14"/>
                <w:szCs w:val="14"/>
                <w:color w:val="auto"/>
              </w:rPr>
              <w:t>72.0</w:t>
            </w:r>
          </w:p>
        </w:tc>
        <w:tc>
          <w:tcPr>
            <w:tcW w:w="300" w:type="dxa"/>
            <w:vAlign w:val="bottom"/>
          </w:tcPr>
          <w:p>
            <w:pPr>
              <w:spacing w:after="0"/>
              <w:rPr>
                <w:sz w:val="24"/>
                <w:szCs w:val="24"/>
                <w:color w:val="auto"/>
              </w:rPr>
            </w:pPr>
          </w:p>
        </w:tc>
        <w:tc>
          <w:tcPr>
            <w:tcW w:w="620" w:type="dxa"/>
            <w:vAlign w:val="bottom"/>
          </w:tcPr>
          <w:p>
            <w:pPr>
              <w:jc w:val="right"/>
              <w:ind w:right="72"/>
              <w:spacing w:after="0"/>
              <w:rPr>
                <w:sz w:val="20"/>
                <w:szCs w:val="20"/>
                <w:color w:val="auto"/>
              </w:rPr>
            </w:pPr>
            <w:r>
              <w:rPr>
                <w:rFonts w:ascii="Arial" w:cs="Arial" w:eastAsia="Arial" w:hAnsi="Arial"/>
                <w:sz w:val="14"/>
                <w:szCs w:val="14"/>
                <w:color w:val="auto"/>
              </w:rPr>
              <w:t>664.1</w:t>
            </w:r>
          </w:p>
        </w:tc>
        <w:tc>
          <w:tcPr>
            <w:tcW w:w="0" w:type="dxa"/>
            <w:vAlign w:val="bottom"/>
          </w:tcPr>
          <w:p>
            <w:pPr>
              <w:spacing w:after="0"/>
              <w:rPr>
                <w:sz w:val="1"/>
                <w:szCs w:val="1"/>
                <w:color w:val="auto"/>
              </w:rPr>
            </w:pPr>
          </w:p>
        </w:tc>
      </w:tr>
      <w:tr>
        <w:trPr>
          <w:trHeight w:val="183"/>
        </w:trPr>
        <w:tc>
          <w:tcPr>
            <w:tcW w:w="2280" w:type="dxa"/>
            <w:vAlign w:val="bottom"/>
          </w:tcPr>
          <w:p>
            <w:pPr>
              <w:spacing w:after="0"/>
              <w:rPr>
                <w:sz w:val="20"/>
                <w:szCs w:val="20"/>
                <w:color w:val="auto"/>
              </w:rPr>
            </w:pPr>
            <w:r>
              <w:rPr>
                <w:rFonts w:ascii="Arial" w:cs="Arial" w:eastAsia="Arial" w:hAnsi="Arial"/>
                <w:sz w:val="14"/>
                <w:szCs w:val="14"/>
                <w:b w:val="1"/>
                <w:bCs w:val="1"/>
                <w:color w:val="auto"/>
              </w:rPr>
              <w:t>Six months ended</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280" w:type="dxa"/>
            <w:vAlign w:val="bottom"/>
          </w:tcPr>
          <w:p>
            <w:pPr>
              <w:spacing w:after="0"/>
              <w:rPr>
                <w:sz w:val="20"/>
                <w:szCs w:val="20"/>
                <w:color w:val="auto"/>
              </w:rPr>
            </w:pPr>
            <w:r>
              <w:rPr>
                <w:rFonts w:ascii="Arial" w:cs="Arial" w:eastAsia="Arial" w:hAnsi="Arial"/>
                <w:sz w:val="14"/>
                <w:szCs w:val="14"/>
                <w:b w:val="1"/>
                <w:bCs w:val="1"/>
                <w:color w:val="auto"/>
              </w:rPr>
              <w:t>November 30, 2008</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2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280" w:type="dxa"/>
            <w:vAlign w:val="bottom"/>
          </w:tcPr>
          <w:p>
            <w:pPr>
              <w:ind w:left="160"/>
              <w:spacing w:after="0"/>
              <w:rPr>
                <w:sz w:val="20"/>
                <w:szCs w:val="20"/>
                <w:color w:val="auto"/>
              </w:rPr>
            </w:pPr>
            <w:r>
              <w:rPr>
                <w:rFonts w:ascii="Arial" w:cs="Arial" w:eastAsia="Arial" w:hAnsi="Arial"/>
                <w:sz w:val="14"/>
                <w:szCs w:val="14"/>
                <w:color w:val="auto"/>
              </w:rPr>
              <w:t>Revenues</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92"/>
              <w:spacing w:after="0"/>
              <w:rPr>
                <w:sz w:val="20"/>
                <w:szCs w:val="20"/>
                <w:color w:val="auto"/>
              </w:rPr>
            </w:pPr>
            <w:r>
              <w:rPr>
                <w:rFonts w:ascii="Arial" w:cs="Arial" w:eastAsia="Arial" w:hAnsi="Arial"/>
                <w:sz w:val="14"/>
                <w:szCs w:val="14"/>
                <w:color w:val="auto"/>
              </w:rPr>
              <w:t>454.0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12"/>
              <w:spacing w:after="0"/>
              <w:rPr>
                <w:sz w:val="20"/>
                <w:szCs w:val="20"/>
                <w:color w:val="auto"/>
              </w:rPr>
            </w:pPr>
            <w:r>
              <w:rPr>
                <w:rFonts w:ascii="Arial" w:cs="Arial" w:eastAsia="Arial" w:hAnsi="Arial"/>
                <w:sz w:val="14"/>
                <w:szCs w:val="14"/>
                <w:color w:val="auto"/>
              </w:rPr>
              <w:t>206.1</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32"/>
              <w:spacing w:after="0"/>
              <w:rPr>
                <w:sz w:val="20"/>
                <w:szCs w:val="20"/>
                <w:color w:val="auto"/>
              </w:rPr>
            </w:pPr>
            <w:r>
              <w:rPr>
                <w:rFonts w:ascii="Arial" w:cs="Arial" w:eastAsia="Arial" w:hAnsi="Arial"/>
                <w:sz w:val="14"/>
                <w:szCs w:val="14"/>
                <w:color w:val="auto"/>
              </w:rPr>
              <w:t>63.5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12"/>
              <w:spacing w:after="0"/>
              <w:rPr>
                <w:sz w:val="20"/>
                <w:szCs w:val="20"/>
                <w:color w:val="auto"/>
              </w:rPr>
            </w:pPr>
            <w:r>
              <w:rPr>
                <w:rFonts w:ascii="Arial" w:cs="Arial" w:eastAsia="Arial" w:hAnsi="Arial"/>
                <w:sz w:val="14"/>
                <w:szCs w:val="14"/>
                <w:color w:val="auto"/>
              </w:rPr>
              <w:t>723.6</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92"/>
              <w:spacing w:after="0"/>
              <w:rPr>
                <w:sz w:val="20"/>
                <w:szCs w:val="20"/>
                <w:color w:val="auto"/>
              </w:rPr>
            </w:pPr>
            <w:r>
              <w:rPr>
                <w:rFonts w:ascii="Arial" w:cs="Arial" w:eastAsia="Arial" w:hAnsi="Arial"/>
                <w:sz w:val="14"/>
                <w:szCs w:val="14"/>
                <w:color w:val="auto"/>
              </w:rPr>
              <w:t>206.1</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72"/>
              <w:spacing w:after="0"/>
              <w:rPr>
                <w:sz w:val="20"/>
                <w:szCs w:val="20"/>
                <w:color w:val="auto"/>
              </w:rPr>
            </w:pPr>
            <w:r>
              <w:rPr>
                <w:rFonts w:ascii="Arial" w:cs="Arial" w:eastAsia="Arial" w:hAnsi="Arial"/>
                <w:sz w:val="14"/>
                <w:szCs w:val="14"/>
                <w:color w:val="auto"/>
              </w:rPr>
              <w:t>929.7</w:t>
            </w:r>
          </w:p>
        </w:tc>
        <w:tc>
          <w:tcPr>
            <w:tcW w:w="0" w:type="dxa"/>
            <w:vAlign w:val="bottom"/>
          </w:tcPr>
          <w:p>
            <w:pPr>
              <w:spacing w:after="0"/>
              <w:rPr>
                <w:sz w:val="1"/>
                <w:szCs w:val="1"/>
                <w:color w:val="auto"/>
              </w:rPr>
            </w:pPr>
          </w:p>
        </w:tc>
      </w:tr>
      <w:tr>
        <w:trPr>
          <w:trHeight w:val="144"/>
        </w:trPr>
        <w:tc>
          <w:tcPr>
            <w:tcW w:w="2280" w:type="dxa"/>
            <w:vAlign w:val="bottom"/>
          </w:tcPr>
          <w:p>
            <w:pPr>
              <w:ind w:left="160"/>
              <w:spacing w:after="0" w:line="144" w:lineRule="exact"/>
              <w:rPr>
                <w:sz w:val="20"/>
                <w:szCs w:val="20"/>
                <w:color w:val="auto"/>
              </w:rPr>
            </w:pPr>
            <w:r>
              <w:rPr>
                <w:rFonts w:ascii="Arial" w:cs="Arial" w:eastAsia="Arial" w:hAnsi="Arial"/>
                <w:sz w:val="14"/>
                <w:szCs w:val="14"/>
                <w:color w:val="auto"/>
              </w:rPr>
              <w:t>Bad debt expense</w:t>
            </w:r>
          </w:p>
        </w:tc>
        <w:tc>
          <w:tcPr>
            <w:tcW w:w="380" w:type="dxa"/>
            <w:vAlign w:val="bottom"/>
          </w:tcPr>
          <w:p>
            <w:pPr>
              <w:spacing w:after="0"/>
              <w:rPr>
                <w:sz w:val="12"/>
                <w:szCs w:val="12"/>
                <w:color w:val="auto"/>
              </w:rPr>
            </w:pPr>
          </w:p>
        </w:tc>
        <w:tc>
          <w:tcPr>
            <w:tcW w:w="1240" w:type="dxa"/>
            <w:vAlign w:val="bottom"/>
          </w:tcPr>
          <w:p>
            <w:pPr>
              <w:jc w:val="right"/>
              <w:ind w:right="92"/>
              <w:spacing w:after="0" w:line="144" w:lineRule="exact"/>
              <w:rPr>
                <w:sz w:val="20"/>
                <w:szCs w:val="20"/>
                <w:color w:val="auto"/>
              </w:rPr>
            </w:pPr>
            <w:r>
              <w:rPr>
                <w:rFonts w:ascii="Arial" w:cs="Arial" w:eastAsia="Arial" w:hAnsi="Arial"/>
                <w:sz w:val="14"/>
                <w:szCs w:val="14"/>
                <w:color w:val="auto"/>
              </w:rPr>
              <w:t>4.5</w:t>
            </w:r>
          </w:p>
        </w:tc>
        <w:tc>
          <w:tcPr>
            <w:tcW w:w="240" w:type="dxa"/>
            <w:vAlign w:val="bottom"/>
          </w:tcPr>
          <w:p>
            <w:pPr>
              <w:spacing w:after="0"/>
              <w:rPr>
                <w:sz w:val="12"/>
                <w:szCs w:val="12"/>
                <w:color w:val="auto"/>
              </w:rPr>
            </w:pPr>
          </w:p>
        </w:tc>
        <w:tc>
          <w:tcPr>
            <w:tcW w:w="104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1.1</w:t>
            </w:r>
          </w:p>
        </w:tc>
        <w:tc>
          <w:tcPr>
            <w:tcW w:w="260" w:type="dxa"/>
            <w:vAlign w:val="bottom"/>
          </w:tcPr>
          <w:p>
            <w:pPr>
              <w:spacing w:after="0"/>
              <w:rPr>
                <w:sz w:val="12"/>
                <w:szCs w:val="12"/>
                <w:color w:val="auto"/>
              </w:rPr>
            </w:pPr>
          </w:p>
        </w:tc>
        <w:tc>
          <w:tcPr>
            <w:tcW w:w="1140" w:type="dxa"/>
            <w:vAlign w:val="bottom"/>
          </w:tcPr>
          <w:p>
            <w:pPr>
              <w:jc w:val="right"/>
              <w:ind w:right="132"/>
              <w:spacing w:after="0" w:line="144" w:lineRule="exact"/>
              <w:rPr>
                <w:sz w:val="20"/>
                <w:szCs w:val="20"/>
                <w:color w:val="auto"/>
              </w:rPr>
            </w:pPr>
            <w:r>
              <w:rPr>
                <w:rFonts w:ascii="Arial" w:cs="Arial" w:eastAsia="Arial" w:hAnsi="Arial"/>
                <w:sz w:val="14"/>
                <w:szCs w:val="14"/>
                <w:color w:val="auto"/>
              </w:rPr>
              <w:t>0.3</w:t>
            </w:r>
          </w:p>
        </w:tc>
        <w:tc>
          <w:tcPr>
            <w:tcW w:w="240" w:type="dxa"/>
            <w:vAlign w:val="bottom"/>
          </w:tcPr>
          <w:p>
            <w:pPr>
              <w:spacing w:after="0"/>
              <w:rPr>
                <w:sz w:val="12"/>
                <w:szCs w:val="12"/>
                <w:color w:val="auto"/>
              </w:rPr>
            </w:pPr>
          </w:p>
        </w:tc>
        <w:tc>
          <w:tcPr>
            <w:tcW w:w="1160" w:type="dxa"/>
            <w:vAlign w:val="bottom"/>
          </w:tcPr>
          <w:p>
            <w:pPr>
              <w:jc w:val="right"/>
              <w:ind w:right="132"/>
              <w:spacing w:after="0" w:line="144"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5.9</w:t>
            </w:r>
          </w:p>
        </w:tc>
        <w:tc>
          <w:tcPr>
            <w:tcW w:w="260" w:type="dxa"/>
            <w:vAlign w:val="bottom"/>
          </w:tcPr>
          <w:p>
            <w:pPr>
              <w:spacing w:after="0"/>
              <w:rPr>
                <w:sz w:val="12"/>
                <w:szCs w:val="12"/>
                <w:color w:val="auto"/>
              </w:rPr>
            </w:pPr>
          </w:p>
        </w:tc>
        <w:tc>
          <w:tcPr>
            <w:tcW w:w="1140" w:type="dxa"/>
            <w:vAlign w:val="bottom"/>
          </w:tcPr>
          <w:p>
            <w:pPr>
              <w:jc w:val="right"/>
              <w:ind w:right="92"/>
              <w:spacing w:after="0" w:line="144" w:lineRule="exact"/>
              <w:rPr>
                <w:sz w:val="20"/>
                <w:szCs w:val="20"/>
                <w:color w:val="auto"/>
              </w:rPr>
            </w:pPr>
            <w:r>
              <w:rPr>
                <w:rFonts w:ascii="Arial" w:cs="Arial" w:eastAsia="Arial" w:hAnsi="Arial"/>
                <w:sz w:val="14"/>
                <w:szCs w:val="14"/>
                <w:color w:val="auto"/>
              </w:rPr>
              <w:t>2.4</w:t>
            </w:r>
          </w:p>
        </w:tc>
        <w:tc>
          <w:tcPr>
            <w:tcW w:w="300" w:type="dxa"/>
            <w:vAlign w:val="bottom"/>
          </w:tcPr>
          <w:p>
            <w:pPr>
              <w:spacing w:after="0"/>
              <w:rPr>
                <w:sz w:val="12"/>
                <w:szCs w:val="12"/>
                <w:color w:val="auto"/>
              </w:rPr>
            </w:pPr>
          </w:p>
        </w:tc>
        <w:tc>
          <w:tcPr>
            <w:tcW w:w="620" w:type="dxa"/>
            <w:vAlign w:val="bottom"/>
          </w:tcPr>
          <w:p>
            <w:pPr>
              <w:jc w:val="right"/>
              <w:ind w:right="72"/>
              <w:spacing w:after="0" w:line="144"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76"/>
        </w:trPr>
        <w:tc>
          <w:tcPr>
            <w:tcW w:w="2280" w:type="dxa"/>
            <w:vAlign w:val="bottom"/>
          </w:tcPr>
          <w:p>
            <w:pPr>
              <w:ind w:left="16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(3)</w:t>
            </w:r>
          </w:p>
        </w:tc>
        <w:tc>
          <w:tcPr>
            <w:tcW w:w="380" w:type="dxa"/>
            <w:vAlign w:val="bottom"/>
          </w:tcPr>
          <w:p>
            <w:pPr>
              <w:spacing w:after="0"/>
              <w:rPr>
                <w:sz w:val="15"/>
                <w:szCs w:val="15"/>
                <w:color w:val="auto"/>
              </w:rPr>
            </w:pPr>
          </w:p>
        </w:tc>
        <w:tc>
          <w:tcPr>
            <w:tcW w:w="1240" w:type="dxa"/>
            <w:vAlign w:val="bottom"/>
          </w:tcPr>
          <w:p>
            <w:pPr>
              <w:jc w:val="right"/>
              <w:ind w:right="92"/>
              <w:spacing w:after="0"/>
              <w:rPr>
                <w:sz w:val="20"/>
                <w:szCs w:val="20"/>
                <w:color w:val="auto"/>
              </w:rPr>
            </w:pPr>
            <w:r>
              <w:rPr>
                <w:rFonts w:ascii="Arial" w:cs="Arial" w:eastAsia="Arial" w:hAnsi="Arial"/>
                <w:sz w:val="14"/>
                <w:szCs w:val="14"/>
                <w:color w:val="auto"/>
              </w:rPr>
              <w:t>8.1</w:t>
            </w:r>
          </w:p>
        </w:tc>
        <w:tc>
          <w:tcPr>
            <w:tcW w:w="240" w:type="dxa"/>
            <w:vAlign w:val="bottom"/>
          </w:tcPr>
          <w:p>
            <w:pPr>
              <w:spacing w:after="0"/>
              <w:rPr>
                <w:sz w:val="15"/>
                <w:szCs w:val="15"/>
                <w:color w:val="auto"/>
              </w:rPr>
            </w:pPr>
          </w:p>
        </w:tc>
        <w:tc>
          <w:tcPr>
            <w:tcW w:w="1040" w:type="dxa"/>
            <w:vAlign w:val="bottom"/>
          </w:tcPr>
          <w:p>
            <w:pPr>
              <w:jc w:val="right"/>
              <w:ind w:right="112"/>
              <w:spacing w:after="0"/>
              <w:rPr>
                <w:sz w:val="20"/>
                <w:szCs w:val="20"/>
                <w:color w:val="auto"/>
              </w:rPr>
            </w:pPr>
            <w:r>
              <w:rPr>
                <w:rFonts w:ascii="Arial" w:cs="Arial" w:eastAsia="Arial" w:hAnsi="Arial"/>
                <w:sz w:val="14"/>
                <w:szCs w:val="14"/>
                <w:color w:val="auto"/>
              </w:rPr>
              <w:t>2.0</w:t>
            </w:r>
          </w:p>
        </w:tc>
        <w:tc>
          <w:tcPr>
            <w:tcW w:w="260" w:type="dxa"/>
            <w:vAlign w:val="bottom"/>
          </w:tcPr>
          <w:p>
            <w:pPr>
              <w:spacing w:after="0"/>
              <w:rPr>
                <w:sz w:val="15"/>
                <w:szCs w:val="15"/>
                <w:color w:val="auto"/>
              </w:rPr>
            </w:pPr>
          </w:p>
        </w:tc>
        <w:tc>
          <w:tcPr>
            <w:tcW w:w="1140" w:type="dxa"/>
            <w:vAlign w:val="bottom"/>
          </w:tcPr>
          <w:p>
            <w:pPr>
              <w:jc w:val="right"/>
              <w:ind w:right="132"/>
              <w:spacing w:after="0"/>
              <w:rPr>
                <w:sz w:val="20"/>
                <w:szCs w:val="20"/>
                <w:color w:val="auto"/>
              </w:rPr>
            </w:pPr>
            <w:r>
              <w:rPr>
                <w:rFonts w:ascii="Arial" w:cs="Arial" w:eastAsia="Arial" w:hAnsi="Arial"/>
                <w:sz w:val="14"/>
                <w:szCs w:val="14"/>
                <w:color w:val="auto"/>
              </w:rPr>
              <w:t>0.5</w:t>
            </w:r>
          </w:p>
        </w:tc>
        <w:tc>
          <w:tcPr>
            <w:tcW w:w="240" w:type="dxa"/>
            <w:vAlign w:val="bottom"/>
          </w:tcPr>
          <w:p>
            <w:pPr>
              <w:spacing w:after="0"/>
              <w:rPr>
                <w:sz w:val="15"/>
                <w:szCs w:val="15"/>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color w:val="auto"/>
              </w:rPr>
              <w:t>16.8</w:t>
            </w:r>
          </w:p>
        </w:tc>
        <w:tc>
          <w:tcPr>
            <w:tcW w:w="260" w:type="dxa"/>
            <w:vAlign w:val="bottom"/>
          </w:tcPr>
          <w:p>
            <w:pPr>
              <w:spacing w:after="0"/>
              <w:rPr>
                <w:sz w:val="15"/>
                <w:szCs w:val="15"/>
                <w:color w:val="auto"/>
              </w:rPr>
            </w:pPr>
          </w:p>
        </w:tc>
        <w:tc>
          <w:tcPr>
            <w:tcW w:w="880" w:type="dxa"/>
            <w:vAlign w:val="bottom"/>
          </w:tcPr>
          <w:p>
            <w:pPr>
              <w:jc w:val="right"/>
              <w:ind w:right="112"/>
              <w:spacing w:after="0"/>
              <w:rPr>
                <w:sz w:val="20"/>
                <w:szCs w:val="20"/>
                <w:color w:val="auto"/>
              </w:rPr>
            </w:pPr>
            <w:r>
              <w:rPr>
                <w:rFonts w:ascii="Arial" w:cs="Arial" w:eastAsia="Arial" w:hAnsi="Arial"/>
                <w:sz w:val="14"/>
                <w:szCs w:val="14"/>
                <w:color w:val="auto"/>
              </w:rPr>
              <w:t>27.4</w:t>
            </w:r>
          </w:p>
        </w:tc>
        <w:tc>
          <w:tcPr>
            <w:tcW w:w="260" w:type="dxa"/>
            <w:vAlign w:val="bottom"/>
          </w:tcPr>
          <w:p>
            <w:pPr>
              <w:spacing w:after="0"/>
              <w:rPr>
                <w:sz w:val="15"/>
                <w:szCs w:val="15"/>
                <w:color w:val="auto"/>
              </w:rPr>
            </w:pPr>
          </w:p>
        </w:tc>
        <w:tc>
          <w:tcPr>
            <w:tcW w:w="1140" w:type="dxa"/>
            <w:vAlign w:val="bottom"/>
          </w:tcPr>
          <w:p>
            <w:pPr>
              <w:jc w:val="right"/>
              <w:ind w:right="92"/>
              <w:spacing w:after="0"/>
              <w:rPr>
                <w:sz w:val="20"/>
                <w:szCs w:val="20"/>
                <w:color w:val="auto"/>
              </w:rPr>
            </w:pPr>
            <w:r>
              <w:rPr>
                <w:rFonts w:ascii="Arial" w:cs="Arial" w:eastAsia="Arial" w:hAnsi="Arial"/>
                <w:sz w:val="14"/>
                <w:szCs w:val="14"/>
                <w:color w:val="auto"/>
              </w:rPr>
              <w:t>3.3</w:t>
            </w:r>
          </w:p>
        </w:tc>
        <w:tc>
          <w:tcPr>
            <w:tcW w:w="300" w:type="dxa"/>
            <w:vAlign w:val="bottom"/>
          </w:tcPr>
          <w:p>
            <w:pPr>
              <w:spacing w:after="0"/>
              <w:rPr>
                <w:sz w:val="15"/>
                <w:szCs w:val="15"/>
                <w:color w:val="auto"/>
              </w:rPr>
            </w:pPr>
          </w:p>
        </w:tc>
        <w:tc>
          <w:tcPr>
            <w:tcW w:w="620" w:type="dxa"/>
            <w:vAlign w:val="bottom"/>
          </w:tcPr>
          <w:p>
            <w:pPr>
              <w:jc w:val="right"/>
              <w:ind w:right="72"/>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180"/>
        </w:trPr>
        <w:tc>
          <w:tcPr>
            <w:tcW w:w="2280" w:type="dxa"/>
            <w:vAlign w:val="bottom"/>
          </w:tcPr>
          <w:p>
            <w:pPr>
              <w:ind w:left="160"/>
              <w:spacing w:after="0" w:line="181"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(4)</w:t>
            </w:r>
          </w:p>
        </w:tc>
        <w:tc>
          <w:tcPr>
            <w:tcW w:w="380" w:type="dxa"/>
            <w:vAlign w:val="bottom"/>
          </w:tcPr>
          <w:p>
            <w:pPr>
              <w:spacing w:after="0"/>
              <w:rPr>
                <w:sz w:val="15"/>
                <w:szCs w:val="15"/>
                <w:color w:val="auto"/>
              </w:rPr>
            </w:pPr>
          </w:p>
        </w:tc>
        <w:tc>
          <w:tcPr>
            <w:tcW w:w="1240" w:type="dxa"/>
            <w:vAlign w:val="bottom"/>
          </w:tcPr>
          <w:p>
            <w:pPr>
              <w:jc w:val="right"/>
              <w:ind w:right="92"/>
              <w:spacing w:after="0"/>
              <w:rPr>
                <w:sz w:val="20"/>
                <w:szCs w:val="20"/>
                <w:color w:val="auto"/>
              </w:rPr>
            </w:pPr>
            <w:r>
              <w:rPr>
                <w:rFonts w:ascii="Arial" w:cs="Arial" w:eastAsia="Arial" w:hAnsi="Arial"/>
                <w:sz w:val="14"/>
                <w:szCs w:val="14"/>
                <w:color w:val="auto"/>
              </w:rPr>
              <w:t>5.5</w:t>
            </w:r>
          </w:p>
        </w:tc>
        <w:tc>
          <w:tcPr>
            <w:tcW w:w="240" w:type="dxa"/>
            <w:vAlign w:val="bottom"/>
          </w:tcPr>
          <w:p>
            <w:pPr>
              <w:spacing w:after="0"/>
              <w:rPr>
                <w:sz w:val="15"/>
                <w:szCs w:val="15"/>
                <w:color w:val="auto"/>
              </w:rPr>
            </w:pPr>
          </w:p>
        </w:tc>
        <w:tc>
          <w:tcPr>
            <w:tcW w:w="1040" w:type="dxa"/>
            <w:vAlign w:val="bottom"/>
          </w:tcPr>
          <w:p>
            <w:pPr>
              <w:jc w:val="right"/>
              <w:ind w:right="112"/>
              <w:spacing w:after="0"/>
              <w:rPr>
                <w:sz w:val="20"/>
                <w:szCs w:val="20"/>
                <w:color w:val="auto"/>
              </w:rPr>
            </w:pPr>
            <w:r>
              <w:rPr>
                <w:rFonts w:ascii="Arial" w:cs="Arial" w:eastAsia="Arial" w:hAnsi="Arial"/>
                <w:sz w:val="14"/>
                <w:szCs w:val="14"/>
                <w:color w:val="auto"/>
              </w:rPr>
              <w:t>10.6</w:t>
            </w:r>
          </w:p>
        </w:tc>
        <w:tc>
          <w:tcPr>
            <w:tcW w:w="260" w:type="dxa"/>
            <w:vAlign w:val="bottom"/>
          </w:tcPr>
          <w:p>
            <w:pPr>
              <w:spacing w:after="0"/>
              <w:rPr>
                <w:sz w:val="15"/>
                <w:szCs w:val="15"/>
                <w:color w:val="auto"/>
              </w:rPr>
            </w:pPr>
          </w:p>
        </w:tc>
        <w:tc>
          <w:tcPr>
            <w:tcW w:w="1140" w:type="dxa"/>
            <w:vAlign w:val="bottom"/>
          </w:tcPr>
          <w:p>
            <w:pPr>
              <w:jc w:val="right"/>
              <w:ind w:right="132"/>
              <w:spacing w:after="0"/>
              <w:rPr>
                <w:sz w:val="20"/>
                <w:szCs w:val="20"/>
                <w:color w:val="auto"/>
              </w:rPr>
            </w:pPr>
            <w:r>
              <w:rPr>
                <w:rFonts w:ascii="Arial" w:cs="Arial" w:eastAsia="Arial" w:hAnsi="Arial"/>
                <w:sz w:val="14"/>
                <w:szCs w:val="14"/>
                <w:color w:val="auto"/>
              </w:rPr>
              <w:t>3.5</w:t>
            </w:r>
          </w:p>
        </w:tc>
        <w:tc>
          <w:tcPr>
            <w:tcW w:w="240" w:type="dxa"/>
            <w:vAlign w:val="bottom"/>
          </w:tcPr>
          <w:p>
            <w:pPr>
              <w:spacing w:after="0"/>
              <w:rPr>
                <w:sz w:val="15"/>
                <w:szCs w:val="15"/>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ind w:right="112"/>
              <w:spacing w:after="0"/>
              <w:rPr>
                <w:sz w:val="20"/>
                <w:szCs w:val="20"/>
                <w:color w:val="auto"/>
              </w:rPr>
            </w:pPr>
            <w:r>
              <w:rPr>
                <w:rFonts w:ascii="Arial" w:cs="Arial" w:eastAsia="Arial" w:hAnsi="Arial"/>
                <w:sz w:val="14"/>
                <w:szCs w:val="14"/>
                <w:color w:val="auto"/>
              </w:rPr>
              <w:t>19.6</w:t>
            </w:r>
          </w:p>
        </w:tc>
        <w:tc>
          <w:tcPr>
            <w:tcW w:w="260" w:type="dxa"/>
            <w:vAlign w:val="bottom"/>
          </w:tcPr>
          <w:p>
            <w:pPr>
              <w:spacing w:after="0"/>
              <w:rPr>
                <w:sz w:val="15"/>
                <w:szCs w:val="15"/>
                <w:color w:val="auto"/>
              </w:rPr>
            </w:pPr>
          </w:p>
        </w:tc>
        <w:tc>
          <w:tcPr>
            <w:tcW w:w="1140" w:type="dxa"/>
            <w:vAlign w:val="bottom"/>
          </w:tcPr>
          <w:p>
            <w:pPr>
              <w:jc w:val="right"/>
              <w:ind w:right="92"/>
              <w:spacing w:after="0"/>
              <w:rPr>
                <w:sz w:val="20"/>
                <w:szCs w:val="20"/>
                <w:color w:val="auto"/>
              </w:rPr>
            </w:pPr>
            <w:r>
              <w:rPr>
                <w:rFonts w:ascii="Arial" w:cs="Arial" w:eastAsia="Arial" w:hAnsi="Arial"/>
                <w:sz w:val="14"/>
                <w:szCs w:val="14"/>
                <w:color w:val="auto"/>
              </w:rPr>
              <w:t>1.1</w:t>
            </w:r>
          </w:p>
        </w:tc>
        <w:tc>
          <w:tcPr>
            <w:tcW w:w="300" w:type="dxa"/>
            <w:vAlign w:val="bottom"/>
          </w:tcPr>
          <w:p>
            <w:pPr>
              <w:spacing w:after="0"/>
              <w:rPr>
                <w:sz w:val="15"/>
                <w:szCs w:val="15"/>
                <w:color w:val="auto"/>
              </w:rPr>
            </w:pPr>
          </w:p>
        </w:tc>
        <w:tc>
          <w:tcPr>
            <w:tcW w:w="620" w:type="dxa"/>
            <w:vAlign w:val="bottom"/>
          </w:tcPr>
          <w:p>
            <w:pPr>
              <w:jc w:val="right"/>
              <w:ind w:right="72"/>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149"/>
        </w:trPr>
        <w:tc>
          <w:tcPr>
            <w:tcW w:w="2280" w:type="dxa"/>
            <w:vAlign w:val="bottom"/>
          </w:tcPr>
          <w:p>
            <w:pPr>
              <w:ind w:left="160"/>
              <w:spacing w:after="0" w:line="149" w:lineRule="exact"/>
              <w:rPr>
                <w:sz w:val="20"/>
                <w:szCs w:val="20"/>
                <w:color w:val="auto"/>
              </w:rPr>
            </w:pPr>
            <w:r>
              <w:rPr>
                <w:rFonts w:ascii="Arial" w:cs="Arial" w:eastAsia="Arial" w:hAnsi="Arial"/>
                <w:sz w:val="14"/>
                <w:szCs w:val="14"/>
                <w:color w:val="auto"/>
              </w:rPr>
              <w:t>Royalty advances expensed</w:t>
            </w:r>
          </w:p>
        </w:tc>
        <w:tc>
          <w:tcPr>
            <w:tcW w:w="380" w:type="dxa"/>
            <w:vAlign w:val="bottom"/>
          </w:tcPr>
          <w:p>
            <w:pPr>
              <w:spacing w:after="0"/>
              <w:rPr>
                <w:sz w:val="12"/>
                <w:szCs w:val="12"/>
                <w:color w:val="auto"/>
              </w:rPr>
            </w:pPr>
          </w:p>
        </w:tc>
        <w:tc>
          <w:tcPr>
            <w:tcW w:w="12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12.2</w:t>
            </w:r>
          </w:p>
        </w:tc>
        <w:tc>
          <w:tcPr>
            <w:tcW w:w="240" w:type="dxa"/>
            <w:vAlign w:val="bottom"/>
          </w:tcPr>
          <w:p>
            <w:pPr>
              <w:spacing w:after="0"/>
              <w:rPr>
                <w:sz w:val="12"/>
                <w:szCs w:val="12"/>
                <w:color w:val="auto"/>
              </w:rPr>
            </w:pPr>
          </w:p>
        </w:tc>
        <w:tc>
          <w:tcPr>
            <w:tcW w:w="10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0.5</w:t>
            </w:r>
          </w:p>
        </w:tc>
        <w:tc>
          <w:tcPr>
            <w:tcW w:w="260" w:type="dxa"/>
            <w:vAlign w:val="bottom"/>
          </w:tcPr>
          <w:p>
            <w:pPr>
              <w:spacing w:after="0"/>
              <w:rPr>
                <w:sz w:val="12"/>
                <w:szCs w:val="12"/>
                <w:color w:val="auto"/>
              </w:rPr>
            </w:pPr>
          </w:p>
        </w:tc>
        <w:tc>
          <w:tcPr>
            <w:tcW w:w="11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0.4</w:t>
            </w:r>
          </w:p>
        </w:tc>
        <w:tc>
          <w:tcPr>
            <w:tcW w:w="240" w:type="dxa"/>
            <w:vAlign w:val="bottom"/>
          </w:tcPr>
          <w:p>
            <w:pPr>
              <w:spacing w:after="0"/>
              <w:rPr>
                <w:sz w:val="12"/>
                <w:szCs w:val="12"/>
                <w:color w:val="auto"/>
              </w:rPr>
            </w:pPr>
          </w:p>
        </w:tc>
        <w:tc>
          <w:tcPr>
            <w:tcW w:w="11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13.1</w:t>
            </w:r>
          </w:p>
        </w:tc>
        <w:tc>
          <w:tcPr>
            <w:tcW w:w="260" w:type="dxa"/>
            <w:vAlign w:val="bottom"/>
          </w:tcPr>
          <w:p>
            <w:pPr>
              <w:spacing w:after="0"/>
              <w:rPr>
                <w:sz w:val="12"/>
                <w:szCs w:val="12"/>
                <w:color w:val="auto"/>
              </w:rPr>
            </w:pPr>
          </w:p>
        </w:tc>
        <w:tc>
          <w:tcPr>
            <w:tcW w:w="11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2.1</w:t>
            </w:r>
          </w:p>
        </w:tc>
        <w:tc>
          <w:tcPr>
            <w:tcW w:w="300" w:type="dxa"/>
            <w:vAlign w:val="bottom"/>
          </w:tcPr>
          <w:p>
            <w:pPr>
              <w:spacing w:after="0"/>
              <w:rPr>
                <w:sz w:val="12"/>
                <w:szCs w:val="12"/>
                <w:color w:val="auto"/>
              </w:rPr>
            </w:pP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49"/>
        </w:trPr>
        <w:tc>
          <w:tcPr>
            <w:tcW w:w="2280" w:type="dxa"/>
            <w:vAlign w:val="bottom"/>
          </w:tcPr>
          <w:p>
            <w:pPr>
              <w:ind w:left="160"/>
              <w:spacing w:after="0" w:line="149" w:lineRule="exact"/>
              <w:rPr>
                <w:sz w:val="20"/>
                <w:szCs w:val="20"/>
                <w:color w:val="auto"/>
              </w:rPr>
            </w:pPr>
            <w:r>
              <w:rPr>
                <w:rFonts w:ascii="Arial" w:cs="Arial" w:eastAsia="Arial" w:hAnsi="Arial"/>
                <w:sz w:val="14"/>
                <w:szCs w:val="14"/>
                <w:color w:val="auto"/>
              </w:rPr>
              <w:t>Operating income (loss)</w:t>
            </w:r>
          </w:p>
        </w:tc>
        <w:tc>
          <w:tcPr>
            <w:tcW w:w="380" w:type="dxa"/>
            <w:vAlign w:val="bottom"/>
          </w:tcPr>
          <w:p>
            <w:pPr>
              <w:spacing w:after="0"/>
              <w:rPr>
                <w:sz w:val="12"/>
                <w:szCs w:val="12"/>
                <w:color w:val="auto"/>
              </w:rPr>
            </w:pPr>
          </w:p>
        </w:tc>
        <w:tc>
          <w:tcPr>
            <w:tcW w:w="12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50.5</w:t>
            </w:r>
          </w:p>
        </w:tc>
        <w:tc>
          <w:tcPr>
            <w:tcW w:w="240" w:type="dxa"/>
            <w:vAlign w:val="bottom"/>
          </w:tcPr>
          <w:p>
            <w:pPr>
              <w:spacing w:after="0"/>
              <w:rPr>
                <w:sz w:val="12"/>
                <w:szCs w:val="12"/>
                <w:color w:val="auto"/>
              </w:rPr>
            </w:pPr>
          </w:p>
        </w:tc>
        <w:tc>
          <w:tcPr>
            <w:tcW w:w="10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35.3</w:t>
            </w:r>
          </w:p>
        </w:tc>
        <w:tc>
          <w:tcPr>
            <w:tcW w:w="260" w:type="dxa"/>
            <w:vAlign w:val="bottom"/>
          </w:tcPr>
          <w:p>
            <w:pPr>
              <w:spacing w:after="0"/>
              <w:rPr>
                <w:sz w:val="12"/>
                <w:szCs w:val="12"/>
                <w:color w:val="auto"/>
              </w:rPr>
            </w:pPr>
          </w:p>
        </w:tc>
        <w:tc>
          <w:tcPr>
            <w:tcW w:w="11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(0.8)</w:t>
            </w:r>
          </w:p>
        </w:tc>
        <w:tc>
          <w:tcPr>
            <w:tcW w:w="240" w:type="dxa"/>
            <w:vAlign w:val="bottom"/>
          </w:tcPr>
          <w:p>
            <w:pPr>
              <w:spacing w:after="0"/>
              <w:rPr>
                <w:sz w:val="12"/>
                <w:szCs w:val="12"/>
                <w:color w:val="auto"/>
              </w:rPr>
            </w:pPr>
          </w:p>
        </w:tc>
        <w:tc>
          <w:tcPr>
            <w:tcW w:w="11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(50.0)</w:t>
            </w:r>
          </w:p>
        </w:tc>
        <w:tc>
          <w:tcPr>
            <w:tcW w:w="260" w:type="dxa"/>
            <w:vAlign w:val="bottom"/>
          </w:tcPr>
          <w:p>
            <w:pPr>
              <w:spacing w:after="0"/>
              <w:rPr>
                <w:sz w:val="12"/>
                <w:szCs w:val="12"/>
                <w:color w:val="auto"/>
              </w:rPr>
            </w:pP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35.0</w:t>
            </w:r>
          </w:p>
        </w:tc>
        <w:tc>
          <w:tcPr>
            <w:tcW w:w="260" w:type="dxa"/>
            <w:vAlign w:val="bottom"/>
          </w:tcPr>
          <w:p>
            <w:pPr>
              <w:spacing w:after="0"/>
              <w:rPr>
                <w:sz w:val="12"/>
                <w:szCs w:val="12"/>
                <w:color w:val="auto"/>
              </w:rPr>
            </w:pPr>
          </w:p>
        </w:tc>
        <w:tc>
          <w:tcPr>
            <w:tcW w:w="11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10.7</w:t>
            </w:r>
          </w:p>
        </w:tc>
        <w:tc>
          <w:tcPr>
            <w:tcW w:w="300" w:type="dxa"/>
            <w:vAlign w:val="bottom"/>
          </w:tcPr>
          <w:p>
            <w:pPr>
              <w:spacing w:after="0"/>
              <w:rPr>
                <w:sz w:val="12"/>
                <w:szCs w:val="12"/>
                <w:color w:val="auto"/>
              </w:rPr>
            </w:pP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45.7</w:t>
            </w:r>
          </w:p>
        </w:tc>
        <w:tc>
          <w:tcPr>
            <w:tcW w:w="0" w:type="dxa"/>
            <w:vAlign w:val="bottom"/>
          </w:tcPr>
          <w:p>
            <w:pPr>
              <w:spacing w:after="0"/>
              <w:rPr>
                <w:sz w:val="1"/>
                <w:szCs w:val="1"/>
                <w:color w:val="auto"/>
              </w:rPr>
            </w:pPr>
          </w:p>
        </w:tc>
      </w:tr>
      <w:tr>
        <w:trPr>
          <w:trHeight w:val="149"/>
        </w:trPr>
        <w:tc>
          <w:tcPr>
            <w:tcW w:w="2280" w:type="dxa"/>
            <w:vAlign w:val="bottom"/>
          </w:tcPr>
          <w:p>
            <w:pPr>
              <w:ind w:left="160"/>
              <w:spacing w:after="0" w:line="149" w:lineRule="exact"/>
              <w:rPr>
                <w:sz w:val="20"/>
                <w:szCs w:val="20"/>
                <w:color w:val="auto"/>
              </w:rPr>
            </w:pPr>
            <w:r>
              <w:rPr>
                <w:rFonts w:ascii="Arial" w:cs="Arial" w:eastAsia="Arial" w:hAnsi="Arial"/>
                <w:sz w:val="14"/>
                <w:szCs w:val="14"/>
                <w:color w:val="auto"/>
              </w:rPr>
              <w:t>Segment assets</w:t>
            </w:r>
          </w:p>
        </w:tc>
        <w:tc>
          <w:tcPr>
            <w:tcW w:w="380" w:type="dxa"/>
            <w:vAlign w:val="bottom"/>
          </w:tcPr>
          <w:p>
            <w:pPr>
              <w:spacing w:after="0"/>
              <w:rPr>
                <w:sz w:val="12"/>
                <w:szCs w:val="12"/>
                <w:color w:val="auto"/>
              </w:rPr>
            </w:pPr>
          </w:p>
        </w:tc>
        <w:tc>
          <w:tcPr>
            <w:tcW w:w="12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591.9</w:t>
            </w:r>
          </w:p>
        </w:tc>
        <w:tc>
          <w:tcPr>
            <w:tcW w:w="240" w:type="dxa"/>
            <w:vAlign w:val="bottom"/>
          </w:tcPr>
          <w:p>
            <w:pPr>
              <w:spacing w:after="0"/>
              <w:rPr>
                <w:sz w:val="12"/>
                <w:szCs w:val="12"/>
                <w:color w:val="auto"/>
              </w:rPr>
            </w:pPr>
          </w:p>
        </w:tc>
        <w:tc>
          <w:tcPr>
            <w:tcW w:w="10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314.9</w:t>
            </w:r>
          </w:p>
        </w:tc>
        <w:tc>
          <w:tcPr>
            <w:tcW w:w="260" w:type="dxa"/>
            <w:vAlign w:val="bottom"/>
          </w:tcPr>
          <w:p>
            <w:pPr>
              <w:spacing w:after="0"/>
              <w:rPr>
                <w:sz w:val="12"/>
                <w:szCs w:val="12"/>
                <w:color w:val="auto"/>
              </w:rPr>
            </w:pPr>
          </w:p>
        </w:tc>
        <w:tc>
          <w:tcPr>
            <w:tcW w:w="11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83.2</w:t>
            </w:r>
          </w:p>
        </w:tc>
        <w:tc>
          <w:tcPr>
            <w:tcW w:w="240" w:type="dxa"/>
            <w:vAlign w:val="bottom"/>
          </w:tcPr>
          <w:p>
            <w:pPr>
              <w:spacing w:after="0"/>
              <w:rPr>
                <w:sz w:val="12"/>
                <w:szCs w:val="12"/>
                <w:color w:val="auto"/>
              </w:rPr>
            </w:pPr>
          </w:p>
        </w:tc>
        <w:tc>
          <w:tcPr>
            <w:tcW w:w="11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453.0</w:t>
            </w:r>
          </w:p>
        </w:tc>
        <w:tc>
          <w:tcPr>
            <w:tcW w:w="260" w:type="dxa"/>
            <w:vAlign w:val="bottom"/>
          </w:tcPr>
          <w:p>
            <w:pPr>
              <w:spacing w:after="0"/>
              <w:rPr>
                <w:sz w:val="12"/>
                <w:szCs w:val="12"/>
                <w:color w:val="auto"/>
              </w:rPr>
            </w:pP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1,443.0</w:t>
            </w:r>
          </w:p>
        </w:tc>
        <w:tc>
          <w:tcPr>
            <w:tcW w:w="260" w:type="dxa"/>
            <w:vAlign w:val="bottom"/>
          </w:tcPr>
          <w:p>
            <w:pPr>
              <w:spacing w:after="0"/>
              <w:rPr>
                <w:sz w:val="12"/>
                <w:szCs w:val="12"/>
                <w:color w:val="auto"/>
              </w:rPr>
            </w:pPr>
          </w:p>
        </w:tc>
        <w:tc>
          <w:tcPr>
            <w:tcW w:w="11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273.4</w:t>
            </w:r>
          </w:p>
        </w:tc>
        <w:tc>
          <w:tcPr>
            <w:tcW w:w="300" w:type="dxa"/>
            <w:vAlign w:val="bottom"/>
          </w:tcPr>
          <w:p>
            <w:pPr>
              <w:spacing w:after="0"/>
              <w:rPr>
                <w:sz w:val="12"/>
                <w:szCs w:val="12"/>
                <w:color w:val="auto"/>
              </w:rPr>
            </w:pP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color w:val="auto"/>
                <w:w w:val="98"/>
              </w:rPr>
              <w:t>1,716.4</w:t>
            </w:r>
          </w:p>
        </w:tc>
        <w:tc>
          <w:tcPr>
            <w:tcW w:w="0" w:type="dxa"/>
            <w:vAlign w:val="bottom"/>
          </w:tcPr>
          <w:p>
            <w:pPr>
              <w:spacing w:after="0"/>
              <w:rPr>
                <w:sz w:val="1"/>
                <w:szCs w:val="1"/>
                <w:color w:val="auto"/>
              </w:rPr>
            </w:pPr>
          </w:p>
        </w:tc>
      </w:tr>
      <w:tr>
        <w:trPr>
          <w:trHeight w:val="149"/>
        </w:trPr>
        <w:tc>
          <w:tcPr>
            <w:tcW w:w="2280" w:type="dxa"/>
            <w:vAlign w:val="bottom"/>
          </w:tcPr>
          <w:p>
            <w:pPr>
              <w:ind w:left="160"/>
              <w:spacing w:after="0" w:line="149" w:lineRule="exact"/>
              <w:rPr>
                <w:sz w:val="20"/>
                <w:szCs w:val="20"/>
                <w:color w:val="auto"/>
              </w:rPr>
            </w:pPr>
            <w:r>
              <w:rPr>
                <w:rFonts w:ascii="Arial" w:cs="Arial" w:eastAsia="Arial" w:hAnsi="Arial"/>
                <w:sz w:val="14"/>
                <w:szCs w:val="14"/>
                <w:color w:val="auto"/>
              </w:rPr>
              <w:t>Goodwill</w:t>
            </w:r>
          </w:p>
        </w:tc>
        <w:tc>
          <w:tcPr>
            <w:tcW w:w="380" w:type="dxa"/>
            <w:vAlign w:val="bottom"/>
          </w:tcPr>
          <w:p>
            <w:pPr>
              <w:spacing w:after="0"/>
              <w:rPr>
                <w:sz w:val="12"/>
                <w:szCs w:val="12"/>
                <w:color w:val="auto"/>
              </w:rPr>
            </w:pPr>
          </w:p>
        </w:tc>
        <w:tc>
          <w:tcPr>
            <w:tcW w:w="12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38.2</w:t>
            </w:r>
          </w:p>
        </w:tc>
        <w:tc>
          <w:tcPr>
            <w:tcW w:w="240" w:type="dxa"/>
            <w:vAlign w:val="bottom"/>
          </w:tcPr>
          <w:p>
            <w:pPr>
              <w:spacing w:after="0"/>
              <w:rPr>
                <w:sz w:val="12"/>
                <w:szCs w:val="12"/>
                <w:color w:val="auto"/>
              </w:rPr>
            </w:pPr>
          </w:p>
        </w:tc>
        <w:tc>
          <w:tcPr>
            <w:tcW w:w="10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89.1</w:t>
            </w:r>
          </w:p>
        </w:tc>
        <w:tc>
          <w:tcPr>
            <w:tcW w:w="260" w:type="dxa"/>
            <w:vAlign w:val="bottom"/>
          </w:tcPr>
          <w:p>
            <w:pPr>
              <w:spacing w:after="0"/>
              <w:rPr>
                <w:sz w:val="12"/>
                <w:szCs w:val="12"/>
                <w:color w:val="auto"/>
              </w:rPr>
            </w:pPr>
          </w:p>
        </w:tc>
        <w:tc>
          <w:tcPr>
            <w:tcW w:w="11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5.8</w:t>
            </w:r>
          </w:p>
        </w:tc>
        <w:tc>
          <w:tcPr>
            <w:tcW w:w="240" w:type="dxa"/>
            <w:vAlign w:val="bottom"/>
          </w:tcPr>
          <w:p>
            <w:pPr>
              <w:spacing w:after="0"/>
              <w:rPr>
                <w:sz w:val="12"/>
                <w:szCs w:val="12"/>
                <w:color w:val="auto"/>
              </w:rPr>
            </w:pPr>
          </w:p>
        </w:tc>
        <w:tc>
          <w:tcPr>
            <w:tcW w:w="11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133.1</w:t>
            </w:r>
          </w:p>
        </w:tc>
        <w:tc>
          <w:tcPr>
            <w:tcW w:w="260" w:type="dxa"/>
            <w:vAlign w:val="bottom"/>
          </w:tcPr>
          <w:p>
            <w:pPr>
              <w:spacing w:after="0"/>
              <w:rPr>
                <w:sz w:val="12"/>
                <w:szCs w:val="12"/>
                <w:color w:val="auto"/>
              </w:rPr>
            </w:pPr>
          </w:p>
        </w:tc>
        <w:tc>
          <w:tcPr>
            <w:tcW w:w="11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26.6</w:t>
            </w:r>
          </w:p>
        </w:tc>
        <w:tc>
          <w:tcPr>
            <w:tcW w:w="300" w:type="dxa"/>
            <w:vAlign w:val="bottom"/>
          </w:tcPr>
          <w:p>
            <w:pPr>
              <w:spacing w:after="0"/>
              <w:rPr>
                <w:sz w:val="12"/>
                <w:szCs w:val="12"/>
                <w:color w:val="auto"/>
              </w:rPr>
            </w:pP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159.7</w:t>
            </w:r>
          </w:p>
        </w:tc>
        <w:tc>
          <w:tcPr>
            <w:tcW w:w="0" w:type="dxa"/>
            <w:vAlign w:val="bottom"/>
          </w:tcPr>
          <w:p>
            <w:pPr>
              <w:spacing w:after="0"/>
              <w:rPr>
                <w:sz w:val="1"/>
                <w:szCs w:val="1"/>
                <w:color w:val="auto"/>
              </w:rPr>
            </w:pPr>
          </w:p>
        </w:tc>
      </w:tr>
      <w:tr>
        <w:trPr>
          <w:trHeight w:val="144"/>
        </w:trPr>
        <w:tc>
          <w:tcPr>
            <w:tcW w:w="2280" w:type="dxa"/>
            <w:vAlign w:val="bottom"/>
          </w:tcPr>
          <w:p>
            <w:pPr>
              <w:ind w:left="160"/>
              <w:spacing w:after="0" w:line="144" w:lineRule="exact"/>
              <w:rPr>
                <w:sz w:val="20"/>
                <w:szCs w:val="20"/>
                <w:color w:val="auto"/>
              </w:rPr>
            </w:pPr>
            <w:r>
              <w:rPr>
                <w:rFonts w:ascii="Arial" w:cs="Arial" w:eastAsia="Arial" w:hAnsi="Arial"/>
                <w:sz w:val="14"/>
                <w:szCs w:val="14"/>
                <w:color w:val="auto"/>
                <w:w w:val="99"/>
              </w:rPr>
              <w:t>Expenditures for long-lived assets</w:t>
            </w:r>
          </w:p>
        </w:tc>
        <w:tc>
          <w:tcPr>
            <w:tcW w:w="380" w:type="dxa"/>
            <w:vAlign w:val="bottom"/>
          </w:tcPr>
          <w:p>
            <w:pPr>
              <w:spacing w:after="0"/>
              <w:rPr>
                <w:sz w:val="12"/>
                <w:szCs w:val="12"/>
                <w:color w:val="auto"/>
              </w:rPr>
            </w:pPr>
          </w:p>
        </w:tc>
        <w:tc>
          <w:tcPr>
            <w:tcW w:w="1240" w:type="dxa"/>
            <w:vAlign w:val="bottom"/>
          </w:tcPr>
          <w:p>
            <w:pPr>
              <w:jc w:val="right"/>
              <w:ind w:right="92"/>
              <w:spacing w:after="0" w:line="144" w:lineRule="exact"/>
              <w:rPr>
                <w:sz w:val="20"/>
                <w:szCs w:val="20"/>
                <w:color w:val="auto"/>
              </w:rPr>
            </w:pPr>
            <w:r>
              <w:rPr>
                <w:rFonts w:ascii="Arial" w:cs="Arial" w:eastAsia="Arial" w:hAnsi="Arial"/>
                <w:sz w:val="14"/>
                <w:szCs w:val="14"/>
                <w:color w:val="auto"/>
              </w:rPr>
              <w:t>24.8</w:t>
            </w:r>
          </w:p>
        </w:tc>
        <w:tc>
          <w:tcPr>
            <w:tcW w:w="240" w:type="dxa"/>
            <w:vAlign w:val="bottom"/>
          </w:tcPr>
          <w:p>
            <w:pPr>
              <w:spacing w:after="0"/>
              <w:rPr>
                <w:sz w:val="12"/>
                <w:szCs w:val="12"/>
                <w:color w:val="auto"/>
              </w:rPr>
            </w:pPr>
          </w:p>
        </w:tc>
        <w:tc>
          <w:tcPr>
            <w:tcW w:w="104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15.4</w:t>
            </w:r>
          </w:p>
        </w:tc>
        <w:tc>
          <w:tcPr>
            <w:tcW w:w="260" w:type="dxa"/>
            <w:vAlign w:val="bottom"/>
          </w:tcPr>
          <w:p>
            <w:pPr>
              <w:spacing w:after="0"/>
              <w:rPr>
                <w:sz w:val="12"/>
                <w:szCs w:val="12"/>
                <w:color w:val="auto"/>
              </w:rPr>
            </w:pPr>
          </w:p>
        </w:tc>
        <w:tc>
          <w:tcPr>
            <w:tcW w:w="1140" w:type="dxa"/>
            <w:vAlign w:val="bottom"/>
          </w:tcPr>
          <w:p>
            <w:pPr>
              <w:jc w:val="right"/>
              <w:ind w:right="132"/>
              <w:spacing w:after="0" w:line="144" w:lineRule="exact"/>
              <w:rPr>
                <w:sz w:val="20"/>
                <w:szCs w:val="20"/>
                <w:color w:val="auto"/>
              </w:rPr>
            </w:pPr>
            <w:r>
              <w:rPr>
                <w:rFonts w:ascii="Arial" w:cs="Arial" w:eastAsia="Arial" w:hAnsi="Arial"/>
                <w:sz w:val="14"/>
                <w:szCs w:val="14"/>
                <w:color w:val="auto"/>
              </w:rPr>
              <w:t>6.7</w:t>
            </w:r>
          </w:p>
        </w:tc>
        <w:tc>
          <w:tcPr>
            <w:tcW w:w="240" w:type="dxa"/>
            <w:vAlign w:val="bottom"/>
          </w:tcPr>
          <w:p>
            <w:pPr>
              <w:spacing w:after="0"/>
              <w:rPr>
                <w:sz w:val="12"/>
                <w:szCs w:val="12"/>
                <w:color w:val="auto"/>
              </w:rPr>
            </w:pPr>
          </w:p>
        </w:tc>
        <w:tc>
          <w:tcPr>
            <w:tcW w:w="1160" w:type="dxa"/>
            <w:vAlign w:val="bottom"/>
          </w:tcPr>
          <w:p>
            <w:pPr>
              <w:jc w:val="right"/>
              <w:ind w:right="132"/>
              <w:spacing w:after="0" w:line="144" w:lineRule="exact"/>
              <w:rPr>
                <w:sz w:val="20"/>
                <w:szCs w:val="20"/>
                <w:color w:val="auto"/>
              </w:rPr>
            </w:pPr>
            <w:r>
              <w:rPr>
                <w:rFonts w:ascii="Arial" w:cs="Arial" w:eastAsia="Arial" w:hAnsi="Arial"/>
                <w:sz w:val="14"/>
                <w:szCs w:val="14"/>
                <w:color w:val="auto"/>
              </w:rPr>
              <w:t>12.8</w:t>
            </w:r>
          </w:p>
        </w:tc>
        <w:tc>
          <w:tcPr>
            <w:tcW w:w="260" w:type="dxa"/>
            <w:vAlign w:val="bottom"/>
          </w:tcPr>
          <w:p>
            <w:pPr>
              <w:spacing w:after="0"/>
              <w:rPr>
                <w:sz w:val="12"/>
                <w:szCs w:val="12"/>
                <w:color w:val="auto"/>
              </w:rPr>
            </w:pPr>
          </w:p>
        </w:tc>
        <w:tc>
          <w:tcPr>
            <w:tcW w:w="88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59.7</w:t>
            </w:r>
          </w:p>
        </w:tc>
        <w:tc>
          <w:tcPr>
            <w:tcW w:w="260" w:type="dxa"/>
            <w:vAlign w:val="bottom"/>
          </w:tcPr>
          <w:p>
            <w:pPr>
              <w:spacing w:after="0"/>
              <w:rPr>
                <w:sz w:val="12"/>
                <w:szCs w:val="12"/>
                <w:color w:val="auto"/>
              </w:rPr>
            </w:pPr>
          </w:p>
        </w:tc>
        <w:tc>
          <w:tcPr>
            <w:tcW w:w="1140" w:type="dxa"/>
            <w:vAlign w:val="bottom"/>
          </w:tcPr>
          <w:p>
            <w:pPr>
              <w:jc w:val="right"/>
              <w:ind w:right="92"/>
              <w:spacing w:after="0" w:line="144" w:lineRule="exact"/>
              <w:rPr>
                <w:sz w:val="20"/>
                <w:szCs w:val="20"/>
                <w:color w:val="auto"/>
              </w:rPr>
            </w:pPr>
            <w:r>
              <w:rPr>
                <w:rFonts w:ascii="Arial" w:cs="Arial" w:eastAsia="Arial" w:hAnsi="Arial"/>
                <w:sz w:val="14"/>
                <w:szCs w:val="14"/>
                <w:color w:val="auto"/>
              </w:rPr>
              <w:t>5.9</w:t>
            </w:r>
          </w:p>
        </w:tc>
        <w:tc>
          <w:tcPr>
            <w:tcW w:w="300" w:type="dxa"/>
            <w:vAlign w:val="bottom"/>
          </w:tcPr>
          <w:p>
            <w:pPr>
              <w:spacing w:after="0"/>
              <w:rPr>
                <w:sz w:val="12"/>
                <w:szCs w:val="12"/>
                <w:color w:val="auto"/>
              </w:rPr>
            </w:pPr>
          </w:p>
        </w:tc>
        <w:tc>
          <w:tcPr>
            <w:tcW w:w="620" w:type="dxa"/>
            <w:vAlign w:val="bottom"/>
          </w:tcPr>
          <w:p>
            <w:pPr>
              <w:jc w:val="right"/>
              <w:ind w:right="72"/>
              <w:spacing w:after="0" w:line="144" w:lineRule="exact"/>
              <w:rPr>
                <w:sz w:val="20"/>
                <w:szCs w:val="20"/>
                <w:color w:val="auto"/>
              </w:rPr>
            </w:pPr>
            <w:r>
              <w:rPr>
                <w:rFonts w:ascii="Arial" w:cs="Arial" w:eastAsia="Arial" w:hAnsi="Arial"/>
                <w:sz w:val="14"/>
                <w:szCs w:val="14"/>
                <w:color w:val="auto"/>
              </w:rPr>
              <w:t>65.6</w:t>
            </w:r>
          </w:p>
        </w:tc>
        <w:tc>
          <w:tcPr>
            <w:tcW w:w="0" w:type="dxa"/>
            <w:vAlign w:val="bottom"/>
          </w:tcPr>
          <w:p>
            <w:pPr>
              <w:spacing w:after="0"/>
              <w:rPr>
                <w:sz w:val="1"/>
                <w:szCs w:val="1"/>
                <w:color w:val="auto"/>
              </w:rPr>
            </w:pPr>
          </w:p>
        </w:tc>
      </w:tr>
      <w:tr>
        <w:trPr>
          <w:trHeight w:val="296"/>
        </w:trPr>
        <w:tc>
          <w:tcPr>
            <w:tcW w:w="2280" w:type="dxa"/>
            <w:vAlign w:val="bottom"/>
            <w:tcBorders>
              <w:bottom w:val="single" w:sz="8" w:color="808080"/>
            </w:tcBorders>
          </w:tcPr>
          <w:p>
            <w:pPr>
              <w:ind w:left="160"/>
              <w:spacing w:after="0"/>
              <w:rPr>
                <w:sz w:val="20"/>
                <w:szCs w:val="20"/>
                <w:color w:val="auto"/>
              </w:rPr>
            </w:pPr>
            <w:r>
              <w:rPr>
                <w:rFonts w:ascii="Arial" w:cs="Arial" w:eastAsia="Arial" w:hAnsi="Arial"/>
                <w:sz w:val="14"/>
                <w:szCs w:val="14"/>
                <w:color w:val="auto"/>
              </w:rPr>
              <w:t>Long-lived assets</w:t>
            </w:r>
            <w:r>
              <w:rPr>
                <w:rFonts w:ascii="Arial" w:cs="Arial" w:eastAsia="Arial" w:hAnsi="Arial"/>
                <w:sz w:val="22"/>
                <w:szCs w:val="22"/>
                <w:color w:val="auto"/>
                <w:vertAlign w:val="superscript"/>
              </w:rPr>
              <w:t>(5)</w:t>
            </w:r>
          </w:p>
        </w:tc>
        <w:tc>
          <w:tcPr>
            <w:tcW w:w="38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jc w:val="right"/>
              <w:ind w:right="92"/>
              <w:spacing w:after="0"/>
              <w:rPr>
                <w:sz w:val="20"/>
                <w:szCs w:val="20"/>
                <w:color w:val="auto"/>
              </w:rPr>
            </w:pPr>
            <w:r>
              <w:rPr>
                <w:rFonts w:ascii="Arial" w:cs="Arial" w:eastAsia="Arial" w:hAnsi="Arial"/>
                <w:sz w:val="14"/>
                <w:szCs w:val="14"/>
                <w:color w:val="auto"/>
              </w:rPr>
              <w:t>190.8</w:t>
            </w:r>
          </w:p>
        </w:tc>
        <w:tc>
          <w:tcPr>
            <w:tcW w:w="24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jc w:val="right"/>
              <w:ind w:right="112"/>
              <w:spacing w:after="0"/>
              <w:rPr>
                <w:sz w:val="20"/>
                <w:szCs w:val="20"/>
                <w:color w:val="auto"/>
              </w:rPr>
            </w:pPr>
            <w:r>
              <w:rPr>
                <w:rFonts w:ascii="Arial" w:cs="Arial" w:eastAsia="Arial" w:hAnsi="Arial"/>
                <w:sz w:val="14"/>
                <w:szCs w:val="14"/>
                <w:color w:val="auto"/>
              </w:rPr>
              <w:t>189.5</w:t>
            </w:r>
          </w:p>
        </w:tc>
        <w:tc>
          <w:tcPr>
            <w:tcW w:w="2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jc w:val="right"/>
              <w:ind w:right="132"/>
              <w:spacing w:after="0"/>
              <w:rPr>
                <w:sz w:val="20"/>
                <w:szCs w:val="20"/>
                <w:color w:val="auto"/>
              </w:rPr>
            </w:pPr>
            <w:r>
              <w:rPr>
                <w:rFonts w:ascii="Arial" w:cs="Arial" w:eastAsia="Arial" w:hAnsi="Arial"/>
                <w:sz w:val="14"/>
                <w:szCs w:val="14"/>
                <w:color w:val="auto"/>
              </w:rPr>
              <w:t>30.4</w:t>
            </w:r>
          </w:p>
        </w:tc>
        <w:tc>
          <w:tcPr>
            <w:tcW w:w="2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jc w:val="right"/>
              <w:ind w:right="132"/>
              <w:spacing w:after="0"/>
              <w:rPr>
                <w:sz w:val="20"/>
                <w:szCs w:val="20"/>
                <w:color w:val="auto"/>
              </w:rPr>
            </w:pPr>
            <w:r>
              <w:rPr>
                <w:rFonts w:ascii="Arial" w:cs="Arial" w:eastAsia="Arial" w:hAnsi="Arial"/>
                <w:sz w:val="14"/>
                <w:szCs w:val="14"/>
                <w:color w:val="auto"/>
              </w:rPr>
              <w:t>228.6</w:t>
            </w:r>
          </w:p>
        </w:tc>
        <w:tc>
          <w:tcPr>
            <w:tcW w:w="2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jc w:val="right"/>
              <w:ind w:right="112"/>
              <w:spacing w:after="0"/>
              <w:rPr>
                <w:sz w:val="20"/>
                <w:szCs w:val="20"/>
                <w:color w:val="auto"/>
              </w:rPr>
            </w:pPr>
            <w:r>
              <w:rPr>
                <w:rFonts w:ascii="Arial" w:cs="Arial" w:eastAsia="Arial" w:hAnsi="Arial"/>
                <w:sz w:val="14"/>
                <w:szCs w:val="14"/>
                <w:color w:val="auto"/>
              </w:rPr>
              <w:t>639.3</w:t>
            </w:r>
          </w:p>
        </w:tc>
        <w:tc>
          <w:tcPr>
            <w:tcW w:w="2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jc w:val="right"/>
              <w:ind w:right="92"/>
              <w:spacing w:after="0"/>
              <w:rPr>
                <w:sz w:val="20"/>
                <w:szCs w:val="20"/>
                <w:color w:val="auto"/>
              </w:rPr>
            </w:pPr>
            <w:r>
              <w:rPr>
                <w:rFonts w:ascii="Arial" w:cs="Arial" w:eastAsia="Arial" w:hAnsi="Arial"/>
                <w:sz w:val="14"/>
                <w:szCs w:val="14"/>
                <w:color w:val="auto"/>
              </w:rPr>
              <w:t>93.6</w:t>
            </w:r>
          </w:p>
        </w:tc>
        <w:tc>
          <w:tcPr>
            <w:tcW w:w="3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jc w:val="right"/>
              <w:ind w:right="72"/>
              <w:spacing w:after="0"/>
              <w:rPr>
                <w:sz w:val="20"/>
                <w:szCs w:val="20"/>
                <w:color w:val="auto"/>
              </w:rPr>
            </w:pPr>
            <w:r>
              <w:rPr>
                <w:rFonts w:ascii="Arial" w:cs="Arial" w:eastAsia="Arial" w:hAnsi="Arial"/>
                <w:sz w:val="14"/>
                <w:szCs w:val="14"/>
                <w:color w:val="auto"/>
              </w:rPr>
              <w:t>732.9</w:t>
            </w:r>
          </w:p>
        </w:tc>
        <w:tc>
          <w:tcPr>
            <w:tcW w:w="0" w:type="dxa"/>
            <w:vAlign w:val="bottom"/>
          </w:tcPr>
          <w:p>
            <w:pPr>
              <w:spacing w:after="0"/>
              <w:rPr>
                <w:sz w:val="1"/>
                <w:szCs w:val="1"/>
                <w:color w:val="auto"/>
              </w:rPr>
            </w:pPr>
          </w:p>
        </w:tc>
      </w:tr>
    </w:tbl>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3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hanging="452"/>
        <w:spacing w:after="0" w:line="29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During fiscal 2008, the Company determined to sell or shut down its domestic, Canadian and UK continuities businesses, and intends to sell the Maumelle Facility and the Danbury Facility. During fiscal 2009, the Company also ceased its operations in Argentina and Mexico, its door-to-door selling operations in Puerto Rico, as well as its continuities business in Australia and New Zealand, its corporate book fairs business and closed its Scarsdale NY store. The Company also sold a trade magazine. Additionally, the Company sold a non-core market research business and a non-core on-line resource for teachers business. In fiscal 2010, the Company sold a previously discontinued non-core book distribution business. All of the above businesses are classified as discontinued operations in the Company’s financial statements and, as such, are not reflected in this table.</w:t>
      </w:r>
    </w:p>
    <w:p>
      <w:pPr>
        <w:spacing w:after="0" w:line="106" w:lineRule="exact"/>
        <w:rPr>
          <w:rFonts w:ascii="Arial" w:cs="Arial" w:eastAsia="Arial" w:hAnsi="Arial"/>
          <w:sz w:val="16"/>
          <w:szCs w:val="16"/>
          <w:color w:val="auto"/>
        </w:rPr>
      </w:pPr>
    </w:p>
    <w:p>
      <w:pPr>
        <w:ind w:left="460" w:hanging="452"/>
        <w:spacing w:after="0" w:line="259"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Overhead includes all domestic corporate amounts not allocated to segments, including expenses and costs related to the management of corporate assets. Unallocated assets are principally comprised of deferred income taxes and property, plant and equipment related to the Company’s headquarters in the metropolitan New York area and its fulfillment and distribution facilities located in Missouri.</w:t>
      </w:r>
    </w:p>
    <w:p>
      <w:pPr>
        <w:spacing w:after="0" w:line="126"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Includes depreciation of property, plant and equipment and amortization of intangible assets.</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Includes amortization of prepublication costs and production costs.</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Includes property, plant and equipment, prepublication costs, goodwill, other intangibles, royalty advances, production costs and long-term investments.</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382" w:right="29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debt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60" w:type="dxa"/>
            <w:vAlign w:val="bottom"/>
          </w:tcPr>
          <w:p>
            <w:pPr>
              <w:spacing w:after="0"/>
              <w:rPr>
                <w:sz w:val="19"/>
                <w:szCs w:val="19"/>
                <w:color w:val="auto"/>
              </w:rPr>
            </w:pPr>
          </w:p>
        </w:tc>
        <w:tc>
          <w:tcPr>
            <w:tcW w:w="2100" w:type="dxa"/>
            <w:vAlign w:val="bottom"/>
            <w:gridSpan w:val="2"/>
          </w:tcPr>
          <w:p>
            <w:pPr>
              <w:jc w:val="right"/>
              <w:ind w:right="292"/>
              <w:spacing w:after="0"/>
              <w:rPr>
                <w:sz w:val="20"/>
                <w:szCs w:val="20"/>
                <w:color w:val="auto"/>
              </w:rPr>
            </w:pPr>
            <w:r>
              <w:rPr>
                <w:rFonts w:ascii="Arial" w:cs="Arial" w:eastAsia="Arial" w:hAnsi="Arial"/>
                <w:sz w:val="18"/>
                <w:szCs w:val="18"/>
                <w:b w:val="1"/>
                <w:bCs w:val="1"/>
                <w:i w:val="1"/>
                <w:iCs w:val="1"/>
                <w:color w:val="auto"/>
              </w:rPr>
              <w:t>November 30, 2009</w:t>
            </w:r>
          </w:p>
        </w:tc>
        <w:tc>
          <w:tcPr>
            <w:tcW w:w="1720" w:type="dxa"/>
            <w:vAlign w:val="bottom"/>
            <w:gridSpan w:val="2"/>
          </w:tcPr>
          <w:p>
            <w:pPr>
              <w:jc w:val="right"/>
              <w:ind w:right="272"/>
              <w:spacing w:after="0"/>
              <w:rPr>
                <w:sz w:val="20"/>
                <w:szCs w:val="20"/>
                <w:color w:val="auto"/>
              </w:rPr>
            </w:pPr>
            <w:r>
              <w:rPr>
                <w:rFonts w:ascii="Arial" w:cs="Arial" w:eastAsia="Arial" w:hAnsi="Arial"/>
                <w:sz w:val="18"/>
                <w:szCs w:val="18"/>
                <w:b w:val="1"/>
                <w:bCs w:val="1"/>
                <w:i w:val="1"/>
                <w:iCs w:val="1"/>
                <w:color w:val="auto"/>
              </w:rPr>
              <w:t>May 31, 2009</w:t>
            </w:r>
          </w:p>
        </w:tc>
        <w:tc>
          <w:tcPr>
            <w:tcW w:w="2160" w:type="dxa"/>
            <w:vAlign w:val="bottom"/>
            <w:gridSpan w:val="2"/>
          </w:tcPr>
          <w:p>
            <w:pPr>
              <w:jc w:val="right"/>
              <w:ind w:right="292"/>
              <w:spacing w:after="0"/>
              <w:rPr>
                <w:sz w:val="20"/>
                <w:szCs w:val="20"/>
                <w:color w:val="auto"/>
              </w:rPr>
            </w:pPr>
            <w:r>
              <w:rPr>
                <w:rFonts w:ascii="Arial" w:cs="Arial" w:eastAsia="Arial" w:hAnsi="Arial"/>
                <w:sz w:val="18"/>
                <w:szCs w:val="18"/>
                <w:b w:val="1"/>
                <w:bCs w:val="1"/>
                <w:i w:val="1"/>
                <w:iCs w:val="1"/>
                <w:color w:val="auto"/>
              </w:rPr>
              <w:t>November 30, 2008</w:t>
            </w:r>
          </w:p>
        </w:tc>
      </w:tr>
      <w:tr>
        <w:trPr>
          <w:trHeight w:val="110"/>
        </w:trPr>
        <w:tc>
          <w:tcPr>
            <w:tcW w:w="54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r>
      <w:tr>
        <w:trPr>
          <w:trHeight w:val="309"/>
        </w:trPr>
        <w:tc>
          <w:tcPr>
            <w:tcW w:w="5460" w:type="dxa"/>
            <w:vAlign w:val="bottom"/>
          </w:tcPr>
          <w:p>
            <w:pPr>
              <w:spacing w:after="0"/>
              <w:rPr>
                <w:sz w:val="20"/>
                <w:szCs w:val="20"/>
                <w:color w:val="auto"/>
              </w:rPr>
            </w:pPr>
            <w:r>
              <w:rPr>
                <w:rFonts w:ascii="Arial" w:cs="Arial" w:eastAsia="Arial" w:hAnsi="Arial"/>
                <w:sz w:val="18"/>
                <w:szCs w:val="18"/>
                <w:color w:val="auto"/>
                <w:w w:val="93"/>
              </w:rPr>
              <w:t>Lines of Credit (weighted average interest rates of 3.0%, 3.3% and 4.5%,</w:t>
            </w: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546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92"/>
              <w:spacing w:after="0"/>
              <w:rPr>
                <w:sz w:val="20"/>
                <w:szCs w:val="20"/>
                <w:color w:val="auto"/>
              </w:rPr>
            </w:pPr>
            <w:r>
              <w:rPr>
                <w:rFonts w:ascii="Arial" w:cs="Arial" w:eastAsia="Arial" w:hAnsi="Arial"/>
                <w:sz w:val="18"/>
                <w:szCs w:val="18"/>
                <w:color w:val="auto"/>
              </w:rPr>
              <w:t>13.0</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52"/>
              <w:spacing w:after="0"/>
              <w:rPr>
                <w:sz w:val="20"/>
                <w:szCs w:val="20"/>
                <w:color w:val="auto"/>
              </w:rPr>
            </w:pPr>
            <w:r>
              <w:rPr>
                <w:rFonts w:ascii="Arial" w:cs="Arial" w:eastAsia="Arial" w:hAnsi="Arial"/>
                <w:sz w:val="18"/>
                <w:szCs w:val="18"/>
                <w:color w:val="auto"/>
              </w:rPr>
              <w:t>10.9</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92"/>
              <w:spacing w:after="0"/>
              <w:rPr>
                <w:sz w:val="20"/>
                <w:szCs w:val="20"/>
                <w:color w:val="auto"/>
              </w:rPr>
            </w:pPr>
            <w:r>
              <w:rPr>
                <w:rFonts w:ascii="Arial" w:cs="Arial" w:eastAsia="Arial" w:hAnsi="Arial"/>
                <w:sz w:val="18"/>
                <w:szCs w:val="18"/>
                <w:color w:val="auto"/>
              </w:rPr>
              <w:t>27.4</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Loan Agreement:</w:t>
            </w: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460" w:type="dxa"/>
            <w:vAlign w:val="bottom"/>
          </w:tcPr>
          <w:p>
            <w:pPr>
              <w:ind w:left="160"/>
              <w:spacing w:after="0"/>
              <w:rPr>
                <w:sz w:val="20"/>
                <w:szCs w:val="20"/>
                <w:color w:val="auto"/>
              </w:rPr>
            </w:pPr>
            <w:r>
              <w:rPr>
                <w:rFonts w:ascii="Arial" w:cs="Arial" w:eastAsia="Arial" w:hAnsi="Arial"/>
                <w:sz w:val="18"/>
                <w:szCs w:val="18"/>
                <w:color w:val="auto"/>
              </w:rPr>
              <w:t>Revolving Loan (interest rate of 2.1% as of November 30, 2008)</w:t>
            </w:r>
          </w:p>
        </w:tc>
        <w:tc>
          <w:tcPr>
            <w:tcW w:w="860" w:type="dxa"/>
            <w:vAlign w:val="bottom"/>
          </w:tcPr>
          <w:p>
            <w:pPr>
              <w:spacing w:after="0"/>
              <w:rPr>
                <w:sz w:val="18"/>
                <w:szCs w:val="18"/>
                <w:color w:val="auto"/>
              </w:rPr>
            </w:pPr>
          </w:p>
        </w:tc>
        <w:tc>
          <w:tcPr>
            <w:tcW w:w="1240" w:type="dxa"/>
            <w:vAlign w:val="bottom"/>
          </w:tcPr>
          <w:p>
            <w:pPr>
              <w:jc w:val="right"/>
              <w:ind w:right="592"/>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0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180" w:type="dxa"/>
            <w:vAlign w:val="bottom"/>
          </w:tcPr>
          <w:p>
            <w:pPr>
              <w:jc w:val="right"/>
              <w:ind w:right="492"/>
              <w:spacing w:after="0"/>
              <w:rPr>
                <w:sz w:val="20"/>
                <w:szCs w:val="20"/>
                <w:color w:val="auto"/>
              </w:rPr>
            </w:pPr>
            <w:r>
              <w:rPr>
                <w:rFonts w:ascii="Arial" w:cs="Arial" w:eastAsia="Arial" w:hAnsi="Arial"/>
                <w:sz w:val="18"/>
                <w:szCs w:val="18"/>
                <w:color w:val="auto"/>
              </w:rPr>
              <w:t>45.0</w:t>
            </w:r>
          </w:p>
        </w:tc>
      </w:tr>
      <w:tr>
        <w:trPr>
          <w:trHeight w:val="216"/>
        </w:trPr>
        <w:tc>
          <w:tcPr>
            <w:tcW w:w="5460" w:type="dxa"/>
            <w:vAlign w:val="bottom"/>
          </w:tcPr>
          <w:p>
            <w:pPr>
              <w:ind w:left="160"/>
              <w:spacing w:after="0"/>
              <w:rPr>
                <w:sz w:val="20"/>
                <w:szCs w:val="20"/>
                <w:color w:val="auto"/>
              </w:rPr>
            </w:pPr>
            <w:r>
              <w:rPr>
                <w:rFonts w:ascii="Arial" w:cs="Arial" w:eastAsia="Arial" w:hAnsi="Arial"/>
                <w:sz w:val="18"/>
                <w:szCs w:val="18"/>
                <w:color w:val="auto"/>
              </w:rPr>
              <w:t>Term Loan (interest rates of 1.1%, 1.2% and 4.7%, respectively)</w:t>
            </w:r>
          </w:p>
        </w:tc>
        <w:tc>
          <w:tcPr>
            <w:tcW w:w="860" w:type="dxa"/>
            <w:vAlign w:val="bottom"/>
          </w:tcPr>
          <w:p>
            <w:pPr>
              <w:spacing w:after="0"/>
              <w:rPr>
                <w:sz w:val="18"/>
                <w:szCs w:val="18"/>
                <w:color w:val="auto"/>
              </w:rPr>
            </w:pPr>
          </w:p>
        </w:tc>
        <w:tc>
          <w:tcPr>
            <w:tcW w:w="1240" w:type="dxa"/>
            <w:vAlign w:val="bottom"/>
          </w:tcPr>
          <w:p>
            <w:pPr>
              <w:jc w:val="right"/>
              <w:ind w:right="592"/>
              <w:spacing w:after="0"/>
              <w:rPr>
                <w:sz w:val="20"/>
                <w:szCs w:val="20"/>
                <w:color w:val="auto"/>
              </w:rPr>
            </w:pPr>
            <w:r>
              <w:rPr>
                <w:rFonts w:ascii="Arial" w:cs="Arial" w:eastAsia="Arial" w:hAnsi="Arial"/>
                <w:sz w:val="18"/>
                <w:szCs w:val="18"/>
                <w:color w:val="auto"/>
              </w:rPr>
              <w:t>114.4</w:t>
            </w:r>
          </w:p>
        </w:tc>
        <w:tc>
          <w:tcPr>
            <w:tcW w:w="720" w:type="dxa"/>
            <w:vAlign w:val="bottom"/>
          </w:tcPr>
          <w:p>
            <w:pPr>
              <w:spacing w:after="0"/>
              <w:rPr>
                <w:sz w:val="18"/>
                <w:szCs w:val="18"/>
                <w:color w:val="auto"/>
              </w:rPr>
            </w:pPr>
          </w:p>
        </w:tc>
        <w:tc>
          <w:tcPr>
            <w:tcW w:w="1000" w:type="dxa"/>
            <w:vAlign w:val="bottom"/>
          </w:tcPr>
          <w:p>
            <w:pPr>
              <w:jc w:val="right"/>
              <w:ind w:right="352"/>
              <w:spacing w:after="0"/>
              <w:rPr>
                <w:sz w:val="20"/>
                <w:szCs w:val="20"/>
                <w:color w:val="auto"/>
              </w:rPr>
            </w:pPr>
            <w:r>
              <w:rPr>
                <w:rFonts w:ascii="Arial" w:cs="Arial" w:eastAsia="Arial" w:hAnsi="Arial"/>
                <w:sz w:val="18"/>
                <w:szCs w:val="18"/>
                <w:color w:val="auto"/>
              </w:rPr>
              <w:t>135.8</w:t>
            </w:r>
          </w:p>
        </w:tc>
        <w:tc>
          <w:tcPr>
            <w:tcW w:w="980" w:type="dxa"/>
            <w:vAlign w:val="bottom"/>
          </w:tcPr>
          <w:p>
            <w:pPr>
              <w:spacing w:after="0"/>
              <w:rPr>
                <w:sz w:val="18"/>
                <w:szCs w:val="18"/>
                <w:color w:val="auto"/>
              </w:rPr>
            </w:pPr>
          </w:p>
        </w:tc>
        <w:tc>
          <w:tcPr>
            <w:tcW w:w="1180" w:type="dxa"/>
            <w:vAlign w:val="bottom"/>
          </w:tcPr>
          <w:p>
            <w:pPr>
              <w:jc w:val="right"/>
              <w:ind w:right="492"/>
              <w:spacing w:after="0"/>
              <w:rPr>
                <w:sz w:val="20"/>
                <w:szCs w:val="20"/>
                <w:color w:val="auto"/>
              </w:rPr>
            </w:pPr>
            <w:r>
              <w:rPr>
                <w:rFonts w:ascii="Arial" w:cs="Arial" w:eastAsia="Arial" w:hAnsi="Arial"/>
                <w:sz w:val="18"/>
                <w:szCs w:val="18"/>
                <w:color w:val="auto"/>
              </w:rPr>
              <w:t>157.2</w:t>
            </w:r>
          </w:p>
        </w:tc>
      </w:tr>
      <w:tr>
        <w:trPr>
          <w:trHeight w:val="222"/>
        </w:trPr>
        <w:tc>
          <w:tcPr>
            <w:tcW w:w="5460" w:type="dxa"/>
            <w:vAlign w:val="bottom"/>
          </w:tcPr>
          <w:p>
            <w:pPr>
              <w:spacing w:after="0"/>
              <w:rPr>
                <w:sz w:val="20"/>
                <w:szCs w:val="20"/>
                <w:color w:val="auto"/>
              </w:rPr>
            </w:pPr>
            <w:r>
              <w:rPr>
                <w:rFonts w:ascii="Arial" w:cs="Arial" w:eastAsia="Arial" w:hAnsi="Arial"/>
                <w:sz w:val="18"/>
                <w:szCs w:val="18"/>
                <w:color w:val="auto"/>
              </w:rPr>
              <w:t>5% Notes due 2013, net of discount</w:t>
            </w:r>
          </w:p>
        </w:tc>
        <w:tc>
          <w:tcPr>
            <w:tcW w:w="860" w:type="dxa"/>
            <w:vAlign w:val="bottom"/>
          </w:tcPr>
          <w:p>
            <w:pPr>
              <w:spacing w:after="0"/>
              <w:rPr>
                <w:sz w:val="19"/>
                <w:szCs w:val="19"/>
                <w:color w:val="auto"/>
              </w:rPr>
            </w:pPr>
          </w:p>
        </w:tc>
        <w:tc>
          <w:tcPr>
            <w:tcW w:w="1240" w:type="dxa"/>
            <w:vAlign w:val="bottom"/>
          </w:tcPr>
          <w:p>
            <w:pPr>
              <w:jc w:val="right"/>
              <w:ind w:right="592"/>
              <w:spacing w:after="0"/>
              <w:rPr>
                <w:sz w:val="20"/>
                <w:szCs w:val="20"/>
                <w:color w:val="auto"/>
              </w:rPr>
            </w:pPr>
            <w:r>
              <w:rPr>
                <w:rFonts w:ascii="Arial" w:cs="Arial" w:eastAsia="Arial" w:hAnsi="Arial"/>
                <w:sz w:val="18"/>
                <w:szCs w:val="18"/>
                <w:color w:val="auto"/>
              </w:rPr>
              <w:t>152.2</w:t>
            </w:r>
          </w:p>
        </w:tc>
        <w:tc>
          <w:tcPr>
            <w:tcW w:w="720" w:type="dxa"/>
            <w:vAlign w:val="bottom"/>
          </w:tcPr>
          <w:p>
            <w:pPr>
              <w:spacing w:after="0"/>
              <w:rPr>
                <w:sz w:val="19"/>
                <w:szCs w:val="19"/>
                <w:color w:val="auto"/>
              </w:rPr>
            </w:pPr>
          </w:p>
        </w:tc>
        <w:tc>
          <w:tcPr>
            <w:tcW w:w="1000" w:type="dxa"/>
            <w:vAlign w:val="bottom"/>
          </w:tcPr>
          <w:p>
            <w:pPr>
              <w:jc w:val="right"/>
              <w:ind w:right="352"/>
              <w:spacing w:after="0"/>
              <w:rPr>
                <w:sz w:val="20"/>
                <w:szCs w:val="20"/>
                <w:color w:val="auto"/>
              </w:rPr>
            </w:pPr>
            <w:r>
              <w:rPr>
                <w:rFonts w:ascii="Arial" w:cs="Arial" w:eastAsia="Arial" w:hAnsi="Arial"/>
                <w:sz w:val="18"/>
                <w:szCs w:val="18"/>
                <w:color w:val="auto"/>
              </w:rPr>
              <w:t>157.0</w:t>
            </w:r>
          </w:p>
        </w:tc>
        <w:tc>
          <w:tcPr>
            <w:tcW w:w="980" w:type="dxa"/>
            <w:vAlign w:val="bottom"/>
          </w:tcPr>
          <w:p>
            <w:pPr>
              <w:spacing w:after="0"/>
              <w:rPr>
                <w:sz w:val="19"/>
                <w:szCs w:val="19"/>
                <w:color w:val="auto"/>
              </w:rPr>
            </w:pPr>
          </w:p>
        </w:tc>
        <w:tc>
          <w:tcPr>
            <w:tcW w:w="1180" w:type="dxa"/>
            <w:vAlign w:val="bottom"/>
          </w:tcPr>
          <w:p>
            <w:pPr>
              <w:jc w:val="right"/>
              <w:ind w:right="492"/>
              <w:spacing w:after="0"/>
              <w:rPr>
                <w:sz w:val="20"/>
                <w:szCs w:val="20"/>
                <w:color w:val="auto"/>
              </w:rPr>
            </w:pPr>
            <w:r>
              <w:rPr>
                <w:rFonts w:ascii="Arial" w:cs="Arial" w:eastAsia="Arial" w:hAnsi="Arial"/>
                <w:sz w:val="18"/>
                <w:szCs w:val="18"/>
                <w:color w:val="auto"/>
              </w:rPr>
              <w:t>159.4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637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Total debt</w:t>
            </w:r>
          </w:p>
        </w:tc>
        <w:tc>
          <w:tcPr>
            <w:tcW w:w="700" w:type="dxa"/>
            <w:vAlign w:val="bottom"/>
          </w:tcPr>
          <w:p>
            <w:pPr>
              <w:spacing w:after="0"/>
              <w:rPr>
                <w:sz w:val="19"/>
                <w:szCs w:val="19"/>
                <w:color w:val="auto"/>
              </w:rPr>
            </w:pPr>
          </w:p>
        </w:tc>
        <w:tc>
          <w:tcPr>
            <w:tcW w:w="1180" w:type="dxa"/>
            <w:vAlign w:val="bottom"/>
          </w:tcPr>
          <w:p>
            <w:pPr>
              <w:jc w:val="right"/>
              <w:ind w:right="532"/>
              <w:spacing w:after="0"/>
              <w:rPr>
                <w:sz w:val="20"/>
                <w:szCs w:val="20"/>
                <w:color w:val="auto"/>
              </w:rPr>
            </w:pPr>
            <w:r>
              <w:rPr>
                <w:rFonts w:ascii="Arial" w:cs="Arial" w:eastAsia="Arial" w:hAnsi="Arial"/>
                <w:sz w:val="18"/>
                <w:szCs w:val="18"/>
                <w:b w:val="1"/>
                <w:bCs w:val="1"/>
                <w:color w:val="auto"/>
              </w:rPr>
              <w:t>279.6</w:t>
            </w:r>
          </w:p>
        </w:tc>
        <w:tc>
          <w:tcPr>
            <w:tcW w:w="780" w:type="dxa"/>
            <w:vAlign w:val="bottom"/>
          </w:tcPr>
          <w:p>
            <w:pPr>
              <w:spacing w:after="0"/>
              <w:rPr>
                <w:sz w:val="19"/>
                <w:szCs w:val="19"/>
                <w:color w:val="auto"/>
              </w:rPr>
            </w:pPr>
          </w:p>
        </w:tc>
        <w:tc>
          <w:tcPr>
            <w:tcW w:w="1160" w:type="dxa"/>
            <w:vAlign w:val="bottom"/>
          </w:tcPr>
          <w:p>
            <w:pPr>
              <w:jc w:val="right"/>
              <w:ind w:right="512"/>
              <w:spacing w:after="0"/>
              <w:rPr>
                <w:sz w:val="20"/>
                <w:szCs w:val="20"/>
                <w:color w:val="auto"/>
              </w:rPr>
            </w:pPr>
            <w:r>
              <w:rPr>
                <w:rFonts w:ascii="Arial" w:cs="Arial" w:eastAsia="Arial" w:hAnsi="Arial"/>
                <w:sz w:val="18"/>
                <w:szCs w:val="18"/>
                <w:b w:val="1"/>
                <w:bCs w:val="1"/>
                <w:color w:val="auto"/>
              </w:rPr>
              <w:t>303.7</w:t>
            </w:r>
          </w:p>
        </w:tc>
        <w:tc>
          <w:tcPr>
            <w:tcW w:w="820" w:type="dxa"/>
            <w:vAlign w:val="bottom"/>
          </w:tcPr>
          <w:p>
            <w:pPr>
              <w:spacing w:after="0"/>
              <w:rPr>
                <w:sz w:val="19"/>
                <w:szCs w:val="19"/>
                <w:color w:val="auto"/>
              </w:rPr>
            </w:pPr>
          </w:p>
        </w:tc>
        <w:tc>
          <w:tcPr>
            <w:tcW w:w="1180" w:type="dxa"/>
            <w:vAlign w:val="bottom"/>
          </w:tcPr>
          <w:p>
            <w:pPr>
              <w:jc w:val="right"/>
              <w:ind w:right="492"/>
              <w:spacing w:after="0"/>
              <w:rPr>
                <w:sz w:val="20"/>
                <w:szCs w:val="20"/>
                <w:color w:val="auto"/>
              </w:rPr>
            </w:pPr>
            <w:r>
              <w:rPr>
                <w:rFonts w:ascii="Arial" w:cs="Arial" w:eastAsia="Arial" w:hAnsi="Arial"/>
                <w:sz w:val="18"/>
                <w:szCs w:val="18"/>
                <w:b w:val="1"/>
                <w:bCs w:val="1"/>
                <w:color w:val="auto"/>
              </w:rPr>
              <w:t>389.0</w:t>
            </w:r>
          </w:p>
        </w:tc>
      </w:tr>
      <w:tr>
        <w:trPr>
          <w:trHeight w:val="513"/>
        </w:trPr>
        <w:tc>
          <w:tcPr>
            <w:tcW w:w="5620" w:type="dxa"/>
            <w:vAlign w:val="bottom"/>
          </w:tcPr>
          <w:p>
            <w:pPr>
              <w:spacing w:after="0"/>
              <w:rPr>
                <w:sz w:val="20"/>
                <w:szCs w:val="20"/>
                <w:color w:val="auto"/>
              </w:rPr>
            </w:pPr>
            <w:r>
              <w:rPr>
                <w:rFonts w:ascii="Arial" w:cs="Arial" w:eastAsia="Arial" w:hAnsi="Arial"/>
                <w:sz w:val="18"/>
                <w:szCs w:val="18"/>
                <w:color w:val="auto"/>
                <w:w w:val="96"/>
              </w:rPr>
              <w:t>Less lines of credit, short-term debt and current portion of long-term debt</w:t>
            </w:r>
          </w:p>
        </w:tc>
        <w:tc>
          <w:tcPr>
            <w:tcW w:w="700" w:type="dxa"/>
            <w:vAlign w:val="bottom"/>
          </w:tcPr>
          <w:p>
            <w:pPr>
              <w:spacing w:after="0"/>
              <w:rPr>
                <w:sz w:val="24"/>
                <w:szCs w:val="24"/>
                <w:color w:val="auto"/>
              </w:rPr>
            </w:pPr>
          </w:p>
        </w:tc>
        <w:tc>
          <w:tcPr>
            <w:tcW w:w="1180" w:type="dxa"/>
            <w:vAlign w:val="bottom"/>
          </w:tcPr>
          <w:p>
            <w:pPr>
              <w:jc w:val="right"/>
              <w:ind w:right="472"/>
              <w:spacing w:after="0"/>
              <w:rPr>
                <w:sz w:val="20"/>
                <w:szCs w:val="20"/>
                <w:color w:val="auto"/>
              </w:rPr>
            </w:pPr>
            <w:r>
              <w:rPr>
                <w:rFonts w:ascii="Arial" w:cs="Arial" w:eastAsia="Arial" w:hAnsi="Arial"/>
                <w:sz w:val="18"/>
                <w:szCs w:val="18"/>
                <w:color w:val="auto"/>
              </w:rPr>
              <w:t>(55.8)</w:t>
            </w:r>
          </w:p>
        </w:tc>
        <w:tc>
          <w:tcPr>
            <w:tcW w:w="780" w:type="dxa"/>
            <w:vAlign w:val="bottom"/>
          </w:tcPr>
          <w:p>
            <w:pPr>
              <w:spacing w:after="0"/>
              <w:rPr>
                <w:sz w:val="24"/>
                <w:szCs w:val="24"/>
                <w:color w:val="auto"/>
              </w:rPr>
            </w:pPr>
          </w:p>
        </w:tc>
        <w:tc>
          <w:tcPr>
            <w:tcW w:w="1160" w:type="dxa"/>
            <w:vAlign w:val="bottom"/>
          </w:tcPr>
          <w:p>
            <w:pPr>
              <w:jc w:val="right"/>
              <w:ind w:right="452"/>
              <w:spacing w:after="0"/>
              <w:rPr>
                <w:sz w:val="20"/>
                <w:szCs w:val="20"/>
                <w:color w:val="auto"/>
              </w:rPr>
            </w:pPr>
            <w:r>
              <w:rPr>
                <w:rFonts w:ascii="Arial" w:cs="Arial" w:eastAsia="Arial" w:hAnsi="Arial"/>
                <w:sz w:val="18"/>
                <w:szCs w:val="18"/>
                <w:color w:val="auto"/>
              </w:rPr>
              <w:t>(53.7)</w:t>
            </w:r>
          </w:p>
        </w:tc>
        <w:tc>
          <w:tcPr>
            <w:tcW w:w="820" w:type="dxa"/>
            <w:vAlign w:val="bottom"/>
          </w:tcPr>
          <w:p>
            <w:pPr>
              <w:spacing w:after="0"/>
              <w:rPr>
                <w:sz w:val="24"/>
                <w:szCs w:val="24"/>
                <w:color w:val="auto"/>
              </w:rPr>
            </w:pPr>
          </w:p>
        </w:tc>
        <w:tc>
          <w:tcPr>
            <w:tcW w:w="1180" w:type="dxa"/>
            <w:vAlign w:val="bottom"/>
          </w:tcPr>
          <w:p>
            <w:pPr>
              <w:jc w:val="right"/>
              <w:ind w:right="432"/>
              <w:spacing w:after="0"/>
              <w:rPr>
                <w:sz w:val="20"/>
                <w:szCs w:val="20"/>
                <w:color w:val="auto"/>
              </w:rPr>
            </w:pPr>
            <w:r>
              <w:rPr>
                <w:rFonts w:ascii="Arial" w:cs="Arial" w:eastAsia="Arial" w:hAnsi="Arial"/>
                <w:sz w:val="18"/>
                <w:szCs w:val="18"/>
                <w:color w:val="auto"/>
              </w:rPr>
              <w:t>(70.2)</w:t>
            </w:r>
          </w:p>
        </w:tc>
      </w:tr>
      <w:tr>
        <w:trPr>
          <w:trHeight w:val="259"/>
        </w:trPr>
        <w:tc>
          <w:tcPr>
            <w:tcW w:w="5620" w:type="dxa"/>
            <w:vAlign w:val="bottom"/>
            <w:tcBorders>
              <w:bottom w:val="single" w:sz="8" w:color="808080"/>
            </w:tcBorders>
          </w:tcPr>
          <w:p>
            <w:pPr>
              <w:spacing w:after="0"/>
              <w:rPr>
                <w:sz w:val="22"/>
                <w:szCs w:val="22"/>
                <w:color w:val="auto"/>
              </w:rPr>
            </w:pPr>
          </w:p>
        </w:tc>
        <w:tc>
          <w:tcPr>
            <w:tcW w:w="700" w:type="dxa"/>
            <w:vAlign w:val="bottom"/>
            <w:tcBorders>
              <w:bottom w:val="single" w:sz="8" w:color="808080"/>
            </w:tcBorders>
          </w:tcPr>
          <w:p>
            <w:pPr>
              <w:spacing w:after="0"/>
              <w:rPr>
                <w:sz w:val="22"/>
                <w:szCs w:val="22"/>
                <w:color w:val="auto"/>
              </w:rPr>
            </w:pPr>
          </w:p>
        </w:tc>
        <w:tc>
          <w:tcPr>
            <w:tcW w:w="118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1160" w:type="dxa"/>
            <w:vAlign w:val="bottom"/>
            <w:tcBorders>
              <w:bottom w:val="single" w:sz="8" w:color="808080"/>
            </w:tcBorders>
          </w:tcPr>
          <w:p>
            <w:pPr>
              <w:spacing w:after="0"/>
              <w:rPr>
                <w:sz w:val="22"/>
                <w:szCs w:val="22"/>
                <w:color w:val="auto"/>
              </w:rPr>
            </w:pPr>
          </w:p>
        </w:tc>
        <w:tc>
          <w:tcPr>
            <w:tcW w:w="820" w:type="dxa"/>
            <w:vAlign w:val="bottom"/>
            <w:tcBorders>
              <w:bottom w:val="single" w:sz="8" w:color="808080"/>
            </w:tcBorders>
          </w:tcPr>
          <w:p>
            <w:pPr>
              <w:spacing w:after="0"/>
              <w:rPr>
                <w:sz w:val="22"/>
                <w:szCs w:val="22"/>
                <w:color w:val="auto"/>
              </w:rPr>
            </w:pPr>
          </w:p>
        </w:tc>
        <w:tc>
          <w:tcPr>
            <w:tcW w:w="1180" w:type="dxa"/>
            <w:vAlign w:val="bottom"/>
            <w:tcBorders>
              <w:bottom w:val="single" w:sz="8" w:color="808080"/>
            </w:tcBorders>
          </w:tcPr>
          <w:p>
            <w:pPr>
              <w:spacing w:after="0"/>
              <w:rPr>
                <w:sz w:val="22"/>
                <w:szCs w:val="22"/>
                <w:color w:val="auto"/>
              </w:rPr>
            </w:pPr>
          </w:p>
        </w:tc>
      </w:tr>
      <w:tr>
        <w:trPr>
          <w:trHeight w:val="316"/>
        </w:trPr>
        <w:tc>
          <w:tcPr>
            <w:tcW w:w="5620" w:type="dxa"/>
            <w:vAlign w:val="bottom"/>
          </w:tcPr>
          <w:p>
            <w:pPr>
              <w:spacing w:after="0"/>
              <w:rPr>
                <w:sz w:val="20"/>
                <w:szCs w:val="20"/>
                <w:color w:val="auto"/>
              </w:rPr>
            </w:pPr>
            <w:r>
              <w:rPr>
                <w:rFonts w:ascii="Arial" w:cs="Arial" w:eastAsia="Arial" w:hAnsi="Arial"/>
                <w:sz w:val="18"/>
                <w:szCs w:val="18"/>
                <w:b w:val="1"/>
                <w:bCs w:val="1"/>
                <w:color w:val="auto"/>
              </w:rPr>
              <w:t>Total long-term debt</w:t>
            </w:r>
          </w:p>
        </w:tc>
        <w:tc>
          <w:tcPr>
            <w:tcW w:w="70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532"/>
              <w:spacing w:after="0"/>
              <w:rPr>
                <w:sz w:val="20"/>
                <w:szCs w:val="20"/>
                <w:color w:val="auto"/>
              </w:rPr>
            </w:pPr>
            <w:r>
              <w:rPr>
                <w:rFonts w:ascii="Arial" w:cs="Arial" w:eastAsia="Arial" w:hAnsi="Arial"/>
                <w:sz w:val="18"/>
                <w:szCs w:val="18"/>
                <w:b w:val="1"/>
                <w:bCs w:val="1"/>
                <w:color w:val="auto"/>
              </w:rPr>
              <w:t>223.8</w:t>
            </w:r>
          </w:p>
        </w:tc>
        <w:tc>
          <w:tcPr>
            <w:tcW w:w="78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512"/>
              <w:spacing w:after="0"/>
              <w:rPr>
                <w:sz w:val="20"/>
                <w:szCs w:val="20"/>
                <w:color w:val="auto"/>
              </w:rPr>
            </w:pPr>
            <w:r>
              <w:rPr>
                <w:rFonts w:ascii="Arial" w:cs="Arial" w:eastAsia="Arial" w:hAnsi="Arial"/>
                <w:sz w:val="18"/>
                <w:szCs w:val="18"/>
                <w:b w:val="1"/>
                <w:bCs w:val="1"/>
                <w:color w:val="auto"/>
              </w:rPr>
              <w:t>250.0</w:t>
            </w:r>
          </w:p>
        </w:tc>
        <w:tc>
          <w:tcPr>
            <w:tcW w:w="820" w:type="dxa"/>
            <w:vAlign w:val="bottom"/>
          </w:tcPr>
          <w:p>
            <w:pPr>
              <w:jc w:val="right"/>
              <w:ind w:right="132"/>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492"/>
              <w:spacing w:after="0"/>
              <w:rPr>
                <w:sz w:val="20"/>
                <w:szCs w:val="20"/>
                <w:color w:val="auto"/>
              </w:rPr>
            </w:pPr>
            <w:r>
              <w:rPr>
                <w:rFonts w:ascii="Arial" w:cs="Arial" w:eastAsia="Arial" w:hAnsi="Arial"/>
                <w:sz w:val="18"/>
                <w:szCs w:val="18"/>
                <w:b w:val="1"/>
                <w:bCs w:val="1"/>
                <w:color w:val="auto"/>
              </w:rPr>
              <w:t>318.8</w:t>
            </w:r>
          </w:p>
        </w:tc>
      </w:tr>
      <w:tr>
        <w:trPr>
          <w:trHeight w:val="110"/>
        </w:trPr>
        <w:tc>
          <w:tcPr>
            <w:tcW w:w="56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maturities of the Company’s debt obligations as of November 30, 2009 for the remainder of fiscal 2010 and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54457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457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Six-month period ending May 31:</w:t>
            </w:r>
          </w:p>
        </w:tc>
        <w:tc>
          <w:tcPr>
            <w:tcW w:w="3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2010</w:t>
            </w:r>
          </w:p>
        </w:tc>
        <w:tc>
          <w:tcPr>
            <w:tcW w:w="366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34.4</w:t>
            </w:r>
          </w:p>
        </w:tc>
        <w:tc>
          <w:tcPr>
            <w:tcW w:w="2880" w:type="dxa"/>
            <w:vAlign w:val="bottom"/>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Fiscal years ending May 31:</w:t>
            </w:r>
          </w:p>
        </w:tc>
        <w:tc>
          <w:tcPr>
            <w:tcW w:w="3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2011</w:t>
            </w:r>
          </w:p>
        </w:tc>
        <w:tc>
          <w:tcPr>
            <w:tcW w:w="36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42.8</w:t>
            </w:r>
          </w:p>
        </w:tc>
        <w:tc>
          <w:tcPr>
            <w:tcW w:w="2880" w:type="dxa"/>
            <w:vAlign w:val="bottom"/>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2012</w:t>
            </w:r>
          </w:p>
        </w:tc>
        <w:tc>
          <w:tcPr>
            <w:tcW w:w="36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42.8</w:t>
            </w:r>
          </w:p>
        </w:tc>
        <w:tc>
          <w:tcPr>
            <w:tcW w:w="2880" w:type="dxa"/>
            <w:vAlign w:val="bottom"/>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2013</w:t>
            </w:r>
          </w:p>
        </w:tc>
        <w:tc>
          <w:tcPr>
            <w:tcW w:w="36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159.6</w:t>
            </w:r>
          </w:p>
        </w:tc>
        <w:tc>
          <w:tcPr>
            <w:tcW w:w="2880" w:type="dxa"/>
            <w:vAlign w:val="bottom"/>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2014</w:t>
            </w:r>
          </w:p>
        </w:tc>
        <w:tc>
          <w:tcPr>
            <w:tcW w:w="36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80" w:type="dxa"/>
            <w:vAlign w:val="bottom"/>
          </w:tcPr>
          <w:p>
            <w:pPr>
              <w:spacing w:after="0"/>
              <w:rPr>
                <w:sz w:val="18"/>
                <w:szCs w:val="18"/>
                <w:color w:val="auto"/>
              </w:rPr>
            </w:pPr>
          </w:p>
        </w:tc>
      </w:tr>
      <w:tr>
        <w:trPr>
          <w:trHeight w:val="222"/>
        </w:trPr>
        <w:tc>
          <w:tcPr>
            <w:tcW w:w="4020" w:type="dxa"/>
            <w:vAlign w:val="bottom"/>
          </w:tcPr>
          <w:p>
            <w:pPr>
              <w:spacing w:after="0"/>
              <w:rPr>
                <w:sz w:val="20"/>
                <w:szCs w:val="20"/>
                <w:color w:val="auto"/>
              </w:rPr>
            </w:pPr>
            <w:r>
              <w:rPr>
                <w:rFonts w:ascii="Arial" w:cs="Arial" w:eastAsia="Arial" w:hAnsi="Arial"/>
                <w:sz w:val="18"/>
                <w:szCs w:val="18"/>
                <w:color w:val="auto"/>
              </w:rPr>
              <w:t>Thereafter</w:t>
            </w:r>
          </w:p>
        </w:tc>
        <w:tc>
          <w:tcPr>
            <w:tcW w:w="366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80" w:type="dxa"/>
            <w:vAlign w:val="bottom"/>
          </w:tcPr>
          <w:p>
            <w:pPr>
              <w:spacing w:after="0"/>
              <w:rPr>
                <w:sz w:val="19"/>
                <w:szCs w:val="19"/>
                <w:color w:val="auto"/>
              </w:rPr>
            </w:pPr>
          </w:p>
        </w:tc>
      </w:tr>
      <w:tr>
        <w:trPr>
          <w:trHeight w:val="110"/>
        </w:trPr>
        <w:tc>
          <w:tcPr>
            <w:tcW w:w="4020" w:type="dxa"/>
            <w:vAlign w:val="bottom"/>
            <w:tcBorders>
              <w:bottom w:val="single" w:sz="8" w:color="808080"/>
            </w:tcBorders>
          </w:tcPr>
          <w:p>
            <w:pPr>
              <w:spacing w:after="0"/>
              <w:rPr>
                <w:sz w:val="9"/>
                <w:szCs w:val="9"/>
                <w:color w:val="auto"/>
              </w:rPr>
            </w:pPr>
          </w:p>
        </w:tc>
        <w:tc>
          <w:tcPr>
            <w:tcW w:w="36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880" w:type="dxa"/>
            <w:vAlign w:val="bottom"/>
          </w:tcPr>
          <w:p>
            <w:pPr>
              <w:spacing w:after="0"/>
              <w:rPr>
                <w:sz w:val="9"/>
                <w:szCs w:val="9"/>
                <w:color w:val="auto"/>
              </w:rPr>
            </w:pPr>
          </w:p>
        </w:tc>
      </w:tr>
      <w:tr>
        <w:trPr>
          <w:trHeight w:val="464"/>
        </w:trPr>
        <w:tc>
          <w:tcPr>
            <w:tcW w:w="4020" w:type="dxa"/>
            <w:vAlign w:val="bottom"/>
          </w:tcPr>
          <w:p>
            <w:pPr>
              <w:spacing w:after="0"/>
              <w:rPr>
                <w:sz w:val="20"/>
                <w:szCs w:val="20"/>
                <w:color w:val="auto"/>
              </w:rPr>
            </w:pPr>
            <w:r>
              <w:rPr>
                <w:rFonts w:ascii="Arial" w:cs="Arial" w:eastAsia="Arial" w:hAnsi="Arial"/>
                <w:sz w:val="18"/>
                <w:szCs w:val="18"/>
                <w:b w:val="1"/>
                <w:bCs w:val="1"/>
                <w:color w:val="auto"/>
              </w:rPr>
              <w:t>Total debt</w:t>
            </w:r>
          </w:p>
        </w:tc>
        <w:tc>
          <w:tcPr>
            <w:tcW w:w="366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rPr>
              <w:t>279.6</w:t>
            </w:r>
          </w:p>
        </w:tc>
        <w:tc>
          <w:tcPr>
            <w:tcW w:w="2880" w:type="dxa"/>
            <w:vAlign w:val="bottom"/>
          </w:tcPr>
          <w:p>
            <w:pPr>
              <w:spacing w:after="0"/>
              <w:rPr>
                <w:sz w:val="24"/>
                <w:szCs w:val="24"/>
                <w:color w:val="auto"/>
              </w:rPr>
            </w:pPr>
          </w:p>
        </w:tc>
      </w:tr>
      <w:tr>
        <w:trPr>
          <w:trHeight w:val="110"/>
        </w:trPr>
        <w:tc>
          <w:tcPr>
            <w:tcW w:w="4020" w:type="dxa"/>
            <w:vAlign w:val="bottom"/>
            <w:tcBorders>
              <w:bottom w:val="single" w:sz="8" w:color="808080"/>
            </w:tcBorders>
          </w:tcPr>
          <w:p>
            <w:pPr>
              <w:spacing w:after="0"/>
              <w:rPr>
                <w:sz w:val="9"/>
                <w:szCs w:val="9"/>
                <w:color w:val="auto"/>
              </w:rPr>
            </w:pPr>
          </w:p>
        </w:tc>
        <w:tc>
          <w:tcPr>
            <w:tcW w:w="36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880" w:type="dxa"/>
            <w:vAlign w:val="bottom"/>
          </w:tcPr>
          <w:p>
            <w:pPr>
              <w:spacing w:after="0"/>
              <w:rPr>
                <w:sz w:val="9"/>
                <w:szCs w:val="9"/>
                <w:color w:val="auto"/>
              </w:rPr>
            </w:pPr>
          </w:p>
        </w:tc>
      </w:tr>
      <w:tr>
        <w:trPr>
          <w:trHeight w:val="532"/>
        </w:trPr>
        <w:tc>
          <w:tcPr>
            <w:tcW w:w="4020" w:type="dxa"/>
            <w:vAlign w:val="bottom"/>
          </w:tcPr>
          <w:p>
            <w:pPr>
              <w:spacing w:after="0"/>
              <w:rPr>
                <w:sz w:val="24"/>
                <w:szCs w:val="24"/>
                <w:color w:val="auto"/>
              </w:rPr>
            </w:pPr>
          </w:p>
        </w:tc>
        <w:tc>
          <w:tcPr>
            <w:tcW w:w="3660" w:type="dxa"/>
            <w:vAlign w:val="bottom"/>
          </w:tcPr>
          <w:p>
            <w:pPr>
              <w:jc w:val="right"/>
              <w:ind w:right="1792"/>
              <w:spacing w:after="0"/>
              <w:rPr>
                <w:sz w:val="20"/>
                <w:szCs w:val="20"/>
                <w:color w:val="auto"/>
              </w:rPr>
            </w:pPr>
            <w:r>
              <w:rPr>
                <w:rFonts w:ascii="Arial" w:cs="Arial" w:eastAsia="Arial" w:hAnsi="Arial"/>
                <w:sz w:val="18"/>
                <w:szCs w:val="18"/>
                <w:color w:val="auto"/>
              </w:rPr>
              <w:t>11</w:t>
            </w:r>
          </w:p>
        </w:tc>
        <w:tc>
          <w:tcPr>
            <w:tcW w:w="90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15"/>
        </w:trPr>
        <w:tc>
          <w:tcPr>
            <w:tcW w:w="40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61"/>
        </w:trPr>
        <w:tc>
          <w:tcPr>
            <w:tcW w:w="4020" w:type="dxa"/>
            <w:vAlign w:val="bottom"/>
            <w:shd w:val="clear" w:color="auto" w:fill="808080"/>
          </w:tcPr>
          <w:p>
            <w:pPr>
              <w:spacing w:after="0"/>
              <w:rPr>
                <w:sz w:val="5"/>
                <w:szCs w:val="5"/>
                <w:color w:val="auto"/>
              </w:rPr>
            </w:pPr>
          </w:p>
        </w:tc>
        <w:tc>
          <w:tcPr>
            <w:tcW w:w="36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8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382" w:right="1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2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w:t>
      </w:r>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On June 1, 2007, Scholastic Corporation and Scholastic Inc. (each, a “Borrower” and together, the “Borrowers”) entered into a $525.0 credit facility with certain banks (the “Loan Agreement”), consisting of a $325.0 revolving credit component (the “Revolving Loan”) and a $200.0 amortizing term loan component (the “Term Loan”). The Loan Agreement is a contractually committed unsecured credit facility that is scheduled to expire on June 1, 2012. The $325.0 Revolving Loan component allows the Company to borrow, repay or prepay and reborrow at any time prior to the stated maturity date, and the proceeds may be used for general corporate purposes, including financing for acquisitions and share repurchases. The Loan Agreement also provides for an increase in the aggregate Revolving Loan commitments of the lenders of up to an additional $150.0. The Term Loan, which may be prepaid at any time without penalty, requires quarterly principal payments of $10.7, with the first payment on December 31, 2007, and a final payment of $7.4 due on June 1, 2012.</w:t>
      </w:r>
    </w:p>
    <w:p>
      <w:pPr>
        <w:spacing w:after="0" w:line="172"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Interest on both the Term Loan and Revolving Loan is due and payable in arrears on the last day of the interest period (defined as the period commencing on the date of the advance and ending on the last day of the period selected by the Borrower at the time each advance is made). At the election of the Borrower, the interest rate charged for each loan made under the Loan Agreement is based on (1) a rate equal to the higher of (a) the prime rate or (b) the prevailing federal funds rate plus 0.500% or (2) an adjusted LIBOR rate plus an applicable margin, ranging from 0.500% to 1.250% based on the Company’s prevailing consolidated debt to total capital ratio. As of November 30, 2009, the applicable margin of the Term Loan was 0.875% and the applicable margin on the Revolving Loan was 0.700%. The Loan Agreement also provides for the payment of a facility fee ranging from 0.125% to 0.250% per annum on the Revolving Loan only, which at November 30, 2009 was 0.175%.</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Loan Agreement approximates its carrying value due to its variable interest rate and the Company’s stable credit rating.</w:t>
      </w:r>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As of November 30, 2009, there was $0.5 of outstanding standby letters of credit issued under the Loan Agreement. The Loan Agreement contains certain covenants, including interest coverage and leverage ratio tests and certain limitations on the amount of dividends and other distributions, and at November 30, 2009 the Company was in compliance with these covenants.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Notes due 2013</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April 2003, Scholastic Corporation issued $175.0 of 5% Notes (the “5% Notes”). The 5% Notes are senior unsecured obligations that mature on April 15, 2013. Interest on the 5% Notes is payable semi-annually on April 15 and October 15 of each year through maturity. The Company may at any time redeem all or a portion of the 5% Notes at a redemption price (plus accrued interest to the date of the redemption) equal to the greater of (i) 100% of the principal amount, or (ii) the sum of the present values of the remaining scheduled payments of principal and interest discounted to the date of redemption.</w:t>
      </w:r>
    </w:p>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fair value of the 5% notes was $143.8 as of November 30, 2009, $129.6 as of May 31, 2009 and $135.6 as of November 30, 2008, respectively. The fair value of the 5% notes was estimated based on market quotes, where available, or dealer quotes.</w:t>
      </w:r>
    </w:p>
    <w:p>
      <w:pPr>
        <w:spacing w:after="0" w:line="18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Company repurchased $2.5 and $14.5 of the 5% Notes on the open market in fiscal 2009 and 2008, respectively. For the six months ended November 30, 2009, the Company repurchased an additional $5.0 of the 5% notes on the open market for $4.1.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Lines of Credit</w:t>
      </w:r>
    </w:p>
    <w:p>
      <w:pPr>
        <w:spacing w:after="0" w:line="225"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As of November 30, 2009, the Company’s domestic credit line available under unsecured money market bid rate credit lines totaled $20.0. There were no outstanding borrowings under the credit line at November 30, 2009, May 31, 2009 and November 30, 2008. All loans made under the credit line are at the sole discretion of the lender and at an interest rate and term, not to exceed 365 days, agreed to at the time each loan is made.</w:t>
      </w:r>
    </w:p>
    <w:p>
      <w:pPr>
        <w:spacing w:after="0" w:line="161"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As of November 30, 2009, the Company’s foreign operations had various local currency credit lines, with maximum available borrowings in amounts equivalent to $51.8, underwritten by banks primarily in the United States, Canada and the United Kingdom. These credit lines are typically available for overdraft borrowings or loans up to 364 days and may be renewed, if requested by the Company, at the sole option of the lender. There were borrowings outstanding under these international facilities equivalent to $13.0 at November 30, 2009 at a weighted average interest rate of 3.0%; $10.9 at May 31, 2009 at a weighted average interest rate of 3.3%; and $27.4 at November 30, 2008 at a weighted average interest rate of 4.5%.</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Company’s lines of credit carrying value approximated fair value as of November 30, 2009, May 31, 2009 and November 30, 2008, respectively.</w:t>
      </w:r>
    </w:p>
    <w:p>
      <w:pPr>
        <w:spacing w:after="0" w:line="24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of November 30, 2009 and May 31, 2009, the Company had open standby letters of credit of $7.4 issued under certain credit lines, compared to $8.1 as of November 30, 2008. These letters of credit are scheduled to expire within one year; however, the Company expects that substantially all of these letters of credit will be renewed, at similar terms, prior to expiration.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Comprehensive Income (Loss)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comprehensive income (loss) for the periods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900" w:type="dxa"/>
            <w:vAlign w:val="bottom"/>
          </w:tcPr>
          <w:p>
            <w:pPr>
              <w:spacing w:after="0"/>
              <w:rPr>
                <w:sz w:val="19"/>
                <w:szCs w:val="19"/>
                <w:color w:val="auto"/>
              </w:rPr>
            </w:pPr>
          </w:p>
        </w:tc>
        <w:tc>
          <w:tcPr>
            <w:tcW w:w="3560" w:type="dxa"/>
            <w:vAlign w:val="bottom"/>
            <w:gridSpan w:val="4"/>
          </w:tcPr>
          <w:p>
            <w:pPr>
              <w:jc w:val="right"/>
              <w:ind w:right="292"/>
              <w:spacing w:after="0"/>
              <w:rPr>
                <w:sz w:val="20"/>
                <w:szCs w:val="20"/>
                <w:color w:val="auto"/>
              </w:rPr>
            </w:pPr>
            <w:r>
              <w:rPr>
                <w:rFonts w:ascii="Arial" w:cs="Arial" w:eastAsia="Arial" w:hAnsi="Arial"/>
                <w:sz w:val="18"/>
                <w:szCs w:val="18"/>
                <w:b w:val="1"/>
                <w:bCs w:val="1"/>
                <w:i w:val="1"/>
                <w:iCs w:val="1"/>
                <w:color w:val="auto"/>
              </w:rPr>
              <w:t>Three months ended November 30,</w:t>
            </w:r>
          </w:p>
        </w:tc>
        <w:tc>
          <w:tcPr>
            <w:tcW w:w="360" w:type="dxa"/>
            <w:vAlign w:val="bottom"/>
          </w:tcPr>
          <w:p>
            <w:pPr>
              <w:spacing w:after="0"/>
              <w:rPr>
                <w:sz w:val="19"/>
                <w:szCs w:val="19"/>
                <w:color w:val="auto"/>
              </w:rPr>
            </w:pPr>
          </w:p>
        </w:tc>
        <w:tc>
          <w:tcPr>
            <w:tcW w:w="2620" w:type="dxa"/>
            <w:vAlign w:val="bottom"/>
            <w:gridSpan w:val="3"/>
          </w:tcPr>
          <w:p>
            <w:pPr>
              <w:jc w:val="right"/>
              <w:ind w:right="172"/>
              <w:spacing w:after="0"/>
              <w:rPr>
                <w:sz w:val="20"/>
                <w:szCs w:val="20"/>
                <w:color w:val="auto"/>
              </w:rPr>
            </w:pPr>
            <w:r>
              <w:rPr>
                <w:rFonts w:ascii="Arial" w:cs="Arial" w:eastAsia="Arial" w:hAnsi="Arial"/>
                <w:sz w:val="18"/>
                <w:szCs w:val="18"/>
                <w:b w:val="1"/>
                <w:bCs w:val="1"/>
                <w:i w:val="1"/>
                <w:iCs w:val="1"/>
                <w:color w:val="auto"/>
                <w:w w:val="84"/>
              </w:rPr>
              <w:t>Six months ended November 30,</w:t>
            </w:r>
          </w:p>
        </w:tc>
        <w:tc>
          <w:tcPr>
            <w:tcW w:w="20" w:type="dxa"/>
            <w:vAlign w:val="bottom"/>
          </w:tcPr>
          <w:p>
            <w:pPr>
              <w:spacing w:after="0"/>
              <w:rPr>
                <w:sz w:val="19"/>
                <w:szCs w:val="19"/>
                <w:color w:val="auto"/>
              </w:rPr>
            </w:pPr>
          </w:p>
        </w:tc>
      </w:tr>
      <w:tr>
        <w:trPr>
          <w:trHeight w:val="110"/>
        </w:trPr>
        <w:tc>
          <w:tcPr>
            <w:tcW w:w="49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b w:val="1"/>
                <w:bCs w:val="1"/>
                <w:color w:val="auto"/>
                <w:w w:val="99"/>
              </w:rPr>
              <w:t>2009</w:t>
            </w:r>
          </w:p>
        </w:tc>
        <w:tc>
          <w:tcPr>
            <w:tcW w:w="1360" w:type="dxa"/>
            <w:vAlign w:val="bottom"/>
          </w:tcPr>
          <w:p>
            <w:pPr>
              <w:spacing w:after="0"/>
              <w:rPr>
                <w:sz w:val="24"/>
                <w:szCs w:val="24"/>
                <w:color w:val="auto"/>
              </w:rPr>
            </w:pPr>
          </w:p>
        </w:tc>
        <w:tc>
          <w:tcPr>
            <w:tcW w:w="880" w:type="dxa"/>
            <w:vAlign w:val="bottom"/>
          </w:tcPr>
          <w:p>
            <w:pPr>
              <w:jc w:val="right"/>
              <w:ind w:right="392"/>
              <w:spacing w:after="0"/>
              <w:rPr>
                <w:sz w:val="20"/>
                <w:szCs w:val="20"/>
                <w:color w:val="auto"/>
              </w:rPr>
            </w:pPr>
            <w:r>
              <w:rPr>
                <w:rFonts w:ascii="Arial" w:cs="Arial" w:eastAsia="Arial" w:hAnsi="Arial"/>
                <w:sz w:val="18"/>
                <w:szCs w:val="18"/>
                <w:b w:val="1"/>
                <w:bCs w:val="1"/>
                <w:color w:val="auto"/>
                <w:w w:val="94"/>
              </w:rPr>
              <w:t>2008</w:t>
            </w:r>
          </w:p>
        </w:tc>
        <w:tc>
          <w:tcPr>
            <w:tcW w:w="360" w:type="dxa"/>
            <w:vAlign w:val="bottom"/>
          </w:tcPr>
          <w:p>
            <w:pPr>
              <w:spacing w:after="0"/>
              <w:rPr>
                <w:sz w:val="24"/>
                <w:szCs w:val="24"/>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b w:val="1"/>
                <w:bCs w:val="1"/>
                <w:color w:val="auto"/>
                <w:w w:val="99"/>
              </w:rPr>
              <w:t>2009</w:t>
            </w:r>
          </w:p>
        </w:tc>
        <w:tc>
          <w:tcPr>
            <w:tcW w:w="1340" w:type="dxa"/>
            <w:vAlign w:val="bottom"/>
          </w:tcPr>
          <w:p>
            <w:pPr>
              <w:spacing w:after="0"/>
              <w:rPr>
                <w:sz w:val="24"/>
                <w:szCs w:val="24"/>
                <w:color w:val="auto"/>
              </w:rPr>
            </w:pPr>
          </w:p>
        </w:tc>
        <w:tc>
          <w:tcPr>
            <w:tcW w:w="680" w:type="dxa"/>
            <w:vAlign w:val="bottom"/>
          </w:tcPr>
          <w:p>
            <w:pPr>
              <w:jc w:val="right"/>
              <w:ind w:right="212"/>
              <w:spacing w:after="0"/>
              <w:rPr>
                <w:sz w:val="20"/>
                <w:szCs w:val="20"/>
                <w:color w:val="auto"/>
              </w:rPr>
            </w:pPr>
            <w:r>
              <w:rPr>
                <w:rFonts w:ascii="Arial" w:cs="Arial" w:eastAsia="Arial" w:hAnsi="Arial"/>
                <w:sz w:val="18"/>
                <w:szCs w:val="18"/>
                <w:b w:val="1"/>
                <w:bCs w:val="1"/>
                <w:color w:val="auto"/>
                <w:w w:val="89"/>
              </w:rPr>
              <w:t>2008</w:t>
            </w:r>
          </w:p>
        </w:tc>
        <w:tc>
          <w:tcPr>
            <w:tcW w:w="20" w:type="dxa"/>
            <w:vAlign w:val="bottom"/>
          </w:tcPr>
          <w:p>
            <w:pPr>
              <w:spacing w:after="0"/>
              <w:rPr>
                <w:sz w:val="24"/>
                <w:szCs w:val="24"/>
                <w:color w:val="auto"/>
              </w:rPr>
            </w:pPr>
          </w:p>
        </w:tc>
      </w:tr>
      <w:tr>
        <w:trPr>
          <w:trHeight w:val="110"/>
        </w:trPr>
        <w:tc>
          <w:tcPr>
            <w:tcW w:w="49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4900" w:type="dxa"/>
            <w:vAlign w:val="bottom"/>
          </w:tcPr>
          <w:p>
            <w:pPr>
              <w:spacing w:after="0"/>
              <w:rPr>
                <w:sz w:val="20"/>
                <w:szCs w:val="20"/>
                <w:color w:val="auto"/>
              </w:rPr>
            </w:pPr>
            <w:r>
              <w:rPr>
                <w:rFonts w:ascii="Arial" w:cs="Arial" w:eastAsia="Arial" w:hAnsi="Arial"/>
                <w:sz w:val="18"/>
                <w:szCs w:val="18"/>
                <w:color w:val="auto"/>
              </w:rPr>
              <w:t>Net income (loss)</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55.5</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43.1</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32.5</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4"/>
                <w:szCs w:val="24"/>
                <w:color w:val="auto"/>
              </w:rPr>
            </w:pPr>
          </w:p>
        </w:tc>
      </w:tr>
      <w:tr>
        <w:trPr>
          <w:trHeight w:val="358"/>
        </w:trPr>
        <w:tc>
          <w:tcPr>
            <w:tcW w:w="49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90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7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1360" w:type="dxa"/>
            <w:vAlign w:val="bottom"/>
          </w:tcPr>
          <w:p>
            <w:pPr>
              <w:spacing w:after="0"/>
              <w:rPr>
                <w:sz w:val="18"/>
                <w:szCs w:val="18"/>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(21.2)</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w:t>
            </w:r>
          </w:p>
        </w:tc>
        <w:tc>
          <w:tcPr>
            <w:tcW w:w="1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18"/>
                <w:szCs w:val="18"/>
                <w:color w:val="auto"/>
              </w:rPr>
            </w:pPr>
          </w:p>
        </w:tc>
      </w:tr>
      <w:tr>
        <w:trPr>
          <w:trHeight w:val="222"/>
        </w:trPr>
        <w:tc>
          <w:tcPr>
            <w:tcW w:w="4900" w:type="dxa"/>
            <w:vAlign w:val="bottom"/>
          </w:tcPr>
          <w:p>
            <w:pPr>
              <w:ind w:left="160"/>
              <w:spacing w:after="0"/>
              <w:rPr>
                <w:sz w:val="20"/>
                <w:szCs w:val="20"/>
                <w:color w:val="auto"/>
              </w:rPr>
            </w:pPr>
            <w:r>
              <w:rPr>
                <w:rFonts w:ascii="Arial" w:cs="Arial" w:eastAsia="Arial" w:hAnsi="Arial"/>
                <w:sz w:val="18"/>
                <w:szCs w:val="18"/>
                <w:color w:val="auto"/>
              </w:rPr>
              <w:t>Retirement plans and post-retirement healthcare, net of tax</w:t>
            </w:r>
          </w:p>
        </w:tc>
        <w:tc>
          <w:tcPr>
            <w:tcW w:w="7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0.7</w:t>
            </w:r>
          </w:p>
        </w:tc>
        <w:tc>
          <w:tcPr>
            <w:tcW w:w="1360" w:type="dxa"/>
            <w:vAlign w:val="bottom"/>
          </w:tcPr>
          <w:p>
            <w:pPr>
              <w:spacing w:after="0"/>
              <w:rPr>
                <w:sz w:val="19"/>
                <w:szCs w:val="19"/>
                <w:color w:val="auto"/>
              </w:rPr>
            </w:pP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1340" w:type="dxa"/>
            <w:vAlign w:val="bottom"/>
          </w:tcPr>
          <w:p>
            <w:pPr>
              <w:spacing w:after="0"/>
              <w:rPr>
                <w:sz w:val="19"/>
                <w:szCs w:val="19"/>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r>
      <w:tr>
        <w:trPr>
          <w:trHeight w:val="110"/>
        </w:trPr>
        <w:tc>
          <w:tcPr>
            <w:tcW w:w="49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900" w:type="dxa"/>
            <w:vAlign w:val="bottom"/>
          </w:tcPr>
          <w:p>
            <w:pPr>
              <w:ind w:left="160"/>
              <w:spacing w:after="0"/>
              <w:rPr>
                <w:sz w:val="20"/>
                <w:szCs w:val="20"/>
                <w:color w:val="auto"/>
              </w:rPr>
            </w:pPr>
            <w:r>
              <w:rPr>
                <w:rFonts w:ascii="Arial" w:cs="Arial" w:eastAsia="Arial" w:hAnsi="Arial"/>
                <w:sz w:val="18"/>
                <w:szCs w:val="18"/>
                <w:b w:val="1"/>
                <w:bCs w:val="1"/>
                <w:color w:val="auto"/>
              </w:rPr>
              <w:t>Comprehensive income (loss)</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58.4</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23.4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39.2</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(37.2)</w:t>
            </w:r>
          </w:p>
        </w:tc>
        <w:tc>
          <w:tcPr>
            <w:tcW w:w="20" w:type="dxa"/>
            <w:vAlign w:val="bottom"/>
          </w:tcPr>
          <w:p>
            <w:pPr>
              <w:spacing w:after="0"/>
              <w:rPr>
                <w:sz w:val="24"/>
                <w:szCs w:val="24"/>
                <w:color w:val="auto"/>
              </w:rPr>
            </w:pPr>
          </w:p>
        </w:tc>
      </w:tr>
      <w:tr>
        <w:trPr>
          <w:trHeight w:val="134"/>
        </w:trPr>
        <w:tc>
          <w:tcPr>
            <w:tcW w:w="49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r>
        <w:trPr>
          <w:trHeight w:val="535"/>
        </w:trPr>
        <w:tc>
          <w:tcPr>
            <w:tcW w:w="4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jc w:val="right"/>
              <w:ind w:right="332"/>
              <w:spacing w:after="0"/>
              <w:rPr>
                <w:sz w:val="20"/>
                <w:szCs w:val="20"/>
                <w:color w:val="auto"/>
              </w:rPr>
            </w:pPr>
            <w:r>
              <w:rPr>
                <w:rFonts w:ascii="Arial" w:cs="Arial" w:eastAsia="Arial" w:hAnsi="Arial"/>
                <w:sz w:val="18"/>
                <w:szCs w:val="18"/>
                <w:color w:val="auto"/>
                <w:w w:val="89"/>
              </w:rPr>
              <w:t>13</w:t>
            </w: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4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49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-543560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-543560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-543560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-543560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-543560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-543560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-543560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-543560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-543560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-543560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-543560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-543560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-543560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-543560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-543560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82" w:right="1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(Loss) Per Share</w:t>
      </w:r>
    </w:p>
    <w:p>
      <w:pPr>
        <w:spacing w:after="0" w:line="23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Basic earnings (loss) per share is computed by dividing net earnings (loss) by the weighted average Shares of Class A Stock and Common Stock outstanding during the period. Diluted earnings (loss) per share is calculated to give effect to potentially dilutive options to purchase Class A and Common Stock and restricted stock units granted pursuant to the Company’s stock-based compensation plans that were outstanding during the period. In accordance with the accounting standard addressing earnings per share, in a period in which the Company reports a discontinued operation, income (loss) from continuing operations is used as the “control number” in determining whether potentially dilutive common shares are dilutive or anti-dilutive. The Company calculates per share figures prior to rounding in millions. The following table summarizes the reconciliation of the numerators and denominators for the basic and diluted earnings (loss) per share computation for the periods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00" w:type="dxa"/>
            <w:vAlign w:val="bottom"/>
          </w:tcPr>
          <w:p>
            <w:pPr>
              <w:spacing w:after="0"/>
              <w:rPr>
                <w:sz w:val="19"/>
                <w:szCs w:val="19"/>
                <w:color w:val="auto"/>
              </w:rPr>
            </w:pPr>
          </w:p>
        </w:tc>
        <w:tc>
          <w:tcPr>
            <w:tcW w:w="3160" w:type="dxa"/>
            <w:vAlign w:val="bottom"/>
            <w:gridSpan w:val="4"/>
          </w:tcPr>
          <w:p>
            <w:pPr>
              <w:jc w:val="right"/>
              <w:ind w:right="292"/>
              <w:spacing w:after="0"/>
              <w:rPr>
                <w:sz w:val="20"/>
                <w:szCs w:val="20"/>
                <w:color w:val="auto"/>
              </w:rPr>
            </w:pPr>
            <w:r>
              <w:rPr>
                <w:rFonts w:ascii="Arial" w:cs="Arial" w:eastAsia="Arial" w:hAnsi="Arial"/>
                <w:sz w:val="18"/>
                <w:szCs w:val="18"/>
                <w:b w:val="1"/>
                <w:bCs w:val="1"/>
                <w:i w:val="1"/>
                <w:iCs w:val="1"/>
                <w:color w:val="auto"/>
                <w:w w:val="91"/>
              </w:rPr>
              <w:t>Three months ended November 30,</w:t>
            </w:r>
          </w:p>
        </w:tc>
        <w:tc>
          <w:tcPr>
            <w:tcW w:w="360" w:type="dxa"/>
            <w:vAlign w:val="bottom"/>
          </w:tcPr>
          <w:p>
            <w:pPr>
              <w:spacing w:after="0"/>
              <w:rPr>
                <w:sz w:val="19"/>
                <w:szCs w:val="19"/>
                <w:color w:val="auto"/>
              </w:rPr>
            </w:pPr>
          </w:p>
        </w:tc>
        <w:tc>
          <w:tcPr>
            <w:tcW w:w="2620" w:type="dxa"/>
            <w:vAlign w:val="bottom"/>
            <w:gridSpan w:val="3"/>
          </w:tcPr>
          <w:p>
            <w:pPr>
              <w:jc w:val="right"/>
              <w:ind w:right="172"/>
              <w:spacing w:after="0"/>
              <w:rPr>
                <w:sz w:val="20"/>
                <w:szCs w:val="20"/>
                <w:color w:val="auto"/>
              </w:rPr>
            </w:pPr>
            <w:r>
              <w:rPr>
                <w:rFonts w:ascii="Arial" w:cs="Arial" w:eastAsia="Arial" w:hAnsi="Arial"/>
                <w:sz w:val="18"/>
                <w:szCs w:val="18"/>
                <w:b w:val="1"/>
                <w:bCs w:val="1"/>
                <w:i w:val="1"/>
                <w:iCs w:val="1"/>
                <w:color w:val="auto"/>
                <w:w w:val="84"/>
              </w:rPr>
              <w:t>Six months ended November 30,</w:t>
            </w:r>
          </w:p>
        </w:tc>
      </w:tr>
      <w:tr>
        <w:trPr>
          <w:trHeight w:val="110"/>
        </w:trPr>
        <w:tc>
          <w:tcPr>
            <w:tcW w:w="53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r>
      <w:tr>
        <w:trPr>
          <w:trHeight w:val="316"/>
        </w:trPr>
        <w:tc>
          <w:tcPr>
            <w:tcW w:w="5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ind w:right="752"/>
              <w:spacing w:after="0"/>
              <w:rPr>
                <w:sz w:val="20"/>
                <w:szCs w:val="20"/>
                <w:color w:val="auto"/>
              </w:rPr>
            </w:pPr>
            <w:r>
              <w:rPr>
                <w:rFonts w:ascii="Arial" w:cs="Arial" w:eastAsia="Arial" w:hAnsi="Arial"/>
                <w:sz w:val="18"/>
                <w:szCs w:val="18"/>
                <w:b w:val="1"/>
                <w:bCs w:val="1"/>
                <w:color w:val="auto"/>
                <w:w w:val="94"/>
              </w:rPr>
              <w:t>2009</w:t>
            </w:r>
          </w:p>
        </w:tc>
        <w:tc>
          <w:tcPr>
            <w:tcW w:w="720" w:type="dxa"/>
            <w:vAlign w:val="bottom"/>
          </w:tcPr>
          <w:p>
            <w:pPr>
              <w:spacing w:after="0"/>
              <w:rPr>
                <w:sz w:val="24"/>
                <w:szCs w:val="24"/>
                <w:color w:val="auto"/>
              </w:rPr>
            </w:pPr>
          </w:p>
        </w:tc>
        <w:tc>
          <w:tcPr>
            <w:tcW w:w="880" w:type="dxa"/>
            <w:vAlign w:val="bottom"/>
          </w:tcPr>
          <w:p>
            <w:pPr>
              <w:jc w:val="right"/>
              <w:ind w:right="392"/>
              <w:spacing w:after="0"/>
              <w:rPr>
                <w:sz w:val="20"/>
                <w:szCs w:val="20"/>
                <w:color w:val="auto"/>
              </w:rPr>
            </w:pPr>
            <w:r>
              <w:rPr>
                <w:rFonts w:ascii="Arial" w:cs="Arial" w:eastAsia="Arial" w:hAnsi="Arial"/>
                <w:sz w:val="18"/>
                <w:szCs w:val="18"/>
                <w:b w:val="1"/>
                <w:bCs w:val="1"/>
                <w:color w:val="auto"/>
                <w:w w:val="94"/>
              </w:rPr>
              <w:t>2008</w:t>
            </w:r>
          </w:p>
        </w:tc>
        <w:tc>
          <w:tcPr>
            <w:tcW w:w="360" w:type="dxa"/>
            <w:vAlign w:val="bottom"/>
          </w:tcPr>
          <w:p>
            <w:pPr>
              <w:spacing w:after="0"/>
              <w:rPr>
                <w:sz w:val="24"/>
                <w:szCs w:val="24"/>
                <w:color w:val="auto"/>
              </w:rPr>
            </w:pPr>
          </w:p>
        </w:tc>
        <w:tc>
          <w:tcPr>
            <w:tcW w:w="1200" w:type="dxa"/>
            <w:vAlign w:val="bottom"/>
          </w:tcPr>
          <w:p>
            <w:pPr>
              <w:jc w:val="right"/>
              <w:ind w:right="692"/>
              <w:spacing w:after="0"/>
              <w:rPr>
                <w:sz w:val="20"/>
                <w:szCs w:val="20"/>
                <w:color w:val="auto"/>
              </w:rPr>
            </w:pPr>
            <w:r>
              <w:rPr>
                <w:rFonts w:ascii="Arial" w:cs="Arial" w:eastAsia="Arial" w:hAnsi="Arial"/>
                <w:sz w:val="18"/>
                <w:szCs w:val="18"/>
                <w:b w:val="1"/>
                <w:bCs w:val="1"/>
                <w:color w:val="auto"/>
                <w:w w:val="99"/>
              </w:rPr>
              <w:t>2009</w:t>
            </w:r>
          </w:p>
        </w:tc>
        <w:tc>
          <w:tcPr>
            <w:tcW w:w="740" w:type="dxa"/>
            <w:vAlign w:val="bottom"/>
          </w:tcPr>
          <w:p>
            <w:pPr>
              <w:spacing w:after="0"/>
              <w:rPr>
                <w:sz w:val="24"/>
                <w:szCs w:val="24"/>
                <w:color w:val="auto"/>
              </w:rPr>
            </w:pPr>
          </w:p>
        </w:tc>
        <w:tc>
          <w:tcPr>
            <w:tcW w:w="680" w:type="dxa"/>
            <w:vAlign w:val="bottom"/>
          </w:tcPr>
          <w:p>
            <w:pPr>
              <w:jc w:val="right"/>
              <w:ind w:right="212"/>
              <w:spacing w:after="0"/>
              <w:rPr>
                <w:sz w:val="20"/>
                <w:szCs w:val="20"/>
                <w:color w:val="auto"/>
              </w:rPr>
            </w:pPr>
            <w:r>
              <w:rPr>
                <w:rFonts w:ascii="Arial" w:cs="Arial" w:eastAsia="Arial" w:hAnsi="Arial"/>
                <w:sz w:val="18"/>
                <w:szCs w:val="18"/>
                <w:b w:val="1"/>
                <w:bCs w:val="1"/>
                <w:color w:val="auto"/>
                <w:w w:val="89"/>
              </w:rPr>
              <w:t>2008</w:t>
            </w:r>
          </w:p>
        </w:tc>
      </w:tr>
      <w:tr>
        <w:trPr>
          <w:trHeight w:val="110"/>
        </w:trPr>
        <w:tc>
          <w:tcPr>
            <w:tcW w:w="53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r>
      <w:tr>
        <w:trPr>
          <w:trHeight w:val="458"/>
        </w:trPr>
        <w:tc>
          <w:tcPr>
            <w:tcW w:w="5300" w:type="dxa"/>
            <w:vAlign w:val="bottom"/>
          </w:tcPr>
          <w:p>
            <w:pPr>
              <w:spacing w:after="0"/>
              <w:rPr>
                <w:sz w:val="20"/>
                <w:szCs w:val="20"/>
                <w:color w:val="auto"/>
              </w:rPr>
            </w:pPr>
            <w:r>
              <w:rPr>
                <w:rFonts w:ascii="Arial" w:cs="Arial" w:eastAsia="Arial" w:hAnsi="Arial"/>
                <w:sz w:val="18"/>
                <w:szCs w:val="18"/>
                <w:color w:val="auto"/>
              </w:rPr>
              <w:t>Earnings from continuing operations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72"/>
              <w:spacing w:after="0"/>
              <w:rPr>
                <w:sz w:val="20"/>
                <w:szCs w:val="20"/>
                <w:color w:val="auto"/>
              </w:rPr>
            </w:pPr>
            <w:r>
              <w:rPr>
                <w:rFonts w:ascii="Arial" w:cs="Arial" w:eastAsia="Arial" w:hAnsi="Arial"/>
                <w:sz w:val="18"/>
                <w:szCs w:val="18"/>
                <w:color w:val="auto"/>
              </w:rPr>
              <w:t>56.8</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58.5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32"/>
              <w:spacing w:after="0"/>
              <w:rPr>
                <w:sz w:val="20"/>
                <w:szCs w:val="20"/>
                <w:color w:val="auto"/>
              </w:rPr>
            </w:pPr>
            <w:r>
              <w:rPr>
                <w:rFonts w:ascii="Arial" w:cs="Arial" w:eastAsia="Arial" w:hAnsi="Arial"/>
                <w:sz w:val="18"/>
                <w:szCs w:val="18"/>
                <w:color w:val="auto"/>
              </w:rPr>
              <w:t>32.2</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15.6</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(Loss) earnings from discontinued operations, net of tax</w:t>
            </w:r>
          </w:p>
        </w:tc>
        <w:tc>
          <w:tcPr>
            <w:tcW w:w="320" w:type="dxa"/>
            <w:vAlign w:val="bottom"/>
          </w:tcPr>
          <w:p>
            <w:pPr>
              <w:spacing w:after="0"/>
              <w:rPr>
                <w:sz w:val="18"/>
                <w:szCs w:val="18"/>
                <w:color w:val="auto"/>
              </w:rPr>
            </w:pPr>
          </w:p>
        </w:tc>
        <w:tc>
          <w:tcPr>
            <w:tcW w:w="1240" w:type="dxa"/>
            <w:vAlign w:val="bottom"/>
          </w:tcPr>
          <w:p>
            <w:pPr>
              <w:jc w:val="right"/>
              <w:ind w:right="512"/>
              <w:spacing w:after="0"/>
              <w:rPr>
                <w:sz w:val="20"/>
                <w:szCs w:val="20"/>
                <w:color w:val="auto"/>
              </w:rPr>
            </w:pPr>
            <w:r>
              <w:rPr>
                <w:rFonts w:ascii="Arial" w:cs="Arial" w:eastAsia="Arial" w:hAnsi="Arial"/>
                <w:sz w:val="18"/>
                <w:szCs w:val="18"/>
                <w:color w:val="auto"/>
              </w:rPr>
              <w:t>(1.3)</w:t>
            </w:r>
          </w:p>
        </w:tc>
        <w:tc>
          <w:tcPr>
            <w:tcW w:w="720" w:type="dxa"/>
            <w:vAlign w:val="bottom"/>
          </w:tcPr>
          <w:p>
            <w:pPr>
              <w:spacing w:after="0"/>
              <w:rPr>
                <w:sz w:val="18"/>
                <w:szCs w:val="18"/>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(15.4)</w:t>
            </w:r>
          </w:p>
        </w:tc>
        <w:tc>
          <w:tcPr>
            <w:tcW w:w="360" w:type="dxa"/>
            <w:vAlign w:val="bottom"/>
          </w:tcPr>
          <w:p>
            <w:pPr>
              <w:spacing w:after="0"/>
              <w:rPr>
                <w:sz w:val="18"/>
                <w:szCs w:val="18"/>
                <w:color w:val="auto"/>
              </w:rPr>
            </w:pPr>
          </w:p>
        </w:tc>
        <w:tc>
          <w:tcPr>
            <w:tcW w:w="1200" w:type="dxa"/>
            <w:vAlign w:val="bottom"/>
          </w:tcPr>
          <w:p>
            <w:pPr>
              <w:jc w:val="right"/>
              <w:ind w:right="532"/>
              <w:spacing w:after="0"/>
              <w:rPr>
                <w:sz w:val="20"/>
                <w:szCs w:val="20"/>
                <w:color w:val="auto"/>
              </w:rPr>
            </w:pPr>
            <w:r>
              <w:rPr>
                <w:rFonts w:ascii="Arial" w:cs="Arial" w:eastAsia="Arial" w:hAnsi="Arial"/>
                <w:sz w:val="18"/>
                <w:szCs w:val="18"/>
                <w:color w:val="auto"/>
              </w:rPr>
              <w:t>0.3</w:t>
            </w:r>
          </w:p>
        </w:tc>
        <w:tc>
          <w:tcPr>
            <w:tcW w:w="7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Net income (loss)</w:t>
            </w:r>
          </w:p>
        </w:tc>
        <w:tc>
          <w:tcPr>
            <w:tcW w:w="320" w:type="dxa"/>
            <w:vAlign w:val="bottom"/>
          </w:tcPr>
          <w:p>
            <w:pPr>
              <w:spacing w:after="0"/>
              <w:rPr>
                <w:sz w:val="18"/>
                <w:szCs w:val="18"/>
                <w:color w:val="auto"/>
              </w:rPr>
            </w:pPr>
          </w:p>
        </w:tc>
        <w:tc>
          <w:tcPr>
            <w:tcW w:w="1240" w:type="dxa"/>
            <w:vAlign w:val="bottom"/>
          </w:tcPr>
          <w:p>
            <w:pPr>
              <w:jc w:val="right"/>
              <w:ind w:right="572"/>
              <w:spacing w:after="0"/>
              <w:rPr>
                <w:sz w:val="20"/>
                <w:szCs w:val="20"/>
                <w:color w:val="auto"/>
              </w:rPr>
            </w:pPr>
            <w:r>
              <w:rPr>
                <w:rFonts w:ascii="Arial" w:cs="Arial" w:eastAsia="Arial" w:hAnsi="Arial"/>
                <w:sz w:val="18"/>
                <w:szCs w:val="18"/>
                <w:color w:val="auto"/>
              </w:rPr>
              <w:t>55.5</w:t>
            </w:r>
          </w:p>
        </w:tc>
        <w:tc>
          <w:tcPr>
            <w:tcW w:w="720" w:type="dxa"/>
            <w:vAlign w:val="bottom"/>
          </w:tcPr>
          <w:p>
            <w:pPr>
              <w:spacing w:after="0"/>
              <w:rPr>
                <w:sz w:val="18"/>
                <w:szCs w:val="18"/>
                <w:color w:val="auto"/>
              </w:rPr>
            </w:pP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43.1</w:t>
            </w:r>
          </w:p>
        </w:tc>
        <w:tc>
          <w:tcPr>
            <w:tcW w:w="360" w:type="dxa"/>
            <w:vAlign w:val="bottom"/>
          </w:tcPr>
          <w:p>
            <w:pPr>
              <w:spacing w:after="0"/>
              <w:rPr>
                <w:sz w:val="18"/>
                <w:szCs w:val="18"/>
                <w:color w:val="auto"/>
              </w:rPr>
            </w:pPr>
          </w:p>
        </w:tc>
        <w:tc>
          <w:tcPr>
            <w:tcW w:w="1200" w:type="dxa"/>
            <w:vAlign w:val="bottom"/>
          </w:tcPr>
          <w:p>
            <w:pPr>
              <w:jc w:val="right"/>
              <w:ind w:right="532"/>
              <w:spacing w:after="0"/>
              <w:rPr>
                <w:sz w:val="20"/>
                <w:szCs w:val="20"/>
                <w:color w:val="auto"/>
              </w:rPr>
            </w:pPr>
            <w:r>
              <w:rPr>
                <w:rFonts w:ascii="Arial" w:cs="Arial" w:eastAsia="Arial" w:hAnsi="Arial"/>
                <w:sz w:val="18"/>
                <w:szCs w:val="18"/>
                <w:color w:val="auto"/>
              </w:rPr>
              <w:t>32.5</w:t>
            </w:r>
          </w:p>
        </w:tc>
        <w:tc>
          <w:tcPr>
            <w:tcW w:w="7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Weighted average Shares of Class A Stock and Common Stock</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300" w:type="dxa"/>
            <w:vAlign w:val="bottom"/>
          </w:tcPr>
          <w:p>
            <w:pPr>
              <w:ind w:left="160"/>
              <w:spacing w:after="0"/>
              <w:rPr>
                <w:sz w:val="20"/>
                <w:szCs w:val="20"/>
                <w:color w:val="auto"/>
              </w:rPr>
            </w:pPr>
            <w:r>
              <w:rPr>
                <w:rFonts w:ascii="Arial" w:cs="Arial" w:eastAsia="Arial" w:hAnsi="Arial"/>
                <w:sz w:val="18"/>
                <w:szCs w:val="18"/>
                <w:color w:val="auto"/>
              </w:rPr>
              <w:t>outstanding for basic earnings per share (in millions)</w:t>
            </w:r>
          </w:p>
        </w:tc>
        <w:tc>
          <w:tcPr>
            <w:tcW w:w="320" w:type="dxa"/>
            <w:vAlign w:val="bottom"/>
          </w:tcPr>
          <w:p>
            <w:pPr>
              <w:spacing w:after="0"/>
              <w:rPr>
                <w:sz w:val="18"/>
                <w:szCs w:val="18"/>
                <w:color w:val="auto"/>
              </w:rPr>
            </w:pPr>
          </w:p>
        </w:tc>
        <w:tc>
          <w:tcPr>
            <w:tcW w:w="1240" w:type="dxa"/>
            <w:vAlign w:val="bottom"/>
          </w:tcPr>
          <w:p>
            <w:pPr>
              <w:jc w:val="right"/>
              <w:ind w:right="572"/>
              <w:spacing w:after="0"/>
              <w:rPr>
                <w:sz w:val="20"/>
                <w:szCs w:val="20"/>
                <w:color w:val="auto"/>
              </w:rPr>
            </w:pPr>
            <w:r>
              <w:rPr>
                <w:rFonts w:ascii="Arial" w:cs="Arial" w:eastAsia="Arial" w:hAnsi="Arial"/>
                <w:sz w:val="18"/>
                <w:szCs w:val="18"/>
                <w:color w:val="auto"/>
              </w:rPr>
              <w:t>36.4</w:t>
            </w:r>
          </w:p>
        </w:tc>
        <w:tc>
          <w:tcPr>
            <w:tcW w:w="720" w:type="dxa"/>
            <w:vAlign w:val="bottom"/>
          </w:tcPr>
          <w:p>
            <w:pPr>
              <w:spacing w:after="0"/>
              <w:rPr>
                <w:sz w:val="18"/>
                <w:szCs w:val="18"/>
                <w:color w:val="auto"/>
              </w:rPr>
            </w:pP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37.6</w:t>
            </w:r>
          </w:p>
        </w:tc>
        <w:tc>
          <w:tcPr>
            <w:tcW w:w="360" w:type="dxa"/>
            <w:vAlign w:val="bottom"/>
          </w:tcPr>
          <w:p>
            <w:pPr>
              <w:spacing w:after="0"/>
              <w:rPr>
                <w:sz w:val="18"/>
                <w:szCs w:val="18"/>
                <w:color w:val="auto"/>
              </w:rPr>
            </w:pPr>
          </w:p>
        </w:tc>
        <w:tc>
          <w:tcPr>
            <w:tcW w:w="1200" w:type="dxa"/>
            <w:vAlign w:val="bottom"/>
          </w:tcPr>
          <w:p>
            <w:pPr>
              <w:jc w:val="right"/>
              <w:ind w:right="532"/>
              <w:spacing w:after="0"/>
              <w:rPr>
                <w:sz w:val="20"/>
                <w:szCs w:val="20"/>
                <w:color w:val="auto"/>
              </w:rPr>
            </w:pPr>
            <w:r>
              <w:rPr>
                <w:rFonts w:ascii="Arial" w:cs="Arial" w:eastAsia="Arial" w:hAnsi="Arial"/>
                <w:sz w:val="18"/>
                <w:szCs w:val="18"/>
                <w:color w:val="auto"/>
              </w:rPr>
              <w:t>36.4</w:t>
            </w:r>
          </w:p>
        </w:tc>
        <w:tc>
          <w:tcPr>
            <w:tcW w:w="740" w:type="dxa"/>
            <w:vAlign w:val="bottom"/>
          </w:tcPr>
          <w:p>
            <w:pPr>
              <w:spacing w:after="0"/>
              <w:rPr>
                <w:sz w:val="18"/>
                <w:szCs w:val="18"/>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37.7</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w w:val="93"/>
              </w:rPr>
              <w:t>Dilutive effect of Class A Stock and Common Stock potentially issuable</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300" w:type="dxa"/>
            <w:vAlign w:val="bottom"/>
          </w:tcPr>
          <w:p>
            <w:pPr>
              <w:ind w:left="160"/>
              <w:spacing w:after="0"/>
              <w:rPr>
                <w:sz w:val="20"/>
                <w:szCs w:val="20"/>
                <w:color w:val="auto"/>
              </w:rPr>
            </w:pPr>
            <w:r>
              <w:rPr>
                <w:rFonts w:ascii="Arial" w:cs="Arial" w:eastAsia="Arial" w:hAnsi="Arial"/>
                <w:sz w:val="18"/>
                <w:szCs w:val="18"/>
                <w:color w:val="auto"/>
              </w:rPr>
              <w:t>pursuant to stock-based compensation plans (in millions)</w:t>
            </w:r>
          </w:p>
        </w:tc>
        <w:tc>
          <w:tcPr>
            <w:tcW w:w="320" w:type="dxa"/>
            <w:vAlign w:val="bottom"/>
          </w:tcPr>
          <w:p>
            <w:pPr>
              <w:spacing w:after="0"/>
              <w:rPr>
                <w:sz w:val="18"/>
                <w:szCs w:val="18"/>
                <w:color w:val="auto"/>
              </w:rPr>
            </w:pPr>
          </w:p>
        </w:tc>
        <w:tc>
          <w:tcPr>
            <w:tcW w:w="1240" w:type="dxa"/>
            <w:vAlign w:val="bottom"/>
          </w:tcPr>
          <w:p>
            <w:pPr>
              <w:jc w:val="right"/>
              <w:ind w:right="572"/>
              <w:spacing w:after="0"/>
              <w:rPr>
                <w:sz w:val="20"/>
                <w:szCs w:val="20"/>
                <w:color w:val="auto"/>
              </w:rPr>
            </w:pPr>
            <w:r>
              <w:rPr>
                <w:rFonts w:ascii="Arial" w:cs="Arial" w:eastAsia="Arial" w:hAnsi="Arial"/>
                <w:sz w:val="18"/>
                <w:szCs w:val="18"/>
                <w:color w:val="auto"/>
              </w:rPr>
              <w:t>0.4</w:t>
            </w:r>
          </w:p>
        </w:tc>
        <w:tc>
          <w:tcPr>
            <w:tcW w:w="720" w:type="dxa"/>
            <w:vAlign w:val="bottom"/>
          </w:tcPr>
          <w:p>
            <w:pPr>
              <w:spacing w:after="0"/>
              <w:rPr>
                <w:sz w:val="18"/>
                <w:szCs w:val="18"/>
                <w:color w:val="auto"/>
              </w:rPr>
            </w:pP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18"/>
                <w:szCs w:val="18"/>
                <w:color w:val="auto"/>
              </w:rPr>
            </w:pPr>
          </w:p>
        </w:tc>
        <w:tc>
          <w:tcPr>
            <w:tcW w:w="1200" w:type="dxa"/>
            <w:vAlign w:val="bottom"/>
          </w:tcPr>
          <w:p>
            <w:pPr>
              <w:jc w:val="right"/>
              <w:ind w:right="532"/>
              <w:spacing w:after="0"/>
              <w:rPr>
                <w:sz w:val="20"/>
                <w:szCs w:val="20"/>
                <w:color w:val="auto"/>
              </w:rPr>
            </w:pPr>
            <w:r>
              <w:rPr>
                <w:rFonts w:ascii="Arial" w:cs="Arial" w:eastAsia="Arial" w:hAnsi="Arial"/>
                <w:sz w:val="18"/>
                <w:szCs w:val="18"/>
                <w:color w:val="auto"/>
              </w:rPr>
              <w:t>0.3</w:t>
            </w:r>
          </w:p>
        </w:tc>
        <w:tc>
          <w:tcPr>
            <w:tcW w:w="740" w:type="dxa"/>
            <w:vAlign w:val="bottom"/>
          </w:tcPr>
          <w:p>
            <w:pPr>
              <w:spacing w:after="0"/>
              <w:rPr>
                <w:sz w:val="18"/>
                <w:szCs w:val="18"/>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0.2</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w w:val="91"/>
              </w:rPr>
              <w:t>Adjusted weighted average Shares of Class A Stock and Common Stock</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2"/>
        </w:trPr>
        <w:tc>
          <w:tcPr>
            <w:tcW w:w="5300" w:type="dxa"/>
            <w:vAlign w:val="bottom"/>
          </w:tcPr>
          <w:p>
            <w:pPr>
              <w:ind w:left="160"/>
              <w:spacing w:after="0"/>
              <w:rPr>
                <w:sz w:val="20"/>
                <w:szCs w:val="20"/>
                <w:color w:val="auto"/>
              </w:rPr>
            </w:pPr>
            <w:r>
              <w:rPr>
                <w:rFonts w:ascii="Arial" w:cs="Arial" w:eastAsia="Arial" w:hAnsi="Arial"/>
                <w:sz w:val="18"/>
                <w:szCs w:val="18"/>
                <w:color w:val="auto"/>
              </w:rPr>
              <w:t>outstanding for diluted earnings per share (in millions)</w:t>
            </w:r>
          </w:p>
        </w:tc>
        <w:tc>
          <w:tcPr>
            <w:tcW w:w="320" w:type="dxa"/>
            <w:vAlign w:val="bottom"/>
          </w:tcPr>
          <w:p>
            <w:pPr>
              <w:spacing w:after="0"/>
              <w:rPr>
                <w:sz w:val="19"/>
                <w:szCs w:val="19"/>
                <w:color w:val="auto"/>
              </w:rPr>
            </w:pPr>
          </w:p>
        </w:tc>
        <w:tc>
          <w:tcPr>
            <w:tcW w:w="1240" w:type="dxa"/>
            <w:vAlign w:val="bottom"/>
          </w:tcPr>
          <w:p>
            <w:pPr>
              <w:jc w:val="right"/>
              <w:ind w:right="572"/>
              <w:spacing w:after="0"/>
              <w:rPr>
                <w:sz w:val="20"/>
                <w:szCs w:val="20"/>
                <w:color w:val="auto"/>
              </w:rPr>
            </w:pPr>
            <w:r>
              <w:rPr>
                <w:rFonts w:ascii="Arial" w:cs="Arial" w:eastAsia="Arial" w:hAnsi="Arial"/>
                <w:sz w:val="18"/>
                <w:szCs w:val="18"/>
                <w:color w:val="auto"/>
              </w:rPr>
              <w:t>36.8</w:t>
            </w:r>
          </w:p>
        </w:tc>
        <w:tc>
          <w:tcPr>
            <w:tcW w:w="720" w:type="dxa"/>
            <w:vAlign w:val="bottom"/>
          </w:tcPr>
          <w:p>
            <w:pPr>
              <w:spacing w:after="0"/>
              <w:rPr>
                <w:sz w:val="19"/>
                <w:szCs w:val="19"/>
                <w:color w:val="auto"/>
              </w:rPr>
            </w:pP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37.7</w:t>
            </w:r>
          </w:p>
        </w:tc>
        <w:tc>
          <w:tcPr>
            <w:tcW w:w="360" w:type="dxa"/>
            <w:vAlign w:val="bottom"/>
          </w:tcPr>
          <w:p>
            <w:pPr>
              <w:spacing w:after="0"/>
              <w:rPr>
                <w:sz w:val="19"/>
                <w:szCs w:val="19"/>
                <w:color w:val="auto"/>
              </w:rPr>
            </w:pPr>
          </w:p>
        </w:tc>
        <w:tc>
          <w:tcPr>
            <w:tcW w:w="1200" w:type="dxa"/>
            <w:vAlign w:val="bottom"/>
          </w:tcPr>
          <w:p>
            <w:pPr>
              <w:jc w:val="right"/>
              <w:ind w:right="532"/>
              <w:spacing w:after="0"/>
              <w:rPr>
                <w:sz w:val="20"/>
                <w:szCs w:val="20"/>
                <w:color w:val="auto"/>
              </w:rPr>
            </w:pPr>
            <w:r>
              <w:rPr>
                <w:rFonts w:ascii="Arial" w:cs="Arial" w:eastAsia="Arial" w:hAnsi="Arial"/>
                <w:sz w:val="18"/>
                <w:szCs w:val="18"/>
                <w:color w:val="auto"/>
              </w:rPr>
              <w:t>36.7</w:t>
            </w:r>
          </w:p>
        </w:tc>
        <w:tc>
          <w:tcPr>
            <w:tcW w:w="740" w:type="dxa"/>
            <w:vAlign w:val="bottom"/>
          </w:tcPr>
          <w:p>
            <w:pPr>
              <w:spacing w:after="0"/>
              <w:rPr>
                <w:sz w:val="19"/>
                <w:szCs w:val="19"/>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37.9</w:t>
            </w:r>
          </w:p>
        </w:tc>
      </w:tr>
      <w:tr>
        <w:trPr>
          <w:trHeight w:val="352"/>
        </w:trPr>
        <w:tc>
          <w:tcPr>
            <w:tcW w:w="5300" w:type="dxa"/>
            <w:vAlign w:val="bottom"/>
          </w:tcPr>
          <w:p>
            <w:pPr>
              <w:spacing w:after="0"/>
              <w:rPr>
                <w:sz w:val="20"/>
                <w:szCs w:val="20"/>
                <w:color w:val="auto"/>
              </w:rPr>
            </w:pPr>
            <w:r>
              <w:rPr>
                <w:rFonts w:ascii="Arial" w:cs="Arial" w:eastAsia="Arial" w:hAnsi="Arial"/>
                <w:sz w:val="18"/>
                <w:szCs w:val="18"/>
                <w:b w:val="1"/>
                <w:bCs w:val="1"/>
                <w:color w:val="auto"/>
                <w:w w:val="97"/>
              </w:rPr>
              <w:t>Earnings (loss) per share of Class A Stock and Common Stock:</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22"/>
        </w:trPr>
        <w:tc>
          <w:tcPr>
            <w:tcW w:w="5300" w:type="dxa"/>
            <w:vAlign w:val="bottom"/>
          </w:tcPr>
          <w:p>
            <w:pPr>
              <w:ind w:left="160"/>
              <w:spacing w:after="0"/>
              <w:rPr>
                <w:sz w:val="20"/>
                <w:szCs w:val="20"/>
                <w:color w:val="auto"/>
              </w:rPr>
            </w:pPr>
            <w:r>
              <w:rPr>
                <w:rFonts w:ascii="Arial" w:cs="Arial" w:eastAsia="Arial" w:hAnsi="Arial"/>
                <w:sz w:val="18"/>
                <w:szCs w:val="18"/>
                <w:b w:val="1"/>
                <w:bCs w:val="1"/>
                <w:color w:val="auto"/>
              </w:rPr>
              <w:t>Basic earnings (loss) per share:</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6"/>
        </w:trPr>
        <w:tc>
          <w:tcPr>
            <w:tcW w:w="5300" w:type="dxa"/>
            <w:vAlign w:val="bottom"/>
          </w:tcPr>
          <w:p>
            <w:pPr>
              <w:ind w:left="320"/>
              <w:spacing w:after="0"/>
              <w:rPr>
                <w:sz w:val="20"/>
                <w:szCs w:val="20"/>
                <w:color w:val="auto"/>
              </w:rPr>
            </w:pPr>
            <w:r>
              <w:rPr>
                <w:rFonts w:ascii="Arial" w:cs="Arial" w:eastAsia="Arial" w:hAnsi="Arial"/>
                <w:sz w:val="18"/>
                <w:szCs w:val="18"/>
                <w:color w:val="auto"/>
              </w:rPr>
              <w:t>Earnings from continuing operations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72"/>
              <w:spacing w:after="0"/>
              <w:rPr>
                <w:sz w:val="20"/>
                <w:szCs w:val="20"/>
                <w:color w:val="auto"/>
              </w:rPr>
            </w:pPr>
            <w:r>
              <w:rPr>
                <w:rFonts w:ascii="Arial" w:cs="Arial" w:eastAsia="Arial" w:hAnsi="Arial"/>
                <w:sz w:val="18"/>
                <w:szCs w:val="18"/>
                <w:color w:val="auto"/>
              </w:rPr>
              <w:t>1.56</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1.56</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32"/>
              <w:spacing w:after="0"/>
              <w:rPr>
                <w:sz w:val="20"/>
                <w:szCs w:val="20"/>
                <w:color w:val="auto"/>
              </w:rPr>
            </w:pPr>
            <w:r>
              <w:rPr>
                <w:rFonts w:ascii="Arial" w:cs="Arial" w:eastAsia="Arial" w:hAnsi="Arial"/>
                <w:sz w:val="18"/>
                <w:szCs w:val="18"/>
                <w:color w:val="auto"/>
              </w:rPr>
              <w:t>0.88</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0.41</w:t>
            </w:r>
          </w:p>
        </w:tc>
      </w:tr>
      <w:tr>
        <w:trPr>
          <w:trHeight w:val="216"/>
        </w:trPr>
        <w:tc>
          <w:tcPr>
            <w:tcW w:w="5300" w:type="dxa"/>
            <w:vAlign w:val="bottom"/>
          </w:tcPr>
          <w:p>
            <w:pPr>
              <w:ind w:left="320"/>
              <w:spacing w:after="0"/>
              <w:rPr>
                <w:sz w:val="20"/>
                <w:szCs w:val="20"/>
                <w:color w:val="auto"/>
              </w:rPr>
            </w:pPr>
            <w:r>
              <w:rPr>
                <w:rFonts w:ascii="Arial" w:cs="Arial" w:eastAsia="Arial" w:hAnsi="Arial"/>
                <w:sz w:val="18"/>
                <w:szCs w:val="18"/>
                <w:color w:val="auto"/>
              </w:rPr>
              <w:t>(Loss) earnings from discontinued operations, net of tax</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12"/>
              <w:spacing w:after="0"/>
              <w:rPr>
                <w:sz w:val="20"/>
                <w:szCs w:val="20"/>
                <w:color w:val="auto"/>
              </w:rPr>
            </w:pPr>
            <w:r>
              <w:rPr>
                <w:rFonts w:ascii="Arial" w:cs="Arial" w:eastAsia="Arial" w:hAnsi="Arial"/>
                <w:sz w:val="18"/>
                <w:szCs w:val="18"/>
                <w:color w:val="auto"/>
              </w:rPr>
              <w:t>(0.04)</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(0.41)</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32"/>
              <w:spacing w:after="0"/>
              <w:rPr>
                <w:sz w:val="20"/>
                <w:szCs w:val="20"/>
                <w:color w:val="auto"/>
              </w:rPr>
            </w:pPr>
            <w:r>
              <w:rPr>
                <w:rFonts w:ascii="Arial" w:cs="Arial" w:eastAsia="Arial" w:hAnsi="Arial"/>
                <w:sz w:val="18"/>
                <w:szCs w:val="18"/>
                <w:color w:val="auto"/>
              </w:rPr>
              <w:t>0.01</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(0.57)</w:t>
            </w:r>
          </w:p>
        </w:tc>
      </w:tr>
      <w:tr>
        <w:trPr>
          <w:trHeight w:val="222"/>
        </w:trPr>
        <w:tc>
          <w:tcPr>
            <w:tcW w:w="5300" w:type="dxa"/>
            <w:vAlign w:val="bottom"/>
          </w:tcPr>
          <w:p>
            <w:pPr>
              <w:ind w:left="320"/>
              <w:spacing w:after="0"/>
              <w:rPr>
                <w:sz w:val="20"/>
                <w:szCs w:val="20"/>
                <w:color w:val="auto"/>
              </w:rPr>
            </w:pPr>
            <w:r>
              <w:rPr>
                <w:rFonts w:ascii="Arial" w:cs="Arial" w:eastAsia="Arial" w:hAnsi="Arial"/>
                <w:sz w:val="18"/>
                <w:szCs w:val="18"/>
                <w:color w:val="auto"/>
              </w:rPr>
              <w:t>Net earnings (loss)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72"/>
              <w:spacing w:after="0"/>
              <w:rPr>
                <w:sz w:val="20"/>
                <w:szCs w:val="20"/>
                <w:color w:val="auto"/>
              </w:rPr>
            </w:pPr>
            <w:r>
              <w:rPr>
                <w:rFonts w:ascii="Arial" w:cs="Arial" w:eastAsia="Arial" w:hAnsi="Arial"/>
                <w:sz w:val="18"/>
                <w:szCs w:val="18"/>
                <w:color w:val="auto"/>
              </w:rPr>
              <w:t>1.52</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1.15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32"/>
              <w:spacing w:after="0"/>
              <w:rPr>
                <w:sz w:val="20"/>
                <w:szCs w:val="20"/>
                <w:color w:val="auto"/>
              </w:rPr>
            </w:pPr>
            <w:r>
              <w:rPr>
                <w:rFonts w:ascii="Arial" w:cs="Arial" w:eastAsia="Arial" w:hAnsi="Arial"/>
                <w:sz w:val="18"/>
                <w:szCs w:val="18"/>
                <w:color w:val="auto"/>
              </w:rPr>
              <w:t>0.89</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(0.16)</w:t>
            </w:r>
          </w:p>
        </w:tc>
      </w:tr>
      <w:tr>
        <w:trPr>
          <w:trHeight w:val="358"/>
        </w:trPr>
        <w:tc>
          <w:tcPr>
            <w:tcW w:w="5300" w:type="dxa"/>
            <w:vAlign w:val="bottom"/>
          </w:tcPr>
          <w:p>
            <w:pPr>
              <w:spacing w:after="0"/>
              <w:rPr>
                <w:sz w:val="20"/>
                <w:szCs w:val="20"/>
                <w:color w:val="auto"/>
              </w:rPr>
            </w:pPr>
            <w:r>
              <w:rPr>
                <w:rFonts w:ascii="Arial" w:cs="Arial" w:eastAsia="Arial" w:hAnsi="Arial"/>
                <w:sz w:val="18"/>
                <w:szCs w:val="18"/>
                <w:b w:val="1"/>
                <w:bCs w:val="1"/>
                <w:color w:val="auto"/>
              </w:rPr>
              <w:t>Diluted earnings (loss) per share:</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5300" w:type="dxa"/>
            <w:vAlign w:val="bottom"/>
          </w:tcPr>
          <w:p>
            <w:pPr>
              <w:ind w:left="320"/>
              <w:spacing w:after="0"/>
              <w:rPr>
                <w:sz w:val="20"/>
                <w:szCs w:val="20"/>
                <w:color w:val="auto"/>
              </w:rPr>
            </w:pPr>
            <w:r>
              <w:rPr>
                <w:rFonts w:ascii="Arial" w:cs="Arial" w:eastAsia="Arial" w:hAnsi="Arial"/>
                <w:sz w:val="18"/>
                <w:szCs w:val="18"/>
                <w:color w:val="auto"/>
              </w:rPr>
              <w:t>Earnings from continuing operations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72"/>
              <w:spacing w:after="0"/>
              <w:rPr>
                <w:sz w:val="20"/>
                <w:szCs w:val="20"/>
                <w:color w:val="auto"/>
              </w:rPr>
            </w:pPr>
            <w:r>
              <w:rPr>
                <w:rFonts w:ascii="Arial" w:cs="Arial" w:eastAsia="Arial" w:hAnsi="Arial"/>
                <w:sz w:val="18"/>
                <w:szCs w:val="18"/>
                <w:color w:val="auto"/>
              </w:rPr>
              <w:t>1.54</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1.55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32"/>
              <w:spacing w:after="0"/>
              <w:rPr>
                <w:sz w:val="20"/>
                <w:szCs w:val="20"/>
                <w:color w:val="auto"/>
              </w:rPr>
            </w:pPr>
            <w:r>
              <w:rPr>
                <w:rFonts w:ascii="Arial" w:cs="Arial" w:eastAsia="Arial" w:hAnsi="Arial"/>
                <w:sz w:val="18"/>
                <w:szCs w:val="18"/>
                <w:color w:val="auto"/>
              </w:rPr>
              <w:t>0.88</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0.41</w:t>
            </w:r>
          </w:p>
        </w:tc>
      </w:tr>
      <w:tr>
        <w:trPr>
          <w:trHeight w:val="216"/>
        </w:trPr>
        <w:tc>
          <w:tcPr>
            <w:tcW w:w="5300" w:type="dxa"/>
            <w:vAlign w:val="bottom"/>
          </w:tcPr>
          <w:p>
            <w:pPr>
              <w:ind w:left="320"/>
              <w:spacing w:after="0"/>
              <w:rPr>
                <w:sz w:val="20"/>
                <w:szCs w:val="20"/>
                <w:color w:val="auto"/>
              </w:rPr>
            </w:pPr>
            <w:r>
              <w:rPr>
                <w:rFonts w:ascii="Arial" w:cs="Arial" w:eastAsia="Arial" w:hAnsi="Arial"/>
                <w:sz w:val="18"/>
                <w:szCs w:val="18"/>
                <w:color w:val="auto"/>
              </w:rPr>
              <w:t>Loss from discontinued operations, net of tax</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12"/>
              <w:spacing w:after="0"/>
              <w:rPr>
                <w:sz w:val="20"/>
                <w:szCs w:val="20"/>
                <w:color w:val="auto"/>
              </w:rPr>
            </w:pPr>
            <w:r>
              <w:rPr>
                <w:rFonts w:ascii="Arial" w:cs="Arial" w:eastAsia="Arial" w:hAnsi="Arial"/>
                <w:sz w:val="18"/>
                <w:szCs w:val="18"/>
                <w:color w:val="auto"/>
              </w:rPr>
              <w:t>(0.03)</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(0.40)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32"/>
              <w:spacing w:after="0"/>
              <w:rPr>
                <w:sz w:val="20"/>
                <w:szCs w:val="20"/>
                <w:color w:val="auto"/>
              </w:rPr>
            </w:pPr>
            <w:r>
              <w:rPr>
                <w:rFonts w:ascii="Arial" w:cs="Arial" w:eastAsia="Arial" w:hAnsi="Arial"/>
                <w:sz w:val="18"/>
                <w:szCs w:val="18"/>
                <w:color w:val="auto"/>
              </w:rPr>
              <w:t>0.00</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(0.57)</w:t>
            </w:r>
          </w:p>
        </w:tc>
      </w:tr>
      <w:tr>
        <w:trPr>
          <w:trHeight w:val="222"/>
        </w:trPr>
        <w:tc>
          <w:tcPr>
            <w:tcW w:w="5300" w:type="dxa"/>
            <w:vAlign w:val="bottom"/>
          </w:tcPr>
          <w:p>
            <w:pPr>
              <w:ind w:left="320"/>
              <w:spacing w:after="0"/>
              <w:rPr>
                <w:sz w:val="20"/>
                <w:szCs w:val="20"/>
                <w:color w:val="auto"/>
              </w:rPr>
            </w:pPr>
            <w:r>
              <w:rPr>
                <w:rFonts w:ascii="Arial" w:cs="Arial" w:eastAsia="Arial" w:hAnsi="Arial"/>
                <w:sz w:val="18"/>
                <w:szCs w:val="18"/>
                <w:color w:val="auto"/>
              </w:rPr>
              <w:t>Net earnings (loss)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72"/>
              <w:spacing w:after="0"/>
              <w:rPr>
                <w:sz w:val="20"/>
                <w:szCs w:val="20"/>
                <w:color w:val="auto"/>
              </w:rPr>
            </w:pPr>
            <w:r>
              <w:rPr>
                <w:rFonts w:ascii="Arial" w:cs="Arial" w:eastAsia="Arial" w:hAnsi="Arial"/>
                <w:sz w:val="18"/>
                <w:szCs w:val="18"/>
                <w:color w:val="auto"/>
              </w:rPr>
              <w:t>1.51</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1.15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32"/>
              <w:spacing w:after="0"/>
              <w:rPr>
                <w:sz w:val="20"/>
                <w:szCs w:val="20"/>
                <w:color w:val="auto"/>
              </w:rPr>
            </w:pPr>
            <w:r>
              <w:rPr>
                <w:rFonts w:ascii="Arial" w:cs="Arial" w:eastAsia="Arial" w:hAnsi="Arial"/>
                <w:sz w:val="18"/>
                <w:szCs w:val="18"/>
                <w:color w:val="auto"/>
              </w:rPr>
              <w:t>0.88</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(0.16)</w:t>
            </w:r>
          </w:p>
        </w:tc>
      </w:tr>
      <w:tr>
        <w:trPr>
          <w:trHeight w:val="110"/>
        </w:trPr>
        <w:tc>
          <w:tcPr>
            <w:tcW w:w="53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Shares outstanding pursuant to compensation plans total 6.4 million as of November 30, 2009. Anti-dilutive options outstanding were 5.4 million and 6.2 million, as of November 30, 2009 and 2008, respectively.</w:t>
      </w:r>
    </w:p>
    <w:p>
      <w:pPr>
        <w:spacing w:after="0" w:line="186"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During the six months ended November 30, 2009, the Company repurchased 54,000 common shares for approximately $1.0 pursuant to share buy-back programs authorized by the Board of Directors.</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Goodwill and other intangible assets with indefinite lives are reviewed annually for impairment or more frequently if impairment indicators arise.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Goodwill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3600" w:type="dxa"/>
            <w:vAlign w:val="bottom"/>
            <w:gridSpan w:val="2"/>
          </w:tcPr>
          <w:p>
            <w:pPr>
              <w:jc w:val="right"/>
              <w:ind w:right="292"/>
              <w:spacing w:after="0"/>
              <w:rPr>
                <w:sz w:val="20"/>
                <w:szCs w:val="20"/>
                <w:color w:val="auto"/>
              </w:rPr>
            </w:pPr>
            <w:r>
              <w:rPr>
                <w:rFonts w:ascii="Arial" w:cs="Arial" w:eastAsia="Arial" w:hAnsi="Arial"/>
                <w:sz w:val="18"/>
                <w:szCs w:val="18"/>
                <w:b w:val="1"/>
                <w:bCs w:val="1"/>
                <w:i w:val="1"/>
                <w:iCs w:val="1"/>
                <w:color w:val="auto"/>
              </w:rPr>
              <w:t>Six months ended</w:t>
            </w:r>
          </w:p>
        </w:tc>
        <w:tc>
          <w:tcPr>
            <w:tcW w:w="2240" w:type="dxa"/>
            <w:vAlign w:val="bottom"/>
            <w:gridSpan w:val="2"/>
          </w:tcPr>
          <w:p>
            <w:pPr>
              <w:jc w:val="right"/>
              <w:ind w:right="252"/>
              <w:spacing w:after="0"/>
              <w:rPr>
                <w:sz w:val="20"/>
                <w:szCs w:val="20"/>
                <w:color w:val="auto"/>
              </w:rPr>
            </w:pPr>
            <w:r>
              <w:rPr>
                <w:rFonts w:ascii="Arial" w:cs="Arial" w:eastAsia="Arial" w:hAnsi="Arial"/>
                <w:sz w:val="18"/>
                <w:szCs w:val="18"/>
                <w:b w:val="1"/>
                <w:bCs w:val="1"/>
                <w:i w:val="1"/>
                <w:iCs w:val="1"/>
                <w:color w:val="auto"/>
                <w:w w:val="99"/>
              </w:rPr>
              <w:t>Twelve months ended</w:t>
            </w:r>
          </w:p>
        </w:tc>
        <w:tc>
          <w:tcPr>
            <w:tcW w:w="2040" w:type="dxa"/>
            <w:vAlign w:val="bottom"/>
            <w:gridSpan w:val="2"/>
          </w:tcPr>
          <w:p>
            <w:pPr>
              <w:jc w:val="right"/>
              <w:ind w:right="252"/>
              <w:spacing w:after="0"/>
              <w:rPr>
                <w:sz w:val="20"/>
                <w:szCs w:val="20"/>
                <w:color w:val="auto"/>
              </w:rPr>
            </w:pPr>
            <w:r>
              <w:rPr>
                <w:rFonts w:ascii="Arial" w:cs="Arial" w:eastAsia="Arial" w:hAnsi="Arial"/>
                <w:sz w:val="18"/>
                <w:szCs w:val="18"/>
                <w:b w:val="1"/>
                <w:bCs w:val="1"/>
                <w:i w:val="1"/>
                <w:iCs w:val="1"/>
                <w:color w:val="auto"/>
              </w:rPr>
              <w:t>Six months ended</w:t>
            </w:r>
          </w:p>
        </w:tc>
      </w:tr>
      <w:tr>
        <w:trPr>
          <w:trHeight w:val="222"/>
        </w:trPr>
        <w:tc>
          <w:tcPr>
            <w:tcW w:w="3560" w:type="dxa"/>
            <w:vAlign w:val="bottom"/>
          </w:tcPr>
          <w:p>
            <w:pPr>
              <w:spacing w:after="0"/>
              <w:rPr>
                <w:sz w:val="19"/>
                <w:szCs w:val="19"/>
                <w:color w:val="auto"/>
              </w:rPr>
            </w:pPr>
          </w:p>
        </w:tc>
        <w:tc>
          <w:tcPr>
            <w:tcW w:w="3600" w:type="dxa"/>
            <w:vAlign w:val="bottom"/>
            <w:gridSpan w:val="2"/>
          </w:tcPr>
          <w:p>
            <w:pPr>
              <w:jc w:val="right"/>
              <w:ind w:right="232"/>
              <w:spacing w:after="0"/>
              <w:rPr>
                <w:sz w:val="20"/>
                <w:szCs w:val="20"/>
                <w:color w:val="auto"/>
              </w:rPr>
            </w:pPr>
            <w:r>
              <w:rPr>
                <w:rFonts w:ascii="Arial" w:cs="Arial" w:eastAsia="Arial" w:hAnsi="Arial"/>
                <w:sz w:val="18"/>
                <w:szCs w:val="18"/>
                <w:b w:val="1"/>
                <w:bCs w:val="1"/>
                <w:i w:val="1"/>
                <w:iCs w:val="1"/>
                <w:color w:val="auto"/>
              </w:rPr>
              <w:t>November 30, 2009</w:t>
            </w:r>
          </w:p>
        </w:tc>
        <w:tc>
          <w:tcPr>
            <w:tcW w:w="2240" w:type="dxa"/>
            <w:vAlign w:val="bottom"/>
            <w:gridSpan w:val="2"/>
          </w:tcPr>
          <w:p>
            <w:pPr>
              <w:jc w:val="right"/>
              <w:ind w:right="552"/>
              <w:spacing w:after="0"/>
              <w:rPr>
                <w:sz w:val="20"/>
                <w:szCs w:val="20"/>
                <w:color w:val="auto"/>
              </w:rPr>
            </w:pPr>
            <w:r>
              <w:rPr>
                <w:rFonts w:ascii="Arial" w:cs="Arial" w:eastAsia="Arial" w:hAnsi="Arial"/>
                <w:sz w:val="18"/>
                <w:szCs w:val="18"/>
                <w:b w:val="1"/>
                <w:bCs w:val="1"/>
                <w:i w:val="1"/>
                <w:iCs w:val="1"/>
                <w:color w:val="auto"/>
              </w:rPr>
              <w:t>May 31, 2009</w:t>
            </w:r>
          </w:p>
        </w:tc>
        <w:tc>
          <w:tcPr>
            <w:tcW w:w="2040" w:type="dxa"/>
            <w:vAlign w:val="bottom"/>
            <w:gridSpan w:val="2"/>
          </w:tcPr>
          <w:p>
            <w:pPr>
              <w:jc w:val="right"/>
              <w:ind w:right="212"/>
              <w:spacing w:after="0"/>
              <w:rPr>
                <w:sz w:val="20"/>
                <w:szCs w:val="20"/>
                <w:color w:val="auto"/>
              </w:rPr>
            </w:pPr>
            <w:r>
              <w:rPr>
                <w:rFonts w:ascii="Arial" w:cs="Arial" w:eastAsia="Arial" w:hAnsi="Arial"/>
                <w:sz w:val="18"/>
                <w:szCs w:val="18"/>
                <w:b w:val="1"/>
                <w:bCs w:val="1"/>
                <w:i w:val="1"/>
                <w:iCs w:val="1"/>
                <w:color w:val="auto"/>
              </w:rPr>
              <w:t>November 30, 2008</w:t>
            </w:r>
          </w:p>
        </w:tc>
      </w:tr>
      <w:tr>
        <w:trPr>
          <w:trHeight w:val="110"/>
        </w:trPr>
        <w:tc>
          <w:tcPr>
            <w:tcW w:w="3560" w:type="dxa"/>
            <w:vAlign w:val="bottom"/>
            <w:tcBorders>
              <w:bottom w:val="single" w:sz="8" w:color="808080"/>
            </w:tcBorders>
          </w:tcPr>
          <w:p>
            <w:pPr>
              <w:spacing w:after="0"/>
              <w:rPr>
                <w:sz w:val="9"/>
                <w:szCs w:val="9"/>
                <w:color w:val="auto"/>
              </w:rPr>
            </w:pPr>
          </w:p>
        </w:tc>
        <w:tc>
          <w:tcPr>
            <w:tcW w:w="23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r>
      <w:tr>
        <w:trPr>
          <w:trHeight w:val="458"/>
        </w:trPr>
        <w:tc>
          <w:tcPr>
            <w:tcW w:w="3560" w:type="dxa"/>
            <w:vAlign w:val="bottom"/>
          </w:tcPr>
          <w:p>
            <w:pPr>
              <w:spacing w:after="0"/>
              <w:rPr>
                <w:sz w:val="20"/>
                <w:szCs w:val="20"/>
                <w:color w:val="auto"/>
              </w:rPr>
            </w:pPr>
            <w:r>
              <w:rPr>
                <w:rFonts w:ascii="Arial" w:cs="Arial" w:eastAsia="Arial" w:hAnsi="Arial"/>
                <w:sz w:val="18"/>
                <w:szCs w:val="18"/>
                <w:color w:val="auto"/>
              </w:rPr>
              <w:t>Beginning balance</w:t>
            </w:r>
          </w:p>
        </w:tc>
        <w:tc>
          <w:tcPr>
            <w:tcW w:w="2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12"/>
              <w:spacing w:after="0"/>
              <w:rPr>
                <w:sz w:val="20"/>
                <w:szCs w:val="20"/>
                <w:color w:val="auto"/>
              </w:rPr>
            </w:pPr>
            <w:r>
              <w:rPr>
                <w:rFonts w:ascii="Arial" w:cs="Arial" w:eastAsia="Arial" w:hAnsi="Arial"/>
                <w:sz w:val="18"/>
                <w:szCs w:val="18"/>
                <w:color w:val="auto"/>
              </w:rPr>
              <w:t>157.0</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92"/>
              <w:spacing w:after="0"/>
              <w:rPr>
                <w:sz w:val="20"/>
                <w:szCs w:val="20"/>
                <w:color w:val="auto"/>
              </w:rPr>
            </w:pPr>
            <w:r>
              <w:rPr>
                <w:rFonts w:ascii="Arial" w:cs="Arial" w:eastAsia="Arial" w:hAnsi="Arial"/>
                <w:sz w:val="18"/>
                <w:szCs w:val="18"/>
                <w:color w:val="auto"/>
              </w:rPr>
              <w:t>164.4</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2"/>
              <w:spacing w:after="0"/>
              <w:rPr>
                <w:sz w:val="20"/>
                <w:szCs w:val="20"/>
                <w:color w:val="auto"/>
              </w:rPr>
            </w:pPr>
            <w:r>
              <w:rPr>
                <w:rFonts w:ascii="Arial" w:cs="Arial" w:eastAsia="Arial" w:hAnsi="Arial"/>
                <w:sz w:val="18"/>
                <w:szCs w:val="18"/>
                <w:color w:val="auto"/>
              </w:rPr>
              <w:t>164.4</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Impairment charge</w:t>
            </w:r>
          </w:p>
        </w:tc>
        <w:tc>
          <w:tcPr>
            <w:tcW w:w="2320" w:type="dxa"/>
            <w:vAlign w:val="bottom"/>
          </w:tcPr>
          <w:p>
            <w:pPr>
              <w:spacing w:after="0"/>
              <w:rPr>
                <w:sz w:val="18"/>
                <w:szCs w:val="18"/>
                <w:color w:val="auto"/>
              </w:rPr>
            </w:pPr>
          </w:p>
        </w:tc>
        <w:tc>
          <w:tcPr>
            <w:tcW w:w="1280" w:type="dxa"/>
            <w:vAlign w:val="bottom"/>
          </w:tcPr>
          <w:p>
            <w:pPr>
              <w:jc w:val="right"/>
              <w:ind w:right="712"/>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380" w:type="dxa"/>
            <w:vAlign w:val="bottom"/>
          </w:tcPr>
          <w:p>
            <w:pPr>
              <w:jc w:val="right"/>
              <w:ind w:right="732"/>
              <w:spacing w:after="0"/>
              <w:rPr>
                <w:sz w:val="20"/>
                <w:szCs w:val="20"/>
                <w:color w:val="auto"/>
              </w:rPr>
            </w:pPr>
            <w:r>
              <w:rPr>
                <w:rFonts w:ascii="Arial" w:cs="Arial" w:eastAsia="Arial" w:hAnsi="Arial"/>
                <w:sz w:val="18"/>
                <w:szCs w:val="18"/>
                <w:color w:val="auto"/>
              </w:rPr>
              <w:t>(17.0)</w:t>
            </w:r>
          </w:p>
        </w:tc>
        <w:tc>
          <w:tcPr>
            <w:tcW w:w="920" w:type="dxa"/>
            <w:vAlign w:val="bottom"/>
          </w:tcPr>
          <w:p>
            <w:pPr>
              <w:spacing w:after="0"/>
              <w:rPr>
                <w:sz w:val="18"/>
                <w:szCs w:val="18"/>
                <w:color w:val="auto"/>
              </w:rPr>
            </w:pPr>
          </w:p>
        </w:tc>
        <w:tc>
          <w:tcPr>
            <w:tcW w:w="1120" w:type="dxa"/>
            <w:vAlign w:val="bottom"/>
          </w:tcPr>
          <w:p>
            <w:pPr>
              <w:jc w:val="right"/>
              <w:ind w:right="532"/>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Deferred tax adjustment</w:t>
            </w:r>
          </w:p>
        </w:tc>
        <w:tc>
          <w:tcPr>
            <w:tcW w:w="2320" w:type="dxa"/>
            <w:vAlign w:val="bottom"/>
          </w:tcPr>
          <w:p>
            <w:pPr>
              <w:spacing w:after="0"/>
              <w:rPr>
                <w:sz w:val="18"/>
                <w:szCs w:val="18"/>
                <w:color w:val="auto"/>
              </w:rPr>
            </w:pPr>
          </w:p>
        </w:tc>
        <w:tc>
          <w:tcPr>
            <w:tcW w:w="1280" w:type="dxa"/>
            <w:vAlign w:val="bottom"/>
          </w:tcPr>
          <w:p>
            <w:pPr>
              <w:jc w:val="right"/>
              <w:ind w:right="712"/>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380" w:type="dxa"/>
            <w:vAlign w:val="bottom"/>
          </w:tcPr>
          <w:p>
            <w:pPr>
              <w:jc w:val="right"/>
              <w:ind w:right="792"/>
              <w:spacing w:after="0"/>
              <w:rPr>
                <w:sz w:val="20"/>
                <w:szCs w:val="20"/>
                <w:color w:val="auto"/>
              </w:rPr>
            </w:pPr>
            <w:r>
              <w:rPr>
                <w:rFonts w:ascii="Arial" w:cs="Arial" w:eastAsia="Arial" w:hAnsi="Arial"/>
                <w:sz w:val="18"/>
                <w:szCs w:val="18"/>
                <w:color w:val="auto"/>
              </w:rPr>
              <w:t>16.1</w:t>
            </w:r>
          </w:p>
        </w:tc>
        <w:tc>
          <w:tcPr>
            <w:tcW w:w="920" w:type="dxa"/>
            <w:vAlign w:val="bottom"/>
          </w:tcPr>
          <w:p>
            <w:pPr>
              <w:spacing w:after="0"/>
              <w:rPr>
                <w:sz w:val="18"/>
                <w:szCs w:val="18"/>
                <w:color w:val="auto"/>
              </w:rPr>
            </w:pPr>
          </w:p>
        </w:tc>
        <w:tc>
          <w:tcPr>
            <w:tcW w:w="1120" w:type="dxa"/>
            <w:vAlign w:val="bottom"/>
          </w:tcPr>
          <w:p>
            <w:pPr>
              <w:jc w:val="right"/>
              <w:ind w:right="532"/>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Purchase adjustment</w:t>
            </w:r>
          </w:p>
        </w:tc>
        <w:tc>
          <w:tcPr>
            <w:tcW w:w="2320" w:type="dxa"/>
            <w:vAlign w:val="bottom"/>
          </w:tcPr>
          <w:p>
            <w:pPr>
              <w:spacing w:after="0"/>
              <w:rPr>
                <w:sz w:val="18"/>
                <w:szCs w:val="18"/>
                <w:color w:val="auto"/>
              </w:rPr>
            </w:pPr>
          </w:p>
        </w:tc>
        <w:tc>
          <w:tcPr>
            <w:tcW w:w="1280" w:type="dxa"/>
            <w:vAlign w:val="bottom"/>
          </w:tcPr>
          <w:p>
            <w:pPr>
              <w:jc w:val="right"/>
              <w:ind w:right="712"/>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380" w:type="dxa"/>
            <w:vAlign w:val="bottom"/>
          </w:tcPr>
          <w:p>
            <w:pPr>
              <w:jc w:val="right"/>
              <w:ind w:right="732"/>
              <w:spacing w:after="0"/>
              <w:rPr>
                <w:sz w:val="20"/>
                <w:szCs w:val="20"/>
                <w:color w:val="auto"/>
              </w:rPr>
            </w:pPr>
            <w:r>
              <w:rPr>
                <w:rFonts w:ascii="Arial" w:cs="Arial" w:eastAsia="Arial" w:hAnsi="Arial"/>
                <w:sz w:val="18"/>
                <w:szCs w:val="18"/>
                <w:color w:val="auto"/>
              </w:rPr>
              <w:t>(0.7)</w:t>
            </w:r>
          </w:p>
        </w:tc>
        <w:tc>
          <w:tcPr>
            <w:tcW w:w="920" w:type="dxa"/>
            <w:vAlign w:val="bottom"/>
          </w:tcPr>
          <w:p>
            <w:pPr>
              <w:spacing w:after="0"/>
              <w:rPr>
                <w:sz w:val="18"/>
                <w:szCs w:val="18"/>
                <w:color w:val="auto"/>
              </w:rPr>
            </w:pPr>
          </w:p>
        </w:tc>
        <w:tc>
          <w:tcPr>
            <w:tcW w:w="1120" w:type="dxa"/>
            <w:vAlign w:val="bottom"/>
          </w:tcPr>
          <w:p>
            <w:pPr>
              <w:jc w:val="right"/>
              <w:ind w:right="532"/>
              <w:spacing w:after="0"/>
              <w:rPr>
                <w:sz w:val="20"/>
                <w:szCs w:val="20"/>
                <w:color w:val="auto"/>
              </w:rPr>
            </w:pPr>
            <w:r>
              <w:rPr>
                <w:rFonts w:ascii="Arial" w:cs="Arial" w:eastAsia="Arial" w:hAnsi="Arial"/>
                <w:sz w:val="18"/>
                <w:szCs w:val="18"/>
                <w:color w:val="auto"/>
              </w:rPr>
              <w:t>—</w:t>
            </w: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Translation adjustment</w:t>
            </w:r>
          </w:p>
        </w:tc>
        <w:tc>
          <w:tcPr>
            <w:tcW w:w="2320" w:type="dxa"/>
            <w:vAlign w:val="bottom"/>
          </w:tcPr>
          <w:p>
            <w:pPr>
              <w:spacing w:after="0"/>
              <w:rPr>
                <w:sz w:val="19"/>
                <w:szCs w:val="19"/>
                <w:color w:val="auto"/>
              </w:rPr>
            </w:pPr>
          </w:p>
        </w:tc>
        <w:tc>
          <w:tcPr>
            <w:tcW w:w="1280" w:type="dxa"/>
            <w:vAlign w:val="bottom"/>
          </w:tcPr>
          <w:p>
            <w:pPr>
              <w:jc w:val="right"/>
              <w:ind w:right="712"/>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1380" w:type="dxa"/>
            <w:vAlign w:val="bottom"/>
          </w:tcPr>
          <w:p>
            <w:pPr>
              <w:jc w:val="right"/>
              <w:ind w:right="732"/>
              <w:spacing w:after="0"/>
              <w:rPr>
                <w:sz w:val="20"/>
                <w:szCs w:val="20"/>
                <w:color w:val="auto"/>
              </w:rPr>
            </w:pPr>
            <w:r>
              <w:rPr>
                <w:rFonts w:ascii="Arial" w:cs="Arial" w:eastAsia="Arial" w:hAnsi="Arial"/>
                <w:sz w:val="18"/>
                <w:szCs w:val="18"/>
                <w:color w:val="auto"/>
              </w:rPr>
              <w:t>(5.8)</w:t>
            </w:r>
          </w:p>
        </w:tc>
        <w:tc>
          <w:tcPr>
            <w:tcW w:w="920" w:type="dxa"/>
            <w:vAlign w:val="bottom"/>
          </w:tcPr>
          <w:p>
            <w:pPr>
              <w:spacing w:after="0"/>
              <w:rPr>
                <w:sz w:val="19"/>
                <w:szCs w:val="19"/>
                <w:color w:val="auto"/>
              </w:rPr>
            </w:pPr>
          </w:p>
        </w:tc>
        <w:tc>
          <w:tcPr>
            <w:tcW w:w="1120" w:type="dxa"/>
            <w:vAlign w:val="bottom"/>
          </w:tcPr>
          <w:p>
            <w:pPr>
              <w:jc w:val="right"/>
              <w:ind w:right="472"/>
              <w:spacing w:after="0"/>
              <w:rPr>
                <w:sz w:val="20"/>
                <w:szCs w:val="20"/>
                <w:color w:val="auto"/>
              </w:rPr>
            </w:pPr>
            <w:r>
              <w:rPr>
                <w:rFonts w:ascii="Arial" w:cs="Arial" w:eastAsia="Arial" w:hAnsi="Arial"/>
                <w:sz w:val="18"/>
                <w:szCs w:val="18"/>
                <w:color w:val="auto"/>
              </w:rPr>
              <w:t>(4.7)</w:t>
            </w:r>
          </w:p>
        </w:tc>
      </w:tr>
      <w:tr>
        <w:trPr>
          <w:trHeight w:val="110"/>
        </w:trPr>
        <w:tc>
          <w:tcPr>
            <w:tcW w:w="3560" w:type="dxa"/>
            <w:vAlign w:val="bottom"/>
            <w:tcBorders>
              <w:bottom w:val="single" w:sz="8" w:color="808080"/>
            </w:tcBorders>
          </w:tcPr>
          <w:p>
            <w:pPr>
              <w:spacing w:after="0"/>
              <w:rPr>
                <w:sz w:val="9"/>
                <w:szCs w:val="9"/>
                <w:color w:val="auto"/>
              </w:rPr>
            </w:pPr>
          </w:p>
        </w:tc>
        <w:tc>
          <w:tcPr>
            <w:tcW w:w="23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r>
      <w:tr>
        <w:trPr>
          <w:trHeight w:val="316"/>
        </w:trPr>
        <w:tc>
          <w:tcPr>
            <w:tcW w:w="3560" w:type="dxa"/>
            <w:vAlign w:val="bottom"/>
          </w:tcPr>
          <w:p>
            <w:pPr>
              <w:spacing w:after="0"/>
              <w:rPr>
                <w:sz w:val="20"/>
                <w:szCs w:val="20"/>
                <w:color w:val="auto"/>
              </w:rPr>
            </w:pPr>
            <w:r>
              <w:rPr>
                <w:rFonts w:ascii="Arial" w:cs="Arial" w:eastAsia="Arial" w:hAnsi="Arial"/>
                <w:sz w:val="18"/>
                <w:szCs w:val="18"/>
                <w:b w:val="1"/>
                <w:bCs w:val="1"/>
                <w:color w:val="auto"/>
              </w:rPr>
              <w:t>Ending balance</w:t>
            </w:r>
          </w:p>
        </w:tc>
        <w:tc>
          <w:tcPr>
            <w:tcW w:w="232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712"/>
              <w:spacing w:after="0"/>
              <w:rPr>
                <w:sz w:val="20"/>
                <w:szCs w:val="20"/>
                <w:color w:val="auto"/>
              </w:rPr>
            </w:pPr>
            <w:r>
              <w:rPr>
                <w:rFonts w:ascii="Arial" w:cs="Arial" w:eastAsia="Arial" w:hAnsi="Arial"/>
                <w:sz w:val="18"/>
                <w:szCs w:val="18"/>
                <w:b w:val="1"/>
                <w:bCs w:val="1"/>
                <w:color w:val="auto"/>
              </w:rPr>
              <w:t>157.0</w:t>
            </w: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792"/>
              <w:spacing w:after="0"/>
              <w:rPr>
                <w:sz w:val="20"/>
                <w:szCs w:val="20"/>
                <w:color w:val="auto"/>
              </w:rPr>
            </w:pPr>
            <w:r>
              <w:rPr>
                <w:rFonts w:ascii="Arial" w:cs="Arial" w:eastAsia="Arial" w:hAnsi="Arial"/>
                <w:sz w:val="18"/>
                <w:szCs w:val="18"/>
                <w:b w:val="1"/>
                <w:bCs w:val="1"/>
                <w:color w:val="auto"/>
              </w:rPr>
              <w:t>157.0</w:t>
            </w:r>
          </w:p>
        </w:tc>
        <w:tc>
          <w:tcPr>
            <w:tcW w:w="92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532"/>
              <w:spacing w:after="0"/>
              <w:rPr>
                <w:sz w:val="20"/>
                <w:szCs w:val="20"/>
                <w:color w:val="auto"/>
              </w:rPr>
            </w:pPr>
            <w:r>
              <w:rPr>
                <w:rFonts w:ascii="Arial" w:cs="Arial" w:eastAsia="Arial" w:hAnsi="Arial"/>
                <w:sz w:val="18"/>
                <w:szCs w:val="18"/>
                <w:b w:val="1"/>
                <w:bCs w:val="1"/>
                <w:color w:val="auto"/>
              </w:rPr>
              <w:t>159.7</w:t>
            </w:r>
          </w:p>
        </w:tc>
      </w:tr>
      <w:tr>
        <w:trPr>
          <w:trHeight w:val="110"/>
        </w:trPr>
        <w:tc>
          <w:tcPr>
            <w:tcW w:w="3560" w:type="dxa"/>
            <w:vAlign w:val="bottom"/>
            <w:tcBorders>
              <w:bottom w:val="single" w:sz="8" w:color="808080"/>
            </w:tcBorders>
          </w:tcPr>
          <w:p>
            <w:pPr>
              <w:spacing w:after="0"/>
              <w:rPr>
                <w:sz w:val="9"/>
                <w:szCs w:val="9"/>
                <w:color w:val="auto"/>
              </w:rPr>
            </w:pPr>
          </w:p>
        </w:tc>
        <w:tc>
          <w:tcPr>
            <w:tcW w:w="23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At February 28, 2009, the total market value of the Company’s outstanding Common and Class A shares was less than the carrying value of the Company’s net assets. Due to the reduced total market value of the Company’s Common Stock, the Company evaluated the goodwill for its reporting units for impairment as of February 28, 2009. The Company employed internally developed discounted cash flow forecasts to determine the fair values of its reporting units, based upon the best available financial data. The Company concluded that goodwill associated with the Company’s United Kingdom operations was impaired as of February 28, 2009, and recognized a goodwill impairment of $17.0. Operating results in the United Kingdom have declined in recent periods.</w:t>
      </w:r>
    </w:p>
    <w:p>
      <w:pPr>
        <w:spacing w:after="0" w:line="17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purchase adjustments in fiscal 2009 are related to the acquisition of a school consulting and professional development services company in fiscal 2007. The deferred tax adjustment relates to a prior acquisition included in the Children’s Book Publishing and Distribution segment.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Other intangibles subject to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2700" w:type="dxa"/>
            <w:vAlign w:val="bottom"/>
            <w:gridSpan w:val="2"/>
          </w:tcPr>
          <w:p>
            <w:pPr>
              <w:jc w:val="right"/>
              <w:ind w:right="292"/>
              <w:spacing w:after="0"/>
              <w:rPr>
                <w:sz w:val="20"/>
                <w:szCs w:val="20"/>
                <w:color w:val="auto"/>
              </w:rPr>
            </w:pPr>
            <w:r>
              <w:rPr>
                <w:rFonts w:ascii="Arial" w:cs="Arial" w:eastAsia="Arial" w:hAnsi="Arial"/>
                <w:sz w:val="18"/>
                <w:szCs w:val="18"/>
                <w:b w:val="1"/>
                <w:bCs w:val="1"/>
                <w:i w:val="1"/>
                <w:iCs w:val="1"/>
                <w:color w:val="auto"/>
              </w:rPr>
              <w:t>Six months ended</w:t>
            </w:r>
          </w:p>
        </w:tc>
        <w:tc>
          <w:tcPr>
            <w:tcW w:w="2240" w:type="dxa"/>
            <w:vAlign w:val="bottom"/>
            <w:gridSpan w:val="2"/>
          </w:tcPr>
          <w:p>
            <w:pPr>
              <w:jc w:val="right"/>
              <w:ind w:right="252"/>
              <w:spacing w:after="0"/>
              <w:rPr>
                <w:sz w:val="20"/>
                <w:szCs w:val="20"/>
                <w:color w:val="auto"/>
              </w:rPr>
            </w:pPr>
            <w:r>
              <w:rPr>
                <w:rFonts w:ascii="Arial" w:cs="Arial" w:eastAsia="Arial" w:hAnsi="Arial"/>
                <w:sz w:val="18"/>
                <w:szCs w:val="18"/>
                <w:b w:val="1"/>
                <w:bCs w:val="1"/>
                <w:i w:val="1"/>
                <w:iCs w:val="1"/>
                <w:color w:val="auto"/>
                <w:w w:val="99"/>
              </w:rPr>
              <w:t>Twelve months ended</w:t>
            </w:r>
          </w:p>
        </w:tc>
        <w:tc>
          <w:tcPr>
            <w:tcW w:w="2040" w:type="dxa"/>
            <w:vAlign w:val="bottom"/>
            <w:gridSpan w:val="2"/>
          </w:tcPr>
          <w:p>
            <w:pPr>
              <w:jc w:val="right"/>
              <w:ind w:right="252"/>
              <w:spacing w:after="0"/>
              <w:rPr>
                <w:sz w:val="20"/>
                <w:szCs w:val="20"/>
                <w:color w:val="auto"/>
              </w:rPr>
            </w:pPr>
            <w:r>
              <w:rPr>
                <w:rFonts w:ascii="Arial" w:cs="Arial" w:eastAsia="Arial" w:hAnsi="Arial"/>
                <w:sz w:val="18"/>
                <w:szCs w:val="18"/>
                <w:b w:val="1"/>
                <w:bCs w:val="1"/>
                <w:i w:val="1"/>
                <w:iCs w:val="1"/>
                <w:color w:val="auto"/>
              </w:rPr>
              <w:t>Six months ended</w:t>
            </w:r>
          </w:p>
        </w:tc>
      </w:tr>
      <w:tr>
        <w:trPr>
          <w:trHeight w:val="222"/>
        </w:trPr>
        <w:tc>
          <w:tcPr>
            <w:tcW w:w="4460" w:type="dxa"/>
            <w:vAlign w:val="bottom"/>
          </w:tcPr>
          <w:p>
            <w:pPr>
              <w:spacing w:after="0"/>
              <w:rPr>
                <w:sz w:val="19"/>
                <w:szCs w:val="19"/>
                <w:color w:val="auto"/>
              </w:rPr>
            </w:pPr>
          </w:p>
        </w:tc>
        <w:tc>
          <w:tcPr>
            <w:tcW w:w="2700" w:type="dxa"/>
            <w:vAlign w:val="bottom"/>
            <w:gridSpan w:val="2"/>
          </w:tcPr>
          <w:p>
            <w:pPr>
              <w:jc w:val="right"/>
              <w:ind w:right="232"/>
              <w:spacing w:after="0"/>
              <w:rPr>
                <w:sz w:val="20"/>
                <w:szCs w:val="20"/>
                <w:color w:val="auto"/>
              </w:rPr>
            </w:pPr>
            <w:r>
              <w:rPr>
                <w:rFonts w:ascii="Arial" w:cs="Arial" w:eastAsia="Arial" w:hAnsi="Arial"/>
                <w:sz w:val="18"/>
                <w:szCs w:val="18"/>
                <w:b w:val="1"/>
                <w:bCs w:val="1"/>
                <w:i w:val="1"/>
                <w:iCs w:val="1"/>
                <w:color w:val="auto"/>
              </w:rPr>
              <w:t>November 30, 2009</w:t>
            </w:r>
          </w:p>
        </w:tc>
        <w:tc>
          <w:tcPr>
            <w:tcW w:w="2240" w:type="dxa"/>
            <w:vAlign w:val="bottom"/>
            <w:gridSpan w:val="2"/>
          </w:tcPr>
          <w:p>
            <w:pPr>
              <w:jc w:val="right"/>
              <w:ind w:right="552"/>
              <w:spacing w:after="0"/>
              <w:rPr>
                <w:sz w:val="20"/>
                <w:szCs w:val="20"/>
                <w:color w:val="auto"/>
              </w:rPr>
            </w:pPr>
            <w:r>
              <w:rPr>
                <w:rFonts w:ascii="Arial" w:cs="Arial" w:eastAsia="Arial" w:hAnsi="Arial"/>
                <w:sz w:val="18"/>
                <w:szCs w:val="18"/>
                <w:b w:val="1"/>
                <w:bCs w:val="1"/>
                <w:i w:val="1"/>
                <w:iCs w:val="1"/>
                <w:color w:val="auto"/>
              </w:rPr>
              <w:t>May 31, 2009</w:t>
            </w:r>
          </w:p>
        </w:tc>
        <w:tc>
          <w:tcPr>
            <w:tcW w:w="2040" w:type="dxa"/>
            <w:vAlign w:val="bottom"/>
            <w:gridSpan w:val="2"/>
          </w:tcPr>
          <w:p>
            <w:pPr>
              <w:jc w:val="right"/>
              <w:ind w:right="212"/>
              <w:spacing w:after="0"/>
              <w:rPr>
                <w:sz w:val="20"/>
                <w:szCs w:val="20"/>
                <w:color w:val="auto"/>
              </w:rPr>
            </w:pPr>
            <w:r>
              <w:rPr>
                <w:rFonts w:ascii="Arial" w:cs="Arial" w:eastAsia="Arial" w:hAnsi="Arial"/>
                <w:sz w:val="18"/>
                <w:szCs w:val="18"/>
                <w:b w:val="1"/>
                <w:bCs w:val="1"/>
                <w:i w:val="1"/>
                <w:iCs w:val="1"/>
                <w:color w:val="auto"/>
              </w:rPr>
              <w:t>November 30, 2008</w:t>
            </w:r>
          </w:p>
        </w:tc>
      </w:tr>
      <w:tr>
        <w:trPr>
          <w:trHeight w:val="110"/>
        </w:trPr>
        <w:tc>
          <w:tcPr>
            <w:tcW w:w="44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458"/>
        </w:trPr>
        <w:tc>
          <w:tcPr>
            <w:tcW w:w="4460" w:type="dxa"/>
            <w:vAlign w:val="bottom"/>
          </w:tcPr>
          <w:p>
            <w:pPr>
              <w:spacing w:after="0"/>
              <w:rPr>
                <w:sz w:val="20"/>
                <w:szCs w:val="20"/>
                <w:color w:val="auto"/>
              </w:rPr>
            </w:pPr>
            <w:r>
              <w:rPr>
                <w:rFonts w:ascii="Arial" w:cs="Arial" w:eastAsia="Arial" w:hAnsi="Arial"/>
                <w:sz w:val="18"/>
                <w:szCs w:val="18"/>
                <w:color w:val="auto"/>
              </w:rPr>
              <w:t>Beginning balance</w:t>
            </w:r>
          </w:p>
        </w:tc>
        <w:tc>
          <w:tcPr>
            <w:tcW w:w="14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12"/>
              <w:spacing w:after="0"/>
              <w:rPr>
                <w:sz w:val="20"/>
                <w:szCs w:val="20"/>
                <w:color w:val="auto"/>
              </w:rPr>
            </w:pPr>
            <w:r>
              <w:rPr>
                <w:rFonts w:ascii="Arial" w:cs="Arial" w:eastAsia="Arial" w:hAnsi="Arial"/>
                <w:sz w:val="18"/>
                <w:szCs w:val="18"/>
                <w:color w:val="auto"/>
              </w:rPr>
              <w:t>0.1</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92"/>
              <w:spacing w:after="0"/>
              <w:rPr>
                <w:sz w:val="20"/>
                <w:szCs w:val="20"/>
                <w:color w:val="auto"/>
              </w:rPr>
            </w:pPr>
            <w:r>
              <w:rPr>
                <w:rFonts w:ascii="Arial" w:cs="Arial" w:eastAsia="Arial" w:hAnsi="Arial"/>
                <w:sz w:val="18"/>
                <w:szCs w:val="18"/>
                <w:color w:val="auto"/>
              </w:rPr>
              <w:t>0.2</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2"/>
              <w:spacing w:after="0"/>
              <w:rPr>
                <w:sz w:val="20"/>
                <w:szCs w:val="20"/>
                <w:color w:val="auto"/>
              </w:rPr>
            </w:pPr>
            <w:r>
              <w:rPr>
                <w:rFonts w:ascii="Arial" w:cs="Arial" w:eastAsia="Arial" w:hAnsi="Arial"/>
                <w:sz w:val="18"/>
                <w:szCs w:val="18"/>
                <w:color w:val="auto"/>
              </w:rPr>
              <w:t>0.2</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Additions</w:t>
            </w:r>
          </w:p>
        </w:tc>
        <w:tc>
          <w:tcPr>
            <w:tcW w:w="1480" w:type="dxa"/>
            <w:vAlign w:val="bottom"/>
          </w:tcPr>
          <w:p>
            <w:pPr>
              <w:spacing w:after="0"/>
              <w:rPr>
                <w:sz w:val="18"/>
                <w:szCs w:val="18"/>
                <w:color w:val="auto"/>
              </w:rPr>
            </w:pPr>
          </w:p>
        </w:tc>
        <w:tc>
          <w:tcPr>
            <w:tcW w:w="1220" w:type="dxa"/>
            <w:vAlign w:val="bottom"/>
          </w:tcPr>
          <w:p>
            <w:pPr>
              <w:jc w:val="right"/>
              <w:ind w:right="712"/>
              <w:spacing w:after="0"/>
              <w:rPr>
                <w:sz w:val="20"/>
                <w:szCs w:val="20"/>
                <w:color w:val="auto"/>
              </w:rPr>
            </w:pPr>
            <w:r>
              <w:rPr>
                <w:rFonts w:ascii="Arial" w:cs="Arial" w:eastAsia="Arial" w:hAnsi="Arial"/>
                <w:sz w:val="18"/>
                <w:szCs w:val="18"/>
                <w:color w:val="auto"/>
              </w:rPr>
              <w:t>5.1</w:t>
            </w:r>
          </w:p>
        </w:tc>
        <w:tc>
          <w:tcPr>
            <w:tcW w:w="920" w:type="dxa"/>
            <w:vAlign w:val="bottom"/>
          </w:tcPr>
          <w:p>
            <w:pPr>
              <w:spacing w:after="0"/>
              <w:rPr>
                <w:sz w:val="18"/>
                <w:szCs w:val="18"/>
                <w:color w:val="auto"/>
              </w:rPr>
            </w:pPr>
          </w:p>
        </w:tc>
        <w:tc>
          <w:tcPr>
            <w:tcW w:w="1320" w:type="dxa"/>
            <w:vAlign w:val="bottom"/>
          </w:tcPr>
          <w:p>
            <w:pPr>
              <w:jc w:val="right"/>
              <w:ind w:right="792"/>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1080" w:type="dxa"/>
            <w:vAlign w:val="bottom"/>
          </w:tcPr>
          <w:p>
            <w:pPr>
              <w:jc w:val="right"/>
              <w:ind w:right="532"/>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Impairment charge</w:t>
            </w:r>
          </w:p>
        </w:tc>
        <w:tc>
          <w:tcPr>
            <w:tcW w:w="1480" w:type="dxa"/>
            <w:vAlign w:val="bottom"/>
          </w:tcPr>
          <w:p>
            <w:pPr>
              <w:spacing w:after="0"/>
              <w:rPr>
                <w:sz w:val="18"/>
                <w:szCs w:val="18"/>
                <w:color w:val="auto"/>
              </w:rPr>
            </w:pPr>
          </w:p>
        </w:tc>
        <w:tc>
          <w:tcPr>
            <w:tcW w:w="1220" w:type="dxa"/>
            <w:vAlign w:val="bottom"/>
          </w:tcPr>
          <w:p>
            <w:pPr>
              <w:jc w:val="right"/>
              <w:ind w:right="652"/>
              <w:spacing w:after="0"/>
              <w:rPr>
                <w:sz w:val="20"/>
                <w:szCs w:val="20"/>
                <w:color w:val="auto"/>
              </w:rPr>
            </w:pPr>
            <w:r>
              <w:rPr>
                <w:rFonts w:ascii="Arial" w:cs="Arial" w:eastAsia="Arial" w:hAnsi="Arial"/>
                <w:sz w:val="18"/>
                <w:szCs w:val="18"/>
                <w:color w:val="auto"/>
              </w:rPr>
              <w:t>(3.8)</w:t>
            </w:r>
          </w:p>
        </w:tc>
        <w:tc>
          <w:tcPr>
            <w:tcW w:w="920" w:type="dxa"/>
            <w:vAlign w:val="bottom"/>
          </w:tcPr>
          <w:p>
            <w:pPr>
              <w:spacing w:after="0"/>
              <w:rPr>
                <w:sz w:val="18"/>
                <w:szCs w:val="18"/>
                <w:color w:val="auto"/>
              </w:rPr>
            </w:pPr>
          </w:p>
        </w:tc>
        <w:tc>
          <w:tcPr>
            <w:tcW w:w="1320" w:type="dxa"/>
            <w:vAlign w:val="bottom"/>
          </w:tcPr>
          <w:p>
            <w:pPr>
              <w:jc w:val="right"/>
              <w:ind w:right="792"/>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1080" w:type="dxa"/>
            <w:vAlign w:val="bottom"/>
          </w:tcPr>
          <w:p>
            <w:pPr>
              <w:jc w:val="right"/>
              <w:ind w:right="532"/>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Other adjustments</w:t>
            </w:r>
          </w:p>
        </w:tc>
        <w:tc>
          <w:tcPr>
            <w:tcW w:w="1480" w:type="dxa"/>
            <w:vAlign w:val="bottom"/>
          </w:tcPr>
          <w:p>
            <w:pPr>
              <w:spacing w:after="0"/>
              <w:rPr>
                <w:sz w:val="18"/>
                <w:szCs w:val="18"/>
                <w:color w:val="auto"/>
              </w:rPr>
            </w:pPr>
          </w:p>
        </w:tc>
        <w:tc>
          <w:tcPr>
            <w:tcW w:w="1220" w:type="dxa"/>
            <w:vAlign w:val="bottom"/>
          </w:tcPr>
          <w:p>
            <w:pPr>
              <w:jc w:val="right"/>
              <w:ind w:right="652"/>
              <w:spacing w:after="0"/>
              <w:rPr>
                <w:sz w:val="20"/>
                <w:szCs w:val="20"/>
                <w:color w:val="auto"/>
              </w:rPr>
            </w:pPr>
            <w:r>
              <w:rPr>
                <w:rFonts w:ascii="Arial" w:cs="Arial" w:eastAsia="Arial" w:hAnsi="Arial"/>
                <w:sz w:val="18"/>
                <w:szCs w:val="18"/>
                <w:color w:val="auto"/>
              </w:rPr>
              <w:t>(0.3)</w:t>
            </w:r>
          </w:p>
        </w:tc>
        <w:tc>
          <w:tcPr>
            <w:tcW w:w="920" w:type="dxa"/>
            <w:vAlign w:val="bottom"/>
          </w:tcPr>
          <w:p>
            <w:pPr>
              <w:spacing w:after="0"/>
              <w:rPr>
                <w:sz w:val="18"/>
                <w:szCs w:val="18"/>
                <w:color w:val="auto"/>
              </w:rPr>
            </w:pPr>
          </w:p>
        </w:tc>
        <w:tc>
          <w:tcPr>
            <w:tcW w:w="1320" w:type="dxa"/>
            <w:vAlign w:val="bottom"/>
          </w:tcPr>
          <w:p>
            <w:pPr>
              <w:jc w:val="right"/>
              <w:ind w:right="792"/>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1080" w:type="dxa"/>
            <w:vAlign w:val="bottom"/>
          </w:tcPr>
          <w:p>
            <w:pPr>
              <w:jc w:val="right"/>
              <w:ind w:right="532"/>
              <w:spacing w:after="0"/>
              <w:rPr>
                <w:sz w:val="20"/>
                <w:szCs w:val="20"/>
                <w:color w:val="auto"/>
              </w:rPr>
            </w:pPr>
            <w:r>
              <w:rPr>
                <w:rFonts w:ascii="Arial" w:cs="Arial" w:eastAsia="Arial" w:hAnsi="Arial"/>
                <w:sz w:val="18"/>
                <w:szCs w:val="18"/>
                <w:color w:val="auto"/>
              </w:rPr>
              <w:t>—</w:t>
            </w:r>
          </w:p>
        </w:tc>
      </w:tr>
      <w:tr>
        <w:trPr>
          <w:trHeight w:val="222"/>
        </w:trPr>
        <w:tc>
          <w:tcPr>
            <w:tcW w:w="4460" w:type="dxa"/>
            <w:vAlign w:val="bottom"/>
          </w:tcPr>
          <w:p>
            <w:pPr>
              <w:spacing w:after="0"/>
              <w:rPr>
                <w:sz w:val="20"/>
                <w:szCs w:val="20"/>
                <w:color w:val="auto"/>
              </w:rPr>
            </w:pPr>
            <w:r>
              <w:rPr>
                <w:rFonts w:ascii="Arial" w:cs="Arial" w:eastAsia="Arial" w:hAnsi="Arial"/>
                <w:sz w:val="18"/>
                <w:szCs w:val="18"/>
                <w:color w:val="auto"/>
              </w:rPr>
              <w:t>Amortization expense</w:t>
            </w:r>
          </w:p>
        </w:tc>
        <w:tc>
          <w:tcPr>
            <w:tcW w:w="1480" w:type="dxa"/>
            <w:vAlign w:val="bottom"/>
          </w:tcPr>
          <w:p>
            <w:pPr>
              <w:spacing w:after="0"/>
              <w:rPr>
                <w:sz w:val="19"/>
                <w:szCs w:val="19"/>
                <w:color w:val="auto"/>
              </w:rPr>
            </w:pPr>
          </w:p>
        </w:tc>
        <w:tc>
          <w:tcPr>
            <w:tcW w:w="1220" w:type="dxa"/>
            <w:vAlign w:val="bottom"/>
          </w:tcPr>
          <w:p>
            <w:pPr>
              <w:jc w:val="right"/>
              <w:ind w:right="712"/>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1320" w:type="dxa"/>
            <w:vAlign w:val="bottom"/>
          </w:tcPr>
          <w:p>
            <w:pPr>
              <w:jc w:val="right"/>
              <w:ind w:right="732"/>
              <w:spacing w:after="0"/>
              <w:rPr>
                <w:sz w:val="20"/>
                <w:szCs w:val="20"/>
                <w:color w:val="auto"/>
              </w:rPr>
            </w:pPr>
            <w:r>
              <w:rPr>
                <w:rFonts w:ascii="Arial" w:cs="Arial" w:eastAsia="Arial" w:hAnsi="Arial"/>
                <w:sz w:val="18"/>
                <w:szCs w:val="18"/>
                <w:color w:val="auto"/>
              </w:rPr>
              <w:t>(0.1)</w:t>
            </w:r>
          </w:p>
        </w:tc>
        <w:tc>
          <w:tcPr>
            <w:tcW w:w="960" w:type="dxa"/>
            <w:vAlign w:val="bottom"/>
          </w:tcPr>
          <w:p>
            <w:pPr>
              <w:spacing w:after="0"/>
              <w:rPr>
                <w:sz w:val="19"/>
                <w:szCs w:val="19"/>
                <w:color w:val="auto"/>
              </w:rPr>
            </w:pPr>
          </w:p>
        </w:tc>
        <w:tc>
          <w:tcPr>
            <w:tcW w:w="1080" w:type="dxa"/>
            <w:vAlign w:val="bottom"/>
          </w:tcPr>
          <w:p>
            <w:pPr>
              <w:jc w:val="right"/>
              <w:ind w:right="532"/>
              <w:spacing w:after="0"/>
              <w:rPr>
                <w:sz w:val="20"/>
                <w:szCs w:val="20"/>
                <w:color w:val="auto"/>
              </w:rPr>
            </w:pPr>
            <w:r>
              <w:rPr>
                <w:rFonts w:ascii="Arial" w:cs="Arial" w:eastAsia="Arial" w:hAnsi="Arial"/>
                <w:sz w:val="18"/>
                <w:szCs w:val="18"/>
                <w:color w:val="auto"/>
              </w:rPr>
              <w:t>—</w:t>
            </w:r>
          </w:p>
        </w:tc>
      </w:tr>
      <w:tr>
        <w:trPr>
          <w:trHeight w:val="110"/>
        </w:trPr>
        <w:tc>
          <w:tcPr>
            <w:tcW w:w="44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464"/>
        </w:trPr>
        <w:tc>
          <w:tcPr>
            <w:tcW w:w="4460" w:type="dxa"/>
            <w:vAlign w:val="bottom"/>
          </w:tcPr>
          <w:p>
            <w:pPr>
              <w:ind w:left="160"/>
              <w:spacing w:after="0"/>
              <w:rPr>
                <w:sz w:val="20"/>
                <w:szCs w:val="20"/>
                <w:color w:val="auto"/>
              </w:rPr>
            </w:pPr>
            <w:r>
              <w:rPr>
                <w:rFonts w:ascii="Arial" w:cs="Arial" w:eastAsia="Arial" w:hAnsi="Arial"/>
                <w:sz w:val="18"/>
                <w:szCs w:val="18"/>
                <w:color w:val="auto"/>
              </w:rPr>
              <w:t>Net customer lists</w:t>
            </w:r>
          </w:p>
        </w:tc>
        <w:tc>
          <w:tcPr>
            <w:tcW w:w="14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12"/>
              <w:spacing w:after="0"/>
              <w:rPr>
                <w:sz w:val="20"/>
                <w:szCs w:val="20"/>
                <w:color w:val="auto"/>
              </w:rPr>
            </w:pPr>
            <w:r>
              <w:rPr>
                <w:rFonts w:ascii="Arial" w:cs="Arial" w:eastAsia="Arial" w:hAnsi="Arial"/>
                <w:sz w:val="18"/>
                <w:szCs w:val="18"/>
                <w:color w:val="auto"/>
              </w:rPr>
              <w:t>1.1</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92"/>
              <w:spacing w:after="0"/>
              <w:rPr>
                <w:sz w:val="20"/>
                <w:szCs w:val="20"/>
                <w:color w:val="auto"/>
              </w:rPr>
            </w:pPr>
            <w:r>
              <w:rPr>
                <w:rFonts w:ascii="Arial" w:cs="Arial" w:eastAsia="Arial" w:hAnsi="Arial"/>
                <w:sz w:val="18"/>
                <w:szCs w:val="18"/>
                <w:color w:val="auto"/>
              </w:rPr>
              <w:t>0.1</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2"/>
              <w:spacing w:after="0"/>
              <w:rPr>
                <w:sz w:val="20"/>
                <w:szCs w:val="20"/>
                <w:color w:val="auto"/>
              </w:rPr>
            </w:pPr>
            <w:r>
              <w:rPr>
                <w:rFonts w:ascii="Arial" w:cs="Arial" w:eastAsia="Arial" w:hAnsi="Arial"/>
                <w:sz w:val="18"/>
                <w:szCs w:val="18"/>
                <w:color w:val="auto"/>
              </w:rPr>
              <w:t>0.2</w:t>
            </w:r>
          </w:p>
        </w:tc>
      </w:tr>
      <w:tr>
        <w:trPr>
          <w:trHeight w:val="110"/>
        </w:trPr>
        <w:tc>
          <w:tcPr>
            <w:tcW w:w="44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458"/>
        </w:trPr>
        <w:tc>
          <w:tcPr>
            <w:tcW w:w="4460" w:type="dxa"/>
            <w:vAlign w:val="bottom"/>
          </w:tcPr>
          <w:p>
            <w:pPr>
              <w:spacing w:after="0"/>
              <w:rPr>
                <w:sz w:val="20"/>
                <w:szCs w:val="20"/>
                <w:color w:val="auto"/>
              </w:rPr>
            </w:pPr>
            <w:r>
              <w:rPr>
                <w:rFonts w:ascii="Arial" w:cs="Arial" w:eastAsia="Arial" w:hAnsi="Arial"/>
                <w:sz w:val="18"/>
                <w:szCs w:val="18"/>
                <w:color w:val="auto"/>
              </w:rPr>
              <w:t>Beginning balance</w:t>
            </w:r>
          </w:p>
        </w:tc>
        <w:tc>
          <w:tcPr>
            <w:tcW w:w="14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12"/>
              <w:spacing w:after="0"/>
              <w:rPr>
                <w:sz w:val="20"/>
                <w:szCs w:val="20"/>
                <w:color w:val="auto"/>
              </w:rPr>
            </w:pPr>
            <w:r>
              <w:rPr>
                <w:rFonts w:ascii="Arial" w:cs="Arial" w:eastAsia="Arial" w:hAnsi="Arial"/>
                <w:sz w:val="18"/>
                <w:szCs w:val="18"/>
                <w:color w:val="auto"/>
              </w:rPr>
              <w:t>2.8</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92"/>
              <w:spacing w:after="0"/>
              <w:rPr>
                <w:sz w:val="20"/>
                <w:szCs w:val="20"/>
                <w:color w:val="auto"/>
              </w:rPr>
            </w:pPr>
            <w:r>
              <w:rPr>
                <w:rFonts w:ascii="Arial" w:cs="Arial" w:eastAsia="Arial" w:hAnsi="Arial"/>
                <w:sz w:val="18"/>
                <w:szCs w:val="18"/>
                <w:color w:val="auto"/>
              </w:rPr>
              <w:t>3.3</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2"/>
              <w:spacing w:after="0"/>
              <w:rPr>
                <w:sz w:val="20"/>
                <w:szCs w:val="20"/>
                <w:color w:val="auto"/>
              </w:rPr>
            </w:pPr>
            <w:r>
              <w:rPr>
                <w:rFonts w:ascii="Arial" w:cs="Arial" w:eastAsia="Arial" w:hAnsi="Arial"/>
                <w:sz w:val="18"/>
                <w:szCs w:val="18"/>
                <w:color w:val="auto"/>
              </w:rPr>
              <w:t>3.3</w:t>
            </w:r>
          </w:p>
        </w:tc>
      </w:tr>
      <w:tr>
        <w:trPr>
          <w:trHeight w:val="222"/>
        </w:trPr>
        <w:tc>
          <w:tcPr>
            <w:tcW w:w="4460" w:type="dxa"/>
            <w:vAlign w:val="bottom"/>
          </w:tcPr>
          <w:p>
            <w:pPr>
              <w:spacing w:after="0"/>
              <w:rPr>
                <w:sz w:val="20"/>
                <w:szCs w:val="20"/>
                <w:color w:val="auto"/>
              </w:rPr>
            </w:pPr>
            <w:r>
              <w:rPr>
                <w:rFonts w:ascii="Arial" w:cs="Arial" w:eastAsia="Arial" w:hAnsi="Arial"/>
                <w:sz w:val="18"/>
                <w:szCs w:val="18"/>
                <w:color w:val="auto"/>
              </w:rPr>
              <w:t>Amortization expense</w:t>
            </w:r>
          </w:p>
        </w:tc>
        <w:tc>
          <w:tcPr>
            <w:tcW w:w="1480" w:type="dxa"/>
            <w:vAlign w:val="bottom"/>
          </w:tcPr>
          <w:p>
            <w:pPr>
              <w:spacing w:after="0"/>
              <w:rPr>
                <w:sz w:val="19"/>
                <w:szCs w:val="19"/>
                <w:color w:val="auto"/>
              </w:rPr>
            </w:pPr>
          </w:p>
        </w:tc>
        <w:tc>
          <w:tcPr>
            <w:tcW w:w="1220" w:type="dxa"/>
            <w:vAlign w:val="bottom"/>
          </w:tcPr>
          <w:p>
            <w:pPr>
              <w:jc w:val="right"/>
              <w:ind w:right="652"/>
              <w:spacing w:after="0"/>
              <w:rPr>
                <w:sz w:val="20"/>
                <w:szCs w:val="20"/>
                <w:color w:val="auto"/>
              </w:rPr>
            </w:pPr>
            <w:r>
              <w:rPr>
                <w:rFonts w:ascii="Arial" w:cs="Arial" w:eastAsia="Arial" w:hAnsi="Arial"/>
                <w:sz w:val="18"/>
                <w:szCs w:val="18"/>
                <w:color w:val="auto"/>
              </w:rPr>
              <w:t>(0.2)</w:t>
            </w:r>
          </w:p>
        </w:tc>
        <w:tc>
          <w:tcPr>
            <w:tcW w:w="920" w:type="dxa"/>
            <w:vAlign w:val="bottom"/>
          </w:tcPr>
          <w:p>
            <w:pPr>
              <w:spacing w:after="0"/>
              <w:rPr>
                <w:sz w:val="19"/>
                <w:szCs w:val="19"/>
                <w:color w:val="auto"/>
              </w:rPr>
            </w:pPr>
          </w:p>
        </w:tc>
        <w:tc>
          <w:tcPr>
            <w:tcW w:w="1320" w:type="dxa"/>
            <w:vAlign w:val="bottom"/>
          </w:tcPr>
          <w:p>
            <w:pPr>
              <w:jc w:val="right"/>
              <w:ind w:right="732"/>
              <w:spacing w:after="0"/>
              <w:rPr>
                <w:sz w:val="20"/>
                <w:szCs w:val="20"/>
                <w:color w:val="auto"/>
              </w:rPr>
            </w:pPr>
            <w:r>
              <w:rPr>
                <w:rFonts w:ascii="Arial" w:cs="Arial" w:eastAsia="Arial" w:hAnsi="Arial"/>
                <w:sz w:val="18"/>
                <w:szCs w:val="18"/>
                <w:color w:val="auto"/>
              </w:rPr>
              <w:t>(0.5)</w:t>
            </w:r>
          </w:p>
        </w:tc>
        <w:tc>
          <w:tcPr>
            <w:tcW w:w="960" w:type="dxa"/>
            <w:vAlign w:val="bottom"/>
          </w:tcPr>
          <w:p>
            <w:pPr>
              <w:spacing w:after="0"/>
              <w:rPr>
                <w:sz w:val="19"/>
                <w:szCs w:val="19"/>
                <w:color w:val="auto"/>
              </w:rPr>
            </w:pPr>
          </w:p>
        </w:tc>
        <w:tc>
          <w:tcPr>
            <w:tcW w:w="1080" w:type="dxa"/>
            <w:vAlign w:val="bottom"/>
          </w:tcPr>
          <w:p>
            <w:pPr>
              <w:jc w:val="right"/>
              <w:ind w:right="472"/>
              <w:spacing w:after="0"/>
              <w:rPr>
                <w:sz w:val="20"/>
                <w:szCs w:val="20"/>
                <w:color w:val="auto"/>
              </w:rPr>
            </w:pPr>
            <w:r>
              <w:rPr>
                <w:rFonts w:ascii="Arial" w:cs="Arial" w:eastAsia="Arial" w:hAnsi="Arial"/>
                <w:sz w:val="18"/>
                <w:szCs w:val="18"/>
                <w:color w:val="auto"/>
              </w:rPr>
              <w:t>(0.4)</w:t>
            </w:r>
          </w:p>
        </w:tc>
      </w:tr>
      <w:tr>
        <w:trPr>
          <w:trHeight w:val="110"/>
        </w:trPr>
        <w:tc>
          <w:tcPr>
            <w:tcW w:w="44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464"/>
        </w:trPr>
        <w:tc>
          <w:tcPr>
            <w:tcW w:w="4460" w:type="dxa"/>
            <w:vAlign w:val="bottom"/>
          </w:tcPr>
          <w:p>
            <w:pPr>
              <w:ind w:left="160"/>
              <w:spacing w:after="0"/>
              <w:rPr>
                <w:sz w:val="20"/>
                <w:szCs w:val="20"/>
                <w:color w:val="auto"/>
              </w:rPr>
            </w:pPr>
            <w:r>
              <w:rPr>
                <w:rFonts w:ascii="Arial" w:cs="Arial" w:eastAsia="Arial" w:hAnsi="Arial"/>
                <w:sz w:val="18"/>
                <w:szCs w:val="18"/>
                <w:color w:val="auto"/>
              </w:rPr>
              <w:t>Net other intangibles</w:t>
            </w:r>
          </w:p>
        </w:tc>
        <w:tc>
          <w:tcPr>
            <w:tcW w:w="14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12"/>
              <w:spacing w:after="0"/>
              <w:rPr>
                <w:sz w:val="20"/>
                <w:szCs w:val="20"/>
                <w:color w:val="auto"/>
              </w:rPr>
            </w:pPr>
            <w:r>
              <w:rPr>
                <w:rFonts w:ascii="Arial" w:cs="Arial" w:eastAsia="Arial" w:hAnsi="Arial"/>
                <w:sz w:val="18"/>
                <w:szCs w:val="18"/>
                <w:color w:val="auto"/>
              </w:rPr>
              <w:t>2.6</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92"/>
              <w:spacing w:after="0"/>
              <w:rPr>
                <w:sz w:val="20"/>
                <w:szCs w:val="20"/>
                <w:color w:val="auto"/>
              </w:rPr>
            </w:pPr>
            <w:r>
              <w:rPr>
                <w:rFonts w:ascii="Arial" w:cs="Arial" w:eastAsia="Arial" w:hAnsi="Arial"/>
                <w:sz w:val="18"/>
                <w:szCs w:val="18"/>
                <w:color w:val="auto"/>
              </w:rPr>
              <w:t>2.8</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2"/>
              <w:spacing w:after="0"/>
              <w:rPr>
                <w:sz w:val="20"/>
                <w:szCs w:val="20"/>
                <w:color w:val="auto"/>
              </w:rPr>
            </w:pPr>
            <w:r>
              <w:rPr>
                <w:rFonts w:ascii="Arial" w:cs="Arial" w:eastAsia="Arial" w:hAnsi="Arial"/>
                <w:sz w:val="18"/>
                <w:szCs w:val="18"/>
                <w:color w:val="auto"/>
              </w:rPr>
              <w:t>2.9</w:t>
            </w:r>
          </w:p>
        </w:tc>
      </w:tr>
      <w:tr>
        <w:trPr>
          <w:trHeight w:val="110"/>
        </w:trPr>
        <w:tc>
          <w:tcPr>
            <w:tcW w:w="44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464"/>
        </w:trPr>
        <w:tc>
          <w:tcPr>
            <w:tcW w:w="4460" w:type="dxa"/>
            <w:vAlign w:val="bottom"/>
          </w:tcPr>
          <w:p>
            <w:pPr>
              <w:spacing w:after="0"/>
              <w:rPr>
                <w:sz w:val="20"/>
                <w:szCs w:val="20"/>
                <w:color w:val="auto"/>
              </w:rPr>
            </w:pPr>
            <w:r>
              <w:rPr>
                <w:rFonts w:ascii="Arial" w:cs="Arial" w:eastAsia="Arial" w:hAnsi="Arial"/>
                <w:sz w:val="18"/>
                <w:szCs w:val="18"/>
                <w:b w:val="1"/>
                <w:bCs w:val="1"/>
                <w:color w:val="auto"/>
              </w:rPr>
              <w:t>Total other intangibles subject to amortization</w:t>
            </w:r>
          </w:p>
        </w:tc>
        <w:tc>
          <w:tcPr>
            <w:tcW w:w="148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712"/>
              <w:spacing w:after="0"/>
              <w:rPr>
                <w:sz w:val="20"/>
                <w:szCs w:val="20"/>
                <w:color w:val="auto"/>
              </w:rPr>
            </w:pPr>
            <w:r>
              <w:rPr>
                <w:rFonts w:ascii="Arial" w:cs="Arial" w:eastAsia="Arial" w:hAnsi="Arial"/>
                <w:sz w:val="18"/>
                <w:szCs w:val="18"/>
                <w:b w:val="1"/>
                <w:bCs w:val="1"/>
                <w:color w:val="auto"/>
              </w:rPr>
              <w:t>3.7</w:t>
            </w:r>
          </w:p>
        </w:tc>
        <w:tc>
          <w:tcPr>
            <w:tcW w:w="92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792"/>
              <w:spacing w:after="0"/>
              <w:rPr>
                <w:sz w:val="20"/>
                <w:szCs w:val="20"/>
                <w:color w:val="auto"/>
              </w:rPr>
            </w:pPr>
            <w:r>
              <w:rPr>
                <w:rFonts w:ascii="Arial" w:cs="Arial" w:eastAsia="Arial" w:hAnsi="Arial"/>
                <w:sz w:val="18"/>
                <w:szCs w:val="18"/>
                <w:b w:val="1"/>
                <w:bCs w:val="1"/>
                <w:color w:val="auto"/>
              </w:rPr>
              <w:t>2.9</w:t>
            </w:r>
          </w:p>
        </w:tc>
        <w:tc>
          <w:tcPr>
            <w:tcW w:w="96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532"/>
              <w:spacing w:after="0"/>
              <w:rPr>
                <w:sz w:val="20"/>
                <w:szCs w:val="20"/>
                <w:color w:val="auto"/>
              </w:rPr>
            </w:pPr>
            <w:r>
              <w:rPr>
                <w:rFonts w:ascii="Arial" w:cs="Arial" w:eastAsia="Arial" w:hAnsi="Arial"/>
                <w:sz w:val="18"/>
                <w:szCs w:val="18"/>
                <w:b w:val="1"/>
                <w:bCs w:val="1"/>
                <w:color w:val="auto"/>
              </w:rPr>
              <w:t>3.1</w:t>
            </w:r>
          </w:p>
        </w:tc>
      </w:tr>
      <w:tr>
        <w:trPr>
          <w:trHeight w:val="110"/>
        </w:trPr>
        <w:tc>
          <w:tcPr>
            <w:tcW w:w="44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During the first quarter of the current fiscal year, the Company and its joint venture partner terminated a book distribution joint venture in the United Kingdom. As a result of this transaction, the Company received a portion of the business and a related customer list previously held by the joint venture, in exchange for the partial forgiveness of amounts owed to the Company by the joint venture and related entities. The Company recognized this customer list in the first quarter of fiscal 2010 with a carrying value of $5.1, which the Company intended to operate apart from its existing customer list. In the second quarter of fiscal 2010, the Company determined that, to maximize profitability, the acquired customer list should ultimately be combined with its existing customer list.</w:t>
      </w:r>
    </w:p>
    <w:p>
      <w:pPr>
        <w:sectPr>
          <w:pgSz w:w="11900" w:h="16838" w:orient="portrait"/>
          <w:cols w:equalWidth="0" w:num="1">
            <w:col w:w="11440"/>
          </w:cols>
          <w:pgMar w:left="240" w:top="382" w:right="219" w:bottom="1440" w:gutter="0" w:footer="0" w:header="0"/>
        </w:sectPr>
      </w:pP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assessed this customer list for impairment and determined that the customer list is impaired based upon the highest and best use for this asset. This assessment incorporated internally developed cash flow projections to measure fair value, as market data for this asset is not readily available. Accordingly, the Company recognized an impairment charge in the current period related to this asset of $3.8.</w:t>
      </w:r>
    </w:p>
    <w:p>
      <w:pPr>
        <w:spacing w:after="0" w:line="194"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 xml:space="preserve">Also in the period, the Company implemented certain strategic initiatives to centralize publishing efforts within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These initiatives included the elimination of the front list for certain library-specific titles. The Company will continue to serve the library market through other channels, notably the Trade channel within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As a result of these initiatives, and in tandem with reduced expectations in certain Educational Publishing print businesses, the Company determined that the titles and intangible assets of $28.7 and prepublication costs of $7.6 associated with such businesses, totaling $36.3, were impaired. The Company employed qualitative and internally developed quantitative methods, including discounted cash flow models, to determine the fair value of the assets a market participant would receive upon sale of the assets. Significant inputs included a best use analysis of the existing market for the assets, including uses for the assets other than their current usage, resulting in a determination that the market for the assets had declined significantly.</w:t>
      </w:r>
    </w:p>
    <w:p>
      <w:pPr>
        <w:spacing w:after="0" w:line="17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Amortization expense for Other intangibles totaled $0.2 and $0.4 for the six months ended November 30, 2009 and 2008, respectively, and $0.6 for the twelve months ended May 31, 2009.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Other intangibles not subject to amortization at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3600" w:type="dxa"/>
            <w:vAlign w:val="bottom"/>
            <w:gridSpan w:val="2"/>
          </w:tcPr>
          <w:p>
            <w:pPr>
              <w:jc w:val="right"/>
              <w:ind w:right="292"/>
              <w:spacing w:after="0"/>
              <w:rPr>
                <w:sz w:val="20"/>
                <w:szCs w:val="20"/>
                <w:color w:val="auto"/>
              </w:rPr>
            </w:pPr>
            <w:r>
              <w:rPr>
                <w:rFonts w:ascii="Arial" w:cs="Arial" w:eastAsia="Arial" w:hAnsi="Arial"/>
                <w:sz w:val="18"/>
                <w:szCs w:val="18"/>
                <w:b w:val="1"/>
                <w:bCs w:val="1"/>
                <w:i w:val="1"/>
                <w:iCs w:val="1"/>
                <w:color w:val="auto"/>
              </w:rPr>
              <w:t>Six months ended</w:t>
            </w:r>
          </w:p>
        </w:tc>
        <w:tc>
          <w:tcPr>
            <w:tcW w:w="2240" w:type="dxa"/>
            <w:vAlign w:val="bottom"/>
            <w:gridSpan w:val="2"/>
          </w:tcPr>
          <w:p>
            <w:pPr>
              <w:jc w:val="right"/>
              <w:ind w:right="252"/>
              <w:spacing w:after="0"/>
              <w:rPr>
                <w:sz w:val="20"/>
                <w:szCs w:val="20"/>
                <w:color w:val="auto"/>
              </w:rPr>
            </w:pPr>
            <w:r>
              <w:rPr>
                <w:rFonts w:ascii="Arial" w:cs="Arial" w:eastAsia="Arial" w:hAnsi="Arial"/>
                <w:sz w:val="18"/>
                <w:szCs w:val="18"/>
                <w:b w:val="1"/>
                <w:bCs w:val="1"/>
                <w:i w:val="1"/>
                <w:iCs w:val="1"/>
                <w:color w:val="auto"/>
                <w:w w:val="99"/>
              </w:rPr>
              <w:t>Twelve months ended</w:t>
            </w:r>
          </w:p>
        </w:tc>
        <w:tc>
          <w:tcPr>
            <w:tcW w:w="2040" w:type="dxa"/>
            <w:vAlign w:val="bottom"/>
            <w:gridSpan w:val="2"/>
          </w:tcPr>
          <w:p>
            <w:pPr>
              <w:jc w:val="right"/>
              <w:ind w:right="252"/>
              <w:spacing w:after="0"/>
              <w:rPr>
                <w:sz w:val="20"/>
                <w:szCs w:val="20"/>
                <w:color w:val="auto"/>
              </w:rPr>
            </w:pPr>
            <w:r>
              <w:rPr>
                <w:rFonts w:ascii="Arial" w:cs="Arial" w:eastAsia="Arial" w:hAnsi="Arial"/>
                <w:sz w:val="18"/>
                <w:szCs w:val="18"/>
                <w:b w:val="1"/>
                <w:bCs w:val="1"/>
                <w:i w:val="1"/>
                <w:iCs w:val="1"/>
                <w:color w:val="auto"/>
              </w:rPr>
              <w:t>Six months ended</w:t>
            </w:r>
          </w:p>
        </w:tc>
      </w:tr>
      <w:tr>
        <w:trPr>
          <w:trHeight w:val="222"/>
        </w:trPr>
        <w:tc>
          <w:tcPr>
            <w:tcW w:w="3560" w:type="dxa"/>
            <w:vAlign w:val="bottom"/>
          </w:tcPr>
          <w:p>
            <w:pPr>
              <w:spacing w:after="0"/>
              <w:rPr>
                <w:sz w:val="19"/>
                <w:szCs w:val="19"/>
                <w:color w:val="auto"/>
              </w:rPr>
            </w:pPr>
          </w:p>
        </w:tc>
        <w:tc>
          <w:tcPr>
            <w:tcW w:w="3600" w:type="dxa"/>
            <w:vAlign w:val="bottom"/>
            <w:gridSpan w:val="2"/>
          </w:tcPr>
          <w:p>
            <w:pPr>
              <w:jc w:val="right"/>
              <w:ind w:right="232"/>
              <w:spacing w:after="0"/>
              <w:rPr>
                <w:sz w:val="20"/>
                <w:szCs w:val="20"/>
                <w:color w:val="auto"/>
              </w:rPr>
            </w:pPr>
            <w:r>
              <w:rPr>
                <w:rFonts w:ascii="Arial" w:cs="Arial" w:eastAsia="Arial" w:hAnsi="Arial"/>
                <w:sz w:val="18"/>
                <w:szCs w:val="18"/>
                <w:b w:val="1"/>
                <w:bCs w:val="1"/>
                <w:i w:val="1"/>
                <w:iCs w:val="1"/>
                <w:color w:val="auto"/>
              </w:rPr>
              <w:t>November 30, 2009</w:t>
            </w:r>
          </w:p>
        </w:tc>
        <w:tc>
          <w:tcPr>
            <w:tcW w:w="2240" w:type="dxa"/>
            <w:vAlign w:val="bottom"/>
            <w:gridSpan w:val="2"/>
          </w:tcPr>
          <w:p>
            <w:pPr>
              <w:jc w:val="right"/>
              <w:ind w:right="552"/>
              <w:spacing w:after="0"/>
              <w:rPr>
                <w:sz w:val="20"/>
                <w:szCs w:val="20"/>
                <w:color w:val="auto"/>
              </w:rPr>
            </w:pPr>
            <w:r>
              <w:rPr>
                <w:rFonts w:ascii="Arial" w:cs="Arial" w:eastAsia="Arial" w:hAnsi="Arial"/>
                <w:sz w:val="18"/>
                <w:szCs w:val="18"/>
                <w:b w:val="1"/>
                <w:bCs w:val="1"/>
                <w:i w:val="1"/>
                <w:iCs w:val="1"/>
                <w:color w:val="auto"/>
              </w:rPr>
              <w:t>May 31, 2009</w:t>
            </w:r>
          </w:p>
        </w:tc>
        <w:tc>
          <w:tcPr>
            <w:tcW w:w="2040" w:type="dxa"/>
            <w:vAlign w:val="bottom"/>
            <w:gridSpan w:val="2"/>
          </w:tcPr>
          <w:p>
            <w:pPr>
              <w:jc w:val="right"/>
              <w:ind w:right="212"/>
              <w:spacing w:after="0"/>
              <w:rPr>
                <w:sz w:val="20"/>
                <w:szCs w:val="20"/>
                <w:color w:val="auto"/>
              </w:rPr>
            </w:pPr>
            <w:r>
              <w:rPr>
                <w:rFonts w:ascii="Arial" w:cs="Arial" w:eastAsia="Arial" w:hAnsi="Arial"/>
                <w:sz w:val="18"/>
                <w:szCs w:val="18"/>
                <w:b w:val="1"/>
                <w:bCs w:val="1"/>
                <w:i w:val="1"/>
                <w:iCs w:val="1"/>
                <w:color w:val="auto"/>
              </w:rPr>
              <w:t>November 30, 2008</w:t>
            </w:r>
          </w:p>
        </w:tc>
      </w:tr>
      <w:tr>
        <w:trPr>
          <w:trHeight w:val="110"/>
        </w:trPr>
        <w:tc>
          <w:tcPr>
            <w:tcW w:w="356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458"/>
        </w:trPr>
        <w:tc>
          <w:tcPr>
            <w:tcW w:w="3560" w:type="dxa"/>
            <w:vAlign w:val="bottom"/>
          </w:tcPr>
          <w:p>
            <w:pPr>
              <w:ind w:left="160"/>
              <w:spacing w:after="0"/>
              <w:rPr>
                <w:sz w:val="20"/>
                <w:szCs w:val="20"/>
                <w:color w:val="auto"/>
              </w:rPr>
            </w:pPr>
            <w:r>
              <w:rPr>
                <w:rFonts w:ascii="Arial" w:cs="Arial" w:eastAsia="Arial" w:hAnsi="Arial"/>
                <w:sz w:val="18"/>
                <w:szCs w:val="18"/>
                <w:color w:val="auto"/>
              </w:rPr>
              <w:t>Titles</w:t>
            </w:r>
          </w:p>
        </w:tc>
        <w:tc>
          <w:tcPr>
            <w:tcW w:w="2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1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92"/>
              <w:spacing w:after="0"/>
              <w:rPr>
                <w:sz w:val="20"/>
                <w:szCs w:val="20"/>
                <w:color w:val="auto"/>
              </w:rPr>
            </w:pPr>
            <w:r>
              <w:rPr>
                <w:rFonts w:ascii="Arial" w:cs="Arial" w:eastAsia="Arial" w:hAnsi="Arial"/>
                <w:sz w:val="18"/>
                <w:szCs w:val="18"/>
                <w:color w:val="auto"/>
              </w:rPr>
              <w:t>28.7</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2"/>
              <w:spacing w:after="0"/>
              <w:rPr>
                <w:sz w:val="20"/>
                <w:szCs w:val="20"/>
                <w:color w:val="auto"/>
              </w:rPr>
            </w:pPr>
            <w:r>
              <w:rPr>
                <w:rFonts w:ascii="Arial" w:cs="Arial" w:eastAsia="Arial" w:hAnsi="Arial"/>
                <w:sz w:val="18"/>
                <w:szCs w:val="18"/>
                <w:color w:val="auto"/>
              </w:rPr>
              <w:t>28.7</w:t>
            </w:r>
          </w:p>
        </w:tc>
      </w:tr>
      <w:tr>
        <w:trPr>
          <w:trHeight w:val="222"/>
        </w:trPr>
        <w:tc>
          <w:tcPr>
            <w:tcW w:w="3560" w:type="dxa"/>
            <w:vAlign w:val="bottom"/>
          </w:tcPr>
          <w:p>
            <w:pPr>
              <w:ind w:left="160"/>
              <w:spacing w:after="0"/>
              <w:rPr>
                <w:sz w:val="20"/>
                <w:szCs w:val="20"/>
                <w:color w:val="auto"/>
              </w:rPr>
            </w:pPr>
            <w:r>
              <w:rPr>
                <w:rFonts w:ascii="Arial" w:cs="Arial" w:eastAsia="Arial" w:hAnsi="Arial"/>
                <w:sz w:val="18"/>
                <w:szCs w:val="18"/>
                <w:color w:val="auto"/>
              </w:rPr>
              <w:t>Trademarks and other</w:t>
            </w:r>
          </w:p>
        </w:tc>
        <w:tc>
          <w:tcPr>
            <w:tcW w:w="2360" w:type="dxa"/>
            <w:vAlign w:val="bottom"/>
          </w:tcPr>
          <w:p>
            <w:pPr>
              <w:spacing w:after="0"/>
              <w:rPr>
                <w:sz w:val="19"/>
                <w:szCs w:val="19"/>
                <w:color w:val="auto"/>
              </w:rPr>
            </w:pPr>
          </w:p>
        </w:tc>
        <w:tc>
          <w:tcPr>
            <w:tcW w:w="1240" w:type="dxa"/>
            <w:vAlign w:val="bottom"/>
          </w:tcPr>
          <w:p>
            <w:pPr>
              <w:jc w:val="right"/>
              <w:ind w:right="712"/>
              <w:spacing w:after="0"/>
              <w:rPr>
                <w:sz w:val="20"/>
                <w:szCs w:val="20"/>
                <w:color w:val="auto"/>
              </w:rPr>
            </w:pPr>
            <w:r>
              <w:rPr>
                <w:rFonts w:ascii="Arial" w:cs="Arial" w:eastAsia="Arial" w:hAnsi="Arial"/>
                <w:sz w:val="18"/>
                <w:szCs w:val="18"/>
                <w:color w:val="auto"/>
              </w:rPr>
              <w:t>15.1</w:t>
            </w:r>
          </w:p>
        </w:tc>
        <w:tc>
          <w:tcPr>
            <w:tcW w:w="900" w:type="dxa"/>
            <w:vAlign w:val="bottom"/>
          </w:tcPr>
          <w:p>
            <w:pPr>
              <w:spacing w:after="0"/>
              <w:rPr>
                <w:sz w:val="19"/>
                <w:szCs w:val="19"/>
                <w:color w:val="auto"/>
              </w:rPr>
            </w:pPr>
          </w:p>
        </w:tc>
        <w:tc>
          <w:tcPr>
            <w:tcW w:w="1340" w:type="dxa"/>
            <w:vAlign w:val="bottom"/>
          </w:tcPr>
          <w:p>
            <w:pPr>
              <w:jc w:val="right"/>
              <w:ind w:right="792"/>
              <w:spacing w:after="0"/>
              <w:rPr>
                <w:sz w:val="20"/>
                <w:szCs w:val="20"/>
                <w:color w:val="auto"/>
              </w:rPr>
            </w:pPr>
            <w:r>
              <w:rPr>
                <w:rFonts w:ascii="Arial" w:cs="Arial" w:eastAsia="Arial" w:hAnsi="Arial"/>
                <w:sz w:val="18"/>
                <w:szCs w:val="18"/>
                <w:color w:val="auto"/>
              </w:rPr>
              <w:t>15.2</w:t>
            </w:r>
          </w:p>
        </w:tc>
        <w:tc>
          <w:tcPr>
            <w:tcW w:w="960" w:type="dxa"/>
            <w:vAlign w:val="bottom"/>
          </w:tcPr>
          <w:p>
            <w:pPr>
              <w:spacing w:after="0"/>
              <w:rPr>
                <w:sz w:val="19"/>
                <w:szCs w:val="19"/>
                <w:color w:val="auto"/>
              </w:rPr>
            </w:pPr>
          </w:p>
        </w:tc>
        <w:tc>
          <w:tcPr>
            <w:tcW w:w="1080" w:type="dxa"/>
            <w:vAlign w:val="bottom"/>
          </w:tcPr>
          <w:p>
            <w:pPr>
              <w:jc w:val="right"/>
              <w:ind w:right="532"/>
              <w:spacing w:after="0"/>
              <w:rPr>
                <w:sz w:val="20"/>
                <w:szCs w:val="20"/>
                <w:color w:val="auto"/>
              </w:rPr>
            </w:pPr>
            <w:r>
              <w:rPr>
                <w:rFonts w:ascii="Arial" w:cs="Arial" w:eastAsia="Arial" w:hAnsi="Arial"/>
                <w:sz w:val="18"/>
                <w:szCs w:val="18"/>
                <w:color w:val="auto"/>
              </w:rPr>
              <w:t>15.3</w:t>
            </w:r>
          </w:p>
        </w:tc>
      </w:tr>
      <w:tr>
        <w:trPr>
          <w:trHeight w:val="110"/>
        </w:trPr>
        <w:tc>
          <w:tcPr>
            <w:tcW w:w="356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464"/>
        </w:trPr>
        <w:tc>
          <w:tcPr>
            <w:tcW w:w="35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36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712"/>
              <w:spacing w:after="0"/>
              <w:rPr>
                <w:sz w:val="20"/>
                <w:szCs w:val="20"/>
                <w:color w:val="auto"/>
              </w:rPr>
            </w:pPr>
            <w:r>
              <w:rPr>
                <w:rFonts w:ascii="Arial" w:cs="Arial" w:eastAsia="Arial" w:hAnsi="Arial"/>
                <w:sz w:val="18"/>
                <w:szCs w:val="18"/>
                <w:b w:val="1"/>
                <w:bCs w:val="1"/>
                <w:color w:val="auto"/>
              </w:rPr>
              <w:t>15.1</w:t>
            </w:r>
          </w:p>
        </w:tc>
        <w:tc>
          <w:tcPr>
            <w:tcW w:w="90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792"/>
              <w:spacing w:after="0"/>
              <w:rPr>
                <w:sz w:val="20"/>
                <w:szCs w:val="20"/>
                <w:color w:val="auto"/>
              </w:rPr>
            </w:pPr>
            <w:r>
              <w:rPr>
                <w:rFonts w:ascii="Arial" w:cs="Arial" w:eastAsia="Arial" w:hAnsi="Arial"/>
                <w:sz w:val="18"/>
                <w:szCs w:val="18"/>
                <w:b w:val="1"/>
                <w:bCs w:val="1"/>
                <w:color w:val="auto"/>
              </w:rPr>
              <w:t>43.9</w:t>
            </w:r>
          </w:p>
        </w:tc>
        <w:tc>
          <w:tcPr>
            <w:tcW w:w="96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532"/>
              <w:spacing w:after="0"/>
              <w:rPr>
                <w:sz w:val="20"/>
                <w:szCs w:val="20"/>
                <w:color w:val="auto"/>
              </w:rPr>
            </w:pPr>
            <w:r>
              <w:rPr>
                <w:rFonts w:ascii="Arial" w:cs="Arial" w:eastAsia="Arial" w:hAnsi="Arial"/>
                <w:sz w:val="18"/>
                <w:szCs w:val="18"/>
                <w:b w:val="1"/>
                <w:bCs w:val="1"/>
                <w:color w:val="auto"/>
              </w:rPr>
              <w:t>44.0</w:t>
            </w:r>
          </w:p>
        </w:tc>
      </w:tr>
      <w:tr>
        <w:trPr>
          <w:trHeight w:val="110"/>
        </w:trPr>
        <w:tc>
          <w:tcPr>
            <w:tcW w:w="356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Investments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Company owns non-controlling interests in a book distribution business located in the United Kingdom. Results of these operations have been negatively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impacted by overall market conditions, and in fiscal 2009 the Company determined that these assets were other than temporarily impaired. In the three-month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ended February 28, 2009, the Company recorded impairments on investments related to these operations of $13.5. The carrying value of these assets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$9.1 as of November 30, 2009. The United Kingdom publishing and distribution market continues to experience difficulties, and the Company is monitoring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investment for future indicators of impairment. The Company’s aggregate carrying amount of all cost method investments is $10.6, $10.6 and $19.9 for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periods ended November 30, 2009, May 31, 2009 and November 30, 2008, respectively.</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Plans</w:t>
      </w:r>
    </w:p>
    <w:p>
      <w:pPr>
        <w:spacing w:after="0" w:line="231"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The following table sets forth components of the net periodic benefit costs under the Company’s cash balance retirement plan for its United States employees meeting certain eligibility requirements (the “U.S. Pension Plan”), the defined benefit pension plan of Scholastic Ltd., an indirect subsidiary of Scholastic Corporation located in the United Kingdom (the “UK Pension Plan”), the defined benefit pension plan of Grolier Ltd., an indirect subsidiary of Scholastic Corporation located in Canada (the “Canadian Pension Plan” and together with the U.S. Pension Plan and the UK Pension Plan, the “Pension Plans”), and the post-retirement benefits consisting of certain healthcare and life insurance benefits provided by the Company to its retired United States based employees, including participants associated with both continuing operations and discontinued operations, for the periods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jc w:val="center"/>
              <w:ind w:right="632"/>
              <w:spacing w:after="0"/>
              <w:rPr>
                <w:sz w:val="20"/>
                <w:szCs w:val="20"/>
                <w:color w:val="auto"/>
              </w:rPr>
            </w:pPr>
            <w:r>
              <w:rPr>
                <w:rFonts w:ascii="Arial" w:cs="Arial" w:eastAsia="Arial" w:hAnsi="Arial"/>
                <w:sz w:val="18"/>
                <w:szCs w:val="18"/>
                <w:b w:val="1"/>
                <w:bCs w:val="1"/>
                <w:color w:val="auto"/>
                <w:w w:val="82"/>
              </w:rPr>
              <w:t>Pension Plans</w:t>
            </w: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Post-Retirement Benefits</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2"/>
        </w:trPr>
        <w:tc>
          <w:tcPr>
            <w:tcW w:w="3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80" w:type="dxa"/>
            <w:vAlign w:val="bottom"/>
            <w:gridSpan w:val="3"/>
          </w:tcPr>
          <w:p>
            <w:pPr>
              <w:jc w:val="center"/>
              <w:ind w:left="52"/>
              <w:spacing w:after="0"/>
              <w:rPr>
                <w:sz w:val="20"/>
                <w:szCs w:val="20"/>
                <w:color w:val="auto"/>
              </w:rPr>
            </w:pPr>
            <w:r>
              <w:rPr>
                <w:rFonts w:ascii="Arial" w:cs="Arial" w:eastAsia="Arial" w:hAnsi="Arial"/>
                <w:sz w:val="18"/>
                <w:szCs w:val="18"/>
                <w:b w:val="1"/>
                <w:bCs w:val="1"/>
                <w:i w:val="1"/>
                <w:iCs w:val="1"/>
                <w:color w:val="auto"/>
                <w:w w:val="84"/>
              </w:rPr>
              <w:t>Three months ended November 30,</w:t>
            </w: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0" w:type="dxa"/>
            <w:vAlign w:val="bottom"/>
            <w:gridSpan w:val="3"/>
          </w:tcPr>
          <w:p>
            <w:pPr>
              <w:jc w:val="center"/>
              <w:ind w:right="212"/>
              <w:spacing w:after="0"/>
              <w:rPr>
                <w:sz w:val="20"/>
                <w:szCs w:val="20"/>
                <w:color w:val="auto"/>
              </w:rPr>
            </w:pPr>
            <w:r>
              <w:rPr>
                <w:rFonts w:ascii="Arial" w:cs="Arial" w:eastAsia="Arial" w:hAnsi="Arial"/>
                <w:sz w:val="18"/>
                <w:szCs w:val="18"/>
                <w:b w:val="1"/>
                <w:bCs w:val="1"/>
                <w:i w:val="1"/>
                <w:iCs w:val="1"/>
                <w:color w:val="auto"/>
                <w:w w:val="84"/>
              </w:rPr>
              <w:t>Three months ended November 30,</w:t>
            </w:r>
          </w:p>
        </w:tc>
        <w:tc>
          <w:tcPr>
            <w:tcW w:w="20" w:type="dxa"/>
            <w:vAlign w:val="bottom"/>
          </w:tcPr>
          <w:p>
            <w:pPr>
              <w:spacing w:after="0"/>
              <w:rPr>
                <w:sz w:val="19"/>
                <w:szCs w:val="19"/>
                <w:color w:val="auto"/>
              </w:rPr>
            </w:pPr>
          </w:p>
        </w:tc>
      </w:tr>
      <w:tr>
        <w:trPr>
          <w:trHeight w:val="110"/>
        </w:trPr>
        <w:tc>
          <w:tcPr>
            <w:tcW w:w="36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3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jc w:val="right"/>
              <w:ind w:right="192"/>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b w:val="1"/>
                <w:bCs w:val="1"/>
                <w:color w:val="auto"/>
              </w:rPr>
              <w:t>2008</w:t>
            </w: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jc w:val="right"/>
              <w:ind w:right="852"/>
              <w:spacing w:after="0"/>
              <w:rPr>
                <w:sz w:val="20"/>
                <w:szCs w:val="20"/>
                <w:color w:val="auto"/>
              </w:rPr>
            </w:pPr>
            <w:r>
              <w:rPr>
                <w:rFonts w:ascii="Arial" w:cs="Arial" w:eastAsia="Arial" w:hAnsi="Arial"/>
                <w:sz w:val="18"/>
                <w:szCs w:val="18"/>
                <w:b w:val="1"/>
                <w:bCs w:val="1"/>
                <w:color w:val="auto"/>
              </w:rPr>
              <w:t>2009</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2008</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36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58"/>
        </w:trPr>
        <w:tc>
          <w:tcPr>
            <w:tcW w:w="3640" w:type="dxa"/>
            <w:vAlign w:val="bottom"/>
          </w:tcPr>
          <w:p>
            <w:pPr>
              <w:spacing w:after="0"/>
              <w:rPr>
                <w:sz w:val="20"/>
                <w:szCs w:val="20"/>
                <w:color w:val="auto"/>
              </w:rPr>
            </w:pPr>
            <w:r>
              <w:rPr>
                <w:rFonts w:ascii="Arial" w:cs="Arial" w:eastAsia="Arial" w:hAnsi="Arial"/>
                <w:sz w:val="18"/>
                <w:szCs w:val="18"/>
                <w:color w:val="auto"/>
              </w:rPr>
              <w:t>Components of net periodic benefit costs:</w:t>
            </w: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640" w:type="dxa"/>
            <w:vAlign w:val="bottom"/>
          </w:tcPr>
          <w:p>
            <w:pPr>
              <w:ind w:left="160"/>
              <w:spacing w:after="0"/>
              <w:rPr>
                <w:sz w:val="20"/>
                <w:szCs w:val="20"/>
                <w:color w:val="auto"/>
              </w:rPr>
            </w:pPr>
            <w:r>
              <w:rPr>
                <w:rFonts w:ascii="Arial" w:cs="Arial" w:eastAsia="Arial" w:hAnsi="Arial"/>
                <w:sz w:val="18"/>
                <w:szCs w:val="18"/>
                <w:color w:val="auto"/>
              </w:rPr>
              <w:t>Service cost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52"/>
              <w:spacing w:after="0"/>
              <w:rPr>
                <w:sz w:val="20"/>
                <w:szCs w:val="20"/>
                <w:color w:val="auto"/>
              </w:rPr>
            </w:pPr>
            <w:r>
              <w:rPr>
                <w:rFonts w:ascii="Arial" w:cs="Arial" w:eastAsia="Arial" w:hAnsi="Arial"/>
                <w:sz w:val="18"/>
                <w:szCs w:val="18"/>
                <w:color w:val="auto"/>
              </w:rPr>
              <w:t>1.9</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640" w:type="dxa"/>
            <w:vAlign w:val="bottom"/>
          </w:tcPr>
          <w:p>
            <w:pPr>
              <w:ind w:left="160"/>
              <w:spacing w:after="0"/>
              <w:rPr>
                <w:sz w:val="20"/>
                <w:szCs w:val="20"/>
                <w:color w:val="auto"/>
              </w:rPr>
            </w:pPr>
            <w:r>
              <w:rPr>
                <w:rFonts w:ascii="Arial" w:cs="Arial" w:eastAsia="Arial" w:hAnsi="Arial"/>
                <w:sz w:val="18"/>
                <w:szCs w:val="18"/>
                <w:color w:val="auto"/>
              </w:rPr>
              <w:t>Interest cost</w:t>
            </w:r>
          </w:p>
        </w:tc>
        <w:tc>
          <w:tcPr>
            <w:tcW w:w="8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1820" w:type="dxa"/>
            <w:vAlign w:val="bottom"/>
          </w:tcPr>
          <w:p>
            <w:pPr>
              <w:spacing w:after="0"/>
              <w:rPr>
                <w:sz w:val="18"/>
                <w:szCs w:val="18"/>
                <w:color w:val="auto"/>
              </w:rPr>
            </w:pPr>
          </w:p>
        </w:tc>
        <w:tc>
          <w:tcPr>
            <w:tcW w:w="720" w:type="dxa"/>
            <w:vAlign w:val="bottom"/>
          </w:tcPr>
          <w:p>
            <w:pPr>
              <w:jc w:val="right"/>
              <w:ind w:right="352"/>
              <w:spacing w:after="0"/>
              <w:rPr>
                <w:sz w:val="20"/>
                <w:szCs w:val="20"/>
                <w:color w:val="auto"/>
              </w:rPr>
            </w:pPr>
            <w:r>
              <w:rPr>
                <w:rFonts w:ascii="Arial" w:cs="Arial" w:eastAsia="Arial" w:hAnsi="Arial"/>
                <w:sz w:val="18"/>
                <w:szCs w:val="18"/>
                <w:color w:val="auto"/>
              </w:rPr>
              <w:t>2.4</w:t>
            </w:r>
          </w:p>
        </w:tc>
        <w:tc>
          <w:tcPr>
            <w:tcW w:w="540" w:type="dxa"/>
            <w:vAlign w:val="bottom"/>
          </w:tcPr>
          <w:p>
            <w:pPr>
              <w:spacing w:after="0"/>
              <w:rPr>
                <w:sz w:val="18"/>
                <w:szCs w:val="18"/>
                <w:color w:val="auto"/>
              </w:rPr>
            </w:pPr>
          </w:p>
        </w:tc>
        <w:tc>
          <w:tcPr>
            <w:tcW w:w="1380" w:type="dxa"/>
            <w:vAlign w:val="bottom"/>
          </w:tcPr>
          <w:p>
            <w:pPr>
              <w:jc w:val="right"/>
              <w:ind w:right="572"/>
              <w:spacing w:after="0"/>
              <w:rPr>
                <w:sz w:val="20"/>
                <w:szCs w:val="20"/>
                <w:color w:val="auto"/>
              </w:rPr>
            </w:pPr>
            <w:r>
              <w:rPr>
                <w:rFonts w:ascii="Arial" w:cs="Arial" w:eastAsia="Arial" w:hAnsi="Arial"/>
                <w:sz w:val="18"/>
                <w:szCs w:val="18"/>
                <w:color w:val="auto"/>
              </w:rPr>
              <w:t>0.4</w:t>
            </w:r>
          </w:p>
        </w:tc>
        <w:tc>
          <w:tcPr>
            <w:tcW w:w="1220" w:type="dxa"/>
            <w:vAlign w:val="bottom"/>
          </w:tcPr>
          <w:p>
            <w:pPr>
              <w:spacing w:after="0"/>
              <w:rPr>
                <w:sz w:val="18"/>
                <w:szCs w:val="18"/>
                <w:color w:val="auto"/>
              </w:rPr>
            </w:pP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r>
      <w:tr>
        <w:trPr>
          <w:trHeight w:val="216"/>
        </w:trPr>
        <w:tc>
          <w:tcPr>
            <w:tcW w:w="3640" w:type="dxa"/>
            <w:vAlign w:val="bottom"/>
          </w:tcPr>
          <w:p>
            <w:pPr>
              <w:ind w:left="160"/>
              <w:spacing w:after="0"/>
              <w:rPr>
                <w:sz w:val="20"/>
                <w:szCs w:val="20"/>
                <w:color w:val="auto"/>
              </w:rPr>
            </w:pPr>
            <w:r>
              <w:rPr>
                <w:rFonts w:ascii="Arial" w:cs="Arial" w:eastAsia="Arial" w:hAnsi="Arial"/>
                <w:sz w:val="18"/>
                <w:szCs w:val="18"/>
                <w:color w:val="auto"/>
              </w:rPr>
              <w:t>Expected return on assets</w:t>
            </w:r>
          </w:p>
        </w:tc>
        <w:tc>
          <w:tcPr>
            <w:tcW w:w="8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1820" w:type="dxa"/>
            <w:vAlign w:val="bottom"/>
          </w:tcPr>
          <w:p>
            <w:pPr>
              <w:spacing w:after="0"/>
              <w:rPr>
                <w:sz w:val="18"/>
                <w:szCs w:val="18"/>
                <w:color w:val="auto"/>
              </w:rPr>
            </w:pPr>
          </w:p>
        </w:tc>
        <w:tc>
          <w:tcPr>
            <w:tcW w:w="720" w:type="dxa"/>
            <w:vAlign w:val="bottom"/>
          </w:tcPr>
          <w:p>
            <w:pPr>
              <w:jc w:val="right"/>
              <w:ind w:right="292"/>
              <w:spacing w:after="0"/>
              <w:rPr>
                <w:sz w:val="20"/>
                <w:szCs w:val="20"/>
                <w:color w:val="auto"/>
              </w:rPr>
            </w:pPr>
            <w:r>
              <w:rPr>
                <w:rFonts w:ascii="Arial" w:cs="Arial" w:eastAsia="Arial" w:hAnsi="Arial"/>
                <w:sz w:val="18"/>
                <w:szCs w:val="18"/>
                <w:color w:val="auto"/>
                <w:w w:val="86"/>
              </w:rPr>
              <w:t>(2.7)</w:t>
            </w:r>
          </w:p>
        </w:tc>
        <w:tc>
          <w:tcPr>
            <w:tcW w:w="540" w:type="dxa"/>
            <w:vAlign w:val="bottom"/>
          </w:tcPr>
          <w:p>
            <w:pPr>
              <w:spacing w:after="0"/>
              <w:rPr>
                <w:sz w:val="18"/>
                <w:szCs w:val="18"/>
                <w:color w:val="auto"/>
              </w:rPr>
            </w:pPr>
          </w:p>
        </w:tc>
        <w:tc>
          <w:tcPr>
            <w:tcW w:w="138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640" w:type="dxa"/>
            <w:vAlign w:val="bottom"/>
          </w:tcPr>
          <w:p>
            <w:pPr>
              <w:ind w:left="160"/>
              <w:spacing w:after="0"/>
              <w:rPr>
                <w:sz w:val="20"/>
                <w:szCs w:val="20"/>
                <w:color w:val="auto"/>
              </w:rPr>
            </w:pPr>
            <w:r>
              <w:rPr>
                <w:rFonts w:ascii="Arial" w:cs="Arial" w:eastAsia="Arial" w:hAnsi="Arial"/>
                <w:sz w:val="18"/>
                <w:szCs w:val="18"/>
                <w:color w:val="auto"/>
              </w:rPr>
              <w:t>Net amortization of prior service credit</w:t>
            </w:r>
          </w:p>
        </w:tc>
        <w:tc>
          <w:tcPr>
            <w:tcW w:w="8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20" w:type="dxa"/>
            <w:vAlign w:val="bottom"/>
          </w:tcPr>
          <w:p>
            <w:pPr>
              <w:spacing w:after="0"/>
              <w:rPr>
                <w:sz w:val="18"/>
                <w:szCs w:val="18"/>
                <w:color w:val="auto"/>
              </w:rPr>
            </w:pPr>
          </w:p>
        </w:tc>
        <w:tc>
          <w:tcPr>
            <w:tcW w:w="72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380" w:type="dxa"/>
            <w:vAlign w:val="bottom"/>
          </w:tcPr>
          <w:p>
            <w:pPr>
              <w:jc w:val="right"/>
              <w:ind w:right="512"/>
              <w:spacing w:after="0"/>
              <w:rPr>
                <w:sz w:val="20"/>
                <w:szCs w:val="20"/>
                <w:color w:val="auto"/>
              </w:rPr>
            </w:pPr>
            <w:r>
              <w:rPr>
                <w:rFonts w:ascii="Arial" w:cs="Arial" w:eastAsia="Arial" w:hAnsi="Arial"/>
                <w:sz w:val="18"/>
                <w:szCs w:val="18"/>
                <w:color w:val="auto"/>
              </w:rPr>
              <w:t>(0.2)</w:t>
            </w:r>
          </w:p>
        </w:tc>
        <w:tc>
          <w:tcPr>
            <w:tcW w:w="1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6"/>
              </w:rPr>
              <w:t>(0.2)</w:t>
            </w:r>
          </w:p>
        </w:tc>
        <w:tc>
          <w:tcPr>
            <w:tcW w:w="20" w:type="dxa"/>
            <w:vAlign w:val="bottom"/>
          </w:tcPr>
          <w:p>
            <w:pPr>
              <w:spacing w:after="0"/>
              <w:rPr>
                <w:sz w:val="18"/>
                <w:szCs w:val="18"/>
                <w:color w:val="auto"/>
              </w:rPr>
            </w:pPr>
          </w:p>
        </w:tc>
      </w:tr>
      <w:tr>
        <w:trPr>
          <w:trHeight w:val="222"/>
        </w:trPr>
        <w:tc>
          <w:tcPr>
            <w:tcW w:w="3640" w:type="dxa"/>
            <w:vAlign w:val="bottom"/>
          </w:tcPr>
          <w:p>
            <w:pPr>
              <w:ind w:left="160"/>
              <w:spacing w:after="0"/>
              <w:rPr>
                <w:sz w:val="20"/>
                <w:szCs w:val="20"/>
                <w:color w:val="auto"/>
              </w:rPr>
            </w:pPr>
            <w:r>
              <w:rPr>
                <w:rFonts w:ascii="Arial" w:cs="Arial" w:eastAsia="Arial" w:hAnsi="Arial"/>
                <w:sz w:val="18"/>
                <w:szCs w:val="18"/>
                <w:color w:val="auto"/>
              </w:rPr>
              <w:t>Amortization of loss</w:t>
            </w:r>
          </w:p>
        </w:tc>
        <w:tc>
          <w:tcPr>
            <w:tcW w:w="86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1820" w:type="dxa"/>
            <w:vAlign w:val="bottom"/>
          </w:tcPr>
          <w:p>
            <w:pPr>
              <w:spacing w:after="0"/>
              <w:rPr>
                <w:sz w:val="19"/>
                <w:szCs w:val="19"/>
                <w:color w:val="auto"/>
              </w:rPr>
            </w:pPr>
          </w:p>
        </w:tc>
        <w:tc>
          <w:tcPr>
            <w:tcW w:w="720" w:type="dxa"/>
            <w:vAlign w:val="bottom"/>
          </w:tcPr>
          <w:p>
            <w:pPr>
              <w:jc w:val="right"/>
              <w:ind w:right="352"/>
              <w:spacing w:after="0"/>
              <w:rPr>
                <w:sz w:val="20"/>
                <w:szCs w:val="20"/>
                <w:color w:val="auto"/>
              </w:rPr>
            </w:pPr>
            <w:r>
              <w:rPr>
                <w:rFonts w:ascii="Arial" w:cs="Arial" w:eastAsia="Arial" w:hAnsi="Arial"/>
                <w:sz w:val="18"/>
                <w:szCs w:val="18"/>
                <w:color w:val="auto"/>
              </w:rPr>
              <w:t>0.5</w:t>
            </w:r>
          </w:p>
        </w:tc>
        <w:tc>
          <w:tcPr>
            <w:tcW w:w="540" w:type="dxa"/>
            <w:vAlign w:val="bottom"/>
          </w:tcPr>
          <w:p>
            <w:pPr>
              <w:spacing w:after="0"/>
              <w:rPr>
                <w:sz w:val="19"/>
                <w:szCs w:val="19"/>
                <w:color w:val="auto"/>
              </w:rPr>
            </w:pPr>
          </w:p>
        </w:tc>
        <w:tc>
          <w:tcPr>
            <w:tcW w:w="1380" w:type="dxa"/>
            <w:vAlign w:val="bottom"/>
          </w:tcPr>
          <w:p>
            <w:pPr>
              <w:jc w:val="right"/>
              <w:ind w:right="572"/>
              <w:spacing w:after="0"/>
              <w:rPr>
                <w:sz w:val="20"/>
                <w:szCs w:val="20"/>
                <w:color w:val="auto"/>
              </w:rPr>
            </w:pPr>
            <w:r>
              <w:rPr>
                <w:rFonts w:ascii="Arial" w:cs="Arial" w:eastAsia="Arial" w:hAnsi="Arial"/>
                <w:sz w:val="18"/>
                <w:szCs w:val="18"/>
                <w:color w:val="auto"/>
              </w:rPr>
              <w:t>0.2</w:t>
            </w:r>
          </w:p>
        </w:tc>
        <w:tc>
          <w:tcPr>
            <w:tcW w:w="1220" w:type="dxa"/>
            <w:vAlign w:val="bottom"/>
          </w:tcPr>
          <w:p>
            <w:pPr>
              <w:spacing w:after="0"/>
              <w:rPr>
                <w:sz w:val="19"/>
                <w:szCs w:val="19"/>
                <w:color w:val="auto"/>
              </w:rPr>
            </w:pP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r>
      <w:tr>
        <w:trPr>
          <w:trHeight w:val="110"/>
        </w:trPr>
        <w:tc>
          <w:tcPr>
            <w:tcW w:w="36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3640" w:type="dxa"/>
            <w:vAlign w:val="bottom"/>
          </w:tcPr>
          <w:p>
            <w:pPr>
              <w:ind w:left="320"/>
              <w:spacing w:after="0"/>
              <w:rPr>
                <w:sz w:val="20"/>
                <w:szCs w:val="20"/>
                <w:color w:val="auto"/>
              </w:rPr>
            </w:pPr>
            <w:r>
              <w:rPr>
                <w:rFonts w:ascii="Arial" w:cs="Arial" w:eastAsia="Arial" w:hAnsi="Arial"/>
                <w:sz w:val="18"/>
                <w:szCs w:val="18"/>
                <w:b w:val="1"/>
                <w:bCs w:val="1"/>
                <w:color w:val="auto"/>
              </w:rPr>
              <w:t>Net periodic benefit costs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0.7</w:t>
            </w:r>
          </w:p>
        </w:tc>
        <w:tc>
          <w:tcPr>
            <w:tcW w:w="1820" w:type="dxa"/>
            <w:vAlign w:val="bottom"/>
          </w:tcPr>
          <w:p>
            <w:pPr>
              <w:jc w:val="right"/>
              <w:ind w:right="452"/>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352"/>
              <w:spacing w:after="0"/>
              <w:rPr>
                <w:sz w:val="20"/>
                <w:szCs w:val="20"/>
                <w:color w:val="auto"/>
              </w:rPr>
            </w:pPr>
            <w:r>
              <w:rPr>
                <w:rFonts w:ascii="Arial" w:cs="Arial" w:eastAsia="Arial" w:hAnsi="Arial"/>
                <w:sz w:val="18"/>
                <w:szCs w:val="18"/>
                <w:b w:val="1"/>
                <w:bCs w:val="1"/>
                <w:color w:val="auto"/>
              </w:rPr>
              <w:t>2.1</w:t>
            </w:r>
          </w:p>
        </w:tc>
        <w:tc>
          <w:tcPr>
            <w:tcW w:w="54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572"/>
              <w:spacing w:after="0"/>
              <w:rPr>
                <w:sz w:val="20"/>
                <w:szCs w:val="20"/>
                <w:color w:val="auto"/>
              </w:rPr>
            </w:pPr>
            <w:r>
              <w:rPr>
                <w:rFonts w:ascii="Arial" w:cs="Arial" w:eastAsia="Arial" w:hAnsi="Arial"/>
                <w:sz w:val="18"/>
                <w:szCs w:val="18"/>
                <w:b w:val="1"/>
                <w:bCs w:val="1"/>
                <w:color w:val="auto"/>
              </w:rPr>
              <w:t>0.4</w:t>
            </w:r>
          </w:p>
        </w:tc>
        <w:tc>
          <w:tcPr>
            <w:tcW w:w="1220" w:type="dxa"/>
            <w:vAlign w:val="bottom"/>
          </w:tcPr>
          <w:p>
            <w:pPr>
              <w:jc w:val="right"/>
              <w:ind w:right="452"/>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32"/>
              <w:spacing w:after="0"/>
              <w:rPr>
                <w:sz w:val="20"/>
                <w:szCs w:val="20"/>
                <w:color w:val="auto"/>
              </w:rPr>
            </w:pPr>
            <w:r>
              <w:rPr>
                <w:rFonts w:ascii="Arial" w:cs="Arial" w:eastAsia="Arial" w:hAnsi="Arial"/>
                <w:sz w:val="18"/>
                <w:szCs w:val="18"/>
                <w:b w:val="1"/>
                <w:bCs w:val="1"/>
                <w:color w:val="auto"/>
              </w:rPr>
              <w:t>0.4</w:t>
            </w:r>
          </w:p>
        </w:tc>
        <w:tc>
          <w:tcPr>
            <w:tcW w:w="20" w:type="dxa"/>
            <w:vAlign w:val="bottom"/>
          </w:tcPr>
          <w:p>
            <w:pPr>
              <w:spacing w:after="0"/>
              <w:rPr>
                <w:sz w:val="24"/>
                <w:szCs w:val="24"/>
                <w:color w:val="auto"/>
              </w:rPr>
            </w:pPr>
          </w:p>
        </w:tc>
      </w:tr>
      <w:tr>
        <w:trPr>
          <w:trHeight w:val="134"/>
        </w:trPr>
        <w:tc>
          <w:tcPr>
            <w:tcW w:w="364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82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r>
        <w:trPr>
          <w:trHeight w:val="569"/>
        </w:trPr>
        <w:tc>
          <w:tcPr>
            <w:tcW w:w="3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jc w:val="center"/>
              <w:ind w:right="632"/>
              <w:spacing w:after="0"/>
              <w:rPr>
                <w:sz w:val="20"/>
                <w:szCs w:val="20"/>
                <w:color w:val="auto"/>
              </w:rPr>
            </w:pPr>
            <w:r>
              <w:rPr>
                <w:rFonts w:ascii="Arial" w:cs="Arial" w:eastAsia="Arial" w:hAnsi="Arial"/>
                <w:sz w:val="18"/>
                <w:szCs w:val="18"/>
                <w:b w:val="1"/>
                <w:bCs w:val="1"/>
                <w:color w:val="auto"/>
                <w:w w:val="82"/>
              </w:rPr>
              <w:t>Pension Plans</w:t>
            </w: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Post-Retirement Benefits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3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80" w:type="dxa"/>
            <w:vAlign w:val="bottom"/>
            <w:gridSpan w:val="3"/>
          </w:tcPr>
          <w:p>
            <w:pPr>
              <w:jc w:val="center"/>
              <w:ind w:left="52"/>
              <w:spacing w:after="0"/>
              <w:rPr>
                <w:sz w:val="20"/>
                <w:szCs w:val="20"/>
                <w:color w:val="auto"/>
              </w:rPr>
            </w:pPr>
            <w:r>
              <w:rPr>
                <w:rFonts w:ascii="Arial" w:cs="Arial" w:eastAsia="Arial" w:hAnsi="Arial"/>
                <w:sz w:val="18"/>
                <w:szCs w:val="18"/>
                <w:b w:val="1"/>
                <w:bCs w:val="1"/>
                <w:i w:val="1"/>
                <w:iCs w:val="1"/>
                <w:color w:val="auto"/>
                <w:w w:val="84"/>
              </w:rPr>
              <w:t>Six months ended November 30,</w:t>
            </w: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0" w:type="dxa"/>
            <w:vAlign w:val="bottom"/>
            <w:gridSpan w:val="2"/>
          </w:tcPr>
          <w:p>
            <w:pPr>
              <w:jc w:val="center"/>
              <w:ind w:left="12"/>
              <w:spacing w:after="0"/>
              <w:rPr>
                <w:sz w:val="20"/>
                <w:szCs w:val="20"/>
                <w:color w:val="auto"/>
              </w:rPr>
            </w:pPr>
            <w:r>
              <w:rPr>
                <w:rFonts w:ascii="Arial" w:cs="Arial" w:eastAsia="Arial" w:hAnsi="Arial"/>
                <w:sz w:val="18"/>
                <w:szCs w:val="18"/>
                <w:b w:val="1"/>
                <w:bCs w:val="1"/>
                <w:i w:val="1"/>
                <w:iCs w:val="1"/>
                <w:color w:val="auto"/>
                <w:w w:val="84"/>
              </w:rPr>
              <w:t>Six months ended November 30,</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10"/>
        </w:trPr>
        <w:tc>
          <w:tcPr>
            <w:tcW w:w="36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3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jc w:val="right"/>
              <w:ind w:right="192"/>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b w:val="1"/>
                <w:bCs w:val="1"/>
                <w:color w:val="auto"/>
              </w:rPr>
              <w:t>2008</w:t>
            </w: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jc w:val="right"/>
              <w:ind w:right="852"/>
              <w:spacing w:after="0"/>
              <w:rPr>
                <w:sz w:val="20"/>
                <w:szCs w:val="20"/>
                <w:color w:val="auto"/>
              </w:rPr>
            </w:pPr>
            <w:r>
              <w:rPr>
                <w:rFonts w:ascii="Arial" w:cs="Arial" w:eastAsia="Arial" w:hAnsi="Arial"/>
                <w:sz w:val="18"/>
                <w:szCs w:val="18"/>
                <w:b w:val="1"/>
                <w:bCs w:val="1"/>
                <w:color w:val="auto"/>
              </w:rPr>
              <w:t>2009</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2008</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36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58"/>
        </w:trPr>
        <w:tc>
          <w:tcPr>
            <w:tcW w:w="3640" w:type="dxa"/>
            <w:vAlign w:val="bottom"/>
          </w:tcPr>
          <w:p>
            <w:pPr>
              <w:spacing w:after="0"/>
              <w:rPr>
                <w:sz w:val="20"/>
                <w:szCs w:val="20"/>
                <w:color w:val="auto"/>
              </w:rPr>
            </w:pPr>
            <w:r>
              <w:rPr>
                <w:rFonts w:ascii="Arial" w:cs="Arial" w:eastAsia="Arial" w:hAnsi="Arial"/>
                <w:sz w:val="18"/>
                <w:szCs w:val="18"/>
                <w:color w:val="auto"/>
              </w:rPr>
              <w:t>Components of net periodic benefit costs:</w:t>
            </w: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640" w:type="dxa"/>
            <w:vAlign w:val="bottom"/>
          </w:tcPr>
          <w:p>
            <w:pPr>
              <w:ind w:left="160"/>
              <w:spacing w:after="0"/>
              <w:rPr>
                <w:sz w:val="20"/>
                <w:szCs w:val="20"/>
                <w:color w:val="auto"/>
              </w:rPr>
            </w:pPr>
            <w:r>
              <w:rPr>
                <w:rFonts w:ascii="Arial" w:cs="Arial" w:eastAsia="Arial" w:hAnsi="Arial"/>
                <w:sz w:val="18"/>
                <w:szCs w:val="18"/>
                <w:color w:val="auto"/>
              </w:rPr>
              <w:t>Service cost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182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52"/>
              <w:spacing w:after="0"/>
              <w:rPr>
                <w:sz w:val="20"/>
                <w:szCs w:val="20"/>
                <w:color w:val="auto"/>
              </w:rPr>
            </w:pPr>
            <w:r>
              <w:rPr>
                <w:rFonts w:ascii="Arial" w:cs="Arial" w:eastAsia="Arial" w:hAnsi="Arial"/>
                <w:sz w:val="18"/>
                <w:szCs w:val="18"/>
                <w:color w:val="auto"/>
              </w:rPr>
              <w:t>4.0</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r>
      <w:tr>
        <w:trPr>
          <w:trHeight w:val="216"/>
        </w:trPr>
        <w:tc>
          <w:tcPr>
            <w:tcW w:w="3640" w:type="dxa"/>
            <w:vAlign w:val="bottom"/>
          </w:tcPr>
          <w:p>
            <w:pPr>
              <w:ind w:left="160"/>
              <w:spacing w:after="0"/>
              <w:rPr>
                <w:sz w:val="20"/>
                <w:szCs w:val="20"/>
                <w:color w:val="auto"/>
              </w:rPr>
            </w:pPr>
            <w:r>
              <w:rPr>
                <w:rFonts w:ascii="Arial" w:cs="Arial" w:eastAsia="Arial" w:hAnsi="Arial"/>
                <w:sz w:val="18"/>
                <w:szCs w:val="18"/>
                <w:color w:val="auto"/>
              </w:rPr>
              <w:t>Interest cost</w:t>
            </w:r>
          </w:p>
        </w:tc>
        <w:tc>
          <w:tcPr>
            <w:tcW w:w="8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1820" w:type="dxa"/>
            <w:vAlign w:val="bottom"/>
          </w:tcPr>
          <w:p>
            <w:pPr>
              <w:spacing w:after="0"/>
              <w:rPr>
                <w:sz w:val="18"/>
                <w:szCs w:val="18"/>
                <w:color w:val="auto"/>
              </w:rPr>
            </w:pPr>
          </w:p>
        </w:tc>
        <w:tc>
          <w:tcPr>
            <w:tcW w:w="720" w:type="dxa"/>
            <w:vAlign w:val="bottom"/>
          </w:tcPr>
          <w:p>
            <w:pPr>
              <w:jc w:val="right"/>
              <w:ind w:right="352"/>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18"/>
                <w:szCs w:val="18"/>
                <w:color w:val="auto"/>
              </w:rPr>
            </w:pPr>
          </w:p>
        </w:tc>
        <w:tc>
          <w:tcPr>
            <w:tcW w:w="1380" w:type="dxa"/>
            <w:vAlign w:val="bottom"/>
          </w:tcPr>
          <w:p>
            <w:pPr>
              <w:jc w:val="right"/>
              <w:ind w:right="572"/>
              <w:spacing w:after="0"/>
              <w:rPr>
                <w:sz w:val="20"/>
                <w:szCs w:val="20"/>
                <w:color w:val="auto"/>
              </w:rPr>
            </w:pPr>
            <w:r>
              <w:rPr>
                <w:rFonts w:ascii="Arial" w:cs="Arial" w:eastAsia="Arial" w:hAnsi="Arial"/>
                <w:sz w:val="18"/>
                <w:szCs w:val="18"/>
                <w:color w:val="auto"/>
              </w:rPr>
              <w:t>0.7</w:t>
            </w:r>
          </w:p>
        </w:tc>
        <w:tc>
          <w:tcPr>
            <w:tcW w:w="1220" w:type="dxa"/>
            <w:vAlign w:val="bottom"/>
          </w:tcPr>
          <w:p>
            <w:pPr>
              <w:spacing w:after="0"/>
              <w:rPr>
                <w:sz w:val="18"/>
                <w:szCs w:val="18"/>
                <w:color w:val="auto"/>
              </w:rPr>
            </w:pP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r>
      <w:tr>
        <w:trPr>
          <w:trHeight w:val="216"/>
        </w:trPr>
        <w:tc>
          <w:tcPr>
            <w:tcW w:w="3640" w:type="dxa"/>
            <w:vAlign w:val="bottom"/>
          </w:tcPr>
          <w:p>
            <w:pPr>
              <w:ind w:left="160"/>
              <w:spacing w:after="0"/>
              <w:rPr>
                <w:sz w:val="20"/>
                <w:szCs w:val="20"/>
                <w:color w:val="auto"/>
              </w:rPr>
            </w:pPr>
            <w:r>
              <w:rPr>
                <w:rFonts w:ascii="Arial" w:cs="Arial" w:eastAsia="Arial" w:hAnsi="Arial"/>
                <w:sz w:val="18"/>
                <w:szCs w:val="18"/>
                <w:color w:val="auto"/>
              </w:rPr>
              <w:t>Expected return on assets</w:t>
            </w:r>
          </w:p>
        </w:tc>
        <w:tc>
          <w:tcPr>
            <w:tcW w:w="8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1820" w:type="dxa"/>
            <w:vAlign w:val="bottom"/>
          </w:tcPr>
          <w:p>
            <w:pPr>
              <w:spacing w:after="0"/>
              <w:rPr>
                <w:sz w:val="18"/>
                <w:szCs w:val="18"/>
                <w:color w:val="auto"/>
              </w:rPr>
            </w:pPr>
          </w:p>
        </w:tc>
        <w:tc>
          <w:tcPr>
            <w:tcW w:w="720" w:type="dxa"/>
            <w:vAlign w:val="bottom"/>
          </w:tcPr>
          <w:p>
            <w:pPr>
              <w:jc w:val="right"/>
              <w:ind w:right="292"/>
              <w:spacing w:after="0"/>
              <w:rPr>
                <w:sz w:val="20"/>
                <w:szCs w:val="20"/>
                <w:color w:val="auto"/>
              </w:rPr>
            </w:pPr>
            <w:r>
              <w:rPr>
                <w:rFonts w:ascii="Arial" w:cs="Arial" w:eastAsia="Arial" w:hAnsi="Arial"/>
                <w:sz w:val="18"/>
                <w:szCs w:val="18"/>
                <w:color w:val="auto"/>
                <w:w w:val="86"/>
              </w:rPr>
              <w:t>(5.6)</w:t>
            </w:r>
          </w:p>
        </w:tc>
        <w:tc>
          <w:tcPr>
            <w:tcW w:w="540" w:type="dxa"/>
            <w:vAlign w:val="bottom"/>
          </w:tcPr>
          <w:p>
            <w:pPr>
              <w:spacing w:after="0"/>
              <w:rPr>
                <w:sz w:val="18"/>
                <w:szCs w:val="18"/>
                <w:color w:val="auto"/>
              </w:rPr>
            </w:pPr>
          </w:p>
        </w:tc>
        <w:tc>
          <w:tcPr>
            <w:tcW w:w="138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640" w:type="dxa"/>
            <w:vAlign w:val="bottom"/>
          </w:tcPr>
          <w:p>
            <w:pPr>
              <w:ind w:left="160"/>
              <w:spacing w:after="0"/>
              <w:rPr>
                <w:sz w:val="20"/>
                <w:szCs w:val="20"/>
                <w:color w:val="auto"/>
              </w:rPr>
            </w:pPr>
            <w:r>
              <w:rPr>
                <w:rFonts w:ascii="Arial" w:cs="Arial" w:eastAsia="Arial" w:hAnsi="Arial"/>
                <w:sz w:val="18"/>
                <w:szCs w:val="18"/>
                <w:color w:val="auto"/>
              </w:rPr>
              <w:t>Net amortization of prior service credit</w:t>
            </w:r>
          </w:p>
        </w:tc>
        <w:tc>
          <w:tcPr>
            <w:tcW w:w="8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20" w:type="dxa"/>
            <w:vAlign w:val="bottom"/>
          </w:tcPr>
          <w:p>
            <w:pPr>
              <w:spacing w:after="0"/>
              <w:rPr>
                <w:sz w:val="18"/>
                <w:szCs w:val="18"/>
                <w:color w:val="auto"/>
              </w:rPr>
            </w:pPr>
          </w:p>
        </w:tc>
        <w:tc>
          <w:tcPr>
            <w:tcW w:w="720" w:type="dxa"/>
            <w:vAlign w:val="bottom"/>
          </w:tcPr>
          <w:p>
            <w:pPr>
              <w:jc w:val="right"/>
              <w:ind w:right="292"/>
              <w:spacing w:after="0"/>
              <w:rPr>
                <w:sz w:val="20"/>
                <w:szCs w:val="20"/>
                <w:color w:val="auto"/>
              </w:rPr>
            </w:pPr>
            <w:r>
              <w:rPr>
                <w:rFonts w:ascii="Arial" w:cs="Arial" w:eastAsia="Arial" w:hAnsi="Arial"/>
                <w:sz w:val="18"/>
                <w:szCs w:val="18"/>
                <w:color w:val="auto"/>
                <w:w w:val="86"/>
              </w:rPr>
              <w:t>(0.1)</w:t>
            </w:r>
          </w:p>
        </w:tc>
        <w:tc>
          <w:tcPr>
            <w:tcW w:w="540" w:type="dxa"/>
            <w:vAlign w:val="bottom"/>
          </w:tcPr>
          <w:p>
            <w:pPr>
              <w:spacing w:after="0"/>
              <w:rPr>
                <w:sz w:val="18"/>
                <w:szCs w:val="18"/>
                <w:color w:val="auto"/>
              </w:rPr>
            </w:pPr>
          </w:p>
        </w:tc>
        <w:tc>
          <w:tcPr>
            <w:tcW w:w="1380" w:type="dxa"/>
            <w:vAlign w:val="bottom"/>
          </w:tcPr>
          <w:p>
            <w:pPr>
              <w:jc w:val="right"/>
              <w:ind w:right="512"/>
              <w:spacing w:after="0"/>
              <w:rPr>
                <w:sz w:val="20"/>
                <w:szCs w:val="20"/>
                <w:color w:val="auto"/>
              </w:rPr>
            </w:pPr>
            <w:r>
              <w:rPr>
                <w:rFonts w:ascii="Arial" w:cs="Arial" w:eastAsia="Arial" w:hAnsi="Arial"/>
                <w:sz w:val="18"/>
                <w:szCs w:val="18"/>
                <w:color w:val="auto"/>
              </w:rPr>
              <w:t>(0.3)</w:t>
            </w:r>
          </w:p>
        </w:tc>
        <w:tc>
          <w:tcPr>
            <w:tcW w:w="1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6"/>
              </w:rPr>
              <w:t>(0.4)</w:t>
            </w:r>
          </w:p>
        </w:tc>
        <w:tc>
          <w:tcPr>
            <w:tcW w:w="20" w:type="dxa"/>
            <w:vAlign w:val="bottom"/>
          </w:tcPr>
          <w:p>
            <w:pPr>
              <w:spacing w:after="0"/>
              <w:rPr>
                <w:sz w:val="18"/>
                <w:szCs w:val="18"/>
                <w:color w:val="auto"/>
              </w:rPr>
            </w:pPr>
          </w:p>
        </w:tc>
      </w:tr>
      <w:tr>
        <w:trPr>
          <w:trHeight w:val="222"/>
        </w:trPr>
        <w:tc>
          <w:tcPr>
            <w:tcW w:w="3640" w:type="dxa"/>
            <w:vAlign w:val="bottom"/>
          </w:tcPr>
          <w:p>
            <w:pPr>
              <w:ind w:left="160"/>
              <w:spacing w:after="0"/>
              <w:rPr>
                <w:sz w:val="20"/>
                <w:szCs w:val="20"/>
                <w:color w:val="auto"/>
              </w:rPr>
            </w:pPr>
            <w:r>
              <w:rPr>
                <w:rFonts w:ascii="Arial" w:cs="Arial" w:eastAsia="Arial" w:hAnsi="Arial"/>
                <w:sz w:val="18"/>
                <w:szCs w:val="18"/>
                <w:color w:val="auto"/>
              </w:rPr>
              <w:t>Amortization of loss</w:t>
            </w:r>
          </w:p>
        </w:tc>
        <w:tc>
          <w:tcPr>
            <w:tcW w:w="86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1820" w:type="dxa"/>
            <w:vAlign w:val="bottom"/>
          </w:tcPr>
          <w:p>
            <w:pPr>
              <w:spacing w:after="0"/>
              <w:rPr>
                <w:sz w:val="19"/>
                <w:szCs w:val="19"/>
                <w:color w:val="auto"/>
              </w:rPr>
            </w:pPr>
          </w:p>
        </w:tc>
        <w:tc>
          <w:tcPr>
            <w:tcW w:w="720" w:type="dxa"/>
            <w:vAlign w:val="bottom"/>
          </w:tcPr>
          <w:p>
            <w:pPr>
              <w:jc w:val="right"/>
              <w:ind w:right="352"/>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19"/>
                <w:szCs w:val="19"/>
                <w:color w:val="auto"/>
              </w:rPr>
            </w:pPr>
          </w:p>
        </w:tc>
        <w:tc>
          <w:tcPr>
            <w:tcW w:w="1380" w:type="dxa"/>
            <w:vAlign w:val="bottom"/>
          </w:tcPr>
          <w:p>
            <w:pPr>
              <w:jc w:val="right"/>
              <w:ind w:right="572"/>
              <w:spacing w:after="0"/>
              <w:rPr>
                <w:sz w:val="20"/>
                <w:szCs w:val="20"/>
                <w:color w:val="auto"/>
              </w:rPr>
            </w:pPr>
            <w:r>
              <w:rPr>
                <w:rFonts w:ascii="Arial" w:cs="Arial" w:eastAsia="Arial" w:hAnsi="Arial"/>
                <w:sz w:val="18"/>
                <w:szCs w:val="18"/>
                <w:color w:val="auto"/>
              </w:rPr>
              <w:t>0.3</w:t>
            </w:r>
          </w:p>
        </w:tc>
        <w:tc>
          <w:tcPr>
            <w:tcW w:w="1220" w:type="dxa"/>
            <w:vAlign w:val="bottom"/>
          </w:tcPr>
          <w:p>
            <w:pPr>
              <w:spacing w:after="0"/>
              <w:rPr>
                <w:sz w:val="19"/>
                <w:szCs w:val="19"/>
                <w:color w:val="auto"/>
              </w:rPr>
            </w:pP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r>
      <w:tr>
        <w:trPr>
          <w:trHeight w:val="110"/>
        </w:trPr>
        <w:tc>
          <w:tcPr>
            <w:tcW w:w="36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gridSpan w:val="2"/>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3640" w:type="dxa"/>
            <w:vAlign w:val="bottom"/>
          </w:tcPr>
          <w:p>
            <w:pPr>
              <w:ind w:left="320"/>
              <w:spacing w:after="0"/>
              <w:rPr>
                <w:sz w:val="20"/>
                <w:szCs w:val="20"/>
                <w:color w:val="auto"/>
              </w:rPr>
            </w:pPr>
            <w:r>
              <w:rPr>
                <w:rFonts w:ascii="Arial" w:cs="Arial" w:eastAsia="Arial" w:hAnsi="Arial"/>
                <w:sz w:val="18"/>
                <w:szCs w:val="18"/>
                <w:b w:val="1"/>
                <w:bCs w:val="1"/>
                <w:color w:val="auto"/>
              </w:rPr>
              <w:t>Net periodic benefit costs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2.3</w:t>
            </w:r>
          </w:p>
        </w:tc>
        <w:tc>
          <w:tcPr>
            <w:tcW w:w="1820" w:type="dxa"/>
            <w:vAlign w:val="bottom"/>
          </w:tcPr>
          <w:p>
            <w:pPr>
              <w:jc w:val="right"/>
              <w:ind w:right="452"/>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352"/>
              <w:spacing w:after="0"/>
              <w:rPr>
                <w:sz w:val="20"/>
                <w:szCs w:val="20"/>
                <w:color w:val="auto"/>
              </w:rPr>
            </w:pPr>
            <w:r>
              <w:rPr>
                <w:rFonts w:ascii="Arial" w:cs="Arial" w:eastAsia="Arial" w:hAnsi="Arial"/>
                <w:sz w:val="18"/>
                <w:szCs w:val="18"/>
                <w:b w:val="1"/>
                <w:bCs w:val="1"/>
                <w:color w:val="auto"/>
              </w:rPr>
              <w:t>4.4</w:t>
            </w:r>
          </w:p>
        </w:tc>
        <w:tc>
          <w:tcPr>
            <w:tcW w:w="54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572"/>
              <w:spacing w:after="0"/>
              <w:rPr>
                <w:sz w:val="20"/>
                <w:szCs w:val="20"/>
                <w:color w:val="auto"/>
              </w:rPr>
            </w:pPr>
            <w:r>
              <w:rPr>
                <w:rFonts w:ascii="Arial" w:cs="Arial" w:eastAsia="Arial" w:hAnsi="Arial"/>
                <w:sz w:val="18"/>
                <w:szCs w:val="18"/>
                <w:b w:val="1"/>
                <w:bCs w:val="1"/>
                <w:color w:val="auto"/>
              </w:rPr>
              <w:t>0.7</w:t>
            </w:r>
          </w:p>
        </w:tc>
        <w:tc>
          <w:tcPr>
            <w:tcW w:w="1220" w:type="dxa"/>
            <w:vAlign w:val="bottom"/>
          </w:tcPr>
          <w:p>
            <w:pPr>
              <w:jc w:val="right"/>
              <w:ind w:right="452"/>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32"/>
              <w:spacing w:after="0"/>
              <w:rPr>
                <w:sz w:val="20"/>
                <w:szCs w:val="20"/>
                <w:color w:val="auto"/>
              </w:rPr>
            </w:pPr>
            <w:r>
              <w:rPr>
                <w:rFonts w:ascii="Arial" w:cs="Arial" w:eastAsia="Arial" w:hAnsi="Arial"/>
                <w:sz w:val="18"/>
                <w:szCs w:val="18"/>
                <w:b w:val="1"/>
                <w:bCs w:val="1"/>
                <w:color w:val="auto"/>
              </w:rPr>
              <w:t>0.7</w:t>
            </w:r>
          </w:p>
        </w:tc>
        <w:tc>
          <w:tcPr>
            <w:tcW w:w="20" w:type="dxa"/>
            <w:vAlign w:val="bottom"/>
          </w:tcPr>
          <w:p>
            <w:pPr>
              <w:spacing w:after="0"/>
              <w:rPr>
                <w:sz w:val="24"/>
                <w:szCs w:val="24"/>
                <w:color w:val="auto"/>
              </w:rPr>
            </w:pPr>
          </w:p>
        </w:tc>
      </w:tr>
      <w:tr>
        <w:trPr>
          <w:trHeight w:val="134"/>
        </w:trPr>
        <w:tc>
          <w:tcPr>
            <w:tcW w:w="364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82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-2258695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-2258695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-2258695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-2258695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-2258695</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-2258695</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-2258695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-2258695</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-2258695</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-2258695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-2258695</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-2258695</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-2258695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-2258695</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-2258695</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Effective June 1, 2009, the Company modified the U.S. Pension Plan, such that no further benefits will accrue to employees under the plan. Accordingly, the Company recognized a curtailment loss of $0.5 associated with this action in fiscal 2009. This action was taken by the Company as a cost reduction measure. As the plan no longer has any active participants, the Company has determined that actuarial losses, previously recognized as a component of Other Comprehensive Income should now be amortized over the remaining expected lives of participants, rather than the remaining expected service period.</w:t>
      </w:r>
    </w:p>
    <w:p>
      <w:pPr>
        <w:spacing w:after="0" w:line="167"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Effective June 1, 2009, the Company modified the terms of the Post-Retirement Benefits, effectively excluding a large percentage of current employees from the plan. Under the plan amendments, only employees with 10 or more years of service to the Company and whose age plus service is at least 65 as of June 1, 2009 will be eligible to receive post-retirement benefits upon retirement. Accordingly, the Company recognized a $3.0 curtailment gain associated with this action in fiscal 2009, resulting from recognition of an unamortized prior service credit. This action was taken by the Company as a cost reduction measure.</w:t>
      </w:r>
    </w:p>
    <w:p>
      <w:pPr>
        <w:spacing w:after="0" w:line="16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Company’s funding practice with respect to the Pension Plans is to contribute on an annual basis at least the minimum amounts required by applicable laws. For the six months ended November 30, 2009, the Company contributed $6.5 to the U.S. Pension Plan, $0.3 to the UK Pension Plan and $0.6 to the Canadian Pension Plan. The Company expects, based on actuarial calculations, to contribute cash of approximately $13.6 in the aggregate to the U.S. Pension Plan, the UK Pension Plan and the Canadian Pension Plan for the fiscal year ending May 31, 2010.</w:t>
      </w:r>
    </w:p>
    <w:p>
      <w:pPr>
        <w:sectPr>
          <w:pgSz w:w="11900" w:h="16838" w:orient="portrait"/>
          <w:cols w:equalWidth="0" w:num="1">
            <w:col w:w="11460"/>
          </w:cols>
          <w:pgMar w:left="240" w:top="382" w:right="199" w:bottom="1440" w:gutter="0" w:footer="0" w:header="0"/>
        </w:sectPr>
      </w:pP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382" w:right="19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Payments</w:t>
      </w:r>
    </w:p>
    <w:p>
      <w:pPr>
        <w:spacing w:after="0" w:line="231"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The Company provides for equity-based incentives to be awarded to key employees and non-employee directors. These incentives are administered through various plans, and currently consist of stock options and restricted stock units. The Company also provides a management and an employee stock purchase plan. The following table summarizes compensation expense for share-based awards included in Selling, general and administrative expenses for the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20" w:type="dxa"/>
            <w:vAlign w:val="bottom"/>
          </w:tcPr>
          <w:p>
            <w:pPr>
              <w:spacing w:after="0"/>
              <w:rPr>
                <w:sz w:val="19"/>
                <w:szCs w:val="19"/>
                <w:color w:val="auto"/>
              </w:rPr>
            </w:pPr>
          </w:p>
        </w:tc>
        <w:tc>
          <w:tcPr>
            <w:tcW w:w="3060" w:type="dxa"/>
            <w:vAlign w:val="bottom"/>
            <w:gridSpan w:val="3"/>
          </w:tcPr>
          <w:p>
            <w:pPr>
              <w:jc w:val="right"/>
              <w:spacing w:after="0"/>
              <w:rPr>
                <w:sz w:val="20"/>
                <w:szCs w:val="20"/>
                <w:color w:val="auto"/>
              </w:rPr>
            </w:pPr>
            <w:r>
              <w:rPr>
                <w:rFonts w:ascii="Arial" w:cs="Arial" w:eastAsia="Arial" w:hAnsi="Arial"/>
                <w:sz w:val="18"/>
                <w:szCs w:val="18"/>
                <w:b w:val="1"/>
                <w:bCs w:val="1"/>
                <w:i w:val="1"/>
                <w:iCs w:val="1"/>
                <w:color w:val="auto"/>
                <w:w w:val="99"/>
              </w:rPr>
              <w:t>Three months ended November 30,</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20" w:type="dxa"/>
            <w:vAlign w:val="bottom"/>
            <w:gridSpan w:val="3"/>
          </w:tcPr>
          <w:p>
            <w:pPr>
              <w:jc w:val="right"/>
              <w:ind w:right="132"/>
              <w:spacing w:after="0"/>
              <w:rPr>
                <w:sz w:val="20"/>
                <w:szCs w:val="20"/>
                <w:color w:val="auto"/>
              </w:rPr>
            </w:pPr>
            <w:r>
              <w:rPr>
                <w:rFonts w:ascii="Arial" w:cs="Arial" w:eastAsia="Arial" w:hAnsi="Arial"/>
                <w:sz w:val="18"/>
                <w:szCs w:val="18"/>
                <w:b w:val="1"/>
                <w:bCs w:val="1"/>
                <w:i w:val="1"/>
                <w:iCs w:val="1"/>
                <w:color w:val="auto"/>
                <w:w w:val="85"/>
              </w:rPr>
              <w:t>Six months ended November 30,</w:t>
            </w:r>
          </w:p>
        </w:tc>
        <w:tc>
          <w:tcPr>
            <w:tcW w:w="20" w:type="dxa"/>
            <w:vAlign w:val="bottom"/>
          </w:tcPr>
          <w:p>
            <w:pPr>
              <w:spacing w:after="0"/>
              <w:rPr>
                <w:sz w:val="19"/>
                <w:szCs w:val="19"/>
                <w:color w:val="auto"/>
              </w:rPr>
            </w:pPr>
          </w:p>
        </w:tc>
      </w:tr>
      <w:tr>
        <w:trPr>
          <w:trHeight w:val="110"/>
        </w:trPr>
        <w:tc>
          <w:tcPr>
            <w:tcW w:w="50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0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2009</w:t>
            </w:r>
          </w:p>
        </w:tc>
        <w:tc>
          <w:tcPr>
            <w:tcW w:w="8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2008</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b w:val="1"/>
                <w:bCs w:val="1"/>
                <w:color w:val="auto"/>
              </w:rPr>
              <w:t>2009</w:t>
            </w:r>
          </w:p>
        </w:tc>
        <w:tc>
          <w:tcPr>
            <w:tcW w:w="920" w:type="dxa"/>
            <w:vAlign w:val="bottom"/>
          </w:tcPr>
          <w:p>
            <w:pPr>
              <w:spacing w:after="0"/>
              <w:rPr>
                <w:sz w:val="24"/>
                <w:szCs w:val="24"/>
                <w:color w:val="auto"/>
              </w:rPr>
            </w:pPr>
          </w:p>
        </w:tc>
        <w:tc>
          <w:tcPr>
            <w:tcW w:w="1000" w:type="dxa"/>
            <w:vAlign w:val="bottom"/>
          </w:tcPr>
          <w:p>
            <w:pPr>
              <w:jc w:val="right"/>
              <w:ind w:right="432"/>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4"/>
                <w:szCs w:val="24"/>
                <w:color w:val="auto"/>
              </w:rPr>
            </w:pPr>
          </w:p>
        </w:tc>
      </w:tr>
      <w:tr>
        <w:trPr>
          <w:trHeight w:val="110"/>
        </w:trPr>
        <w:tc>
          <w:tcPr>
            <w:tcW w:w="50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5020" w:type="dxa"/>
            <w:vAlign w:val="bottom"/>
          </w:tcPr>
          <w:p>
            <w:pPr>
              <w:spacing w:after="0"/>
              <w:rPr>
                <w:sz w:val="20"/>
                <w:szCs w:val="20"/>
                <w:color w:val="auto"/>
              </w:rPr>
            </w:pPr>
            <w:r>
              <w:rPr>
                <w:rFonts w:ascii="Arial" w:cs="Arial" w:eastAsia="Arial" w:hAnsi="Arial"/>
                <w:sz w:val="18"/>
                <w:szCs w:val="18"/>
                <w:color w:val="auto"/>
              </w:rPr>
              <w:t>Stock option expense</w:t>
            </w:r>
          </w:p>
        </w:tc>
        <w:tc>
          <w:tcPr>
            <w:tcW w:w="82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72"/>
              <w:spacing w:after="0"/>
              <w:rPr>
                <w:sz w:val="20"/>
                <w:szCs w:val="20"/>
                <w:color w:val="auto"/>
              </w:rPr>
            </w:pPr>
            <w:r>
              <w:rPr>
                <w:rFonts w:ascii="Arial" w:cs="Arial" w:eastAsia="Arial" w:hAnsi="Arial"/>
                <w:sz w:val="18"/>
                <w:szCs w:val="18"/>
                <w:color w:val="auto"/>
                <w:w w:val="79"/>
              </w:rPr>
              <w:t>2.1</w:t>
            </w:r>
          </w:p>
        </w:tc>
        <w:tc>
          <w:tcPr>
            <w:tcW w:w="13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72"/>
              <w:spacing w:after="0"/>
              <w:rPr>
                <w:sz w:val="20"/>
                <w:szCs w:val="20"/>
                <w:color w:val="auto"/>
              </w:rPr>
            </w:pPr>
            <w:r>
              <w:rPr>
                <w:rFonts w:ascii="Arial" w:cs="Arial" w:eastAsia="Arial" w:hAnsi="Arial"/>
                <w:sz w:val="18"/>
                <w:szCs w:val="18"/>
                <w:color w:val="auto"/>
                <w:w w:val="87"/>
              </w:rPr>
              <w:t>1.3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5.1</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4"/>
                <w:szCs w:val="24"/>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Restricted stock unit expense</w:t>
            </w:r>
          </w:p>
        </w:tc>
        <w:tc>
          <w:tcPr>
            <w:tcW w:w="820" w:type="dxa"/>
            <w:vAlign w:val="bottom"/>
          </w:tcPr>
          <w:p>
            <w:pPr>
              <w:spacing w:after="0"/>
              <w:rPr>
                <w:sz w:val="18"/>
                <w:szCs w:val="18"/>
                <w:color w:val="auto"/>
              </w:rPr>
            </w:pPr>
          </w:p>
        </w:tc>
        <w:tc>
          <w:tcPr>
            <w:tcW w:w="880" w:type="dxa"/>
            <w:vAlign w:val="bottom"/>
          </w:tcPr>
          <w:p>
            <w:pPr>
              <w:jc w:val="right"/>
              <w:ind w:right="572"/>
              <w:spacing w:after="0"/>
              <w:rPr>
                <w:sz w:val="20"/>
                <w:szCs w:val="20"/>
                <w:color w:val="auto"/>
              </w:rPr>
            </w:pPr>
            <w:r>
              <w:rPr>
                <w:rFonts w:ascii="Arial" w:cs="Arial" w:eastAsia="Arial" w:hAnsi="Arial"/>
                <w:sz w:val="18"/>
                <w:szCs w:val="18"/>
                <w:color w:val="auto"/>
                <w:w w:val="79"/>
              </w:rPr>
              <w:t>0.9</w:t>
            </w:r>
          </w:p>
        </w:tc>
        <w:tc>
          <w:tcPr>
            <w:tcW w:w="1360" w:type="dxa"/>
            <w:vAlign w:val="bottom"/>
          </w:tcPr>
          <w:p>
            <w:pPr>
              <w:spacing w:after="0"/>
              <w:rPr>
                <w:sz w:val="18"/>
                <w:szCs w:val="18"/>
                <w:color w:val="auto"/>
              </w:rPr>
            </w:pPr>
          </w:p>
        </w:tc>
        <w:tc>
          <w:tcPr>
            <w:tcW w:w="400" w:type="dxa"/>
            <w:vAlign w:val="bottom"/>
          </w:tcPr>
          <w:p>
            <w:pPr>
              <w:jc w:val="right"/>
              <w:ind w:right="72"/>
              <w:spacing w:after="0"/>
              <w:rPr>
                <w:sz w:val="20"/>
                <w:szCs w:val="20"/>
                <w:color w:val="auto"/>
              </w:rPr>
            </w:pPr>
            <w:r>
              <w:rPr>
                <w:rFonts w:ascii="Arial" w:cs="Arial" w:eastAsia="Arial" w:hAnsi="Arial"/>
                <w:sz w:val="18"/>
                <w:szCs w:val="18"/>
                <w:color w:val="auto"/>
                <w:w w:val="87"/>
              </w:rPr>
              <w:t>3.0</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c>
          <w:tcPr>
            <w:tcW w:w="92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Management stock purchase plan</w:t>
            </w:r>
          </w:p>
        </w:tc>
        <w:tc>
          <w:tcPr>
            <w:tcW w:w="820" w:type="dxa"/>
            <w:vAlign w:val="bottom"/>
          </w:tcPr>
          <w:p>
            <w:pPr>
              <w:spacing w:after="0"/>
              <w:rPr>
                <w:sz w:val="18"/>
                <w:szCs w:val="18"/>
                <w:color w:val="auto"/>
              </w:rPr>
            </w:pPr>
          </w:p>
        </w:tc>
        <w:tc>
          <w:tcPr>
            <w:tcW w:w="880" w:type="dxa"/>
            <w:vAlign w:val="bottom"/>
          </w:tcPr>
          <w:p>
            <w:pPr>
              <w:jc w:val="right"/>
              <w:ind w:right="572"/>
              <w:spacing w:after="0"/>
              <w:rPr>
                <w:sz w:val="20"/>
                <w:szCs w:val="20"/>
                <w:color w:val="auto"/>
              </w:rPr>
            </w:pPr>
            <w:r>
              <w:rPr>
                <w:rFonts w:ascii="Arial" w:cs="Arial" w:eastAsia="Arial" w:hAnsi="Arial"/>
                <w:sz w:val="18"/>
                <w:szCs w:val="18"/>
                <w:color w:val="auto"/>
                <w:w w:val="79"/>
              </w:rPr>
              <w:t>0.4</w:t>
            </w:r>
          </w:p>
        </w:tc>
        <w:tc>
          <w:tcPr>
            <w:tcW w:w="1360" w:type="dxa"/>
            <w:vAlign w:val="bottom"/>
          </w:tcPr>
          <w:p>
            <w:pPr>
              <w:spacing w:after="0"/>
              <w:rPr>
                <w:sz w:val="18"/>
                <w:szCs w:val="18"/>
                <w:color w:val="auto"/>
              </w:rPr>
            </w:pPr>
          </w:p>
        </w:tc>
        <w:tc>
          <w:tcPr>
            <w:tcW w:w="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0.4</w:t>
            </w:r>
          </w:p>
        </w:tc>
        <w:tc>
          <w:tcPr>
            <w:tcW w:w="92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502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820" w:type="dxa"/>
            <w:vAlign w:val="bottom"/>
          </w:tcPr>
          <w:p>
            <w:pPr>
              <w:spacing w:after="0"/>
              <w:rPr>
                <w:sz w:val="19"/>
                <w:szCs w:val="19"/>
                <w:color w:val="auto"/>
              </w:rPr>
            </w:pPr>
          </w:p>
        </w:tc>
        <w:tc>
          <w:tcPr>
            <w:tcW w:w="880" w:type="dxa"/>
            <w:vAlign w:val="bottom"/>
          </w:tcPr>
          <w:p>
            <w:pPr>
              <w:jc w:val="right"/>
              <w:ind w:right="572"/>
              <w:spacing w:after="0"/>
              <w:rPr>
                <w:sz w:val="20"/>
                <w:szCs w:val="20"/>
                <w:color w:val="auto"/>
              </w:rPr>
            </w:pPr>
            <w:r>
              <w:rPr>
                <w:rFonts w:ascii="Arial" w:cs="Arial" w:eastAsia="Arial" w:hAnsi="Arial"/>
                <w:sz w:val="18"/>
                <w:szCs w:val="18"/>
                <w:color w:val="auto"/>
                <w:w w:val="79"/>
              </w:rPr>
              <w:t>0.1</w:t>
            </w:r>
          </w:p>
        </w:tc>
        <w:tc>
          <w:tcPr>
            <w:tcW w:w="1360" w:type="dxa"/>
            <w:vAlign w:val="bottom"/>
          </w:tcPr>
          <w:p>
            <w:pPr>
              <w:spacing w:after="0"/>
              <w:rPr>
                <w:sz w:val="19"/>
                <w:szCs w:val="19"/>
                <w:color w:val="auto"/>
              </w:rPr>
            </w:pPr>
          </w:p>
        </w:tc>
        <w:tc>
          <w:tcPr>
            <w:tcW w:w="400" w:type="dxa"/>
            <w:vAlign w:val="bottom"/>
          </w:tcPr>
          <w:p>
            <w:pPr>
              <w:jc w:val="right"/>
              <w:ind w:right="72"/>
              <w:spacing w:after="0"/>
              <w:rPr>
                <w:sz w:val="20"/>
                <w:szCs w:val="20"/>
                <w:color w:val="auto"/>
              </w:rPr>
            </w:pPr>
            <w:r>
              <w:rPr>
                <w:rFonts w:ascii="Arial" w:cs="Arial" w:eastAsia="Arial" w:hAnsi="Arial"/>
                <w:sz w:val="18"/>
                <w:szCs w:val="18"/>
                <w:color w:val="auto"/>
                <w:w w:val="87"/>
              </w:rPr>
              <w:t>0.3</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92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r>
      <w:tr>
        <w:trPr>
          <w:trHeight w:val="110"/>
        </w:trPr>
        <w:tc>
          <w:tcPr>
            <w:tcW w:w="50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020" w:type="dxa"/>
            <w:vAlign w:val="bottom"/>
          </w:tcPr>
          <w:p>
            <w:pPr>
              <w:spacing w:after="0"/>
              <w:rPr>
                <w:sz w:val="20"/>
                <w:szCs w:val="20"/>
                <w:color w:val="auto"/>
              </w:rPr>
            </w:pPr>
            <w:r>
              <w:rPr>
                <w:rFonts w:ascii="Arial" w:cs="Arial" w:eastAsia="Arial" w:hAnsi="Arial"/>
                <w:sz w:val="18"/>
                <w:szCs w:val="18"/>
                <w:b w:val="1"/>
                <w:bCs w:val="1"/>
                <w:color w:val="auto"/>
              </w:rPr>
              <w:t>Total stock-based compensation</w:t>
            </w:r>
          </w:p>
        </w:tc>
        <w:tc>
          <w:tcPr>
            <w:tcW w:w="820" w:type="dxa"/>
            <w:vAlign w:val="bottom"/>
          </w:tcPr>
          <w:p>
            <w:pPr>
              <w:jc w:val="right"/>
              <w:ind w:right="412"/>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572"/>
              <w:spacing w:after="0"/>
              <w:rPr>
                <w:sz w:val="20"/>
                <w:szCs w:val="20"/>
                <w:color w:val="auto"/>
              </w:rPr>
            </w:pPr>
            <w:r>
              <w:rPr>
                <w:rFonts w:ascii="Arial" w:cs="Arial" w:eastAsia="Arial" w:hAnsi="Arial"/>
                <w:sz w:val="18"/>
                <w:szCs w:val="18"/>
                <w:b w:val="1"/>
                <w:bCs w:val="1"/>
                <w:color w:val="auto"/>
                <w:w w:val="79"/>
              </w:rPr>
              <w:t>3.5</w:t>
            </w:r>
          </w:p>
        </w:tc>
        <w:tc>
          <w:tcPr>
            <w:tcW w:w="1360" w:type="dxa"/>
            <w:vAlign w:val="bottom"/>
          </w:tcPr>
          <w:p>
            <w:pPr>
              <w:jc w:val="right"/>
              <w:ind w:right="532"/>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72"/>
              <w:spacing w:after="0"/>
              <w:rPr>
                <w:sz w:val="20"/>
                <w:szCs w:val="20"/>
                <w:color w:val="auto"/>
              </w:rPr>
            </w:pPr>
            <w:r>
              <w:rPr>
                <w:rFonts w:ascii="Arial" w:cs="Arial" w:eastAsia="Arial" w:hAnsi="Arial"/>
                <w:sz w:val="18"/>
                <w:szCs w:val="18"/>
                <w:b w:val="1"/>
                <w:bCs w:val="1"/>
                <w:color w:val="auto"/>
                <w:w w:val="87"/>
              </w:rPr>
              <w:t>4.6</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92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6.8</w:t>
            </w:r>
          </w:p>
        </w:tc>
        <w:tc>
          <w:tcPr>
            <w:tcW w:w="20" w:type="dxa"/>
            <w:vAlign w:val="bottom"/>
          </w:tcPr>
          <w:p>
            <w:pPr>
              <w:spacing w:after="0"/>
              <w:rPr>
                <w:sz w:val="24"/>
                <w:szCs w:val="24"/>
                <w:color w:val="auto"/>
              </w:rPr>
            </w:pPr>
          </w:p>
        </w:tc>
      </w:tr>
      <w:tr>
        <w:trPr>
          <w:trHeight w:val="134"/>
        </w:trPr>
        <w:tc>
          <w:tcPr>
            <w:tcW w:w="5020" w:type="dxa"/>
            <w:vAlign w:val="bottom"/>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During each of the six months ended November 30, 2009 and 2008, shares of Common Stock issued by the Corporation pursuant to its stock-based compensation plans were not material.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Accrued Severance and Other Restructuring Costs</w:t>
      </w:r>
    </w:p>
    <w:p>
      <w:pPr>
        <w:spacing w:after="0" w:line="231" w:lineRule="exact"/>
        <w:rPr>
          <w:sz w:val="20"/>
          <w:szCs w:val="20"/>
          <w:color w:val="auto"/>
        </w:rPr>
      </w:pPr>
    </w:p>
    <w:p>
      <w:pPr>
        <w:ind w:right="480"/>
        <w:spacing w:after="0" w:line="298" w:lineRule="auto"/>
        <w:rPr>
          <w:sz w:val="20"/>
          <w:szCs w:val="20"/>
          <w:color w:val="auto"/>
        </w:rPr>
      </w:pPr>
      <w:r>
        <w:rPr>
          <w:rFonts w:ascii="Arial" w:cs="Arial" w:eastAsia="Arial" w:hAnsi="Arial"/>
          <w:sz w:val="16"/>
          <w:szCs w:val="16"/>
          <w:color w:val="auto"/>
        </w:rPr>
        <w:t xml:space="preserve">In the second quarter of fiscal 2010, the Company initiated restructuring activities in the United Kingdom operations within the Company’s </w:t>
      </w:r>
      <w:r>
        <w:rPr>
          <w:rFonts w:ascii="Arial" w:cs="Arial" w:eastAsia="Arial" w:hAnsi="Arial"/>
          <w:sz w:val="16"/>
          <w:szCs w:val="16"/>
          <w:i w:val="1"/>
          <w:iCs w:val="1"/>
          <w:color w:val="auto"/>
        </w:rPr>
        <w:t>International</w:t>
      </w:r>
      <w:r>
        <w:rPr>
          <w:rFonts w:ascii="Arial" w:cs="Arial" w:eastAsia="Arial" w:hAnsi="Arial"/>
          <w:sz w:val="16"/>
          <w:szCs w:val="16"/>
          <w:color w:val="auto"/>
        </w:rPr>
        <w:t xml:space="preserve"> segment, which resulted in severance expense of $0.8 and general and administrative expenses of $1.1. Future costs associated with this restructuring are anticipated to result in additional expense of approximately $4.0. The prior year period includes amounts associated with cost reduction measures, including employee headcount reductions associated with a voluntary retirement program and other actions totaling $14.4.</w:t>
      </w:r>
    </w:p>
    <w:p>
      <w:pPr>
        <w:spacing w:after="0" w:line="16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table below provides information regarding severance costs appearing on the Company’s Condensed Consolidated Statements of Operations associated with these cost reduction measures. Accrued severance of $1.5 as of November 30, 2009 is included in Other accrued expenses on the Company’s Condensed Consolidated Balance Sheets.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670" w:type="dxa"/>
            <w:vAlign w:val="bottom"/>
          </w:tcPr>
          <w:p>
            <w:pPr>
              <w:spacing w:after="0"/>
              <w:rPr>
                <w:sz w:val="18"/>
                <w:szCs w:val="18"/>
                <w:color w:val="auto"/>
              </w:rPr>
            </w:pPr>
          </w:p>
        </w:tc>
        <w:tc>
          <w:tcPr>
            <w:tcW w:w="1350" w:type="dxa"/>
            <w:vAlign w:val="bottom"/>
          </w:tcPr>
          <w:p>
            <w:pPr>
              <w:spacing w:after="0"/>
              <w:rPr>
                <w:sz w:val="18"/>
                <w:szCs w:val="18"/>
                <w:color w:val="auto"/>
              </w:rPr>
            </w:pPr>
          </w:p>
        </w:tc>
        <w:tc>
          <w:tcPr>
            <w:tcW w:w="196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auto"/>
                <w:w w:val="83"/>
              </w:rPr>
              <w:t>Twelve months</w:t>
            </w: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2020" w:type="dxa"/>
            <w:vAlign w:val="bottom"/>
            <w:gridSpan w:val="2"/>
          </w:tcPr>
          <w:p>
            <w:pPr>
              <w:jc w:val="right"/>
              <w:ind w:right="452"/>
              <w:spacing w:after="0"/>
              <w:rPr>
                <w:sz w:val="20"/>
                <w:szCs w:val="20"/>
                <w:color w:val="auto"/>
              </w:rPr>
            </w:pPr>
            <w:r>
              <w:rPr>
                <w:rFonts w:ascii="Arial" w:cs="Arial" w:eastAsia="Arial" w:hAnsi="Arial"/>
                <w:sz w:val="18"/>
                <w:szCs w:val="18"/>
                <w:b w:val="1"/>
                <w:bCs w:val="1"/>
                <w:i w:val="1"/>
                <w:iCs w:val="1"/>
                <w:color w:val="auto"/>
                <w:w w:val="94"/>
              </w:rPr>
              <w:t>Six months ended</w:t>
            </w:r>
          </w:p>
        </w:tc>
        <w:tc>
          <w:tcPr>
            <w:tcW w:w="660" w:type="dxa"/>
            <w:vAlign w:val="bottom"/>
          </w:tcPr>
          <w:p>
            <w:pPr>
              <w:spacing w:after="0"/>
              <w:rPr>
                <w:sz w:val="18"/>
                <w:szCs w:val="18"/>
                <w:color w:val="auto"/>
              </w:rPr>
            </w:pPr>
          </w:p>
        </w:tc>
        <w:tc>
          <w:tcPr>
            <w:tcW w:w="1300" w:type="dxa"/>
            <w:vAlign w:val="bottom"/>
          </w:tcPr>
          <w:p>
            <w:pPr>
              <w:jc w:val="center"/>
              <w:ind w:right="652"/>
              <w:spacing w:after="0"/>
              <w:rPr>
                <w:sz w:val="20"/>
                <w:szCs w:val="20"/>
                <w:color w:val="auto"/>
              </w:rPr>
            </w:pPr>
            <w:r>
              <w:rPr>
                <w:rFonts w:ascii="Arial" w:cs="Arial" w:eastAsia="Arial" w:hAnsi="Arial"/>
                <w:sz w:val="18"/>
                <w:szCs w:val="18"/>
                <w:b w:val="1"/>
                <w:bCs w:val="1"/>
                <w:i w:val="1"/>
                <w:iCs w:val="1"/>
                <w:color w:val="auto"/>
                <w:w w:val="82"/>
              </w:rPr>
              <w:t>ended</w:t>
            </w:r>
          </w:p>
        </w:tc>
        <w:tc>
          <w:tcPr>
            <w:tcW w:w="2220" w:type="dxa"/>
            <w:vAlign w:val="bottom"/>
            <w:gridSpan w:val="2"/>
          </w:tcPr>
          <w:p>
            <w:pPr>
              <w:jc w:val="right"/>
              <w:ind w:right="332"/>
              <w:spacing w:after="0"/>
              <w:rPr>
                <w:sz w:val="20"/>
                <w:szCs w:val="20"/>
                <w:color w:val="auto"/>
              </w:rPr>
            </w:pPr>
            <w:r>
              <w:rPr>
                <w:rFonts w:ascii="Arial" w:cs="Arial" w:eastAsia="Arial" w:hAnsi="Arial"/>
                <w:sz w:val="18"/>
                <w:szCs w:val="18"/>
                <w:b w:val="1"/>
                <w:bCs w:val="1"/>
                <w:i w:val="1"/>
                <w:iCs w:val="1"/>
                <w:color w:val="auto"/>
              </w:rPr>
              <w:t>Six months ended</w:t>
            </w:r>
          </w:p>
        </w:tc>
      </w:tr>
      <w:tr>
        <w:trPr>
          <w:trHeight w:val="222"/>
        </w:trPr>
        <w:tc>
          <w:tcPr>
            <w:tcW w:w="2620" w:type="dxa"/>
            <w:vAlign w:val="bottom"/>
          </w:tcPr>
          <w:p>
            <w:pPr>
              <w:spacing w:after="0"/>
              <w:rPr>
                <w:sz w:val="19"/>
                <w:szCs w:val="19"/>
                <w:color w:val="auto"/>
              </w:rPr>
            </w:pPr>
          </w:p>
        </w:tc>
        <w:tc>
          <w:tcPr>
            <w:tcW w:w="2020" w:type="dxa"/>
            <w:vAlign w:val="bottom"/>
            <w:gridSpan w:val="2"/>
          </w:tcPr>
          <w:p>
            <w:pPr>
              <w:jc w:val="right"/>
              <w:ind w:right="392"/>
              <w:spacing w:after="0"/>
              <w:rPr>
                <w:sz w:val="20"/>
                <w:szCs w:val="20"/>
                <w:color w:val="auto"/>
              </w:rPr>
            </w:pPr>
            <w:r>
              <w:rPr>
                <w:rFonts w:ascii="Arial" w:cs="Arial" w:eastAsia="Arial" w:hAnsi="Arial"/>
                <w:sz w:val="18"/>
                <w:szCs w:val="18"/>
                <w:b w:val="1"/>
                <w:bCs w:val="1"/>
                <w:i w:val="1"/>
                <w:iCs w:val="1"/>
                <w:color w:val="auto"/>
                <w:w w:val="93"/>
              </w:rPr>
              <w:t>November 30, 2009</w:t>
            </w:r>
          </w:p>
        </w:tc>
        <w:tc>
          <w:tcPr>
            <w:tcW w:w="1960" w:type="dxa"/>
            <w:vAlign w:val="bottom"/>
            <w:gridSpan w:val="2"/>
          </w:tcPr>
          <w:p>
            <w:pPr>
              <w:jc w:val="center"/>
              <w:ind w:right="12"/>
              <w:spacing w:after="0"/>
              <w:rPr>
                <w:sz w:val="20"/>
                <w:szCs w:val="20"/>
                <w:color w:val="auto"/>
              </w:rPr>
            </w:pPr>
            <w:r>
              <w:rPr>
                <w:rFonts w:ascii="Arial" w:cs="Arial" w:eastAsia="Arial" w:hAnsi="Arial"/>
                <w:sz w:val="18"/>
                <w:szCs w:val="18"/>
                <w:b w:val="1"/>
                <w:bCs w:val="1"/>
                <w:i w:val="1"/>
                <w:iCs w:val="1"/>
                <w:color w:val="auto"/>
                <w:w w:val="88"/>
              </w:rPr>
              <w:t>May 31, 2009</w:t>
            </w:r>
          </w:p>
        </w:tc>
        <w:tc>
          <w:tcPr>
            <w:tcW w:w="2220" w:type="dxa"/>
            <w:vAlign w:val="bottom"/>
            <w:gridSpan w:val="2"/>
          </w:tcPr>
          <w:p>
            <w:pPr>
              <w:jc w:val="right"/>
              <w:ind w:right="272"/>
              <w:spacing w:after="0"/>
              <w:rPr>
                <w:sz w:val="20"/>
                <w:szCs w:val="20"/>
                <w:color w:val="auto"/>
              </w:rPr>
            </w:pPr>
            <w:r>
              <w:rPr>
                <w:rFonts w:ascii="Arial" w:cs="Arial" w:eastAsia="Arial" w:hAnsi="Arial"/>
                <w:sz w:val="18"/>
                <w:szCs w:val="18"/>
                <w:b w:val="1"/>
                <w:bCs w:val="1"/>
                <w:i w:val="1"/>
                <w:iCs w:val="1"/>
                <w:color w:val="auto"/>
              </w:rPr>
              <w:t>November 30, 2008</w:t>
            </w:r>
          </w:p>
        </w:tc>
      </w:tr>
      <w:tr>
        <w:trPr>
          <w:trHeight w:val="110"/>
        </w:trPr>
        <w:tc>
          <w:tcPr>
            <w:tcW w:w="2620" w:type="dxa"/>
            <w:vAlign w:val="bottom"/>
            <w:tcBorders>
              <w:bottom w:val="single" w:sz="8" w:color="808080"/>
            </w:tcBorders>
          </w:tcPr>
          <w:p>
            <w:pPr>
              <w:spacing w:after="0"/>
              <w:rPr>
                <w:sz w:val="9"/>
                <w:szCs w:val="9"/>
                <w:color w:val="auto"/>
              </w:rPr>
            </w:pPr>
          </w:p>
        </w:tc>
        <w:tc>
          <w:tcPr>
            <w:tcW w:w="670" w:type="dxa"/>
            <w:vAlign w:val="bottom"/>
            <w:tcBorders>
              <w:bottom w:val="single" w:sz="8" w:color="808080"/>
            </w:tcBorders>
          </w:tcPr>
          <w:p>
            <w:pPr>
              <w:spacing w:after="0"/>
              <w:rPr>
                <w:sz w:val="9"/>
                <w:szCs w:val="9"/>
                <w:color w:val="auto"/>
              </w:rPr>
            </w:pPr>
          </w:p>
        </w:tc>
        <w:tc>
          <w:tcPr>
            <w:tcW w:w="135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r>
      <w:tr>
        <w:trPr>
          <w:trHeight w:val="309"/>
        </w:trPr>
        <w:tc>
          <w:tcPr>
            <w:tcW w:w="2620" w:type="dxa"/>
            <w:vAlign w:val="bottom"/>
          </w:tcPr>
          <w:p>
            <w:pPr>
              <w:spacing w:after="0"/>
              <w:rPr>
                <w:sz w:val="20"/>
                <w:szCs w:val="20"/>
                <w:color w:val="auto"/>
              </w:rPr>
            </w:pPr>
            <w:r>
              <w:rPr>
                <w:rFonts w:ascii="Arial" w:cs="Arial" w:eastAsia="Arial" w:hAnsi="Arial"/>
                <w:sz w:val="18"/>
                <w:szCs w:val="18"/>
                <w:color w:val="auto"/>
              </w:rPr>
              <w:t>Beginning balance</w:t>
            </w:r>
          </w:p>
        </w:tc>
        <w:tc>
          <w:tcPr>
            <w:tcW w:w="670" w:type="dxa"/>
            <w:vAlign w:val="bottom"/>
          </w:tcPr>
          <w:p>
            <w:pPr>
              <w:jc w:val="right"/>
              <w:spacing w:after="0"/>
              <w:rPr>
                <w:sz w:val="20"/>
                <w:szCs w:val="20"/>
                <w:color w:val="auto"/>
              </w:rPr>
            </w:pPr>
            <w:r>
              <w:rPr>
                <w:rFonts w:ascii="Arial" w:cs="Arial" w:eastAsia="Arial" w:hAnsi="Arial"/>
                <w:sz w:val="18"/>
                <w:szCs w:val="18"/>
                <w:color w:val="auto"/>
              </w:rPr>
              <w:t>$</w:t>
            </w:r>
          </w:p>
        </w:tc>
        <w:tc>
          <w:tcPr>
            <w:tcW w:w="1350" w:type="dxa"/>
            <w:vAlign w:val="bottom"/>
          </w:tcPr>
          <w:p>
            <w:pPr>
              <w:jc w:val="right"/>
              <w:ind w:right="812"/>
              <w:spacing w:after="0"/>
              <w:rPr>
                <w:sz w:val="20"/>
                <w:szCs w:val="20"/>
                <w:color w:val="auto"/>
              </w:rPr>
            </w:pPr>
            <w:r>
              <w:rPr>
                <w:rFonts w:ascii="Arial" w:cs="Arial" w:eastAsia="Arial" w:hAnsi="Arial"/>
                <w:sz w:val="18"/>
                <w:szCs w:val="18"/>
                <w:color w:val="auto"/>
              </w:rPr>
              <w:t>3.4</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652"/>
              <w:spacing w:after="0"/>
              <w:rPr>
                <w:sz w:val="20"/>
                <w:szCs w:val="20"/>
                <w:color w:val="auto"/>
              </w:rPr>
            </w:pPr>
            <w:r>
              <w:rPr>
                <w:rFonts w:ascii="Arial" w:cs="Arial" w:eastAsia="Arial" w:hAnsi="Arial"/>
                <w:sz w:val="18"/>
                <w:szCs w:val="18"/>
                <w:color w:val="auto"/>
              </w:rPr>
              <w:t>0.4</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632"/>
              <w:spacing w:after="0"/>
              <w:rPr>
                <w:sz w:val="20"/>
                <w:szCs w:val="20"/>
                <w:color w:val="auto"/>
              </w:rPr>
            </w:pPr>
            <w:r>
              <w:rPr>
                <w:rFonts w:ascii="Arial" w:cs="Arial" w:eastAsia="Arial" w:hAnsi="Arial"/>
                <w:sz w:val="18"/>
                <w:szCs w:val="18"/>
                <w:color w:val="auto"/>
              </w:rPr>
              <w:t>0.4</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Accruals</w:t>
            </w:r>
          </w:p>
        </w:tc>
        <w:tc>
          <w:tcPr>
            <w:tcW w:w="670" w:type="dxa"/>
            <w:vAlign w:val="bottom"/>
          </w:tcPr>
          <w:p>
            <w:pPr>
              <w:spacing w:after="0"/>
              <w:rPr>
                <w:sz w:val="18"/>
                <w:szCs w:val="18"/>
                <w:color w:val="auto"/>
              </w:rPr>
            </w:pPr>
          </w:p>
        </w:tc>
        <w:tc>
          <w:tcPr>
            <w:tcW w:w="1350" w:type="dxa"/>
            <w:vAlign w:val="bottom"/>
          </w:tcPr>
          <w:p>
            <w:pPr>
              <w:jc w:val="right"/>
              <w:ind w:right="812"/>
              <w:spacing w:after="0"/>
              <w:rPr>
                <w:sz w:val="20"/>
                <w:szCs w:val="20"/>
                <w:color w:val="auto"/>
              </w:rPr>
            </w:pPr>
            <w:r>
              <w:rPr>
                <w:rFonts w:ascii="Arial" w:cs="Arial" w:eastAsia="Arial" w:hAnsi="Arial"/>
                <w:sz w:val="18"/>
                <w:szCs w:val="18"/>
                <w:color w:val="auto"/>
              </w:rPr>
              <w:t>5.4</w:t>
            </w:r>
          </w:p>
        </w:tc>
        <w:tc>
          <w:tcPr>
            <w:tcW w:w="660" w:type="dxa"/>
            <w:vAlign w:val="bottom"/>
          </w:tcPr>
          <w:p>
            <w:pPr>
              <w:spacing w:after="0"/>
              <w:rPr>
                <w:sz w:val="18"/>
                <w:szCs w:val="18"/>
                <w:color w:val="auto"/>
              </w:rPr>
            </w:pPr>
          </w:p>
        </w:tc>
        <w:tc>
          <w:tcPr>
            <w:tcW w:w="1300" w:type="dxa"/>
            <w:vAlign w:val="bottom"/>
          </w:tcPr>
          <w:p>
            <w:pPr>
              <w:jc w:val="right"/>
              <w:ind w:right="652"/>
              <w:spacing w:after="0"/>
              <w:rPr>
                <w:sz w:val="20"/>
                <w:szCs w:val="20"/>
                <w:color w:val="auto"/>
              </w:rPr>
            </w:pPr>
            <w:r>
              <w:rPr>
                <w:rFonts w:ascii="Arial" w:cs="Arial" w:eastAsia="Arial" w:hAnsi="Arial"/>
                <w:sz w:val="18"/>
                <w:szCs w:val="18"/>
                <w:color w:val="auto"/>
              </w:rPr>
              <w:t>23.9</w:t>
            </w:r>
          </w:p>
        </w:tc>
        <w:tc>
          <w:tcPr>
            <w:tcW w:w="1040" w:type="dxa"/>
            <w:vAlign w:val="bottom"/>
          </w:tcPr>
          <w:p>
            <w:pPr>
              <w:spacing w:after="0"/>
              <w:rPr>
                <w:sz w:val="18"/>
                <w:szCs w:val="18"/>
                <w:color w:val="auto"/>
              </w:rPr>
            </w:pPr>
          </w:p>
        </w:tc>
        <w:tc>
          <w:tcPr>
            <w:tcW w:w="1180" w:type="dxa"/>
            <w:vAlign w:val="bottom"/>
          </w:tcPr>
          <w:p>
            <w:pPr>
              <w:jc w:val="right"/>
              <w:ind w:right="632"/>
              <w:spacing w:after="0"/>
              <w:rPr>
                <w:sz w:val="20"/>
                <w:szCs w:val="20"/>
                <w:color w:val="auto"/>
              </w:rPr>
            </w:pPr>
            <w:r>
              <w:rPr>
                <w:rFonts w:ascii="Arial" w:cs="Arial" w:eastAsia="Arial" w:hAnsi="Arial"/>
                <w:sz w:val="18"/>
                <w:szCs w:val="18"/>
                <w:color w:val="auto"/>
              </w:rPr>
              <w:t>14.4</w:t>
            </w:r>
          </w:p>
        </w:tc>
      </w:tr>
      <w:tr>
        <w:trPr>
          <w:trHeight w:val="222"/>
        </w:trPr>
        <w:tc>
          <w:tcPr>
            <w:tcW w:w="2620" w:type="dxa"/>
            <w:vAlign w:val="bottom"/>
          </w:tcPr>
          <w:p>
            <w:pPr>
              <w:spacing w:after="0"/>
              <w:rPr>
                <w:sz w:val="20"/>
                <w:szCs w:val="20"/>
                <w:color w:val="auto"/>
              </w:rPr>
            </w:pPr>
            <w:r>
              <w:rPr>
                <w:rFonts w:ascii="Arial" w:cs="Arial" w:eastAsia="Arial" w:hAnsi="Arial"/>
                <w:sz w:val="18"/>
                <w:szCs w:val="18"/>
                <w:color w:val="auto"/>
              </w:rPr>
              <w:t>Payments</w:t>
            </w:r>
          </w:p>
        </w:tc>
        <w:tc>
          <w:tcPr>
            <w:tcW w:w="670" w:type="dxa"/>
            <w:vAlign w:val="bottom"/>
          </w:tcPr>
          <w:p>
            <w:pPr>
              <w:spacing w:after="0"/>
              <w:rPr>
                <w:sz w:val="19"/>
                <w:szCs w:val="19"/>
                <w:color w:val="auto"/>
              </w:rPr>
            </w:pPr>
          </w:p>
        </w:tc>
        <w:tc>
          <w:tcPr>
            <w:tcW w:w="1350" w:type="dxa"/>
            <w:vAlign w:val="bottom"/>
          </w:tcPr>
          <w:p>
            <w:pPr>
              <w:jc w:val="right"/>
              <w:ind w:right="752"/>
              <w:spacing w:after="0"/>
              <w:rPr>
                <w:sz w:val="20"/>
                <w:szCs w:val="20"/>
                <w:color w:val="auto"/>
              </w:rPr>
            </w:pPr>
            <w:r>
              <w:rPr>
                <w:rFonts w:ascii="Arial" w:cs="Arial" w:eastAsia="Arial" w:hAnsi="Arial"/>
                <w:sz w:val="18"/>
                <w:szCs w:val="18"/>
                <w:color w:val="auto"/>
              </w:rPr>
              <w:t>(7.3)</w:t>
            </w:r>
          </w:p>
        </w:tc>
        <w:tc>
          <w:tcPr>
            <w:tcW w:w="660" w:type="dxa"/>
            <w:vAlign w:val="bottom"/>
          </w:tcPr>
          <w:p>
            <w:pPr>
              <w:spacing w:after="0"/>
              <w:rPr>
                <w:sz w:val="19"/>
                <w:szCs w:val="19"/>
                <w:color w:val="auto"/>
              </w:rPr>
            </w:pPr>
          </w:p>
        </w:tc>
        <w:tc>
          <w:tcPr>
            <w:tcW w:w="1300" w:type="dxa"/>
            <w:vAlign w:val="bottom"/>
          </w:tcPr>
          <w:p>
            <w:pPr>
              <w:jc w:val="right"/>
              <w:ind w:right="592"/>
              <w:spacing w:after="0"/>
              <w:rPr>
                <w:sz w:val="20"/>
                <w:szCs w:val="20"/>
                <w:color w:val="auto"/>
              </w:rPr>
            </w:pPr>
            <w:r>
              <w:rPr>
                <w:rFonts w:ascii="Arial" w:cs="Arial" w:eastAsia="Arial" w:hAnsi="Arial"/>
                <w:sz w:val="18"/>
                <w:szCs w:val="18"/>
                <w:color w:val="auto"/>
              </w:rPr>
              <w:t>(20.9)</w:t>
            </w:r>
          </w:p>
        </w:tc>
        <w:tc>
          <w:tcPr>
            <w:tcW w:w="1040" w:type="dxa"/>
            <w:vAlign w:val="bottom"/>
          </w:tcPr>
          <w:p>
            <w:pPr>
              <w:spacing w:after="0"/>
              <w:rPr>
                <w:sz w:val="19"/>
                <w:szCs w:val="19"/>
                <w:color w:val="auto"/>
              </w:rPr>
            </w:pPr>
          </w:p>
        </w:tc>
        <w:tc>
          <w:tcPr>
            <w:tcW w:w="1180" w:type="dxa"/>
            <w:vAlign w:val="bottom"/>
          </w:tcPr>
          <w:p>
            <w:pPr>
              <w:jc w:val="right"/>
              <w:ind w:right="572"/>
              <w:spacing w:after="0"/>
              <w:rPr>
                <w:sz w:val="20"/>
                <w:szCs w:val="20"/>
                <w:color w:val="auto"/>
              </w:rPr>
            </w:pPr>
            <w:r>
              <w:rPr>
                <w:rFonts w:ascii="Arial" w:cs="Arial" w:eastAsia="Arial" w:hAnsi="Arial"/>
                <w:sz w:val="18"/>
                <w:szCs w:val="18"/>
                <w:color w:val="auto"/>
              </w:rPr>
              <w:t>(9.1)</w:t>
            </w:r>
          </w:p>
        </w:tc>
      </w:tr>
      <w:tr>
        <w:trPr>
          <w:trHeight w:val="110"/>
        </w:trPr>
        <w:tc>
          <w:tcPr>
            <w:tcW w:w="2620" w:type="dxa"/>
            <w:vAlign w:val="bottom"/>
            <w:tcBorders>
              <w:bottom w:val="single" w:sz="8" w:color="808080"/>
            </w:tcBorders>
          </w:tcPr>
          <w:p>
            <w:pPr>
              <w:spacing w:after="0"/>
              <w:rPr>
                <w:sz w:val="9"/>
                <w:szCs w:val="9"/>
                <w:color w:val="auto"/>
              </w:rPr>
            </w:pPr>
          </w:p>
        </w:tc>
        <w:tc>
          <w:tcPr>
            <w:tcW w:w="670" w:type="dxa"/>
            <w:vAlign w:val="bottom"/>
            <w:tcBorders>
              <w:bottom w:val="single" w:sz="8" w:color="808080"/>
            </w:tcBorders>
          </w:tcPr>
          <w:p>
            <w:pPr>
              <w:spacing w:after="0"/>
              <w:rPr>
                <w:sz w:val="9"/>
                <w:szCs w:val="9"/>
                <w:color w:val="auto"/>
              </w:rPr>
            </w:pPr>
          </w:p>
        </w:tc>
        <w:tc>
          <w:tcPr>
            <w:tcW w:w="135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r>
      <w:tr>
        <w:trPr>
          <w:trHeight w:val="316"/>
        </w:trPr>
        <w:tc>
          <w:tcPr>
            <w:tcW w:w="2620" w:type="dxa"/>
            <w:vAlign w:val="bottom"/>
          </w:tcPr>
          <w:p>
            <w:pPr>
              <w:ind w:left="160"/>
              <w:spacing w:after="0"/>
              <w:rPr>
                <w:sz w:val="20"/>
                <w:szCs w:val="20"/>
                <w:color w:val="auto"/>
              </w:rPr>
            </w:pPr>
            <w:r>
              <w:rPr>
                <w:rFonts w:ascii="Arial" w:cs="Arial" w:eastAsia="Arial" w:hAnsi="Arial"/>
                <w:sz w:val="18"/>
                <w:szCs w:val="18"/>
                <w:b w:val="1"/>
                <w:bCs w:val="1"/>
                <w:color w:val="auto"/>
              </w:rPr>
              <w:t>Ending balance</w:t>
            </w:r>
          </w:p>
        </w:tc>
        <w:tc>
          <w:tcPr>
            <w:tcW w:w="67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50" w:type="dxa"/>
            <w:vAlign w:val="bottom"/>
          </w:tcPr>
          <w:p>
            <w:pPr>
              <w:jc w:val="right"/>
              <w:ind w:right="812"/>
              <w:spacing w:after="0"/>
              <w:rPr>
                <w:sz w:val="20"/>
                <w:szCs w:val="20"/>
                <w:color w:val="auto"/>
              </w:rPr>
            </w:pPr>
            <w:r>
              <w:rPr>
                <w:rFonts w:ascii="Arial" w:cs="Arial" w:eastAsia="Arial" w:hAnsi="Arial"/>
                <w:sz w:val="18"/>
                <w:szCs w:val="18"/>
                <w:b w:val="1"/>
                <w:bCs w:val="1"/>
                <w:color w:val="auto"/>
              </w:rPr>
              <w:t>1.5</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652"/>
              <w:spacing w:after="0"/>
              <w:rPr>
                <w:sz w:val="20"/>
                <w:szCs w:val="20"/>
                <w:color w:val="auto"/>
              </w:rPr>
            </w:pPr>
            <w:r>
              <w:rPr>
                <w:rFonts w:ascii="Arial" w:cs="Arial" w:eastAsia="Arial" w:hAnsi="Arial"/>
                <w:sz w:val="18"/>
                <w:szCs w:val="18"/>
                <w:b w:val="1"/>
                <w:bCs w:val="1"/>
                <w:color w:val="auto"/>
              </w:rPr>
              <w:t>3.4</w:t>
            </w:r>
          </w:p>
        </w:tc>
        <w:tc>
          <w:tcPr>
            <w:tcW w:w="104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632"/>
              <w:spacing w:after="0"/>
              <w:rPr>
                <w:sz w:val="20"/>
                <w:szCs w:val="20"/>
                <w:color w:val="auto"/>
              </w:rPr>
            </w:pPr>
            <w:r>
              <w:rPr>
                <w:rFonts w:ascii="Arial" w:cs="Arial" w:eastAsia="Arial" w:hAnsi="Arial"/>
                <w:sz w:val="18"/>
                <w:szCs w:val="18"/>
                <w:b w:val="1"/>
                <w:bCs w:val="1"/>
                <w:color w:val="auto"/>
              </w:rPr>
              <w:t>5.7</w:t>
            </w:r>
          </w:p>
        </w:tc>
      </w:tr>
      <w:tr>
        <w:trPr>
          <w:trHeight w:val="134"/>
        </w:trPr>
        <w:tc>
          <w:tcPr>
            <w:tcW w:w="2620" w:type="dxa"/>
            <w:vAlign w:val="bottom"/>
            <w:tcBorders>
              <w:bottom w:val="single" w:sz="8" w:color="808080"/>
            </w:tcBorders>
          </w:tcPr>
          <w:p>
            <w:pPr>
              <w:spacing w:after="0"/>
              <w:rPr>
                <w:sz w:val="11"/>
                <w:szCs w:val="11"/>
                <w:color w:val="auto"/>
              </w:rPr>
            </w:pPr>
          </w:p>
        </w:tc>
        <w:tc>
          <w:tcPr>
            <w:tcW w:w="670" w:type="dxa"/>
            <w:vAlign w:val="bottom"/>
            <w:tcBorders>
              <w:bottom w:val="single" w:sz="8" w:color="808080"/>
            </w:tcBorders>
          </w:tcPr>
          <w:p>
            <w:pPr>
              <w:spacing w:after="0"/>
              <w:rPr>
                <w:sz w:val="11"/>
                <w:szCs w:val="11"/>
                <w:color w:val="auto"/>
              </w:rPr>
            </w:pPr>
          </w:p>
        </w:tc>
        <w:tc>
          <w:tcPr>
            <w:tcW w:w="135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1469390</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1649730</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2378710</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Treasury Stock</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On May 28, 2008, the Company announced that its Board of Directors had authorized a new program to repurchase up to $20.0 of Common Stock as conditions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allow, on the open market or through negotiated private transactions. On November 20, 2008, the Board of Directors authorized a further program to repurchase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 to an additional $10.0 of its Common Stock and, on February 4, 2009, the Board of Directors authorized an additional program to repurchase up to another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 of its Common Stock, to be funded with available cash, pursuant to which the Company could purchase shares, from time to time as conditions allow, on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open market. During the six months ended November 30, 2009, the Company repurchased 54,000 shares on the open market for approximately $1.0 at an average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cost of $19.42 per share. As of November 30, 2009, the program is virtually completed. See Part II – Other Information, Item 2, “Unregistered Sales of Equity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Use of Proceeds” and Note 15, “Subsequent Events” for additional details on the share buy back program.</w:t>
      </w:r>
    </w:p>
    <w:p>
      <w:pPr>
        <w:sectPr>
          <w:pgSz w:w="11900" w:h="16838" w:orient="portrait"/>
          <w:cols w:equalWidth="0" w:num="1">
            <w:col w:w="11460"/>
          </w:cols>
          <w:pgMar w:left="240" w:top="382" w:right="199" w:bottom="1440" w:gutter="0" w:footer="0" w:header="0"/>
        </w:sect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382" w:right="19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0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231" w:lineRule="exact"/>
        <w:rPr>
          <w:sz w:val="20"/>
          <w:szCs w:val="20"/>
          <w:color w:val="auto"/>
        </w:rPr>
      </w:pPr>
    </w:p>
    <w:p>
      <w:pPr>
        <w:jc w:val="both"/>
        <w:ind w:right="80"/>
        <w:spacing w:after="0" w:line="314" w:lineRule="auto"/>
        <w:rPr>
          <w:sz w:val="20"/>
          <w:szCs w:val="20"/>
          <w:color w:val="auto"/>
        </w:rPr>
      </w:pPr>
      <w:r>
        <w:rPr>
          <w:rFonts w:ascii="Arial" w:cs="Arial" w:eastAsia="Arial" w:hAnsi="Arial"/>
          <w:sz w:val="15"/>
          <w:szCs w:val="15"/>
          <w:color w:val="auto"/>
        </w:rPr>
        <w:t>On June 1, 2008, the Company adopted a new accounting standard regarding fair value measurements for financial assets and liabilities, as well as for any other assets and liabilities that are carried at fair value on a recurring basis in the Company’s financial statements. The Financial Accounting Standards Board issued a one year deferral of the fair value measurement requirements for non financial assets and liabilities that are not required or permitted to be measured at fair value on a recurring basis at the time of issuance. The Company adopted the remainder of the new standard on June 1, 2009. The accounting standard requires that the Company determine the appropriate level in the fair value hierarchy for each fair value measurement. The fair value hierarchy prioritizes the inputs, which refer to assumptions that market participants would use in pricing an asset or liability, based upon the highest and best use, into three levels as follows:</w:t>
      </w:r>
    </w:p>
    <w:p>
      <w:pPr>
        <w:spacing w:after="0" w:line="172" w:lineRule="exact"/>
        <w:rPr>
          <w:sz w:val="20"/>
          <w:szCs w:val="20"/>
          <w:color w:val="auto"/>
        </w:rPr>
      </w:pPr>
    </w:p>
    <w:p>
      <w:pPr>
        <w:ind w:left="1160" w:hanging="571"/>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Unadjusted quoted prices in active markets for identical assets or liabilities at the measurement date.</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Observable inputs other than unadjusted quoted prices in active markets for identical assets or liabilities such as</w:t>
      </w:r>
    </w:p>
    <w:p>
      <w:pPr>
        <w:spacing w:after="0" w:line="158" w:lineRule="exact"/>
        <w:rPr>
          <w:sz w:val="20"/>
          <w:szCs w:val="20"/>
          <w:color w:val="auto"/>
        </w:rPr>
      </w:pPr>
    </w:p>
    <w:p>
      <w:pPr>
        <w:ind w:left="1720" w:hanging="324"/>
        <w:spacing w:after="0"/>
        <w:tabs>
          <w:tab w:leader="none" w:pos="1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15" w:lineRule="exact"/>
        <w:rPr>
          <w:rFonts w:ascii="Arial" w:cs="Arial" w:eastAsia="Arial" w:hAnsi="Arial"/>
          <w:sz w:val="18"/>
          <w:szCs w:val="18"/>
          <w:color w:val="auto"/>
        </w:rPr>
      </w:pPr>
    </w:p>
    <w:p>
      <w:pPr>
        <w:ind w:left="1720" w:hanging="324"/>
        <w:spacing w:after="0"/>
        <w:tabs>
          <w:tab w:leader="none" w:pos="1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rFonts w:ascii="Arial" w:cs="Arial" w:eastAsia="Arial" w:hAnsi="Arial"/>
          <w:sz w:val="18"/>
          <w:szCs w:val="18"/>
          <w:color w:val="auto"/>
        </w:rPr>
      </w:pPr>
    </w:p>
    <w:p>
      <w:pPr>
        <w:ind w:left="1720" w:hanging="324"/>
        <w:spacing w:after="0"/>
        <w:tabs>
          <w:tab w:leader="none" w:pos="1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9" w:lineRule="exact"/>
        <w:rPr>
          <w:rFonts w:ascii="Arial" w:cs="Arial" w:eastAsia="Arial" w:hAnsi="Arial"/>
          <w:sz w:val="18"/>
          <w:szCs w:val="18"/>
          <w:color w:val="auto"/>
        </w:rPr>
      </w:pPr>
    </w:p>
    <w:p>
      <w:pPr>
        <w:ind w:left="1720" w:hanging="324"/>
        <w:spacing w:after="0"/>
        <w:tabs>
          <w:tab w:leader="none" w:pos="1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151" w:lineRule="exact"/>
        <w:rPr>
          <w:rFonts w:ascii="Arial" w:cs="Arial" w:eastAsia="Arial" w:hAnsi="Arial"/>
          <w:sz w:val="18"/>
          <w:szCs w:val="18"/>
          <w:color w:val="auto"/>
        </w:rPr>
      </w:pPr>
    </w:p>
    <w:p>
      <w:pPr>
        <w:ind w:left="1160" w:right="160" w:hanging="571"/>
        <w:spacing w:after="0" w:line="268"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Unobservable inputs in which there is little or no market data available, which are significant to the fair value measurement and require the Company to develop its own assumptions.</w:t>
      </w:r>
    </w:p>
    <w:p>
      <w:pPr>
        <w:spacing w:after="0" w:line="18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Company’s financial assets and liabilities measured at fair value consisted of cash and cash equivalents, debt and foreign currency forward contracts, which were not material as of the reporting date. Cash and cash equivalents are comprised of bank deposits and short-term investments, such as money market funds, the fair value of which is based on quoted market prices, a Level 1 fair value measure. The fair values of foreign currency forward contracts, used by the Company to manage the impact of foreign exchange rate changes to the financial statements, are based on quotations from financial institutions, a Level 2 fair value measure. For a more complete description please see Note 4,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Non financial assets and liabilities for which the Company employs fair value measures on a non-recurring basis include:</w:t>
      </w:r>
    </w:p>
    <w:p>
      <w:pPr>
        <w:spacing w:after="0" w:line="239" w:lineRule="exact"/>
        <w:rPr>
          <w:sz w:val="20"/>
          <w:szCs w:val="20"/>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long-lived assets when impaired,</w:t>
      </w:r>
    </w:p>
    <w:p>
      <w:pPr>
        <w:spacing w:after="0" w:line="15"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assets acquired in a business combination,</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goodwill and indefinite-lived intangible assets, when impaired, and</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long-lived assets held for sale</w:t>
      </w:r>
    </w:p>
    <w:p>
      <w:pPr>
        <w:spacing w:after="0" w:line="219"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Level 2 and level 3 inputs are employed by the Company in the fair value measurement of these assets and liabilities. In the current period, the Company recognized impairments of indefinite-lived and long-lived assets totaling $40.1. The Company used level 3 inputs in its determination of the fair value of these impaired assets. See Note 7, “Goodwill and Other Intangibles,” for a discussion of the fair value measures employed in these asset impairment analyses.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38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3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calculates its interim income tax provision in accordance with the accounting standards covering interim financial reporting and accounting for income taxes in interim periods. In calculating the provision for income taxes on an interim basis, the Company uses an estimate of the annual effective tax rate based upon the facts and circumstances known and applies that rate to its ordinary year to date earnings or losses. The Company’s effective tax rate is based on expected income and statutory tax rates and takes into consideration permanent differences between financial statement and tax return income applicable to the Company in the various jurisdictions in which the Company operates. The effect of discrete items, such as changes in estimates, changes in enacted tax laws or rates or tax status and unusual or infrequently occurring events, is recognized in the interim period in which the discrete item occurs. The accounting estimates used to compute the provision for income taxes may change as new events occur, additional information is obtained or as the result of new judicial interpretations or regulatory or tax law changes.</w:t>
      </w:r>
    </w:p>
    <w:p>
      <w:pPr>
        <w:spacing w:after="0" w:line="172"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Company’s annual effective tax rate for the fiscal year ending May 31, 2010 is currently expected to be approximately 46%. The Company’s expected full year effective tax rate exceeds statutory rates primarily as a result of net operating losses in foreign jurisdictions, mainly in the UK, where the Company does not expect to realize future tax benefits. As a result, valuation allowances are provided for the net operating loss carry forwards in these jurisdictions.</w:t>
      </w:r>
    </w:p>
    <w:p>
      <w:pPr>
        <w:spacing w:after="0" w:line="16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Company recognizes tax benefits of uncertain tax positions in accordance with the current accounting guidance pertaining to uncertainty in income taxes. The Company does not currently anticipate a material change to its unrecognized tax benefits within twelve months of November 30, 2009; however, actual developments can change these expectations, including settlement of audits.</w:t>
      </w:r>
    </w:p>
    <w:p>
      <w:pPr>
        <w:spacing w:after="0" w:line="19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Corporation, including its domestic subsidiaries, files a consolidated U.S. income tax return, and also files tax returns in various states and other local jurisdictions. Also, certain subsidiaries of the Corporation file income tax returns in foreign jurisdictions. The Company is routinely audited by various tax authorities. The Company is currently engaged in an IRS examination for the fiscal years ended May 2003, 2004, 2005 and 2006. The Company is also currently under audit by both New York State and New York City for its fiscal years ended May 2002, 2003 and 2004. It is possible that federal, state and foreign tax examinations will be settled during the next twelve months. If any of these tax examinations are settled within that period, the Company will make any necessary adjustments to its unrecognized tax benefits.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3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On December 16, 2009, the Company announced that the Board of Directors had declared a quarterly cash dividend of $0.075 per share payable on March 15, 2010 to shareholders of record of the Corporation’s Class A Stock and Common Stock as of January 29, 2010.</w:t>
      </w:r>
    </w:p>
    <w:p>
      <w:pPr>
        <w:spacing w:after="0" w:line="18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On December 16, 2009, the Company also announced that its Board of Directors had authorized a further program to repurchase up to $20.0 of its Common Stock, from time to time as conditions allow, on the open market or in negotiated private transactions.</w:t>
      </w:r>
    </w:p>
    <w:p>
      <w:pPr>
        <w:spacing w:after="0" w:line="18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Subsequent events have been evaluated through December 21, 2009, which is the filing date of the Company’s report with the SEC for the quarter ended November 30, 2009.</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382"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Outlook</w:t>
      </w:r>
    </w:p>
    <w:p>
      <w:pPr>
        <w:spacing w:after="0" w:line="23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During the second quarter of fiscal 2010, the Company delivered strong results, with a nearly 100% increase in higher margin educational technology sales, as well as margin benefit from targeted price increases and Company-wide cost reductions. On a continuing operations basis, revenue for the quarter was $660.1 million, up 1% from $653.3 million in the prior period, and earnings per diluted share were $1.54, compared to $1.55 a year ago. Revenue in the Educational Publishing segment in the quarter rose 35% driven by an almost 100%, or over $25 million, increase in sales of educational technology and related services. This was partially offset by a decline in revenues in the School Book Clubs business as a result of fewer orders related to planned cuts in promotion spending and the late start of the school year. Teacher layoffs and reassignments in some districts also disrupted book club ordering, primarily in September</w:t>
      </w:r>
    </w:p>
    <w:p>
      <w:pPr>
        <w:spacing w:after="0" w:line="1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Earnings from continuing operations, net of tax, for the quarter ended November 30, 2009 were $56.8 million compared to earnings from continuing operations, net of tax, of $58.5 million in the quarter ended November 30, 2008. During the second quarter, the Company consolidated supplemental non-fiction and library print publishing activities into the Children’s Book Publishing and Distribution segment, resulting in a non-cash charge of $36.3 million. In addition, the Company recorded a non-cash charge of $5.7 million related to restructuring efforts and asset impairments in the United Kingdom. The results in the current period reflect these one-time charges totaling $42.0 million. The prior year period included one-time expenses, primarily severance, of $10.9 million related to the Company’s cost reduction plans.</w:t>
      </w:r>
    </w:p>
    <w:p>
      <w:pPr>
        <w:spacing w:after="0" w:line="19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During the second quarter, the Company completed the sale of a previously discontinued non-core book distribution business. The results of this business have been included in discontinued operations through the date of the sale.</w:t>
      </w:r>
    </w:p>
    <w:p>
      <w:pPr>
        <w:spacing w:after="0" w:line="18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During the second quarter, the Company continued to maintain a strong balance sheet. In addition, improved earnings and working capital improvements, specifically in accounts payable and inventory management, resulted in strong cash flow, increased the Company’s cash by $148.5 million and decreased debt balances by $109.4 million compared to November 30, 2008.</w:t>
      </w:r>
    </w:p>
    <w:p>
      <w:pPr>
        <w:spacing w:after="0" w:line="19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These results position the Company well to achieve its fiscal 2010 plan, reaching 9% operating margins if the Company attains the upper end of such plan, while continuing to maintain a strong balance sheet and achieving increased cash flow. This is based on the following factors:</w:t>
      </w:r>
    </w:p>
    <w:p>
      <w:pPr>
        <w:spacing w:after="0" w:line="199" w:lineRule="exact"/>
        <w:rPr>
          <w:sz w:val="20"/>
          <w:szCs w:val="20"/>
          <w:color w:val="auto"/>
        </w:rPr>
      </w:pPr>
    </w:p>
    <w:p>
      <w:pPr>
        <w:ind w:left="1160" w:right="80" w:hanging="571"/>
        <w:spacing w:after="0" w:line="268"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year-to-date expansion of sales in the </w:t>
      </w:r>
      <w:r>
        <w:rPr>
          <w:rFonts w:ascii="Arial" w:cs="Arial" w:eastAsia="Arial" w:hAnsi="Arial"/>
          <w:sz w:val="18"/>
          <w:szCs w:val="18"/>
          <w:i w:val="1"/>
          <w:iCs w:val="1"/>
          <w:color w:val="auto"/>
        </w:rPr>
        <w:t>Educational Publishing</w:t>
      </w:r>
      <w:r>
        <w:rPr>
          <w:rFonts w:ascii="Arial" w:cs="Arial" w:eastAsia="Arial" w:hAnsi="Arial"/>
          <w:sz w:val="18"/>
          <w:szCs w:val="18"/>
          <w:color w:val="auto"/>
        </w:rPr>
        <w:t xml:space="preserve"> segment should position the Company to continue to benefit from incremental sales in this segment associated with the federal stimulus funding for this fiscal year</w:t>
      </w:r>
    </w:p>
    <w:p>
      <w:pPr>
        <w:spacing w:after="0" w:line="118" w:lineRule="exact"/>
        <w:rPr>
          <w:rFonts w:ascii="Arial" w:cs="Arial" w:eastAsia="Arial" w:hAnsi="Arial"/>
          <w:sz w:val="18"/>
          <w:szCs w:val="18"/>
          <w:color w:val="auto"/>
        </w:rPr>
      </w:pPr>
    </w:p>
    <w:p>
      <w:pPr>
        <w:ind w:left="1160" w:right="600" w:hanging="571"/>
        <w:spacing w:after="0" w:line="268"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Planned investments in new educational technology products and a strategic expansion of the sales and service organization in Scholastic Education</w:t>
      </w:r>
    </w:p>
    <w:p>
      <w:pPr>
        <w:spacing w:after="0" w:line="118" w:lineRule="exact"/>
        <w:rPr>
          <w:rFonts w:ascii="Arial" w:cs="Arial" w:eastAsia="Arial" w:hAnsi="Arial"/>
          <w:sz w:val="18"/>
          <w:szCs w:val="18"/>
          <w:color w:val="auto"/>
        </w:rPr>
      </w:pPr>
    </w:p>
    <w:p>
      <w:pPr>
        <w:ind w:left="1160" w:right="280" w:hanging="571"/>
        <w:spacing w:after="0" w:line="268"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Continued investment in the Book Clubs business to expand COOL and PCOOL (PARENT COOL) enabling the Company to reach a broader audience and provide a streamlined customer purchase experience</w:t>
      </w:r>
    </w:p>
    <w:p>
      <w:pPr>
        <w:spacing w:after="0" w:line="118" w:lineRule="exact"/>
        <w:rPr>
          <w:rFonts w:ascii="Arial" w:cs="Arial" w:eastAsia="Arial" w:hAnsi="Arial"/>
          <w:sz w:val="18"/>
          <w:szCs w:val="18"/>
          <w:color w:val="auto"/>
        </w:rPr>
      </w:pPr>
    </w:p>
    <w:p>
      <w:pPr>
        <w:ind w:left="1160" w:right="320" w:hanging="571"/>
        <w:spacing w:after="0" w:line="268"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Planned restructuring of the UK business where the Company expects this restructuring to result in reduced losses in the second half of fiscal 2010</w:t>
      </w:r>
    </w:p>
    <w:p>
      <w:pPr>
        <w:spacing w:after="0" w:line="186" w:lineRule="exact"/>
        <w:rPr>
          <w:sz w:val="20"/>
          <w:szCs w:val="20"/>
          <w:color w:val="auto"/>
        </w:rPr>
      </w:pPr>
    </w:p>
    <w:p>
      <w:pPr>
        <w:ind w:right="100"/>
        <w:spacing w:after="0" w:line="303" w:lineRule="auto"/>
        <w:rPr>
          <w:sz w:val="20"/>
          <w:szCs w:val="20"/>
          <w:color w:val="auto"/>
        </w:rPr>
      </w:pPr>
      <w:r>
        <w:rPr>
          <w:rFonts w:ascii="Arial" w:cs="Arial" w:eastAsia="Arial" w:hAnsi="Arial"/>
          <w:sz w:val="15"/>
          <w:szCs w:val="15"/>
          <w:color w:val="auto"/>
        </w:rPr>
        <w:t>The Company anticipates that the strong first half profit improvement will continue at a lower rate in the second half of fiscal 2010 due to an increase in employee benefits including the reinstatement of the incentive compensation plan as a result of higher educational technology sales, as well as higher employee medical expenses. Educational technology growth is expected to slow in the second half of fiscal 2010, as the first half benefited from the California adoption of</w:t>
      </w:r>
    </w:p>
    <w:p>
      <w:pPr>
        <w:spacing w:after="0" w:line="1" w:lineRule="exact"/>
        <w:rPr>
          <w:sz w:val="20"/>
          <w:szCs w:val="20"/>
          <w:color w:val="auto"/>
        </w:rPr>
      </w:pPr>
    </w:p>
    <w:p>
      <w:pPr>
        <w:ind w:right="40"/>
        <w:spacing w:after="0" w:line="219" w:lineRule="auto"/>
        <w:rPr>
          <w:sz w:val="20"/>
          <w:szCs w:val="20"/>
          <w:color w:val="auto"/>
        </w:rPr>
      </w:pPr>
      <w:r>
        <w:rPr>
          <w:rFonts w:ascii="Arial" w:cs="Arial" w:eastAsia="Arial" w:hAnsi="Arial"/>
          <w:sz w:val="17"/>
          <w:szCs w:val="17"/>
          <w:color w:val="auto"/>
        </w:rPr>
        <w:t>READ180</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System 44</w:t>
      </w:r>
      <w:r>
        <w:rPr>
          <w:rFonts w:ascii="Arial" w:cs="Arial" w:eastAsia="Arial" w:hAnsi="Arial"/>
          <w:sz w:val="28"/>
          <w:szCs w:val="28"/>
          <w:color w:val="auto"/>
          <w:vertAlign w:val="superscript"/>
        </w:rPr>
        <w:t>TM</w:t>
      </w:r>
      <w:r>
        <w:rPr>
          <w:rFonts w:ascii="Arial" w:cs="Arial" w:eastAsia="Arial" w:hAnsi="Arial"/>
          <w:sz w:val="17"/>
          <w:szCs w:val="17"/>
          <w:color w:val="auto"/>
        </w:rPr>
        <w:t>, which are not expected to be significant in the second half, and a larger percentage of service business is anticipated in the second half, as well as higher prepublication amortization and selling expenses, which will have an impact on Scholastic Education’s margins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Continuing Operations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Revenues for the quarter ended November 30, 2009 increased by $6.8 million, or 1.0%, to $660.1 million, compared to $653.3 million in the prior fiscal year quarter. This was due to higher revenues in the </w:t>
      </w:r>
      <w:r>
        <w:rPr>
          <w:rFonts w:ascii="Arial" w:cs="Arial" w:eastAsia="Arial" w:hAnsi="Arial"/>
          <w:sz w:val="16"/>
          <w:szCs w:val="16"/>
          <w:i w:val="1"/>
          <w:iCs w:val="1"/>
          <w:color w:val="auto"/>
        </w:rPr>
        <w:t>Educational Publishing</w:t>
      </w:r>
      <w:r>
        <w:rPr>
          <w:rFonts w:ascii="Arial" w:cs="Arial" w:eastAsia="Arial" w:hAnsi="Arial"/>
          <w:sz w:val="16"/>
          <w:szCs w:val="16"/>
          <w:color w:val="auto"/>
        </w:rPr>
        <w:t xml:space="preserve"> and </w:t>
      </w:r>
      <w:r>
        <w:rPr>
          <w:rFonts w:ascii="Arial" w:cs="Arial" w:eastAsia="Arial" w:hAnsi="Arial"/>
          <w:sz w:val="16"/>
          <w:szCs w:val="16"/>
          <w:i w:val="1"/>
          <w:iCs w:val="1"/>
          <w:color w:val="auto"/>
        </w:rPr>
        <w:t>International</w:t>
      </w:r>
      <w:r>
        <w:rPr>
          <w:rFonts w:ascii="Arial" w:cs="Arial" w:eastAsia="Arial" w:hAnsi="Arial"/>
          <w:sz w:val="16"/>
          <w:szCs w:val="16"/>
          <w:color w:val="auto"/>
        </w:rPr>
        <w:t xml:space="preserve"> segments of $31.6 million and $8.9 million, respectively, partially offset by lower revenues 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and </w:t>
      </w:r>
      <w:r>
        <w:rPr>
          <w:rFonts w:ascii="Arial" w:cs="Arial" w:eastAsia="Arial" w:hAnsi="Arial"/>
          <w:sz w:val="16"/>
          <w:szCs w:val="16"/>
          <w:i w:val="1"/>
          <w:iCs w:val="1"/>
          <w:color w:val="auto"/>
        </w:rPr>
        <w:t>Media, Licensing and Advertising</w:t>
      </w:r>
      <w:r>
        <w:rPr>
          <w:rFonts w:ascii="Arial" w:cs="Arial" w:eastAsia="Arial" w:hAnsi="Arial"/>
          <w:sz w:val="16"/>
          <w:szCs w:val="16"/>
          <w:color w:val="auto"/>
        </w:rPr>
        <w:t xml:space="preserve"> segments of $24.1 million and $9.6 million, respectively. For the six months ended November 30, 2009, revenues increased $46.0 million, or 4.9%, to $975.7 million, compared to $929.7 million in the prior fiscal year period, primarily due to higher revenues in the </w:t>
      </w:r>
      <w:r>
        <w:rPr>
          <w:rFonts w:ascii="Arial" w:cs="Arial" w:eastAsia="Arial" w:hAnsi="Arial"/>
          <w:sz w:val="16"/>
          <w:szCs w:val="16"/>
          <w:i w:val="1"/>
          <w:iCs w:val="1"/>
          <w:color w:val="auto"/>
        </w:rPr>
        <w:t>Educational Publishing</w:t>
      </w:r>
      <w:r>
        <w:rPr>
          <w:rFonts w:ascii="Arial" w:cs="Arial" w:eastAsia="Arial" w:hAnsi="Arial"/>
          <w:sz w:val="16"/>
          <w:szCs w:val="16"/>
          <w:color w:val="auto"/>
        </w:rPr>
        <w:t xml:space="preserve"> segment partially offset by lower revenues from the </w:t>
      </w:r>
      <w:r>
        <w:rPr>
          <w:rFonts w:ascii="Arial" w:cs="Arial" w:eastAsia="Arial" w:hAnsi="Arial"/>
          <w:sz w:val="16"/>
          <w:szCs w:val="16"/>
          <w:i w:val="1"/>
          <w:iCs w:val="1"/>
          <w:color w:val="auto"/>
        </w:rPr>
        <w:t>Media, Licensing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Advertising </w:t>
      </w:r>
      <w:r>
        <w:rPr>
          <w:rFonts w:ascii="Arial" w:cs="Arial" w:eastAsia="Arial" w:hAnsi="Arial"/>
          <w:sz w:val="16"/>
          <w:szCs w:val="16"/>
          <w:color w:val="auto"/>
        </w:rPr>
        <w:t>and</w:t>
      </w:r>
      <w:r>
        <w:rPr>
          <w:rFonts w:ascii="Arial" w:cs="Arial" w:eastAsia="Arial" w:hAnsi="Arial"/>
          <w:sz w:val="16"/>
          <w:szCs w:val="16"/>
          <w:i w:val="1"/>
          <w:iCs w:val="1"/>
          <w:color w:val="auto"/>
        </w:rPr>
        <w:t xml:space="preserve"> Children’s Book Publishing and Distribution </w:t>
      </w:r>
      <w:r>
        <w:rPr>
          <w:rFonts w:ascii="Arial" w:cs="Arial" w:eastAsia="Arial" w:hAnsi="Arial"/>
          <w:sz w:val="16"/>
          <w:szCs w:val="16"/>
          <w:color w:val="auto"/>
        </w:rPr>
        <w:t>segments.</w:t>
      </w:r>
    </w:p>
    <w:p>
      <w:pPr>
        <w:spacing w:after="0" w:line="17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Cost of goods sold decreased to $269.7 million, or 40.9% of revenues, for the quarter ended November 30, 2009, as compared to $281.2 million, or 43.0% of revenues, in the prior fiscal year quarter, primarily due to growth in higher margin educational technology sales and</w:t>
      </w:r>
    </w:p>
    <w:p>
      <w:pPr>
        <w:sectPr>
          <w:pgSz w:w="11900" w:h="16838" w:orient="portrait"/>
          <w:cols w:equalWidth="0" w:num="1">
            <w:col w:w="11400"/>
          </w:cols>
          <w:pgMar w:left="240" w:top="382" w:right="25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improved pricing. For the six months ended November 30, 2009, cost of goods sold decreased to $425.8 million, or 43.6% of revenues, compared to $427.2 million, or 46.0% of revenues, in the prior fiscal year period, primarily due to the growth in higher margin educational technology sales, improved pricing and reduced editorial costs.</w:t>
      </w:r>
    </w:p>
    <w:p>
      <w:pPr>
        <w:spacing w:after="0" w:line="194"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Selling, general and administrative expenses (“SG&amp;A”), excluding severance expense, for the quarter were $224.4 million, or 34.0% of revenue, as compared to $230.5 million, or 35.3% of revenue, in the prior fiscal year quarter, primarily resulting from reduced promotion spending and higher revenues as well as reduced spending due to the implementation of cost cutting measures, partially offset by the inclusion of incentive compensation expense related to the higher educational technology sales and higher sales tax expense. For the six months ended November 30, 2009, SG&amp;A, excluding severance expense, was $398.1 million, or 40.8% of revenues, as compared to $403.4 million, or 43.4% of revenues, in the prior year fiscal period. The decrease is primarily related to higher revenue and reduced promotion spending, partially offset by the incentive compensation expense related to the higher educational technology sales and higher sales tax expense.</w:t>
      </w:r>
    </w:p>
    <w:p>
      <w:pPr>
        <w:spacing w:after="0" w:line="15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Bad debt expense decreased to $4.4 million for the quarter ended November 30, 2009, compared to $7.2 million in the prior fiscal year quarter. For the six months ended November 30, 2009, bad debt expense decreased by $1.8 million to $6.5 million from $8.3 million in the prior fiscal year period. The decrease in both periods was primarily in the </w:t>
      </w:r>
      <w:r>
        <w:rPr>
          <w:rFonts w:ascii="Arial" w:cs="Arial" w:eastAsia="Arial" w:hAnsi="Arial"/>
          <w:sz w:val="18"/>
          <w:szCs w:val="18"/>
          <w:i w:val="1"/>
          <w:iCs w:val="1"/>
          <w:color w:val="auto"/>
        </w:rPr>
        <w:t>Children’s Book Publishing and Distribution</w:t>
      </w:r>
      <w:r>
        <w:rPr>
          <w:rFonts w:ascii="Arial" w:cs="Arial" w:eastAsia="Arial" w:hAnsi="Arial"/>
          <w:sz w:val="18"/>
          <w:szCs w:val="18"/>
          <w:color w:val="auto"/>
        </w:rPr>
        <w:t xml:space="preserve"> segment, as the prior year periods reflected accruals for increased credit risk for certain customers.</w:t>
      </w:r>
    </w:p>
    <w:p>
      <w:pPr>
        <w:spacing w:after="0" w:line="19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Severance expense decreased by $10.3 million to $1.1 million for the quarter ended November 30, 2009, compared to $11.4 million for the prior fiscal year quarter. The Company initiated restructuring activities in the United Kingdom in the second quarter, which resulted in severance expense of $0.8 million. For the six months ended November 30, 2009, severance expense decreased by $9.0 million to $5.4 million, compared to $14.4 million in the prior year.</w:t>
      </w:r>
    </w:p>
    <w:p>
      <w:pPr>
        <w:spacing w:after="0" w:line="16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In the current quarter, the Company recognized $40.1 million in asset impairments primarily in the </w:t>
      </w:r>
      <w:r>
        <w:rPr>
          <w:rFonts w:ascii="Arial" w:cs="Arial" w:eastAsia="Arial" w:hAnsi="Arial"/>
          <w:sz w:val="18"/>
          <w:szCs w:val="18"/>
          <w:i w:val="1"/>
          <w:iCs w:val="1"/>
          <w:color w:val="auto"/>
        </w:rPr>
        <w:t>Educational Publishing</w:t>
      </w:r>
      <w:r>
        <w:rPr>
          <w:rFonts w:ascii="Arial" w:cs="Arial" w:eastAsia="Arial" w:hAnsi="Arial"/>
          <w:sz w:val="18"/>
          <w:szCs w:val="18"/>
          <w:color w:val="auto"/>
        </w:rPr>
        <w:t xml:space="preserve"> segment. As part of the Company’s ongoing plan to reduce costs and consolidated publishing activities, the </w:t>
      </w:r>
      <w:r>
        <w:rPr>
          <w:rFonts w:ascii="Arial" w:cs="Arial" w:eastAsia="Arial" w:hAnsi="Arial"/>
          <w:sz w:val="18"/>
          <w:szCs w:val="18"/>
          <w:i w:val="1"/>
          <w:iCs w:val="1"/>
          <w:color w:val="auto"/>
        </w:rPr>
        <w:t>Educational Publishing</w:t>
      </w:r>
      <w:r>
        <w:rPr>
          <w:rFonts w:ascii="Arial" w:cs="Arial" w:eastAsia="Arial" w:hAnsi="Arial"/>
          <w:sz w:val="18"/>
          <w:szCs w:val="18"/>
          <w:color w:val="auto"/>
        </w:rPr>
        <w:t xml:space="preserve"> segment’s supplemental print non-fiction and reference publishing for library titles has been consolidated into the Children’s Book segment. In connection with this consolidation, the Company recorded a non-cash charge for impairment of intangible and prepublication costs associated with print publishing for libraries totaling $36.3 million during the quarter ended November 30, 2009. Also included in the quarter is an impairment charge of $3.8 million related to a customer list acquired in connection with the dissolution of a joint venture in the United Kingdom. The Company commenced restructuring activities in the United Kingdom, including the integration of this customer list, resulting in the impairment.</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resulting operating income for the quarter ended November 30, 2009 was $105.6 million, compared to $108.0 million in the prior fiscal year quarter. For the six months ended November 30, 2009, operating income increased to $70.3 million, compared to $45.7 million in the prior year.</w:t>
      </w:r>
    </w:p>
    <w:p>
      <w:pPr>
        <w:spacing w:after="0" w:line="13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Net interest expense decreased to $4.3 million in the quarter ended November 30, 2009, compared to $7.0 million in the prior fiscal year quarter. For the six months ended November 30, 2009, net interest expense decreased by $4.7 million to $8.2 million, compared to $12.9 million in the prior fiscal year period. Both reductions in net interest expense were driven by lower borrowing levels and lower interest rates. The lower borrowings were driven by improved cash from operations, as the Company significantly reduced its working capital requirements.</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provision for income taxes with respect to continuing operations resulted in an effective tax rate of 43.9% and 42.0% for the quarters ended November 30, 2009 and November 30, 2008, respectively. Effective tax rates for the six months ended November 30, 2009 and November 30, 2008 were 48.9% and 52.5%, respectively. The effective tax rates for all periods exceed statutory rates primarily due to losses in certain foreign subsidiaries for which the Company does not expect to realize corresponding income tax benefits. Due to the seasonality of the Company’s operations and discrete items, current period effective tax rates are not meaningful.</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Earnings from continuing operations were $56.8 million, or $1.54 per diluted share, for the quarter ended November 30, 2009, compared to $58.5 million, or</w:t>
      </w:r>
    </w:p>
    <w:p>
      <w:pPr>
        <w:spacing w:after="0" w:line="3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$1.55 per diluted share, in the prior fiscal year quarter. For the six months ended November 30, 2009, earnings from continuing operations were $32.2 million, or $0.88 per diluted share, compared to $15.6 million, or $0.41 per diluted share, in the prior fiscal year period.</w:t>
      </w:r>
    </w:p>
    <w:p>
      <w:pPr>
        <w:spacing w:after="0" w:line="192"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The loss from discontinued operations, net of tax, was $1.3 million, or $0.03 per diluted share, for the quarter ended November 30, 2009, compared to $15.4 million, or $0.40 per diluted share, in the prior fiscal year quarter. For the six months ended November 30, 2009, earnings from discontinued operations, net of tax, was $0.3 million, or less than $0.01 per diluted share, compared to a loss of $21.6 million, or $0.57 per diluted share, in the prior fiscal year period.</w:t>
      </w:r>
    </w:p>
    <w:p>
      <w:pPr>
        <w:spacing w:after="0" w:line="16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 income was $55.5 million, or $1.51 per diluted share, for the quarter ended November 30, 2009, compared to $43.1 million, or $1.15 per diluted share, in the prior fiscal year quarter. For the six months ended November 30, 2009, net income was $32.5 million, or $0.88 per diluted share, compared to a net loss of $6.0 million, or $0.16 per diluted share, in the prior fiscal year period.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60" w:type="dxa"/>
            <w:vAlign w:val="bottom"/>
          </w:tcPr>
          <w:p>
            <w:pPr>
              <w:spacing w:after="0"/>
              <w:rPr>
                <w:sz w:val="20"/>
                <w:szCs w:val="20"/>
                <w:color w:val="auto"/>
              </w:rPr>
            </w:pPr>
            <w:r>
              <w:rPr>
                <w:rFonts w:ascii="Arial" w:cs="Arial" w:eastAsia="Arial" w:hAnsi="Arial"/>
                <w:sz w:val="18"/>
                <w:szCs w:val="18"/>
                <w:b w:val="1"/>
                <w:bCs w:val="1"/>
                <w:color w:val="auto"/>
              </w:rPr>
              <w:t>Results of Continuing Operations – Segments</w:t>
            </w:r>
          </w:p>
        </w:tc>
        <w:tc>
          <w:tcPr>
            <w:tcW w:w="1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32"/>
        </w:trPr>
        <w:tc>
          <w:tcPr>
            <w:tcW w:w="4760" w:type="dxa"/>
            <w:vAlign w:val="bottom"/>
          </w:tcPr>
          <w:p>
            <w:pPr>
              <w:spacing w:after="0"/>
              <w:rPr>
                <w:sz w:val="20"/>
                <w:szCs w:val="20"/>
                <w:color w:val="auto"/>
              </w:rPr>
            </w:pPr>
            <w:r>
              <w:rPr>
                <w:rFonts w:ascii="Arial" w:cs="Arial" w:eastAsia="Arial" w:hAnsi="Arial"/>
                <w:sz w:val="18"/>
                <w:szCs w:val="18"/>
                <w:b w:val="1"/>
                <w:bCs w:val="1"/>
                <w:i w:val="1"/>
                <w:iCs w:val="1"/>
                <w:color w:val="auto"/>
              </w:rPr>
              <w:t>Children’s Book Publishing and Distribution</w:t>
            </w:r>
          </w:p>
        </w:tc>
        <w:tc>
          <w:tcPr>
            <w:tcW w:w="1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9"/>
        </w:trPr>
        <w:tc>
          <w:tcPr>
            <w:tcW w:w="4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20" w:type="dxa"/>
            <w:vAlign w:val="bottom"/>
            <w:gridSpan w:val="3"/>
          </w:tcPr>
          <w:p>
            <w:pPr>
              <w:jc w:val="right"/>
              <w:ind w:right="632"/>
              <w:spacing w:after="0"/>
              <w:rPr>
                <w:sz w:val="20"/>
                <w:szCs w:val="20"/>
                <w:color w:val="auto"/>
              </w:rPr>
            </w:pPr>
            <w:r>
              <w:rPr>
                <w:rFonts w:ascii="Arial" w:cs="Arial" w:eastAsia="Arial" w:hAnsi="Arial"/>
                <w:sz w:val="18"/>
                <w:szCs w:val="18"/>
                <w:b w:val="1"/>
                <w:bCs w:val="1"/>
                <w:i w:val="1"/>
                <w:iCs w:val="1"/>
                <w:color w:val="auto"/>
                <w:w w:val="94"/>
              </w:rPr>
              <w:t>Three months ended</w:t>
            </w:r>
          </w:p>
        </w:tc>
        <w:tc>
          <w:tcPr>
            <w:tcW w:w="300" w:type="dxa"/>
            <w:vAlign w:val="bottom"/>
          </w:tcPr>
          <w:p>
            <w:pPr>
              <w:spacing w:after="0"/>
              <w:rPr>
                <w:sz w:val="24"/>
                <w:szCs w:val="24"/>
                <w:color w:val="auto"/>
              </w:rPr>
            </w:pPr>
          </w:p>
        </w:tc>
        <w:tc>
          <w:tcPr>
            <w:tcW w:w="2400" w:type="dxa"/>
            <w:vAlign w:val="bottom"/>
            <w:gridSpan w:val="3"/>
          </w:tcPr>
          <w:p>
            <w:pPr>
              <w:jc w:val="center"/>
              <w:ind w:right="372"/>
              <w:spacing w:after="0"/>
              <w:rPr>
                <w:sz w:val="20"/>
                <w:szCs w:val="20"/>
                <w:color w:val="auto"/>
              </w:rPr>
            </w:pPr>
            <w:r>
              <w:rPr>
                <w:rFonts w:ascii="Arial" w:cs="Arial" w:eastAsia="Arial" w:hAnsi="Arial"/>
                <w:sz w:val="18"/>
                <w:szCs w:val="18"/>
                <w:b w:val="1"/>
                <w:bCs w:val="1"/>
                <w:i w:val="1"/>
                <w:iCs w:val="1"/>
                <w:color w:val="auto"/>
                <w:w w:val="83"/>
              </w:rPr>
              <w:t>Six months ended</w:t>
            </w:r>
          </w:p>
        </w:tc>
      </w:tr>
      <w:tr>
        <w:trPr>
          <w:trHeight w:val="222"/>
        </w:trPr>
        <w:tc>
          <w:tcPr>
            <w:tcW w:w="476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1560" w:type="dxa"/>
            <w:vAlign w:val="bottom"/>
          </w:tcPr>
          <w:p>
            <w:pPr>
              <w:spacing w:after="0"/>
              <w:rPr>
                <w:sz w:val="19"/>
                <w:szCs w:val="19"/>
                <w:color w:val="auto"/>
              </w:rPr>
            </w:pPr>
          </w:p>
        </w:tc>
        <w:tc>
          <w:tcPr>
            <w:tcW w:w="2420" w:type="dxa"/>
            <w:vAlign w:val="bottom"/>
            <w:gridSpan w:val="3"/>
          </w:tcPr>
          <w:p>
            <w:pPr>
              <w:jc w:val="right"/>
              <w:ind w:right="852"/>
              <w:spacing w:after="0"/>
              <w:rPr>
                <w:sz w:val="20"/>
                <w:szCs w:val="20"/>
                <w:color w:val="auto"/>
              </w:rPr>
            </w:pPr>
            <w:r>
              <w:rPr>
                <w:rFonts w:ascii="Arial" w:cs="Arial" w:eastAsia="Arial" w:hAnsi="Arial"/>
                <w:sz w:val="18"/>
                <w:szCs w:val="18"/>
                <w:b w:val="1"/>
                <w:bCs w:val="1"/>
                <w:i w:val="1"/>
                <w:iCs w:val="1"/>
                <w:color w:val="auto"/>
              </w:rPr>
              <w:t>November 30,</w:t>
            </w:r>
          </w:p>
        </w:tc>
        <w:tc>
          <w:tcPr>
            <w:tcW w:w="300" w:type="dxa"/>
            <w:vAlign w:val="bottom"/>
          </w:tcPr>
          <w:p>
            <w:pPr>
              <w:spacing w:after="0"/>
              <w:rPr>
                <w:sz w:val="19"/>
                <w:szCs w:val="19"/>
                <w:color w:val="auto"/>
              </w:rPr>
            </w:pPr>
          </w:p>
        </w:tc>
        <w:tc>
          <w:tcPr>
            <w:tcW w:w="1500" w:type="dxa"/>
            <w:vAlign w:val="bottom"/>
            <w:gridSpan w:val="2"/>
          </w:tcPr>
          <w:p>
            <w:pPr>
              <w:jc w:val="center"/>
              <w:ind w:left="392"/>
              <w:spacing w:after="0"/>
              <w:rPr>
                <w:sz w:val="20"/>
                <w:szCs w:val="20"/>
                <w:color w:val="auto"/>
              </w:rPr>
            </w:pPr>
            <w:r>
              <w:rPr>
                <w:rFonts w:ascii="Arial" w:cs="Arial" w:eastAsia="Arial" w:hAnsi="Arial"/>
                <w:sz w:val="18"/>
                <w:szCs w:val="18"/>
                <w:b w:val="1"/>
                <w:bCs w:val="1"/>
                <w:i w:val="1"/>
                <w:iCs w:val="1"/>
                <w:color w:val="auto"/>
                <w:w w:val="86"/>
              </w:rPr>
              <w:t>November 30,</w:t>
            </w:r>
          </w:p>
        </w:tc>
        <w:tc>
          <w:tcPr>
            <w:tcW w:w="900" w:type="dxa"/>
            <w:vAlign w:val="bottom"/>
          </w:tcPr>
          <w:p>
            <w:pPr>
              <w:spacing w:after="0"/>
              <w:rPr>
                <w:sz w:val="19"/>
                <w:szCs w:val="19"/>
                <w:color w:val="auto"/>
              </w:rPr>
            </w:pPr>
          </w:p>
        </w:tc>
      </w:tr>
      <w:tr>
        <w:trPr>
          <w:trHeight w:val="110"/>
        </w:trPr>
        <w:tc>
          <w:tcPr>
            <w:tcW w:w="47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r>
        <w:trPr>
          <w:trHeight w:val="316"/>
        </w:trPr>
        <w:tc>
          <w:tcPr>
            <w:tcW w:w="4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60" w:type="dxa"/>
            <w:vAlign w:val="bottom"/>
          </w:tcPr>
          <w:p>
            <w:pPr>
              <w:jc w:val="right"/>
              <w:ind w:right="492"/>
              <w:spacing w:after="0"/>
              <w:rPr>
                <w:sz w:val="20"/>
                <w:szCs w:val="20"/>
                <w:color w:val="auto"/>
              </w:rPr>
            </w:pPr>
            <w:r>
              <w:rPr>
                <w:rFonts w:ascii="Arial" w:cs="Arial" w:eastAsia="Arial" w:hAnsi="Arial"/>
                <w:sz w:val="18"/>
                <w:szCs w:val="18"/>
                <w:b w:val="1"/>
                <w:bCs w:val="1"/>
                <w:color w:val="auto"/>
              </w:rPr>
              <w:t>2009</w:t>
            </w:r>
          </w:p>
        </w:tc>
        <w:tc>
          <w:tcPr>
            <w:tcW w:w="300" w:type="dxa"/>
            <w:vAlign w:val="bottom"/>
          </w:tcPr>
          <w:p>
            <w:pPr>
              <w:spacing w:after="0"/>
              <w:rPr>
                <w:sz w:val="24"/>
                <w:szCs w:val="24"/>
                <w:color w:val="auto"/>
              </w:rPr>
            </w:pPr>
          </w:p>
        </w:tc>
        <w:tc>
          <w:tcPr>
            <w:tcW w:w="1060" w:type="dxa"/>
            <w:vAlign w:val="bottom"/>
          </w:tcPr>
          <w:p>
            <w:pPr>
              <w:jc w:val="right"/>
              <w:ind w:right="492"/>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24"/>
                <w:szCs w:val="24"/>
                <w:color w:val="auto"/>
              </w:rPr>
            </w:pPr>
          </w:p>
        </w:tc>
        <w:tc>
          <w:tcPr>
            <w:tcW w:w="1080" w:type="dxa"/>
            <w:vAlign w:val="bottom"/>
          </w:tcPr>
          <w:p>
            <w:pPr>
              <w:jc w:val="right"/>
              <w:ind w:right="512"/>
              <w:spacing w:after="0"/>
              <w:rPr>
                <w:sz w:val="20"/>
                <w:szCs w:val="20"/>
                <w:color w:val="auto"/>
              </w:rPr>
            </w:pPr>
            <w:r>
              <w:rPr>
                <w:rFonts w:ascii="Arial" w:cs="Arial" w:eastAsia="Arial" w:hAnsi="Arial"/>
                <w:sz w:val="18"/>
                <w:szCs w:val="18"/>
                <w:b w:val="1"/>
                <w:bCs w:val="1"/>
                <w:color w:val="auto"/>
              </w:rPr>
              <w:t>2009</w:t>
            </w:r>
          </w:p>
        </w:tc>
        <w:tc>
          <w:tcPr>
            <w:tcW w:w="420" w:type="dxa"/>
            <w:vAlign w:val="bottom"/>
          </w:tcPr>
          <w:p>
            <w:pPr>
              <w:spacing w:after="0"/>
              <w:rPr>
                <w:sz w:val="24"/>
                <w:szCs w:val="24"/>
                <w:color w:val="auto"/>
              </w:rPr>
            </w:pPr>
          </w:p>
        </w:tc>
        <w:tc>
          <w:tcPr>
            <w:tcW w:w="900" w:type="dxa"/>
            <w:vAlign w:val="bottom"/>
          </w:tcPr>
          <w:p>
            <w:pPr>
              <w:jc w:val="right"/>
              <w:ind w:right="472"/>
              <w:spacing w:after="0"/>
              <w:rPr>
                <w:sz w:val="20"/>
                <w:szCs w:val="20"/>
                <w:color w:val="auto"/>
              </w:rPr>
            </w:pPr>
            <w:r>
              <w:rPr>
                <w:rFonts w:ascii="Arial" w:cs="Arial" w:eastAsia="Arial" w:hAnsi="Arial"/>
                <w:sz w:val="18"/>
                <w:szCs w:val="18"/>
                <w:b w:val="1"/>
                <w:bCs w:val="1"/>
                <w:color w:val="auto"/>
                <w:w w:val="79"/>
              </w:rPr>
              <w:t>2008</w:t>
            </w:r>
          </w:p>
        </w:tc>
      </w:tr>
      <w:tr>
        <w:trPr>
          <w:trHeight w:val="110"/>
        </w:trPr>
        <w:tc>
          <w:tcPr>
            <w:tcW w:w="47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r>
        <w:trPr>
          <w:trHeight w:val="458"/>
        </w:trPr>
        <w:tc>
          <w:tcPr>
            <w:tcW w:w="4760" w:type="dxa"/>
            <w:vAlign w:val="bottom"/>
          </w:tcPr>
          <w:p>
            <w:pPr>
              <w:spacing w:after="0"/>
              <w:rPr>
                <w:sz w:val="20"/>
                <w:szCs w:val="20"/>
                <w:color w:val="auto"/>
              </w:rPr>
            </w:pPr>
            <w:r>
              <w:rPr>
                <w:rFonts w:ascii="Arial" w:cs="Arial" w:eastAsia="Arial" w:hAnsi="Arial"/>
                <w:sz w:val="18"/>
                <w:szCs w:val="18"/>
                <w:color w:val="auto"/>
              </w:rPr>
              <w:t>Revenues</w:t>
            </w: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368.8</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392.9</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445.0</w:t>
            </w:r>
          </w:p>
        </w:tc>
        <w:tc>
          <w:tcPr>
            <w:tcW w:w="4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454.0</w:t>
            </w:r>
          </w:p>
        </w:tc>
      </w:tr>
      <w:tr>
        <w:trPr>
          <w:trHeight w:val="222"/>
        </w:trPr>
        <w:tc>
          <w:tcPr>
            <w:tcW w:w="4760" w:type="dxa"/>
            <w:vAlign w:val="bottom"/>
          </w:tcPr>
          <w:p>
            <w:pPr>
              <w:spacing w:after="0"/>
              <w:rPr>
                <w:sz w:val="20"/>
                <w:szCs w:val="20"/>
                <w:color w:val="auto"/>
              </w:rPr>
            </w:pPr>
            <w:r>
              <w:rPr>
                <w:rFonts w:ascii="Arial" w:cs="Arial" w:eastAsia="Arial" w:hAnsi="Arial"/>
                <w:sz w:val="18"/>
                <w:szCs w:val="18"/>
                <w:color w:val="auto"/>
              </w:rPr>
              <w:t>Operating income</w:t>
            </w:r>
          </w:p>
        </w:tc>
        <w:tc>
          <w:tcPr>
            <w:tcW w:w="1560" w:type="dxa"/>
            <w:vAlign w:val="bottom"/>
          </w:tcPr>
          <w:p>
            <w:pPr>
              <w:spacing w:after="0"/>
              <w:rPr>
                <w:sz w:val="19"/>
                <w:szCs w:val="19"/>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107.8</w:t>
            </w:r>
          </w:p>
        </w:tc>
        <w:tc>
          <w:tcPr>
            <w:tcW w:w="300" w:type="dxa"/>
            <w:vAlign w:val="bottom"/>
          </w:tcPr>
          <w:p>
            <w:pPr>
              <w:spacing w:after="0"/>
              <w:rPr>
                <w:sz w:val="19"/>
                <w:szCs w:val="19"/>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105.1</w:t>
            </w:r>
          </w:p>
        </w:tc>
        <w:tc>
          <w:tcPr>
            <w:tcW w:w="300" w:type="dxa"/>
            <w:vAlign w:val="bottom"/>
          </w:tcPr>
          <w:p>
            <w:pPr>
              <w:spacing w:after="0"/>
              <w:rPr>
                <w:sz w:val="19"/>
                <w:szCs w:val="19"/>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60.3</w:t>
            </w:r>
          </w:p>
        </w:tc>
        <w:tc>
          <w:tcPr>
            <w:tcW w:w="420" w:type="dxa"/>
            <w:vAlign w:val="bottom"/>
          </w:tcPr>
          <w:p>
            <w:pPr>
              <w:spacing w:after="0"/>
              <w:rPr>
                <w:sz w:val="19"/>
                <w:szCs w:val="19"/>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50.5</w:t>
            </w:r>
          </w:p>
        </w:tc>
      </w:tr>
      <w:tr>
        <w:trPr>
          <w:trHeight w:val="110"/>
        </w:trPr>
        <w:tc>
          <w:tcPr>
            <w:tcW w:w="47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r>
        <w:trPr>
          <w:trHeight w:val="464"/>
        </w:trPr>
        <w:tc>
          <w:tcPr>
            <w:tcW w:w="476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15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29.2%</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26.7%</w:t>
            </w:r>
          </w:p>
        </w:tc>
        <w:tc>
          <w:tcPr>
            <w:tcW w:w="300" w:type="dxa"/>
            <w:vAlign w:val="bottom"/>
          </w:tcPr>
          <w:p>
            <w:pPr>
              <w:spacing w:after="0"/>
              <w:rPr>
                <w:sz w:val="24"/>
                <w:szCs w:val="24"/>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13.6%</w:t>
            </w: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11.1%</w:t>
            </w:r>
          </w:p>
        </w:tc>
      </w:tr>
    </w:tbl>
    <w:p>
      <w:pPr>
        <w:spacing w:after="0" w:line="210"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 xml:space="preserve">Revenues 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for the quarter ended November 30, 2009 decreased by $24.1 million, or 6.1%, to $368.8 million, compared to $392.9 million in the prior fiscal year quarter. This decline was due primarily to lower revenues in the Company’s book club business resulting from fewer orders driven in part by a planned reduction in promotion spending and the late start of the school year, as well as disruptions to book club ordering due to teacher layoffs and reassignments in some districts, particularly in September. Revenues for the six months ended November 30, 2009 decreased by $9.0 million to $445.0 million, compared to $454.0 million in the prior fiscal year period. This decrease was due to lower revenues in the Company’s book clubs business as noted above, partially offset by improved performance in the Company’s trade business over the same prior year period related to revenues generated from the Harry Potter series and The 39 Clues ® series, as well as improved performance in the Company’s book fairs business.</w:t>
      </w:r>
    </w:p>
    <w:p>
      <w:pPr>
        <w:spacing w:after="0" w:line="17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Segment operating income for the quarter ended November 30, 2009 increased by $2.7 million, or 2.6%, to $107.8 million, compared to $105.1 million in the prior fiscal year quarter, principally due to improved results in the Trade business compared to the prior fiscal year period, as well as reduced spending in the book fairs business, resulting from initiatives executed earlier in the year to consolidate distribution facilities. These improvements were partially offset by lower results in the Company’s book club business related to the lower revenues, partially offset by reduced promotion expenses. Segment operating income for the six months ended November 30, 2009 increased by $9.8 million, or 19.4%, to $60.3 million, compared to $50.5 million in the prior fiscal year period, principally due to lower promotion costs in the current fiscal year period and higher bad debt expense recognized in the prior fiscal year period.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20" w:type="dxa"/>
            <w:vAlign w:val="bottom"/>
          </w:tcPr>
          <w:p>
            <w:pPr>
              <w:spacing w:after="0"/>
              <w:rPr>
                <w:sz w:val="20"/>
                <w:szCs w:val="20"/>
                <w:color w:val="auto"/>
              </w:rPr>
            </w:pPr>
            <w:r>
              <w:rPr>
                <w:rFonts w:ascii="Arial" w:cs="Arial" w:eastAsia="Arial" w:hAnsi="Arial"/>
                <w:sz w:val="18"/>
                <w:szCs w:val="18"/>
                <w:b w:val="1"/>
                <w:bCs w:val="1"/>
                <w:i w:val="1"/>
                <w:iCs w:val="1"/>
                <w:color w:val="auto"/>
              </w:rPr>
              <w:t>Educational Publishing</w:t>
            </w:r>
          </w:p>
        </w:tc>
        <w:tc>
          <w:tcPr>
            <w:tcW w:w="2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39"/>
        </w:trPr>
        <w:tc>
          <w:tcPr>
            <w:tcW w:w="39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20" w:type="dxa"/>
            <w:vAlign w:val="bottom"/>
            <w:gridSpan w:val="3"/>
          </w:tcPr>
          <w:p>
            <w:pPr>
              <w:jc w:val="center"/>
              <w:ind w:right="412"/>
              <w:spacing w:after="0"/>
              <w:rPr>
                <w:sz w:val="20"/>
                <w:szCs w:val="20"/>
                <w:color w:val="auto"/>
              </w:rPr>
            </w:pPr>
            <w:r>
              <w:rPr>
                <w:rFonts w:ascii="Arial" w:cs="Arial" w:eastAsia="Arial" w:hAnsi="Arial"/>
                <w:sz w:val="18"/>
                <w:szCs w:val="18"/>
                <w:b w:val="1"/>
                <w:bCs w:val="1"/>
                <w:i w:val="1"/>
                <w:iCs w:val="1"/>
                <w:color w:val="auto"/>
                <w:w w:val="83"/>
              </w:rPr>
              <w:t>Three months ended</w:t>
            </w:r>
          </w:p>
        </w:tc>
        <w:tc>
          <w:tcPr>
            <w:tcW w:w="300" w:type="dxa"/>
            <w:vAlign w:val="bottom"/>
          </w:tcPr>
          <w:p>
            <w:pPr>
              <w:spacing w:after="0"/>
              <w:rPr>
                <w:sz w:val="24"/>
                <w:szCs w:val="24"/>
                <w:color w:val="auto"/>
              </w:rPr>
            </w:pPr>
          </w:p>
        </w:tc>
        <w:tc>
          <w:tcPr>
            <w:tcW w:w="2400" w:type="dxa"/>
            <w:vAlign w:val="bottom"/>
            <w:gridSpan w:val="3"/>
          </w:tcPr>
          <w:p>
            <w:pPr>
              <w:jc w:val="center"/>
              <w:ind w:right="372"/>
              <w:spacing w:after="0"/>
              <w:rPr>
                <w:sz w:val="20"/>
                <w:szCs w:val="20"/>
                <w:color w:val="auto"/>
              </w:rPr>
            </w:pPr>
            <w:r>
              <w:rPr>
                <w:rFonts w:ascii="Arial" w:cs="Arial" w:eastAsia="Arial" w:hAnsi="Arial"/>
                <w:sz w:val="18"/>
                <w:szCs w:val="18"/>
                <w:b w:val="1"/>
                <w:bCs w:val="1"/>
                <w:i w:val="1"/>
                <w:iCs w:val="1"/>
                <w:color w:val="auto"/>
                <w:w w:val="83"/>
              </w:rPr>
              <w:t>Six months ended</w:t>
            </w:r>
          </w:p>
        </w:tc>
      </w:tr>
      <w:tr>
        <w:trPr>
          <w:trHeight w:val="222"/>
        </w:trPr>
        <w:tc>
          <w:tcPr>
            <w:tcW w:w="392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2400" w:type="dxa"/>
            <w:vAlign w:val="bottom"/>
          </w:tcPr>
          <w:p>
            <w:pPr>
              <w:spacing w:after="0"/>
              <w:rPr>
                <w:sz w:val="19"/>
                <w:szCs w:val="19"/>
                <w:color w:val="auto"/>
              </w:rPr>
            </w:pPr>
          </w:p>
        </w:tc>
        <w:tc>
          <w:tcPr>
            <w:tcW w:w="2420" w:type="dxa"/>
            <w:vAlign w:val="bottom"/>
            <w:gridSpan w:val="3"/>
          </w:tcPr>
          <w:p>
            <w:pPr>
              <w:jc w:val="center"/>
              <w:ind w:right="372"/>
              <w:spacing w:after="0"/>
              <w:rPr>
                <w:sz w:val="20"/>
                <w:szCs w:val="20"/>
                <w:color w:val="auto"/>
              </w:rPr>
            </w:pPr>
            <w:r>
              <w:rPr>
                <w:rFonts w:ascii="Arial" w:cs="Arial" w:eastAsia="Arial" w:hAnsi="Arial"/>
                <w:sz w:val="18"/>
                <w:szCs w:val="18"/>
                <w:b w:val="1"/>
                <w:bCs w:val="1"/>
                <w:i w:val="1"/>
                <w:iCs w:val="1"/>
                <w:color w:val="auto"/>
                <w:w w:val="84"/>
              </w:rPr>
              <w:t>November 30,</w:t>
            </w:r>
          </w:p>
        </w:tc>
        <w:tc>
          <w:tcPr>
            <w:tcW w:w="300" w:type="dxa"/>
            <w:vAlign w:val="bottom"/>
          </w:tcPr>
          <w:p>
            <w:pPr>
              <w:spacing w:after="0"/>
              <w:rPr>
                <w:sz w:val="19"/>
                <w:szCs w:val="19"/>
                <w:color w:val="auto"/>
              </w:rPr>
            </w:pPr>
          </w:p>
        </w:tc>
        <w:tc>
          <w:tcPr>
            <w:tcW w:w="1500" w:type="dxa"/>
            <w:vAlign w:val="bottom"/>
            <w:gridSpan w:val="2"/>
          </w:tcPr>
          <w:p>
            <w:pPr>
              <w:jc w:val="center"/>
              <w:ind w:left="392"/>
              <w:spacing w:after="0"/>
              <w:rPr>
                <w:sz w:val="20"/>
                <w:szCs w:val="20"/>
                <w:color w:val="auto"/>
              </w:rPr>
            </w:pPr>
            <w:r>
              <w:rPr>
                <w:rFonts w:ascii="Arial" w:cs="Arial" w:eastAsia="Arial" w:hAnsi="Arial"/>
                <w:sz w:val="18"/>
                <w:szCs w:val="18"/>
                <w:b w:val="1"/>
                <w:bCs w:val="1"/>
                <w:i w:val="1"/>
                <w:iCs w:val="1"/>
                <w:color w:val="auto"/>
                <w:w w:val="86"/>
              </w:rPr>
              <w:t>November 30,</w:t>
            </w:r>
          </w:p>
        </w:tc>
        <w:tc>
          <w:tcPr>
            <w:tcW w:w="900" w:type="dxa"/>
            <w:vAlign w:val="bottom"/>
          </w:tcPr>
          <w:p>
            <w:pPr>
              <w:spacing w:after="0"/>
              <w:rPr>
                <w:sz w:val="19"/>
                <w:szCs w:val="19"/>
                <w:color w:val="auto"/>
              </w:rPr>
            </w:pPr>
          </w:p>
        </w:tc>
      </w:tr>
      <w:tr>
        <w:trPr>
          <w:trHeight w:val="110"/>
        </w:trPr>
        <w:tc>
          <w:tcPr>
            <w:tcW w:w="392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r>
        <w:trPr>
          <w:trHeight w:val="316"/>
        </w:trPr>
        <w:tc>
          <w:tcPr>
            <w:tcW w:w="39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20" w:type="dxa"/>
            <w:vAlign w:val="bottom"/>
          </w:tcPr>
          <w:p>
            <w:pPr>
              <w:jc w:val="right"/>
              <w:ind w:right="452"/>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4"/>
                <w:szCs w:val="24"/>
                <w:color w:val="auto"/>
              </w:rPr>
            </w:pPr>
          </w:p>
        </w:tc>
        <w:tc>
          <w:tcPr>
            <w:tcW w:w="1060" w:type="dxa"/>
            <w:vAlign w:val="bottom"/>
          </w:tcPr>
          <w:p>
            <w:pPr>
              <w:jc w:val="right"/>
              <w:ind w:right="492"/>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24"/>
                <w:szCs w:val="24"/>
                <w:color w:val="auto"/>
              </w:rPr>
            </w:pPr>
          </w:p>
        </w:tc>
        <w:tc>
          <w:tcPr>
            <w:tcW w:w="1080" w:type="dxa"/>
            <w:vAlign w:val="bottom"/>
          </w:tcPr>
          <w:p>
            <w:pPr>
              <w:jc w:val="right"/>
              <w:ind w:right="512"/>
              <w:spacing w:after="0"/>
              <w:rPr>
                <w:sz w:val="20"/>
                <w:szCs w:val="20"/>
                <w:color w:val="auto"/>
              </w:rPr>
            </w:pPr>
            <w:r>
              <w:rPr>
                <w:rFonts w:ascii="Arial" w:cs="Arial" w:eastAsia="Arial" w:hAnsi="Arial"/>
                <w:sz w:val="18"/>
                <w:szCs w:val="18"/>
                <w:b w:val="1"/>
                <w:bCs w:val="1"/>
                <w:color w:val="auto"/>
              </w:rPr>
              <w:t>2009</w:t>
            </w:r>
          </w:p>
        </w:tc>
        <w:tc>
          <w:tcPr>
            <w:tcW w:w="420" w:type="dxa"/>
            <w:vAlign w:val="bottom"/>
          </w:tcPr>
          <w:p>
            <w:pPr>
              <w:spacing w:after="0"/>
              <w:rPr>
                <w:sz w:val="24"/>
                <w:szCs w:val="24"/>
                <w:color w:val="auto"/>
              </w:rPr>
            </w:pPr>
          </w:p>
        </w:tc>
        <w:tc>
          <w:tcPr>
            <w:tcW w:w="900" w:type="dxa"/>
            <w:vAlign w:val="bottom"/>
          </w:tcPr>
          <w:p>
            <w:pPr>
              <w:jc w:val="right"/>
              <w:ind w:right="472"/>
              <w:spacing w:after="0"/>
              <w:rPr>
                <w:sz w:val="20"/>
                <w:szCs w:val="20"/>
                <w:color w:val="auto"/>
              </w:rPr>
            </w:pPr>
            <w:r>
              <w:rPr>
                <w:rFonts w:ascii="Arial" w:cs="Arial" w:eastAsia="Arial" w:hAnsi="Arial"/>
                <w:sz w:val="18"/>
                <w:szCs w:val="18"/>
                <w:b w:val="1"/>
                <w:bCs w:val="1"/>
                <w:color w:val="auto"/>
                <w:w w:val="79"/>
              </w:rPr>
              <w:t>2008</w:t>
            </w:r>
          </w:p>
        </w:tc>
      </w:tr>
      <w:tr>
        <w:trPr>
          <w:trHeight w:val="110"/>
        </w:trPr>
        <w:tc>
          <w:tcPr>
            <w:tcW w:w="392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r>
        <w:trPr>
          <w:trHeight w:val="458"/>
        </w:trPr>
        <w:tc>
          <w:tcPr>
            <w:tcW w:w="3920" w:type="dxa"/>
            <w:vAlign w:val="bottom"/>
          </w:tcPr>
          <w:p>
            <w:pPr>
              <w:spacing w:after="0"/>
              <w:rPr>
                <w:sz w:val="20"/>
                <w:szCs w:val="20"/>
                <w:color w:val="auto"/>
              </w:rPr>
            </w:pPr>
            <w:r>
              <w:rPr>
                <w:rFonts w:ascii="Arial" w:cs="Arial" w:eastAsia="Arial" w:hAnsi="Arial"/>
                <w:sz w:val="18"/>
                <w:szCs w:val="18"/>
                <w:color w:val="auto"/>
              </w:rPr>
              <w:t>Revenues</w:t>
            </w:r>
          </w:p>
        </w:tc>
        <w:tc>
          <w:tcPr>
            <w:tcW w:w="24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122.6</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Pr>
          <w:p>
            <w:pPr>
              <w:ind w:left="500"/>
              <w:spacing w:after="0"/>
              <w:rPr>
                <w:sz w:val="20"/>
                <w:szCs w:val="20"/>
                <w:color w:val="auto"/>
              </w:rPr>
            </w:pPr>
            <w:r>
              <w:rPr>
                <w:rFonts w:ascii="Arial" w:cs="Arial" w:eastAsia="Arial" w:hAnsi="Arial"/>
                <w:sz w:val="18"/>
                <w:szCs w:val="18"/>
                <w:color w:val="auto"/>
              </w:rPr>
              <w:t>91.0</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271.3</w:t>
            </w:r>
          </w:p>
        </w:tc>
        <w:tc>
          <w:tcPr>
            <w:tcW w:w="4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206.1</w:t>
            </w:r>
          </w:p>
        </w:tc>
      </w:t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Operating (loss) income</w:t>
            </w:r>
          </w:p>
        </w:tc>
        <w:tc>
          <w:tcPr>
            <w:tcW w:w="2400" w:type="dxa"/>
            <w:vAlign w:val="bottom"/>
          </w:tcPr>
          <w:p>
            <w:pPr>
              <w:spacing w:after="0"/>
              <w:rPr>
                <w:sz w:val="19"/>
                <w:szCs w:val="19"/>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19"/>
                <w:szCs w:val="19"/>
                <w:color w:val="auto"/>
              </w:rPr>
            </w:pPr>
          </w:p>
        </w:tc>
        <w:tc>
          <w:tcPr>
            <w:tcW w:w="1060" w:type="dxa"/>
            <w:vAlign w:val="bottom"/>
          </w:tcPr>
          <w:p>
            <w:pPr>
              <w:ind w:left="500"/>
              <w:spacing w:after="0"/>
              <w:rPr>
                <w:sz w:val="20"/>
                <w:szCs w:val="20"/>
                <w:color w:val="auto"/>
              </w:rPr>
            </w:pPr>
            <w:r>
              <w:rPr>
                <w:rFonts w:ascii="Arial" w:cs="Arial" w:eastAsia="Arial" w:hAnsi="Arial"/>
                <w:sz w:val="18"/>
                <w:szCs w:val="18"/>
                <w:color w:val="auto"/>
              </w:rPr>
              <w:t>13.8</w:t>
            </w:r>
          </w:p>
        </w:tc>
        <w:tc>
          <w:tcPr>
            <w:tcW w:w="300" w:type="dxa"/>
            <w:vAlign w:val="bottom"/>
          </w:tcPr>
          <w:p>
            <w:pPr>
              <w:spacing w:after="0"/>
              <w:rPr>
                <w:sz w:val="19"/>
                <w:szCs w:val="19"/>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37.2</w:t>
            </w:r>
          </w:p>
        </w:tc>
        <w:tc>
          <w:tcPr>
            <w:tcW w:w="420" w:type="dxa"/>
            <w:vAlign w:val="bottom"/>
          </w:tcPr>
          <w:p>
            <w:pPr>
              <w:spacing w:after="0"/>
              <w:rPr>
                <w:sz w:val="19"/>
                <w:szCs w:val="19"/>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35.3</w:t>
            </w:r>
          </w:p>
        </w:tc>
      </w:tr>
      <w:tr>
        <w:trPr>
          <w:trHeight w:val="110"/>
        </w:trPr>
        <w:tc>
          <w:tcPr>
            <w:tcW w:w="392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r>
        <w:trPr>
          <w:trHeight w:val="464"/>
        </w:trPr>
        <w:tc>
          <w:tcPr>
            <w:tcW w:w="392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2400" w:type="dxa"/>
            <w:vAlign w:val="bottom"/>
          </w:tcPr>
          <w:p>
            <w:pPr>
              <w:spacing w:after="0"/>
              <w:rPr>
                <w:sz w:val="24"/>
                <w:szCs w:val="24"/>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4"/>
                <w:szCs w:val="24"/>
                <w:color w:val="auto"/>
              </w:rPr>
            </w:pPr>
          </w:p>
        </w:tc>
        <w:tc>
          <w:tcPr>
            <w:tcW w:w="1060" w:type="dxa"/>
            <w:vAlign w:val="bottom"/>
          </w:tcPr>
          <w:p>
            <w:pPr>
              <w:ind w:left="500"/>
              <w:spacing w:after="0"/>
              <w:rPr>
                <w:sz w:val="20"/>
                <w:szCs w:val="20"/>
                <w:color w:val="auto"/>
              </w:rPr>
            </w:pPr>
            <w:r>
              <w:rPr>
                <w:rFonts w:ascii="Arial" w:cs="Arial" w:eastAsia="Arial" w:hAnsi="Arial"/>
                <w:sz w:val="18"/>
                <w:szCs w:val="18"/>
                <w:b w:val="1"/>
                <w:bCs w:val="1"/>
                <w:color w:val="auto"/>
              </w:rPr>
              <w:t>15.2%</w:t>
            </w:r>
          </w:p>
        </w:tc>
        <w:tc>
          <w:tcPr>
            <w:tcW w:w="300" w:type="dxa"/>
            <w:vAlign w:val="bottom"/>
          </w:tcPr>
          <w:p>
            <w:pPr>
              <w:spacing w:after="0"/>
              <w:rPr>
                <w:sz w:val="24"/>
                <w:szCs w:val="24"/>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13.7%</w:t>
            </w: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17.1%</w:t>
            </w:r>
          </w:p>
        </w:tc>
      </w:tr>
      <w:tr>
        <w:trPr>
          <w:trHeight w:val="432"/>
        </w:trPr>
        <w:tc>
          <w:tcPr>
            <w:tcW w:w="3920" w:type="dxa"/>
            <w:vAlign w:val="bottom"/>
          </w:tcPr>
          <w:p>
            <w:pPr>
              <w:ind w:left="220"/>
              <w:spacing w:after="0"/>
              <w:rPr>
                <w:sz w:val="20"/>
                <w:szCs w:val="20"/>
                <w:color w:val="auto"/>
              </w:rPr>
            </w:pPr>
            <w:r>
              <w:rPr>
                <w:rFonts w:ascii="Arial" w:cs="Arial" w:eastAsia="Arial" w:hAnsi="Arial"/>
                <w:sz w:val="18"/>
                <w:szCs w:val="18"/>
                <w:color w:val="auto"/>
              </w:rPr>
              <w:t>* Not meaningful</w:t>
            </w:r>
          </w:p>
        </w:tc>
        <w:tc>
          <w:tcPr>
            <w:tcW w:w="2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21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 xml:space="preserve">Revenues in the </w:t>
      </w:r>
      <w:r>
        <w:rPr>
          <w:rFonts w:ascii="Arial" w:cs="Arial" w:eastAsia="Arial" w:hAnsi="Arial"/>
          <w:sz w:val="16"/>
          <w:szCs w:val="16"/>
          <w:i w:val="1"/>
          <w:iCs w:val="1"/>
          <w:color w:val="auto"/>
        </w:rPr>
        <w:t>Educational Publishing</w:t>
      </w:r>
      <w:r>
        <w:rPr>
          <w:rFonts w:ascii="Arial" w:cs="Arial" w:eastAsia="Arial" w:hAnsi="Arial"/>
          <w:sz w:val="16"/>
          <w:szCs w:val="16"/>
          <w:color w:val="auto"/>
        </w:rPr>
        <w:t xml:space="preserve"> segment for the quarter ended November 30, 2009 increased by $31.6 million, or 34.7%, to $122.6 million, compared to $91.0 million in the prior fiscal year quarter. This increase was principally driven by higher sales of educational technology products of approximately $28 million in the second quarter. Segment revenues for the six months ended November 30, 2009 increased by $65.2 million, or 31.6%, to $271.3 million, compared to $206.1 million in the prior fiscal year period. This increase was principally driven by higher revenues of approximately $63 million from sales of READ180, System 44 and other technology products and new adoptions, in particular the California adoption of READ180 and System 44, as well as the impact of the federal economic stimulus funding for education, which began to reach school districts in the first quarter.</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139" w:right="21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Segment operating loss for the quarter ended November 30, 2009 was $4.1 million, as compared to operating income in the prior year fiscal quarter of $13.8 million. This $17.9 million decline is attributable to a $36.3 million impairment charge recorded in connection with the Company’s decision to consolidate supplemental non-fiction and library publishing activities into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This was partially offset by the increased educational technology revenues in the quarter. Segment operating income for the six months ended November 30, 2009 increased by $1.9 million, or 5.4%, to $37.2 million, compared to $35.3 million in the prior fiscal year period. This increase is primarily due to the increase in revenues from education technology sales, partially offset by the asset impairment charge of $36.3 million described above.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80" w:type="dxa"/>
            <w:vAlign w:val="bottom"/>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2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39"/>
        </w:trPr>
        <w:tc>
          <w:tcPr>
            <w:tcW w:w="38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420" w:type="dxa"/>
            <w:vAlign w:val="bottom"/>
            <w:gridSpan w:val="3"/>
          </w:tcPr>
          <w:p>
            <w:pPr>
              <w:jc w:val="right"/>
              <w:ind w:right="632"/>
              <w:spacing w:after="0"/>
              <w:rPr>
                <w:sz w:val="20"/>
                <w:szCs w:val="20"/>
                <w:color w:val="auto"/>
              </w:rPr>
            </w:pPr>
            <w:r>
              <w:rPr>
                <w:rFonts w:ascii="Arial" w:cs="Arial" w:eastAsia="Arial" w:hAnsi="Arial"/>
                <w:sz w:val="18"/>
                <w:szCs w:val="18"/>
                <w:b w:val="1"/>
                <w:bCs w:val="1"/>
                <w:i w:val="1"/>
                <w:iCs w:val="1"/>
                <w:color w:val="auto"/>
                <w:w w:val="94"/>
              </w:rPr>
              <w:t>Three months ended</w:t>
            </w:r>
          </w:p>
        </w:tc>
        <w:tc>
          <w:tcPr>
            <w:tcW w:w="300" w:type="dxa"/>
            <w:vAlign w:val="bottom"/>
          </w:tcPr>
          <w:p>
            <w:pPr>
              <w:spacing w:after="0"/>
              <w:rPr>
                <w:sz w:val="24"/>
                <w:szCs w:val="24"/>
                <w:color w:val="auto"/>
              </w:rPr>
            </w:pPr>
          </w:p>
        </w:tc>
        <w:tc>
          <w:tcPr>
            <w:tcW w:w="2400" w:type="dxa"/>
            <w:vAlign w:val="bottom"/>
            <w:gridSpan w:val="3"/>
          </w:tcPr>
          <w:p>
            <w:pPr>
              <w:jc w:val="center"/>
              <w:ind w:right="372"/>
              <w:spacing w:after="0"/>
              <w:rPr>
                <w:sz w:val="20"/>
                <w:szCs w:val="20"/>
                <w:color w:val="auto"/>
              </w:rPr>
            </w:pPr>
            <w:r>
              <w:rPr>
                <w:rFonts w:ascii="Arial" w:cs="Arial" w:eastAsia="Arial" w:hAnsi="Arial"/>
                <w:sz w:val="18"/>
                <w:szCs w:val="18"/>
                <w:b w:val="1"/>
                <w:bCs w:val="1"/>
                <w:i w:val="1"/>
                <w:iCs w:val="1"/>
                <w:color w:val="auto"/>
                <w:w w:val="83"/>
              </w:rPr>
              <w:t>Six months ended</w:t>
            </w:r>
          </w:p>
        </w:tc>
      </w:tr>
      <w:tr>
        <w:trPr>
          <w:trHeight w:val="222"/>
        </w:trPr>
        <w:tc>
          <w:tcPr>
            <w:tcW w:w="388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2440" w:type="dxa"/>
            <w:vAlign w:val="bottom"/>
          </w:tcPr>
          <w:p>
            <w:pPr>
              <w:spacing w:after="0"/>
              <w:rPr>
                <w:sz w:val="19"/>
                <w:szCs w:val="19"/>
                <w:color w:val="auto"/>
              </w:rPr>
            </w:pPr>
          </w:p>
        </w:tc>
        <w:tc>
          <w:tcPr>
            <w:tcW w:w="2420" w:type="dxa"/>
            <w:vAlign w:val="bottom"/>
            <w:gridSpan w:val="3"/>
          </w:tcPr>
          <w:p>
            <w:pPr>
              <w:jc w:val="right"/>
              <w:ind w:right="852"/>
              <w:spacing w:after="0"/>
              <w:rPr>
                <w:sz w:val="20"/>
                <w:szCs w:val="20"/>
                <w:color w:val="auto"/>
              </w:rPr>
            </w:pPr>
            <w:r>
              <w:rPr>
                <w:rFonts w:ascii="Arial" w:cs="Arial" w:eastAsia="Arial" w:hAnsi="Arial"/>
                <w:sz w:val="18"/>
                <w:szCs w:val="18"/>
                <w:b w:val="1"/>
                <w:bCs w:val="1"/>
                <w:i w:val="1"/>
                <w:iCs w:val="1"/>
                <w:color w:val="auto"/>
              </w:rPr>
              <w:t>November 30,</w:t>
            </w:r>
          </w:p>
        </w:tc>
        <w:tc>
          <w:tcPr>
            <w:tcW w:w="300" w:type="dxa"/>
            <w:vAlign w:val="bottom"/>
          </w:tcPr>
          <w:p>
            <w:pPr>
              <w:spacing w:after="0"/>
              <w:rPr>
                <w:sz w:val="19"/>
                <w:szCs w:val="19"/>
                <w:color w:val="auto"/>
              </w:rPr>
            </w:pPr>
          </w:p>
        </w:tc>
        <w:tc>
          <w:tcPr>
            <w:tcW w:w="1500" w:type="dxa"/>
            <w:vAlign w:val="bottom"/>
            <w:gridSpan w:val="2"/>
          </w:tcPr>
          <w:p>
            <w:pPr>
              <w:jc w:val="center"/>
              <w:ind w:left="392"/>
              <w:spacing w:after="0"/>
              <w:rPr>
                <w:sz w:val="20"/>
                <w:szCs w:val="20"/>
                <w:color w:val="auto"/>
              </w:rPr>
            </w:pPr>
            <w:r>
              <w:rPr>
                <w:rFonts w:ascii="Arial" w:cs="Arial" w:eastAsia="Arial" w:hAnsi="Arial"/>
                <w:sz w:val="18"/>
                <w:szCs w:val="18"/>
                <w:b w:val="1"/>
                <w:bCs w:val="1"/>
                <w:i w:val="1"/>
                <w:iCs w:val="1"/>
                <w:color w:val="auto"/>
                <w:w w:val="86"/>
              </w:rPr>
              <w:t>November 30,</w:t>
            </w:r>
          </w:p>
        </w:tc>
        <w:tc>
          <w:tcPr>
            <w:tcW w:w="900" w:type="dxa"/>
            <w:vAlign w:val="bottom"/>
          </w:tcPr>
          <w:p>
            <w:pPr>
              <w:spacing w:after="0"/>
              <w:rPr>
                <w:sz w:val="19"/>
                <w:szCs w:val="19"/>
                <w:color w:val="auto"/>
              </w:rPr>
            </w:pPr>
          </w:p>
        </w:tc>
      </w:tr>
      <w:tr>
        <w:trPr>
          <w:trHeight w:val="110"/>
        </w:trPr>
        <w:tc>
          <w:tcPr>
            <w:tcW w:w="3880" w:type="dxa"/>
            <w:vAlign w:val="bottom"/>
            <w:tcBorders>
              <w:bottom w:val="single" w:sz="8" w:color="808080"/>
            </w:tcBorders>
          </w:tcPr>
          <w:p>
            <w:pPr>
              <w:spacing w:after="0"/>
              <w:rPr>
                <w:sz w:val="9"/>
                <w:szCs w:val="9"/>
                <w:color w:val="auto"/>
              </w:rPr>
            </w:pPr>
          </w:p>
        </w:tc>
        <w:tc>
          <w:tcPr>
            <w:tcW w:w="24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r>
        <w:trPr>
          <w:trHeight w:val="316"/>
        </w:trPr>
        <w:tc>
          <w:tcPr>
            <w:tcW w:w="38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60" w:type="dxa"/>
            <w:vAlign w:val="bottom"/>
          </w:tcPr>
          <w:p>
            <w:pPr>
              <w:jc w:val="right"/>
              <w:ind w:right="492"/>
              <w:spacing w:after="0"/>
              <w:rPr>
                <w:sz w:val="20"/>
                <w:szCs w:val="20"/>
                <w:color w:val="auto"/>
              </w:rPr>
            </w:pPr>
            <w:r>
              <w:rPr>
                <w:rFonts w:ascii="Arial" w:cs="Arial" w:eastAsia="Arial" w:hAnsi="Arial"/>
                <w:sz w:val="18"/>
                <w:szCs w:val="18"/>
                <w:b w:val="1"/>
                <w:bCs w:val="1"/>
                <w:color w:val="auto"/>
              </w:rPr>
              <w:t>2009</w:t>
            </w:r>
          </w:p>
        </w:tc>
        <w:tc>
          <w:tcPr>
            <w:tcW w:w="300" w:type="dxa"/>
            <w:vAlign w:val="bottom"/>
          </w:tcPr>
          <w:p>
            <w:pPr>
              <w:spacing w:after="0"/>
              <w:rPr>
                <w:sz w:val="24"/>
                <w:szCs w:val="24"/>
                <w:color w:val="auto"/>
              </w:rPr>
            </w:pPr>
          </w:p>
        </w:tc>
        <w:tc>
          <w:tcPr>
            <w:tcW w:w="1060" w:type="dxa"/>
            <w:vAlign w:val="bottom"/>
          </w:tcPr>
          <w:p>
            <w:pPr>
              <w:jc w:val="right"/>
              <w:ind w:right="492"/>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24"/>
                <w:szCs w:val="24"/>
                <w:color w:val="auto"/>
              </w:rPr>
            </w:pPr>
          </w:p>
        </w:tc>
        <w:tc>
          <w:tcPr>
            <w:tcW w:w="1080" w:type="dxa"/>
            <w:vAlign w:val="bottom"/>
          </w:tcPr>
          <w:p>
            <w:pPr>
              <w:jc w:val="right"/>
              <w:ind w:right="512"/>
              <w:spacing w:after="0"/>
              <w:rPr>
                <w:sz w:val="20"/>
                <w:szCs w:val="20"/>
                <w:color w:val="auto"/>
              </w:rPr>
            </w:pPr>
            <w:r>
              <w:rPr>
                <w:rFonts w:ascii="Arial" w:cs="Arial" w:eastAsia="Arial" w:hAnsi="Arial"/>
                <w:sz w:val="18"/>
                <w:szCs w:val="18"/>
                <w:b w:val="1"/>
                <w:bCs w:val="1"/>
                <w:color w:val="auto"/>
              </w:rPr>
              <w:t>2009</w:t>
            </w:r>
          </w:p>
        </w:tc>
        <w:tc>
          <w:tcPr>
            <w:tcW w:w="420" w:type="dxa"/>
            <w:vAlign w:val="bottom"/>
          </w:tcPr>
          <w:p>
            <w:pPr>
              <w:spacing w:after="0"/>
              <w:rPr>
                <w:sz w:val="24"/>
                <w:szCs w:val="24"/>
                <w:color w:val="auto"/>
              </w:rPr>
            </w:pPr>
          </w:p>
        </w:tc>
        <w:tc>
          <w:tcPr>
            <w:tcW w:w="900" w:type="dxa"/>
            <w:vAlign w:val="bottom"/>
          </w:tcPr>
          <w:p>
            <w:pPr>
              <w:jc w:val="right"/>
              <w:ind w:right="472"/>
              <w:spacing w:after="0"/>
              <w:rPr>
                <w:sz w:val="20"/>
                <w:szCs w:val="20"/>
                <w:color w:val="auto"/>
              </w:rPr>
            </w:pPr>
            <w:r>
              <w:rPr>
                <w:rFonts w:ascii="Arial" w:cs="Arial" w:eastAsia="Arial" w:hAnsi="Arial"/>
                <w:sz w:val="18"/>
                <w:szCs w:val="18"/>
                <w:b w:val="1"/>
                <w:bCs w:val="1"/>
                <w:color w:val="auto"/>
                <w:w w:val="79"/>
              </w:rPr>
              <w:t>2008</w:t>
            </w:r>
          </w:p>
        </w:tc>
      </w:tr>
      <w:tr>
        <w:trPr>
          <w:trHeight w:val="110"/>
        </w:trPr>
        <w:tc>
          <w:tcPr>
            <w:tcW w:w="3880" w:type="dxa"/>
            <w:vAlign w:val="bottom"/>
            <w:tcBorders>
              <w:bottom w:val="single" w:sz="8" w:color="808080"/>
            </w:tcBorders>
          </w:tcPr>
          <w:p>
            <w:pPr>
              <w:spacing w:after="0"/>
              <w:rPr>
                <w:sz w:val="9"/>
                <w:szCs w:val="9"/>
                <w:color w:val="auto"/>
              </w:rPr>
            </w:pPr>
          </w:p>
        </w:tc>
        <w:tc>
          <w:tcPr>
            <w:tcW w:w="24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r>
        <w:trPr>
          <w:trHeight w:val="458"/>
        </w:trPr>
        <w:tc>
          <w:tcPr>
            <w:tcW w:w="3880" w:type="dxa"/>
            <w:vAlign w:val="bottom"/>
          </w:tcPr>
          <w:p>
            <w:pPr>
              <w:spacing w:after="0"/>
              <w:rPr>
                <w:sz w:val="20"/>
                <w:szCs w:val="20"/>
                <w:color w:val="auto"/>
              </w:rPr>
            </w:pPr>
            <w:r>
              <w:rPr>
                <w:rFonts w:ascii="Arial" w:cs="Arial" w:eastAsia="Arial" w:hAnsi="Arial"/>
                <w:sz w:val="18"/>
                <w:szCs w:val="18"/>
                <w:color w:val="auto"/>
              </w:rPr>
              <w:t>Revenues</w:t>
            </w:r>
          </w:p>
        </w:tc>
        <w:tc>
          <w:tcPr>
            <w:tcW w:w="24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130.9</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122.0</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206.5</w:t>
            </w:r>
          </w:p>
        </w:tc>
        <w:tc>
          <w:tcPr>
            <w:tcW w:w="4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206.1</w:t>
            </w:r>
          </w:p>
        </w:tc>
      </w:tr>
      <w:tr>
        <w:trPr>
          <w:trHeight w:val="222"/>
        </w:trPr>
        <w:tc>
          <w:tcPr>
            <w:tcW w:w="3880" w:type="dxa"/>
            <w:vAlign w:val="bottom"/>
          </w:tcPr>
          <w:p>
            <w:pPr>
              <w:spacing w:after="0"/>
              <w:rPr>
                <w:sz w:val="20"/>
                <w:szCs w:val="20"/>
                <w:color w:val="auto"/>
              </w:rPr>
            </w:pPr>
            <w:r>
              <w:rPr>
                <w:rFonts w:ascii="Arial" w:cs="Arial" w:eastAsia="Arial" w:hAnsi="Arial"/>
                <w:sz w:val="18"/>
                <w:szCs w:val="18"/>
                <w:color w:val="auto"/>
              </w:rPr>
              <w:t>Operating income</w:t>
            </w:r>
          </w:p>
        </w:tc>
        <w:tc>
          <w:tcPr>
            <w:tcW w:w="2440" w:type="dxa"/>
            <w:vAlign w:val="bottom"/>
          </w:tcPr>
          <w:p>
            <w:pPr>
              <w:spacing w:after="0"/>
              <w:rPr>
                <w:sz w:val="19"/>
                <w:szCs w:val="19"/>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14.8</w:t>
            </w:r>
          </w:p>
        </w:tc>
        <w:tc>
          <w:tcPr>
            <w:tcW w:w="300" w:type="dxa"/>
            <w:vAlign w:val="bottom"/>
          </w:tcPr>
          <w:p>
            <w:pPr>
              <w:spacing w:after="0"/>
              <w:rPr>
                <w:sz w:val="19"/>
                <w:szCs w:val="19"/>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14.0</w:t>
            </w:r>
          </w:p>
        </w:tc>
        <w:tc>
          <w:tcPr>
            <w:tcW w:w="300" w:type="dxa"/>
            <w:vAlign w:val="bottom"/>
          </w:tcPr>
          <w:p>
            <w:pPr>
              <w:spacing w:after="0"/>
              <w:rPr>
                <w:sz w:val="19"/>
                <w:szCs w:val="19"/>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12.9</w:t>
            </w:r>
          </w:p>
        </w:tc>
        <w:tc>
          <w:tcPr>
            <w:tcW w:w="420" w:type="dxa"/>
            <w:vAlign w:val="bottom"/>
          </w:tcPr>
          <w:p>
            <w:pPr>
              <w:spacing w:after="0"/>
              <w:rPr>
                <w:sz w:val="19"/>
                <w:szCs w:val="19"/>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10.7</w:t>
            </w:r>
          </w:p>
        </w:tc>
      </w:tr>
      <w:tr>
        <w:trPr>
          <w:trHeight w:val="110"/>
        </w:trPr>
        <w:tc>
          <w:tcPr>
            <w:tcW w:w="3880" w:type="dxa"/>
            <w:vAlign w:val="bottom"/>
            <w:tcBorders>
              <w:bottom w:val="single" w:sz="8" w:color="808080"/>
            </w:tcBorders>
          </w:tcPr>
          <w:p>
            <w:pPr>
              <w:spacing w:after="0"/>
              <w:rPr>
                <w:sz w:val="9"/>
                <w:szCs w:val="9"/>
                <w:color w:val="auto"/>
              </w:rPr>
            </w:pPr>
          </w:p>
        </w:tc>
        <w:tc>
          <w:tcPr>
            <w:tcW w:w="24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r>
        <w:trPr>
          <w:trHeight w:val="464"/>
        </w:trPr>
        <w:tc>
          <w:tcPr>
            <w:tcW w:w="388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24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11.3%</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11.5%</w:t>
            </w:r>
          </w:p>
        </w:tc>
        <w:tc>
          <w:tcPr>
            <w:tcW w:w="300" w:type="dxa"/>
            <w:vAlign w:val="bottom"/>
          </w:tcPr>
          <w:p>
            <w:pPr>
              <w:spacing w:after="0"/>
              <w:rPr>
                <w:sz w:val="24"/>
                <w:szCs w:val="24"/>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6.2%</w:t>
            </w: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5.2%</w:t>
            </w:r>
          </w:p>
        </w:tc>
      </w:tr>
    </w:tbl>
    <w:p>
      <w:pPr>
        <w:spacing w:after="0" w:line="21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 xml:space="preserve">Revenues in the </w:t>
      </w:r>
      <w:r>
        <w:rPr>
          <w:rFonts w:ascii="Arial" w:cs="Arial" w:eastAsia="Arial" w:hAnsi="Arial"/>
          <w:sz w:val="16"/>
          <w:szCs w:val="16"/>
          <w:i w:val="1"/>
          <w:iCs w:val="1"/>
          <w:color w:val="auto"/>
        </w:rPr>
        <w:t>International</w:t>
      </w:r>
      <w:r>
        <w:rPr>
          <w:rFonts w:ascii="Arial" w:cs="Arial" w:eastAsia="Arial" w:hAnsi="Arial"/>
          <w:sz w:val="16"/>
          <w:szCs w:val="16"/>
          <w:color w:val="auto"/>
        </w:rPr>
        <w:t xml:space="preserve"> segment for the quarter ended November 30, 2009 increased by $8.9 million, or 7.3%, to $130.9 million, compared to $122.0 million in the prior fiscal year quarter, primarily due to a favorable impact of foreign currency exchange rates of $8.9 million, as well as increased local currency revenues in the Company’s Canadian operation of $2.8 million, partially offset by lower revenues in the Company’s export business of $3.4 million. Segment revenues for the six months ended November 30, 2009 increased by $0.4 million to $206.5 million, compared to $206.1 million in the prior fiscal year period, primarily due to the favorable impact of foreign currency exchange rates.</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Segment operating income for the quarter ended November 30, 2009 increased by $0.8 million, or 5.7%, to $14.8 million, compared to $14.0 million in the prior fiscal year quarter, primarily due to a favorable impact of foreign currency exchange rates of $6.5 million, partially offset by lower results in the United Kingdom, which included an impairment charge of $3.8 million related to customer lists acquired in connection with the dissolution of a joint venture and restructuring costs of $1.9 million related to the consolidation of distribution facilities. Segment operating income for the six months ended November 30, 2009 increased by $2.2 million, or 20.6%, to $12.9 million, compared to $10.7 million in the prior fiscal year period. This increase was primarily due to the favorable impact of foreign currency exchange rates of $6.6 million, partially offset by lower results in the United Kingdom.</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300" w:type="dxa"/>
            <w:vAlign w:val="bottom"/>
          </w:tcPr>
          <w:p>
            <w:pPr>
              <w:spacing w:after="0"/>
              <w:rPr>
                <w:sz w:val="20"/>
                <w:szCs w:val="20"/>
                <w:color w:val="auto"/>
              </w:rPr>
            </w:pPr>
            <w:r>
              <w:rPr>
                <w:rFonts w:ascii="Arial" w:cs="Arial" w:eastAsia="Arial" w:hAnsi="Arial"/>
                <w:sz w:val="18"/>
                <w:szCs w:val="18"/>
                <w:b w:val="1"/>
                <w:bCs w:val="1"/>
                <w:i w:val="1"/>
                <w:iCs w:val="1"/>
                <w:color w:val="auto"/>
              </w:rPr>
              <w:t>Media, Licensing and Advertising</w:t>
            </w:r>
          </w:p>
        </w:tc>
        <w:tc>
          <w:tcPr>
            <w:tcW w:w="2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39"/>
        </w:trPr>
        <w:tc>
          <w:tcPr>
            <w:tcW w:w="4300" w:type="dxa"/>
            <w:vAlign w:val="bottom"/>
          </w:tcPr>
          <w:p>
            <w:pPr>
              <w:spacing w:after="0"/>
              <w:rPr>
                <w:sz w:val="24"/>
                <w:szCs w:val="24"/>
                <w:color w:val="auto"/>
              </w:rPr>
            </w:pPr>
          </w:p>
        </w:tc>
        <w:tc>
          <w:tcPr>
            <w:tcW w:w="3900" w:type="dxa"/>
            <w:vAlign w:val="bottom"/>
            <w:gridSpan w:val="3"/>
          </w:tcPr>
          <w:p>
            <w:pPr>
              <w:jc w:val="right"/>
              <w:ind w:right="52"/>
              <w:spacing w:after="0"/>
              <w:rPr>
                <w:sz w:val="20"/>
                <w:szCs w:val="20"/>
                <w:color w:val="auto"/>
              </w:rPr>
            </w:pPr>
            <w:r>
              <w:rPr>
                <w:rFonts w:ascii="Arial" w:cs="Arial" w:eastAsia="Arial" w:hAnsi="Arial"/>
                <w:sz w:val="18"/>
                <w:szCs w:val="18"/>
                <w:b w:val="1"/>
                <w:bCs w:val="1"/>
                <w:i w:val="1"/>
                <w:iCs w:val="1"/>
                <w:color w:val="auto"/>
              </w:rPr>
              <w:t>Three months ended</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gridSpan w:val="3"/>
          </w:tcPr>
          <w:p>
            <w:pPr>
              <w:jc w:val="center"/>
              <w:ind w:right="312"/>
              <w:spacing w:after="0"/>
              <w:rPr>
                <w:sz w:val="20"/>
                <w:szCs w:val="20"/>
                <w:color w:val="auto"/>
              </w:rPr>
            </w:pPr>
            <w:r>
              <w:rPr>
                <w:rFonts w:ascii="Arial" w:cs="Arial" w:eastAsia="Arial" w:hAnsi="Arial"/>
                <w:sz w:val="18"/>
                <w:szCs w:val="18"/>
                <w:b w:val="1"/>
                <w:bCs w:val="1"/>
                <w:i w:val="1"/>
                <w:iCs w:val="1"/>
                <w:color w:val="auto"/>
                <w:w w:val="82"/>
              </w:rPr>
              <w:t>Six months ended</w:t>
            </w:r>
          </w:p>
        </w:tc>
      </w:tr>
      <w:tr>
        <w:trPr>
          <w:trHeight w:val="222"/>
        </w:trPr>
        <w:tc>
          <w:tcPr>
            <w:tcW w:w="430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2540" w:type="dxa"/>
            <w:vAlign w:val="bottom"/>
          </w:tcPr>
          <w:p>
            <w:pPr>
              <w:spacing w:after="0"/>
              <w:rPr>
                <w:sz w:val="19"/>
                <w:szCs w:val="19"/>
                <w:color w:val="auto"/>
              </w:rPr>
            </w:pPr>
          </w:p>
        </w:tc>
        <w:tc>
          <w:tcPr>
            <w:tcW w:w="1360" w:type="dxa"/>
            <w:vAlign w:val="bottom"/>
            <w:gridSpan w:val="2"/>
          </w:tcPr>
          <w:p>
            <w:pPr>
              <w:jc w:val="right"/>
              <w:ind w:right="272"/>
              <w:spacing w:after="0"/>
              <w:rPr>
                <w:sz w:val="20"/>
                <w:szCs w:val="20"/>
                <w:color w:val="auto"/>
              </w:rPr>
            </w:pPr>
            <w:r>
              <w:rPr>
                <w:rFonts w:ascii="Arial" w:cs="Arial" w:eastAsia="Arial" w:hAnsi="Arial"/>
                <w:sz w:val="18"/>
                <w:szCs w:val="18"/>
                <w:b w:val="1"/>
                <w:bCs w:val="1"/>
                <w:i w:val="1"/>
                <w:iCs w:val="1"/>
                <w:color w:val="auto"/>
                <w:w w:val="82"/>
              </w:rPr>
              <w:t>November 30,</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gridSpan w:val="2"/>
          </w:tcPr>
          <w:p>
            <w:pPr>
              <w:jc w:val="center"/>
              <w:ind w:left="392"/>
              <w:spacing w:after="0"/>
              <w:rPr>
                <w:sz w:val="20"/>
                <w:szCs w:val="20"/>
                <w:color w:val="auto"/>
              </w:rPr>
            </w:pPr>
            <w:r>
              <w:rPr>
                <w:rFonts w:ascii="Arial" w:cs="Arial" w:eastAsia="Arial" w:hAnsi="Arial"/>
                <w:sz w:val="18"/>
                <w:szCs w:val="18"/>
                <w:b w:val="1"/>
                <w:bCs w:val="1"/>
                <w:i w:val="1"/>
                <w:iCs w:val="1"/>
                <w:color w:val="auto"/>
                <w:w w:val="84"/>
              </w:rPr>
              <w:t>November 30,</w:t>
            </w:r>
          </w:p>
        </w:tc>
        <w:tc>
          <w:tcPr>
            <w:tcW w:w="840" w:type="dxa"/>
            <w:vAlign w:val="bottom"/>
          </w:tcPr>
          <w:p>
            <w:pPr>
              <w:spacing w:after="0"/>
              <w:rPr>
                <w:sz w:val="19"/>
                <w:szCs w:val="19"/>
                <w:color w:val="auto"/>
              </w:rPr>
            </w:pPr>
          </w:p>
        </w:tc>
      </w:tr>
      <w:tr>
        <w:trPr>
          <w:trHeight w:val="110"/>
        </w:trPr>
        <w:tc>
          <w:tcPr>
            <w:tcW w:w="4300" w:type="dxa"/>
            <w:vAlign w:val="bottom"/>
            <w:tcBorders>
              <w:bottom w:val="single" w:sz="8" w:color="808080"/>
            </w:tcBorders>
          </w:tcPr>
          <w:p>
            <w:pPr>
              <w:spacing w:after="0"/>
              <w:rPr>
                <w:sz w:val="9"/>
                <w:szCs w:val="9"/>
                <w:color w:val="auto"/>
              </w:rPr>
            </w:pPr>
          </w:p>
        </w:tc>
        <w:tc>
          <w:tcPr>
            <w:tcW w:w="25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316"/>
        </w:trPr>
        <w:tc>
          <w:tcPr>
            <w:tcW w:w="430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2009</w:t>
            </w:r>
          </w:p>
        </w:tc>
        <w:tc>
          <w:tcPr>
            <w:tcW w:w="5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2008</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472"/>
              <w:spacing w:after="0"/>
              <w:rPr>
                <w:sz w:val="20"/>
                <w:szCs w:val="20"/>
                <w:color w:val="auto"/>
              </w:rPr>
            </w:pPr>
            <w:r>
              <w:rPr>
                <w:rFonts w:ascii="Arial" w:cs="Arial" w:eastAsia="Arial" w:hAnsi="Arial"/>
                <w:sz w:val="18"/>
                <w:szCs w:val="18"/>
                <w:b w:val="1"/>
                <w:bCs w:val="1"/>
                <w:color w:val="auto"/>
              </w:rPr>
              <w:t>2009</w:t>
            </w:r>
          </w:p>
        </w:tc>
        <w:tc>
          <w:tcPr>
            <w:tcW w:w="480" w:type="dxa"/>
            <w:vAlign w:val="bottom"/>
          </w:tcPr>
          <w:p>
            <w:pPr>
              <w:spacing w:after="0"/>
              <w:rPr>
                <w:sz w:val="24"/>
                <w:szCs w:val="24"/>
                <w:color w:val="auto"/>
              </w:rPr>
            </w:pPr>
          </w:p>
        </w:tc>
        <w:tc>
          <w:tcPr>
            <w:tcW w:w="840" w:type="dxa"/>
            <w:vAlign w:val="bottom"/>
          </w:tcPr>
          <w:p>
            <w:pPr>
              <w:jc w:val="right"/>
              <w:ind w:right="412"/>
              <w:spacing w:after="0"/>
              <w:rPr>
                <w:sz w:val="20"/>
                <w:szCs w:val="20"/>
                <w:color w:val="auto"/>
              </w:rPr>
            </w:pPr>
            <w:r>
              <w:rPr>
                <w:rFonts w:ascii="Arial" w:cs="Arial" w:eastAsia="Arial" w:hAnsi="Arial"/>
                <w:sz w:val="18"/>
                <w:szCs w:val="18"/>
                <w:b w:val="1"/>
                <w:bCs w:val="1"/>
                <w:color w:val="auto"/>
                <w:w w:val="79"/>
              </w:rPr>
              <w:t>2008</w:t>
            </w:r>
          </w:p>
        </w:tc>
      </w:tr>
      <w:tr>
        <w:trPr>
          <w:trHeight w:val="110"/>
        </w:trPr>
        <w:tc>
          <w:tcPr>
            <w:tcW w:w="4300" w:type="dxa"/>
            <w:vAlign w:val="bottom"/>
            <w:tcBorders>
              <w:bottom w:val="single" w:sz="8" w:color="808080"/>
            </w:tcBorders>
          </w:tcPr>
          <w:p>
            <w:pPr>
              <w:spacing w:after="0"/>
              <w:rPr>
                <w:sz w:val="9"/>
                <w:szCs w:val="9"/>
                <w:color w:val="auto"/>
              </w:rPr>
            </w:pPr>
          </w:p>
        </w:tc>
        <w:tc>
          <w:tcPr>
            <w:tcW w:w="25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458"/>
        </w:trPr>
        <w:tc>
          <w:tcPr>
            <w:tcW w:w="4300" w:type="dxa"/>
            <w:vAlign w:val="bottom"/>
          </w:tcPr>
          <w:p>
            <w:pPr>
              <w:spacing w:after="0"/>
              <w:rPr>
                <w:sz w:val="20"/>
                <w:szCs w:val="20"/>
                <w:color w:val="auto"/>
              </w:rPr>
            </w:pPr>
            <w:r>
              <w:rPr>
                <w:rFonts w:ascii="Arial" w:cs="Arial" w:eastAsia="Arial" w:hAnsi="Arial"/>
                <w:sz w:val="18"/>
                <w:szCs w:val="18"/>
                <w:color w:val="auto"/>
              </w:rPr>
              <w:t>Revenues</w:t>
            </w:r>
          </w:p>
        </w:tc>
        <w:tc>
          <w:tcPr>
            <w:tcW w:w="254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37.8</w:t>
            </w:r>
          </w:p>
        </w:tc>
        <w:tc>
          <w:tcPr>
            <w:tcW w:w="780" w:type="dxa"/>
            <w:vAlign w:val="bottom"/>
          </w:tcPr>
          <w:p>
            <w:pPr>
              <w:jc w:val="right"/>
              <w:ind w:right="512"/>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47.4</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52.9</w:t>
            </w:r>
          </w:p>
        </w:tc>
        <w:tc>
          <w:tcPr>
            <w:tcW w:w="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63.5</w:t>
            </w:r>
          </w:p>
        </w:tc>
      </w:tr>
      <w:tr>
        <w:trPr>
          <w:trHeight w:val="222"/>
        </w:trPr>
        <w:tc>
          <w:tcPr>
            <w:tcW w:w="4300" w:type="dxa"/>
            <w:vAlign w:val="bottom"/>
          </w:tcPr>
          <w:p>
            <w:pPr>
              <w:spacing w:after="0"/>
              <w:rPr>
                <w:sz w:val="20"/>
                <w:szCs w:val="20"/>
                <w:color w:val="auto"/>
              </w:rPr>
            </w:pPr>
            <w:r>
              <w:rPr>
                <w:rFonts w:ascii="Arial" w:cs="Arial" w:eastAsia="Arial" w:hAnsi="Arial"/>
                <w:sz w:val="18"/>
                <w:szCs w:val="18"/>
                <w:color w:val="auto"/>
              </w:rPr>
              <w:t>Operating income (loss)</w:t>
            </w:r>
          </w:p>
        </w:tc>
        <w:tc>
          <w:tcPr>
            <w:tcW w:w="2540" w:type="dxa"/>
            <w:vAlign w:val="bottom"/>
          </w:tcPr>
          <w:p>
            <w:pPr>
              <w:spacing w:after="0"/>
              <w:rPr>
                <w:sz w:val="19"/>
                <w:szCs w:val="19"/>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2.6</w:t>
            </w:r>
          </w:p>
        </w:tc>
        <w:tc>
          <w:tcPr>
            <w:tcW w:w="780" w:type="dxa"/>
            <w:vAlign w:val="bottom"/>
          </w:tcPr>
          <w:p>
            <w:pPr>
              <w:spacing w:after="0"/>
              <w:rPr>
                <w:sz w:val="19"/>
                <w:szCs w:val="19"/>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9"/>
                <w:szCs w:val="19"/>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110"/>
        </w:trPr>
        <w:tc>
          <w:tcPr>
            <w:tcW w:w="4300" w:type="dxa"/>
            <w:vAlign w:val="bottom"/>
            <w:tcBorders>
              <w:bottom w:val="single" w:sz="8" w:color="808080"/>
            </w:tcBorders>
          </w:tcPr>
          <w:p>
            <w:pPr>
              <w:spacing w:after="0"/>
              <w:rPr>
                <w:sz w:val="9"/>
                <w:szCs w:val="9"/>
                <w:color w:val="auto"/>
              </w:rPr>
            </w:pPr>
          </w:p>
        </w:tc>
        <w:tc>
          <w:tcPr>
            <w:tcW w:w="25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464"/>
        </w:trPr>
        <w:tc>
          <w:tcPr>
            <w:tcW w:w="430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25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6.9%</w:t>
            </w:r>
          </w:p>
        </w:tc>
        <w:tc>
          <w:tcPr>
            <w:tcW w:w="7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300" w:type="dxa"/>
            <w:vAlign w:val="bottom"/>
          </w:tcPr>
          <w:p>
            <w:pPr>
              <w:spacing w:after="0"/>
              <w:rPr>
                <w:sz w:val="24"/>
                <w:szCs w:val="24"/>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32"/>
        </w:trPr>
        <w:tc>
          <w:tcPr>
            <w:tcW w:w="4300" w:type="dxa"/>
            <w:vAlign w:val="bottom"/>
          </w:tcPr>
          <w:p>
            <w:pPr>
              <w:ind w:left="220"/>
              <w:spacing w:after="0"/>
              <w:rPr>
                <w:sz w:val="20"/>
                <w:szCs w:val="20"/>
                <w:color w:val="auto"/>
              </w:rPr>
            </w:pPr>
            <w:r>
              <w:rPr>
                <w:rFonts w:ascii="Arial" w:cs="Arial" w:eastAsia="Arial" w:hAnsi="Arial"/>
                <w:sz w:val="18"/>
                <w:szCs w:val="18"/>
                <w:color w:val="auto"/>
              </w:rPr>
              <w:t>* Not meaningful</w:t>
            </w:r>
          </w:p>
        </w:tc>
        <w:tc>
          <w:tcPr>
            <w:tcW w:w="2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1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 xml:space="preserve">Revenues in the </w:t>
      </w:r>
      <w:r>
        <w:rPr>
          <w:rFonts w:ascii="Arial" w:cs="Arial" w:eastAsia="Arial" w:hAnsi="Arial"/>
          <w:sz w:val="16"/>
          <w:szCs w:val="16"/>
          <w:i w:val="1"/>
          <w:iCs w:val="1"/>
          <w:color w:val="auto"/>
        </w:rPr>
        <w:t>Media, Licensing and Advertising</w:t>
      </w:r>
      <w:r>
        <w:rPr>
          <w:rFonts w:ascii="Arial" w:cs="Arial" w:eastAsia="Arial" w:hAnsi="Arial"/>
          <w:sz w:val="16"/>
          <w:szCs w:val="16"/>
          <w:color w:val="auto"/>
        </w:rPr>
        <w:t xml:space="preserve"> segment for the quarter ended November 30, 2009 decreased by $9.6 million, or 20.3%, to $37.8 million, compared to $47.4 million in the prior fiscal year quarter, primarily due to lower revenues from third party sales of software and interactive products, as well as lower advertising revenues. Segment revenues for the six months ended November 30, 2009 decreased by $10.6 million, or 16.7%, to $52.9 million, compared to $63.5 million in the prior fiscal year period, primarily due to the lower revenues from third party sales of software and interactive products.</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Segment operating income for the quarter ended November 30, 2009 decreased to $2.6 million, compared to $4.0 million in the prior fiscal year quarter, primarily due to the lower software and interactive revenues. Segment operating loss for the six months ended November 30, 2009 was $1.1 million, compared to a loss in the same prior year period of $0.8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Discontinued Operations</w:t>
      </w:r>
    </w:p>
    <w:p>
      <w:pPr>
        <w:spacing w:after="0" w:line="231"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The loss from discontinued operations, net of tax, was $1.3 million for the quarter ended November 30, 2009, compared to $15.4 million in the prior fiscal year quarter. Prior period losses reflect impairment charges, while the current period includes the loss on the sale of a previously discontinued non-core book distribution business, partially offset by favorable accounts receivable collections. Income from discontinued operations, net of tax, was $0.3 million for the six months ended November 30, 2009, compared to a loss of $21.6 million in the prior fiscal year.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school-based book clubs, school-based book fairs and most of its magazines operate on a school-year basis. Therefore, the Company’s business is highly seasonal. As a result, the Company’s revenues in the first and third quarters of the fiscal year generally are lower than its revenues in the other two fiscal quarters. Typically, school-based book club and book fair revenues are greatest in the second and fourth quarters of the fiscal year, while revenues from the sale of instructional materials and educational technology products are highest in the first and fourth quarters. The Company historically has experienced a loss from operations in the first and third quarters of each fiscal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Company’s cash and cash equivalents, including cash from discontinued operations, totaled $178.3 million at November 30, 2009, compared to $143.6 million at May 31, 2009 and $31.8 million at November 30, 2008.</w:t>
      </w:r>
    </w:p>
    <w:p>
      <w:pPr>
        <w:spacing w:after="0" w:line="186"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color w:val="auto"/>
        </w:rPr>
        <w:t>Cash provided by operating activities improved by $166.3 million to $103.0 million for the six months ended November 30, 2009, compared to cash used by operating activities of $63.3 million in the prior fiscal year period. In addition to the increase in net income, adjusted for non-cash items of $54.4 million, the $166.3 million improvement was primarily related to favorable working capital changes which included:</w:t>
      </w:r>
    </w:p>
    <w:p>
      <w:pPr>
        <w:spacing w:after="0" w:line="174" w:lineRule="exact"/>
        <w:rPr>
          <w:sz w:val="20"/>
          <w:szCs w:val="20"/>
          <w:color w:val="auto"/>
        </w:rPr>
      </w:pPr>
    </w:p>
    <w:p>
      <w:pPr>
        <w:ind w:left="920" w:right="200" w:hanging="453"/>
        <w:spacing w:after="0" w:line="268" w:lineRule="auto"/>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$51.2 million increase in accounts payable and other accrued expenses compared to a $14.1 million increase in the prior year period, yielding an improvement of $37.1 million in cash provided by operating activities;</w:t>
      </w:r>
    </w:p>
    <w:p>
      <w:pPr>
        <w:spacing w:after="0" w:line="118" w:lineRule="exact"/>
        <w:rPr>
          <w:rFonts w:ascii="Arial" w:cs="Arial" w:eastAsia="Arial" w:hAnsi="Arial"/>
          <w:sz w:val="18"/>
          <w:szCs w:val="18"/>
          <w:color w:val="auto"/>
        </w:rPr>
      </w:pPr>
    </w:p>
    <w:p>
      <w:pPr>
        <w:ind w:left="920" w:right="400" w:hanging="453"/>
        <w:spacing w:after="0" w:line="268" w:lineRule="auto"/>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$39.1 million increase in inventory in the current period compared to a $97.6 million increase in the prior period, yielding an improvement of $58.5 million in cash provided by operating activities;</w:t>
      </w:r>
    </w:p>
    <w:p>
      <w:pPr>
        <w:spacing w:after="0" w:line="118" w:lineRule="exact"/>
        <w:rPr>
          <w:rFonts w:ascii="Arial" w:cs="Arial" w:eastAsia="Arial" w:hAnsi="Arial"/>
          <w:sz w:val="18"/>
          <w:szCs w:val="18"/>
          <w:color w:val="auto"/>
        </w:rPr>
      </w:pPr>
    </w:p>
    <w:p>
      <w:pPr>
        <w:ind w:left="920" w:right="360" w:hanging="453"/>
        <w:spacing w:after="0" w:line="268" w:lineRule="auto"/>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partially offset by increased accounts receivable of $90.5 million in the current period compared to an increase of $82.4 million in the prior year period, yielding $8.1 million less in cash provided by operating activities in the current fiscal year.</w:t>
      </w:r>
    </w:p>
    <w:p>
      <w:pPr>
        <w:spacing w:after="0" w:line="18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Current fiscal year accounts payable increases were primarily due to the timing of payments driven by improved terms with key vendors. Current fiscal year inventory reductions resulted from the timing of purchases and Company initiatives designed to reduce inventory levels. Increased accounts receivable balances during the current fiscal year resulted from higher sales of educational technology products.</w:t>
      </w:r>
    </w:p>
    <w:p>
      <w:pPr>
        <w:spacing w:after="0" w:line="19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Cash used in investing activities decreased by $3.9 million to $39.1 million for the six months ended November 30, 2009, compared to $43.0 million in the prior fiscal year period. This change is primarily related to a reduction in spending in property, plant and equipment and prepublication expenditures. This was partially offset by the prior fiscal year’s repayment of an investee loan.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Cash used in financing activities was $26.4 million for the six months ended November 30, 2009, compared to cash provided by financing activities of $19.4 million for the prior fiscal year period. The $45.8 million use of cash is primarily due to reduced net borrowings (borrowings and repayments) under the Company’s Revolver of $45.0 million in the current fiscal year period and the Company’s reduced borrowings under lines of credit (borrowings and repayments) of $14.3 million. In addition, the Company repurchased $4.1 million of the 5% Notes during the current fiscal period. These were partially offset by repurchases of Common Stock of $1.0 million, compared to $20.1 million in the prior year fiscal period.</w:t>
      </w:r>
    </w:p>
    <w:p>
      <w:pPr>
        <w:spacing w:after="0" w:line="170"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Due to the seasonal nature of its business as discussed under “Seasonality” above, the Company usually experiences negative operating cash flows in the June through October time period. As a result of the Company’s business cycle, borrowings have historically increased during June, July and August, have generally peaked in September or October, and have been at their lowest point in May. However, due to substantial working capital improvements and increased revenues from sales of educational technology products, the Company experienced positive cash from operations in the current six month period.</w:t>
      </w:r>
    </w:p>
    <w:p>
      <w:pPr>
        <w:spacing w:after="0" w:line="167"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Company’s operating philosophy is to use cash provided from operating activities to create value by paying down debt, reinvesting in existing businesses and, from time to time, making acquisitions that will complement its portfolio of businesses, as well as engaging in shareholder enhancement initiatives, such as share repurchases or dividend declarations. The Company believes that funds generated by its operations, current cash balances and funds available under its current credit facilities will be sufficient to finance its short-and long-term capital requirements for the foreseeable future.</w:t>
      </w:r>
    </w:p>
    <w:p>
      <w:pPr>
        <w:spacing w:after="0" w:line="16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Despite the current economic conditions, the Company has maintained sufficient liquidity to fund ongoing operations, dividends, authorized common share repurchases, debt service, planned capital expenditures and other investments. As of November 30, 2009, the Company’s primary sources of liquidity consisted of cash and cash equivalents of $178.3 million, cash from operations, and borrowings remaining available under the Revolving Loan (as described under “Financing” below) totaling $325.0 million. Approximately 57% of the Company’s outstanding debt is not due until fiscal 2013, and the remaining 43% is spread ratably over each preceding period. The Company may at any time, but in any event not more than once in any calendar year, request that the aggregate availability of credit under the Revolving Loan be increased by an amount of $10.0 million or an integral multiple of $10.0 million (but not to exceed $150.0 million). Accordingly, the Company believes these sources of liquidity are sufficient to finance its ongoing operating needs, as well as its financing and investing activities.</w:t>
      </w:r>
    </w:p>
    <w:p>
      <w:pPr>
        <w:spacing w:after="0" w:line="199"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Company’s credit rating from Standard &amp; Poor’s Rating Services is “BB-” and from Moody’s Investors Service is “Ba2.” Both agencies have rated the outlook for the Company as “Stable.” The Company believes that existing committed credit lines, cash from operations and other sources of cash are sufficient to meet the Company’s liquidity needs for the near term, as the Company is currently compliant with its debt covenants and expects to remain compliant for the foreseeable future. The Company’s interest rates for the Loan Agreement are associated with certain leverage ratios, and, accordingly, a change in the Company’s credit rating does not result in an increase in interest costs under the Company’s Loan Agreement.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June 1, 2007, Scholastic Corporation and Scholastic Inc. (each, a “Borrower” and together, the “Borrowers”) entered into a $525.0 million credit facility with certain banks (the “Loan Agreement”), consisting of a $325.0 million revolving credit component (the “Revolving Loan”) and a $200.0 million amortizing term loan component (the “Term Loan”). The Loan Agreement is a contractually committed unsecured credit facility that is scheduled to expire on June 1, 2012. The $325.0 million Revolving Loan component allows the Company to borrow, repay or prepay and reborrow at any time prior to the stated maturity date, and the proceeds may be used for general corporate purposes, including financing for acquisitions and share repurchases. The Loan Agreement also provides for an increase in the aggregate Revolving Loan commitments of the lenders of up to an additional $150.0 million. The Term Loan, which may be prepaid at any time without penalty, requires quarterly principal payments of $10.7 million, with the first payment on December 31, 2007, and a final payment of $7.4 million due on June 1, 2012.</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Interest on both the Term Loan and Revolving Loan is due and payable in arrears on the last day of the interest period (defined as the period commencing on the date of the advance and ending on the last day of the period selected by the Borrower at the time each advance is made). At the election of the Borrower, the interest rate charged for each loan made under the Loan Agreement is based on (1) a rate equal to the higher of (a) the prime rate or (b) the prevailing federal funds rate plus 0.500% or (2) an adjusted LIBOR rate plus an applicable margin, ranging from 0.500% to 1.250% based on the Company’s prevailing consolidated debt to total capital ratio. As of November 30, 2009, the applicable margin of the Term Loan was 0.875% and the applicable margin on the Revolving Loan was 0.700%. The Loan Agreement also provides for the payment of a facility fee ranging from 0.125% to 0.250% per annum on the Revolving Loan only, which at November 30, 2009 was 0.175%. Effective on or about December 29, 2009, the Company’s applicable borrowing rate will contractually decrease due to the Company’s improved consolidated debt ratio, as defined in the Loan Agreement. The applicable margin on the Term Loan will decrease to 0.750% and the applicable margin on the Revolving Loan will decrease to 0.600%. The applicable rate for the facility fee payment will decrease to 0.150%.</w:t>
      </w:r>
    </w:p>
    <w:p>
      <w:pPr>
        <w:spacing w:after="0" w:line="17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As of November 30, 2009, there was $0.5 million of outstanding standby letters of credit issued under the Loan Agreement. The Loan Agreement contains certain covenants, including interest coverage and leverage ratio tests and certain limitations on the amount of dividends and other distributions, and at November 30, 2009 the Company was in compliance with these covenants. Please see Note 4, “Debt”, of Notes to Condensed Consolidated Financial Statements – Unaudited in Item 1, “Financial Statements,” for outstanding balances and interest rates for these notes.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Notes due 2013</w:t>
      </w:r>
    </w:p>
    <w:p>
      <w:pPr>
        <w:spacing w:after="0" w:line="225"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In April 2003, Scholastic Corporation issued $175.0 million of 5% Notes (the “5% Notes”). The 5% Notes are senior unsecured obligations that mature on April 15, 2013. Interest on the 5% Notes is payable semi-annually on April 15 and October 15 of each year through maturity. The Company may at any time redeem all or a portion of the 5% Notes at a redemption price (plus accrued interest to the date of the redemption) equal to the greater of (i) 100% of the principal amount, or</w:t>
      </w:r>
    </w:p>
    <w:p>
      <w:pPr>
        <w:spacing w:after="0" w:line="1" w:lineRule="exact"/>
        <w:rPr>
          <w:sz w:val="20"/>
          <w:szCs w:val="20"/>
          <w:color w:val="auto"/>
        </w:rPr>
      </w:pPr>
    </w:p>
    <w:p>
      <w:pPr>
        <w:ind w:right="120" w:firstLine="8"/>
        <w:spacing w:after="0" w:line="255" w:lineRule="auto"/>
        <w:tabs>
          <w:tab w:leader="none" w:pos="25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discounted to the date of redemption. The Company repurchased $2.5 million and $14.5 million of the 5% Notes on the open market in fiscal 2009 and 2008, respectively. For the six months ended November 30, 2009, the Company repurchased an additional $5.0 million of the 5% notes on the open market, for $4.1 million.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Lines of Credit</w:t>
      </w:r>
    </w:p>
    <w:p>
      <w:pPr>
        <w:spacing w:after="0" w:line="225"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As of November 30, 2009, the Company’s credit line available under unsecured money market bid rate credit lines totaled $20.0 million. There were no outstanding borrowings under the credit line at November 30, 2009, at May 31, 2009 and at November 30, 2008. All loans made under the credit line are at the sole discretion of the lender and at an interest rate and term, not to exceed 365 days, agreed to at the time each loan is made.</w:t>
      </w:r>
    </w:p>
    <w:p>
      <w:pPr>
        <w:spacing w:after="0" w:line="16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As of November 30, 2009, the Company had various local currency credit lines, with maximum available borrowings in amounts equivalent to $51.8 million, underwritten by banks primarily in the United States, Canada and the United Kingdom. These credit lines are typically available for overdraft borrowings or loans up to 364 days and may be renewed, if requested by the Company, at the sole option of the lender. There were borrowings outstanding under these international facilities equivalent to $13.0 million at November 30, 2009 at a weighted average interest rate of 3.0%; $10.9 million at May 31, 2009 at a weighted average interest rate of 3.3%; and $27.4 million at November 30, 2008 at a weighted average interest rate of 4.5%.</w:t>
      </w:r>
    </w:p>
    <w:p>
      <w:pPr>
        <w:spacing w:after="0" w:line="170"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As of November 30, 2009 and May 31, 2009, the Company had open standby letters of credit of $7.4 million issued under certain credit lines, as compared to $8.1 million as of November 30, 2008. These letters of credit are scheduled to expire within one year; however, the Company expects that substantially all of these letters of credit will be renewed, at similar terms, prior to expiration.</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Company’s total debt obligations were $279.6 million at November 30, 2009, $303.7 million at May 31, 2009 and $389.0 million at November 30, 2008. The lower level of debt at November 30, 2009 as compared to May 31, 2009 and November 30, 2008 was primarily due to repayments made on the Term Loan and a repurchase of the Company’s 5% Notes on the open market. In addition, the lower debt level at November 30, 2009 as compared to November 30, 2008 was due to reduced borrowings resulting from lower debt requirements.</w:t>
      </w:r>
    </w:p>
    <w:p>
      <w:pPr>
        <w:spacing w:after="0" w:line="19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For a more complete description of the Company’s debt obligations, see Note 4, “Debt,” of Notes to Condensed Consolidated Financial Statements – Unaudited in Item 1, “Financial Statements.”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and Recently Adopted Accounting Pronouncements</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Reference is made to Note 1, “Basis of Presentation,” of Notes to Condensed Consolidated Financial Statements in Item 1, “Financial Statements” for information concerning recent accounting pronouncements since the filing of the Company’s Annual Report on Form 10-K for the fiscal year ended May 31, 2009 (the “Annual Report”).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Quarterly Report on Form 10-Q contains forward-looking statements. These forward-looking statements are subject to various risks and uncertainties, including the conditions of the children’s book and educational materials markets and acceptance of the Company’s products within those markets, and other risks and factors identified in this Report, in the Annual Report and from time to time in the Company’s other filings with the Securities and Exchange Commission (the “SEC”). Actual results could differ materially from those currently anticipated.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The Company conducts its business in various foreign countries, and as such, its cash flows and earnings are subject to fluctuations from changes in foreign currency exchange rates. The Company manages its exposures to this market risk through internally established procedures and, when deemed appropriate, through the use of short-term forward exchange contracts. As of November 30, 2009, these transactions were not significant. The Company does not enter into derivative transactions or use other financial instruments for trading or speculative purposes.</w:t>
      </w:r>
    </w:p>
    <w:p>
      <w:pPr>
        <w:spacing w:after="0" w:line="16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Market risks relating to the Company’s operations result primarily from changes in interest rates, which are managed through the mix of variable-rate versus fixed-rate borrowings. Additionally, financial instruments, including swap agreements, have been used to manage interest rate exposures. Approximately 45% of the Company’s debt at November 30, 2009 bore interest at a variable rate and was sensitive to changes in interest rates, compared to approximately 48% at May 31, 2009 and 59% at November 30, 2008. The decrease in variable-rate debt as of November 30, 2009 and May 31, 2009, compared to November 30, 2008, was primarily due to repayments made on the Term Loan, a repurchase of the 5% Notes on the open market and reduced borrowings as a result of lower debt requirements. The Company is subject to the risk that market interest rates and its cost of borrowing will increase and thereby increase the interest charged under its variable-rate debt.</w:t>
      </w:r>
    </w:p>
    <w:p>
      <w:pPr>
        <w:spacing w:after="0" w:line="17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Additional information relating to the Company’s outstanding financial instruments is included in Item 2, “Management’s Discussion and Analysis of Financial Condition and Results of Operations.”</w:t>
      </w:r>
    </w:p>
    <w:p>
      <w:pPr>
        <w:spacing w:after="0" w:line="18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following table sets forth information about the Company’s debt instruments as of November 30, 2009 (see Note 4 of Notes to Condensed Consolidated Financial Statements in Item 1, “Financial Statements”):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 amounts in millions</w:t>
            </w:r>
            <w:r>
              <w:rPr>
                <w:rFonts w:ascii="Arial" w:cs="Arial" w:eastAsia="Arial" w:hAnsi="Arial"/>
                <w:sz w:val="18"/>
                <w:szCs w:val="18"/>
                <w:color w:val="auto"/>
              </w:rPr>
              <w:t xml:space="preserve"> )</w:t>
            </w: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0" w:type="dxa"/>
            <w:vAlign w:val="bottom"/>
            <w:gridSpan w:val="5"/>
          </w:tcPr>
          <w:p>
            <w:pPr>
              <w:jc w:val="right"/>
              <w:ind w:right="512"/>
              <w:spacing w:after="0"/>
              <w:rPr>
                <w:sz w:val="20"/>
                <w:szCs w:val="20"/>
                <w:color w:val="auto"/>
              </w:rPr>
            </w:pPr>
            <w:r>
              <w:rPr>
                <w:rFonts w:ascii="Arial" w:cs="Arial" w:eastAsia="Arial" w:hAnsi="Arial"/>
                <w:sz w:val="18"/>
                <w:szCs w:val="18"/>
                <w:b w:val="1"/>
                <w:bCs w:val="1"/>
                <w:color w:val="auto"/>
              </w:rPr>
              <w:t>Fiscal Year Maturity</w:t>
            </w: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110"/>
        </w:trPr>
        <w:tc>
          <w:tcPr>
            <w:tcW w:w="3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r>
      <w:tr>
        <w:trPr>
          <w:trHeight w:val="466"/>
        </w:trPr>
        <w:tc>
          <w:tcPr>
            <w:tcW w:w="31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jc w:val="right"/>
              <w:ind w:right="292"/>
              <w:spacing w:after="0"/>
              <w:rPr>
                <w:sz w:val="20"/>
                <w:szCs w:val="20"/>
                <w:color w:val="auto"/>
              </w:rPr>
            </w:pPr>
            <w:r>
              <w:rPr>
                <w:rFonts w:ascii="Arial" w:cs="Arial" w:eastAsia="Arial" w:hAnsi="Arial"/>
                <w:sz w:val="18"/>
                <w:szCs w:val="18"/>
                <w:b w:val="1"/>
                <w:bCs w:val="1"/>
                <w:color w:val="auto"/>
                <w:w w:val="81"/>
              </w:rPr>
              <w:t xml:space="preserve">2010 </w:t>
            </w:r>
            <w:r>
              <w:rPr>
                <w:rFonts w:ascii="Arial" w:cs="Arial" w:eastAsia="Arial" w:hAnsi="Arial"/>
                <w:sz w:val="29"/>
                <w:szCs w:val="29"/>
                <w:b w:val="1"/>
                <w:bCs w:val="1"/>
                <w:color w:val="auto"/>
                <w:w w:val="81"/>
                <w:vertAlign w:val="superscript"/>
              </w:rPr>
              <w:t>(1)</w:t>
            </w:r>
          </w:p>
        </w:tc>
        <w:tc>
          <w:tcPr>
            <w:tcW w:w="2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jc w:val="right"/>
              <w:ind w:right="312"/>
              <w:spacing w:after="0"/>
              <w:rPr>
                <w:sz w:val="20"/>
                <w:szCs w:val="20"/>
                <w:color w:val="auto"/>
              </w:rPr>
            </w:pPr>
            <w:r>
              <w:rPr>
                <w:rFonts w:ascii="Arial" w:cs="Arial" w:eastAsia="Arial" w:hAnsi="Arial"/>
                <w:sz w:val="18"/>
                <w:szCs w:val="18"/>
                <w:b w:val="1"/>
                <w:bCs w:val="1"/>
                <w:color w:val="auto"/>
                <w:w w:val="89"/>
              </w:rPr>
              <w:t>2011</w:t>
            </w:r>
          </w:p>
        </w:tc>
        <w:tc>
          <w:tcPr>
            <w:tcW w:w="2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right"/>
              <w:ind w:right="332"/>
              <w:spacing w:after="0"/>
              <w:rPr>
                <w:sz w:val="20"/>
                <w:szCs w:val="20"/>
                <w:color w:val="auto"/>
              </w:rPr>
            </w:pPr>
            <w:r>
              <w:rPr>
                <w:rFonts w:ascii="Arial" w:cs="Arial" w:eastAsia="Arial" w:hAnsi="Arial"/>
                <w:sz w:val="18"/>
                <w:szCs w:val="18"/>
                <w:b w:val="1"/>
                <w:bCs w:val="1"/>
                <w:color w:val="auto"/>
                <w:w w:val="89"/>
              </w:rPr>
              <w:t>2012</w:t>
            </w:r>
          </w:p>
        </w:tc>
        <w:tc>
          <w:tcPr>
            <w:tcW w:w="2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right"/>
              <w:ind w:right="332"/>
              <w:spacing w:after="0"/>
              <w:rPr>
                <w:sz w:val="20"/>
                <w:szCs w:val="20"/>
                <w:color w:val="auto"/>
              </w:rPr>
            </w:pPr>
            <w:r>
              <w:rPr>
                <w:rFonts w:ascii="Arial" w:cs="Arial" w:eastAsia="Arial" w:hAnsi="Arial"/>
                <w:sz w:val="18"/>
                <w:szCs w:val="18"/>
                <w:b w:val="1"/>
                <w:bCs w:val="1"/>
                <w:color w:val="auto"/>
                <w:w w:val="89"/>
              </w:rPr>
              <w:t>2013</w:t>
            </w:r>
          </w:p>
        </w:tc>
        <w:tc>
          <w:tcPr>
            <w:tcW w:w="24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jc w:val="right"/>
              <w:ind w:right="252"/>
              <w:spacing w:after="0"/>
              <w:rPr>
                <w:sz w:val="20"/>
                <w:szCs w:val="20"/>
                <w:color w:val="auto"/>
              </w:rPr>
            </w:pPr>
            <w:r>
              <w:rPr>
                <w:rFonts w:ascii="Arial" w:cs="Arial" w:eastAsia="Arial" w:hAnsi="Arial"/>
                <w:sz w:val="18"/>
                <w:szCs w:val="18"/>
                <w:b w:val="1"/>
                <w:bCs w:val="1"/>
                <w:color w:val="auto"/>
                <w:w w:val="89"/>
              </w:rPr>
              <w:t>2014</w:t>
            </w:r>
          </w:p>
        </w:tc>
        <w:tc>
          <w:tcPr>
            <w:tcW w:w="1340" w:type="dxa"/>
            <w:vAlign w:val="bottom"/>
            <w:tcBorders>
              <w:bottom w:val="single" w:sz="8" w:color="808080"/>
            </w:tcBorders>
            <w:gridSpan w:val="2"/>
          </w:tcPr>
          <w:p>
            <w:pPr>
              <w:ind w:left="260"/>
              <w:spacing w:after="0"/>
              <w:rPr>
                <w:sz w:val="20"/>
                <w:szCs w:val="20"/>
                <w:color w:val="auto"/>
              </w:rPr>
            </w:pPr>
            <w:r>
              <w:rPr>
                <w:rFonts w:ascii="Arial" w:cs="Arial" w:eastAsia="Arial" w:hAnsi="Arial"/>
                <w:sz w:val="18"/>
                <w:szCs w:val="18"/>
                <w:b w:val="1"/>
                <w:bCs w:val="1"/>
                <w:color w:val="auto"/>
              </w:rPr>
              <w:t>Thereafter</w:t>
            </w:r>
          </w:p>
        </w:tc>
        <w:tc>
          <w:tcPr>
            <w:tcW w:w="3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jc w:val="right"/>
              <w:ind w:right="272"/>
              <w:spacing w:after="0"/>
              <w:rPr>
                <w:sz w:val="20"/>
                <w:szCs w:val="20"/>
                <w:color w:val="auto"/>
              </w:rPr>
            </w:pPr>
            <w:r>
              <w:rPr>
                <w:rFonts w:ascii="Arial" w:cs="Arial" w:eastAsia="Arial" w:hAnsi="Arial"/>
                <w:sz w:val="18"/>
                <w:szCs w:val="18"/>
                <w:b w:val="1"/>
                <w:bCs w:val="1"/>
                <w:color w:val="auto"/>
              </w:rPr>
              <w:t>Total</w:t>
            </w:r>
          </w:p>
        </w:tc>
      </w:tr>
      <w:tr>
        <w:trPr>
          <w:trHeight w:val="458"/>
        </w:trPr>
        <w:tc>
          <w:tcPr>
            <w:tcW w:w="3160" w:type="dxa"/>
            <w:vAlign w:val="bottom"/>
          </w:tcPr>
          <w:p>
            <w:pPr>
              <w:spacing w:after="0"/>
              <w:rPr>
                <w:sz w:val="20"/>
                <w:szCs w:val="20"/>
                <w:color w:val="auto"/>
              </w:rPr>
            </w:pPr>
            <w:r>
              <w:rPr>
                <w:rFonts w:ascii="Arial" w:cs="Arial" w:eastAsia="Arial" w:hAnsi="Arial"/>
                <w:sz w:val="18"/>
                <w:szCs w:val="18"/>
                <w:b w:val="1"/>
                <w:bCs w:val="1"/>
                <w:color w:val="auto"/>
              </w:rPr>
              <w:t>Debt Obligations</w:t>
            </w: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6"/>
        </w:trPr>
        <w:tc>
          <w:tcPr>
            <w:tcW w:w="3160" w:type="dxa"/>
            <w:vAlign w:val="bottom"/>
          </w:tcPr>
          <w:p>
            <w:pPr>
              <w:ind w:left="160"/>
              <w:spacing w:after="0"/>
              <w:rPr>
                <w:sz w:val="20"/>
                <w:szCs w:val="20"/>
                <w:color w:val="auto"/>
              </w:rPr>
            </w:pPr>
            <w:r>
              <w:rPr>
                <w:rFonts w:ascii="Arial" w:cs="Arial" w:eastAsia="Arial" w:hAnsi="Arial"/>
                <w:sz w:val="18"/>
                <w:szCs w:val="18"/>
                <w:color w:val="auto"/>
              </w:rPr>
              <w:t>Lines of Credit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13.0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720" w:type="dxa"/>
            <w:vAlign w:val="bottom"/>
          </w:tcPr>
          <w:p>
            <w:pPr>
              <w:ind w:left="34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13.0</w:t>
            </w:r>
          </w:p>
        </w:tc>
      </w:tr>
      <w:tr>
        <w:trPr>
          <w:trHeight w:val="222"/>
        </w:trPr>
        <w:tc>
          <w:tcPr>
            <w:tcW w:w="3160" w:type="dxa"/>
            <w:vAlign w:val="bottom"/>
          </w:tcPr>
          <w:p>
            <w:pPr>
              <w:ind w:left="160"/>
              <w:spacing w:after="0"/>
              <w:rPr>
                <w:sz w:val="20"/>
                <w:szCs w:val="20"/>
                <w:color w:val="auto"/>
              </w:rPr>
            </w:pPr>
            <w:r>
              <w:rPr>
                <w:rFonts w:ascii="Arial" w:cs="Arial" w:eastAsia="Arial" w:hAnsi="Arial"/>
                <w:sz w:val="18"/>
                <w:szCs w:val="18"/>
                <w:color w:val="auto"/>
              </w:rPr>
              <w:t>Average interest rate</w:t>
            </w:r>
          </w:p>
        </w:tc>
        <w:tc>
          <w:tcPr>
            <w:tcW w:w="76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358"/>
        </w:trPr>
        <w:tc>
          <w:tcPr>
            <w:tcW w:w="3160" w:type="dxa"/>
            <w:vAlign w:val="bottom"/>
          </w:tcPr>
          <w:p>
            <w:pPr>
              <w:ind w:left="160"/>
              <w:spacing w:after="0"/>
              <w:rPr>
                <w:sz w:val="20"/>
                <w:szCs w:val="20"/>
                <w:color w:val="auto"/>
              </w:rPr>
            </w:pPr>
            <w:r>
              <w:rPr>
                <w:rFonts w:ascii="Arial" w:cs="Arial" w:eastAsia="Arial" w:hAnsi="Arial"/>
                <w:sz w:val="18"/>
                <w:szCs w:val="18"/>
                <w:color w:val="auto"/>
              </w:rPr>
              <w:t>Long-term debt including current</w:t>
            </w: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6"/>
        </w:trPr>
        <w:tc>
          <w:tcPr>
            <w:tcW w:w="3160" w:type="dxa"/>
            <w:vAlign w:val="bottom"/>
          </w:tcPr>
          <w:p>
            <w:pPr>
              <w:ind w:left="320"/>
              <w:spacing w:after="0"/>
              <w:rPr>
                <w:sz w:val="20"/>
                <w:szCs w:val="20"/>
                <w:color w:val="auto"/>
              </w:rPr>
            </w:pPr>
            <w:r>
              <w:rPr>
                <w:rFonts w:ascii="Arial" w:cs="Arial" w:eastAsia="Arial" w:hAnsi="Arial"/>
                <w:sz w:val="18"/>
                <w:szCs w:val="18"/>
                <w:color w:val="auto"/>
              </w:rPr>
              <w:t>Fixed-rate debt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92"/>
              <w:spacing w:after="0"/>
              <w:rPr>
                <w:sz w:val="20"/>
                <w:szCs w:val="20"/>
                <w:color w:val="auto"/>
              </w:rPr>
            </w:pPr>
            <w:r>
              <w:rPr>
                <w:rFonts w:ascii="Arial" w:cs="Arial" w:eastAsia="Arial" w:hAnsi="Arial"/>
                <w:sz w:val="18"/>
                <w:szCs w:val="18"/>
                <w:color w:val="auto"/>
              </w:rPr>
              <w:t>153.0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720" w:type="dxa"/>
            <w:vAlign w:val="bottom"/>
          </w:tcPr>
          <w:p>
            <w:pPr>
              <w:ind w:left="34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153.0</w:t>
            </w:r>
          </w:p>
        </w:tc>
      </w:tr>
      <w:tr>
        <w:trPr>
          <w:trHeight w:val="222"/>
        </w:trPr>
        <w:tc>
          <w:tcPr>
            <w:tcW w:w="3160" w:type="dxa"/>
            <w:vAlign w:val="bottom"/>
          </w:tcPr>
          <w:p>
            <w:pPr>
              <w:ind w:left="320"/>
              <w:spacing w:after="0"/>
              <w:rPr>
                <w:sz w:val="20"/>
                <w:szCs w:val="20"/>
                <w:color w:val="auto"/>
              </w:rPr>
            </w:pPr>
            <w:r>
              <w:rPr>
                <w:rFonts w:ascii="Arial" w:cs="Arial" w:eastAsia="Arial" w:hAnsi="Arial"/>
                <w:sz w:val="18"/>
                <w:szCs w:val="18"/>
                <w:color w:val="auto"/>
              </w:rPr>
              <w:t>Interest rate</w:t>
            </w: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359"/>
        </w:trPr>
        <w:tc>
          <w:tcPr>
            <w:tcW w:w="3160" w:type="dxa"/>
            <w:vAlign w:val="bottom"/>
          </w:tcPr>
          <w:p>
            <w:pPr>
              <w:ind w:left="320"/>
              <w:spacing w:after="0"/>
              <w:rPr>
                <w:sz w:val="20"/>
                <w:szCs w:val="20"/>
                <w:color w:val="auto"/>
              </w:rPr>
            </w:pPr>
            <w:r>
              <w:rPr>
                <w:rFonts w:ascii="Arial" w:cs="Arial" w:eastAsia="Arial" w:hAnsi="Arial"/>
                <w:sz w:val="18"/>
                <w:szCs w:val="18"/>
                <w:color w:val="auto"/>
              </w:rPr>
              <w:t>Variable rate debt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21.4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42.8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92"/>
              <w:spacing w:after="0"/>
              <w:rPr>
                <w:sz w:val="20"/>
                <w:szCs w:val="20"/>
                <w:color w:val="auto"/>
              </w:rPr>
            </w:pPr>
            <w:r>
              <w:rPr>
                <w:rFonts w:ascii="Arial" w:cs="Arial" w:eastAsia="Arial" w:hAnsi="Arial"/>
                <w:sz w:val="18"/>
                <w:szCs w:val="18"/>
                <w:color w:val="auto"/>
              </w:rPr>
              <w:t>42.8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7.4</w:t>
            </w:r>
            <w:r>
              <w:rPr>
                <w:rFonts w:ascii="Arial" w:cs="Arial" w:eastAsia="Arial" w:hAnsi="Arial"/>
                <w:sz w:val="14"/>
                <w:szCs w:val="14"/>
                <w:color w:val="auto"/>
              </w:rPr>
              <w:t>(2)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720" w:type="dxa"/>
            <w:vAlign w:val="bottom"/>
          </w:tcPr>
          <w:p>
            <w:pPr>
              <w:ind w:left="34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114.4</w:t>
            </w:r>
          </w:p>
        </w:tc>
      </w:tr>
      <w:tr>
        <w:trPr>
          <w:trHeight w:val="372"/>
        </w:trPr>
        <w:tc>
          <w:tcPr>
            <w:tcW w:w="3160" w:type="dxa"/>
            <w:vAlign w:val="bottom"/>
            <w:tcBorders>
              <w:bottom w:val="single" w:sz="8" w:color="808080"/>
            </w:tcBorders>
          </w:tcPr>
          <w:p>
            <w:pPr>
              <w:ind w:left="320"/>
              <w:spacing w:after="0"/>
              <w:rPr>
                <w:sz w:val="20"/>
                <w:szCs w:val="20"/>
                <w:color w:val="auto"/>
              </w:rPr>
            </w:pPr>
            <w:r>
              <w:rPr>
                <w:rFonts w:ascii="Arial" w:cs="Arial" w:eastAsia="Arial" w:hAnsi="Arial"/>
                <w:sz w:val="18"/>
                <w:szCs w:val="18"/>
                <w:color w:val="auto"/>
              </w:rPr>
              <w:t xml:space="preserve">Interest rate </w:t>
            </w:r>
            <w:r>
              <w:rPr>
                <w:rFonts w:ascii="Arial" w:cs="Arial" w:eastAsia="Arial" w:hAnsi="Arial"/>
                <w:sz w:val="29"/>
                <w:szCs w:val="29"/>
                <w:color w:val="auto"/>
                <w:vertAlign w:val="superscript"/>
              </w:rPr>
              <w:t>(3)</w:t>
            </w:r>
          </w:p>
        </w:tc>
        <w:tc>
          <w:tcPr>
            <w:tcW w:w="76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jc w:val="right"/>
              <w:ind w:right="32"/>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jc w:val="right"/>
              <w:ind w:right="32"/>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right"/>
              <w:ind w:right="32"/>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right"/>
              <w:ind w:right="32"/>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r>
    </w:tbl>
    <w:p>
      <w:pPr>
        <w:spacing w:after="0" w:line="356"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2010 includes the remaining six months of the current fiscal year.</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the final payment under the Term Loan, which has a final maturity of June 1, 2012 but may be repaid at any time.</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the interest rate under the Term Loan at November 30, 2009; the interest rate is subject to change over the life of the Term Loan.</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139" w:right="21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Chief Executive Officer and the Chief Financial Officer of the Corporation, after conducting an evaluation, together with other members of the Company’s management, of the effectiveness of the design and operation of the Corporation’s disclosure controls and procedures as of November 30, 2009, have concluded that the Corporation’s disclosure controls and procedures were effective to ensure that information required to be disclosed by the Corporation in its reports filed or submitted under the Securities Exchange Act of 1934 is recorded, processed, summarized, and reported within the time periods specified in the rules and forms of the SEC and accumulated and communicated to members of the Company’s management, including the Chief Executive Officer and Chief Financial Officer, to allow timely decisions regarding required disclosure. There was no change in the Corporation’s internal control over financial reporting that occurred during the quarter ended November 30, 2009 that has materially affected, or is reasonably likely to materially affect, the Corporation’s internal control over financial reporting.</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following table provides information with respect to repurchases of shares of Common Stock by the Corporation during the six months ended November 30, 2009:</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Maximum number of</w:t>
            </w:r>
          </w:p>
        </w:tc>
      </w:tr>
      <w:tr>
        <w:trPr>
          <w:trHeight w:val="216"/>
        </w:trPr>
        <w:tc>
          <w:tcPr>
            <w:tcW w:w="24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shares (or approximate</w:t>
            </w:r>
          </w:p>
        </w:tc>
      </w:tr>
      <w:tr>
        <w:trPr>
          <w:trHeight w:val="216"/>
        </w:trPr>
        <w:tc>
          <w:tcPr>
            <w:tcW w:w="24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87"/>
              </w:rPr>
              <w:t>Total number of shares</w:t>
            </w:r>
          </w:p>
        </w:tc>
        <w:tc>
          <w:tcPr>
            <w:tcW w:w="2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dollar value) that may</w:t>
            </w:r>
          </w:p>
        </w:tc>
      </w:tr>
      <w:tr>
        <w:trPr>
          <w:trHeight w:val="216"/>
        </w:trPr>
        <w:tc>
          <w:tcPr>
            <w:tcW w:w="24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 as part of</w:t>
            </w:r>
          </w:p>
        </w:tc>
        <w:tc>
          <w:tcPr>
            <w:tcW w:w="2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yet be purchased</w:t>
            </w:r>
          </w:p>
        </w:tc>
      </w:tr>
      <w:tr>
        <w:trPr>
          <w:trHeight w:val="216"/>
        </w:trPr>
        <w:tc>
          <w:tcPr>
            <w:tcW w:w="2420" w:type="dxa"/>
            <w:vAlign w:val="bottom"/>
          </w:tcPr>
          <w:p>
            <w:pPr>
              <w:spacing w:after="0"/>
              <w:rPr>
                <w:sz w:val="18"/>
                <w:szCs w:val="18"/>
                <w:color w:val="auto"/>
              </w:rPr>
            </w:pPr>
          </w:p>
        </w:tc>
        <w:tc>
          <w:tcPr>
            <w:tcW w:w="2160" w:type="dxa"/>
            <w:vAlign w:val="bottom"/>
          </w:tcPr>
          <w:p>
            <w:pPr>
              <w:jc w:val="right"/>
              <w:ind w:right="332"/>
              <w:spacing w:after="0"/>
              <w:rPr>
                <w:sz w:val="20"/>
                <w:szCs w:val="20"/>
                <w:color w:val="auto"/>
              </w:rPr>
            </w:pPr>
            <w:r>
              <w:rPr>
                <w:rFonts w:ascii="Arial" w:cs="Arial" w:eastAsia="Arial" w:hAnsi="Arial"/>
                <w:sz w:val="18"/>
                <w:szCs w:val="18"/>
                <w:b w:val="1"/>
                <w:bCs w:val="1"/>
                <w:color w:val="auto"/>
              </w:rPr>
              <w:t>Total number of</w:t>
            </w:r>
          </w:p>
        </w:tc>
        <w:tc>
          <w:tcPr>
            <w:tcW w:w="2080" w:type="dxa"/>
            <w:vAlign w:val="bottom"/>
            <w:gridSpan w:val="2"/>
          </w:tcPr>
          <w:p>
            <w:pPr>
              <w:ind w:left="340"/>
              <w:spacing w:after="0"/>
              <w:rPr>
                <w:sz w:val="20"/>
                <w:szCs w:val="20"/>
                <w:color w:val="auto"/>
              </w:rPr>
            </w:pPr>
            <w:r>
              <w:rPr>
                <w:rFonts w:ascii="Arial" w:cs="Arial" w:eastAsia="Arial" w:hAnsi="Arial"/>
                <w:sz w:val="18"/>
                <w:szCs w:val="18"/>
                <w:b w:val="1"/>
                <w:bCs w:val="1"/>
                <w:color w:val="auto"/>
              </w:rPr>
              <w:t>Average price paid</w:t>
            </w: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86"/>
              </w:rPr>
              <w:t>publicly announced</w:t>
            </w:r>
          </w:p>
        </w:tc>
        <w:tc>
          <w:tcPr>
            <w:tcW w:w="2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under the plans or</w:t>
            </w:r>
          </w:p>
        </w:tc>
      </w:tr>
      <w:tr>
        <w:trPr>
          <w:trHeight w:val="228"/>
        </w:trPr>
        <w:tc>
          <w:tcPr>
            <w:tcW w:w="2420" w:type="dxa"/>
            <w:vAlign w:val="bottom"/>
          </w:tcPr>
          <w:p>
            <w:pPr>
              <w:ind w:left="940"/>
              <w:spacing w:after="0"/>
              <w:rPr>
                <w:sz w:val="20"/>
                <w:szCs w:val="20"/>
                <w:color w:val="auto"/>
              </w:rPr>
            </w:pPr>
            <w:r>
              <w:rPr>
                <w:rFonts w:ascii="Arial" w:cs="Arial" w:eastAsia="Arial" w:hAnsi="Arial"/>
                <w:sz w:val="18"/>
                <w:szCs w:val="18"/>
                <w:b w:val="1"/>
                <w:bCs w:val="1"/>
                <w:color w:val="auto"/>
              </w:rPr>
              <w:t>Period</w:t>
            </w:r>
          </w:p>
        </w:tc>
        <w:tc>
          <w:tcPr>
            <w:tcW w:w="2160" w:type="dxa"/>
            <w:vAlign w:val="bottom"/>
          </w:tcPr>
          <w:p>
            <w:pPr>
              <w:jc w:val="right"/>
              <w:ind w:right="272"/>
              <w:spacing w:after="0"/>
              <w:rPr>
                <w:sz w:val="20"/>
                <w:szCs w:val="20"/>
                <w:color w:val="auto"/>
              </w:rPr>
            </w:pPr>
            <w:r>
              <w:rPr>
                <w:rFonts w:ascii="Arial" w:cs="Arial" w:eastAsia="Arial" w:hAnsi="Arial"/>
                <w:sz w:val="18"/>
                <w:szCs w:val="18"/>
                <w:b w:val="1"/>
                <w:bCs w:val="1"/>
                <w:color w:val="auto"/>
              </w:rPr>
              <w:t>shares purchased</w:t>
            </w:r>
          </w:p>
        </w:tc>
        <w:tc>
          <w:tcPr>
            <w:tcW w:w="2080" w:type="dxa"/>
            <w:vAlign w:val="bottom"/>
            <w:gridSpan w:val="2"/>
          </w:tcPr>
          <w:p>
            <w:pPr>
              <w:ind w:left="700"/>
              <w:spacing w:after="0"/>
              <w:rPr>
                <w:sz w:val="20"/>
                <w:szCs w:val="20"/>
                <w:color w:val="auto"/>
              </w:rPr>
            </w:pPr>
            <w:r>
              <w:rPr>
                <w:rFonts w:ascii="Arial" w:cs="Arial" w:eastAsia="Arial" w:hAnsi="Arial"/>
                <w:sz w:val="18"/>
                <w:szCs w:val="18"/>
                <w:b w:val="1"/>
                <w:bCs w:val="1"/>
                <w:color w:val="auto"/>
              </w:rPr>
              <w:t>per share</w:t>
            </w: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87"/>
              </w:rPr>
              <w:t>plans or programs</w:t>
            </w:r>
          </w:p>
        </w:tc>
        <w:tc>
          <w:tcPr>
            <w:tcW w:w="2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programs</w:t>
            </w:r>
          </w:p>
        </w:tc>
      </w:tr>
      <w:tr>
        <w:trPr>
          <w:trHeight w:val="110"/>
        </w:trPr>
        <w:tc>
          <w:tcPr>
            <w:tcW w:w="2420" w:type="dxa"/>
            <w:vAlign w:val="bottom"/>
            <w:tcBorders>
              <w:bottom w:val="single" w:sz="8" w:color="808080"/>
            </w:tcBorders>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r>
      <w:tr>
        <w:trPr>
          <w:trHeight w:val="458"/>
        </w:trPr>
        <w:tc>
          <w:tcPr>
            <w:tcW w:w="2420" w:type="dxa"/>
            <w:vAlign w:val="bottom"/>
          </w:tcPr>
          <w:p>
            <w:pPr>
              <w:spacing w:after="0"/>
              <w:rPr>
                <w:sz w:val="20"/>
                <w:szCs w:val="20"/>
                <w:color w:val="auto"/>
              </w:rPr>
            </w:pPr>
            <w:r>
              <w:rPr>
                <w:rFonts w:ascii="Arial" w:cs="Arial" w:eastAsia="Arial" w:hAnsi="Arial"/>
                <w:sz w:val="18"/>
                <w:szCs w:val="18"/>
                <w:color w:val="auto"/>
              </w:rPr>
              <w:t>June 1, 2009 through</w:t>
            </w:r>
          </w:p>
        </w:tc>
        <w:tc>
          <w:tcPr>
            <w:tcW w:w="2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22"/>
        </w:trPr>
        <w:tc>
          <w:tcPr>
            <w:tcW w:w="2420" w:type="dxa"/>
            <w:vAlign w:val="bottom"/>
          </w:tcPr>
          <w:p>
            <w:pPr>
              <w:ind w:left="160"/>
              <w:spacing w:after="0"/>
              <w:rPr>
                <w:sz w:val="20"/>
                <w:szCs w:val="20"/>
                <w:color w:val="auto"/>
              </w:rPr>
            </w:pPr>
            <w:r>
              <w:rPr>
                <w:rFonts w:ascii="Arial" w:cs="Arial" w:eastAsia="Arial" w:hAnsi="Arial"/>
                <w:sz w:val="18"/>
                <w:szCs w:val="18"/>
                <w:color w:val="auto"/>
              </w:rPr>
              <w:t>June 30, 2009</w:t>
            </w:r>
          </w:p>
        </w:tc>
        <w:tc>
          <w:tcPr>
            <w:tcW w:w="2160" w:type="dxa"/>
            <w:vAlign w:val="bottom"/>
          </w:tcPr>
          <w:p>
            <w:pPr>
              <w:jc w:val="right"/>
              <w:ind w:right="792"/>
              <w:spacing w:after="0"/>
              <w:rPr>
                <w:sz w:val="20"/>
                <w:szCs w:val="20"/>
                <w:color w:val="auto"/>
              </w:rPr>
            </w:pPr>
            <w:r>
              <w:rPr>
                <w:rFonts w:ascii="Arial" w:cs="Arial" w:eastAsia="Arial" w:hAnsi="Arial"/>
                <w:sz w:val="18"/>
                <w:szCs w:val="18"/>
                <w:color w:val="auto"/>
              </w:rPr>
              <w:t>28,195</w:t>
            </w:r>
          </w:p>
        </w:tc>
        <w:tc>
          <w:tcPr>
            <w:tcW w:w="900" w:type="dxa"/>
            <w:vAlign w:val="bottom"/>
          </w:tcPr>
          <w:p>
            <w:pPr>
              <w:ind w:left="7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72"/>
              <w:spacing w:after="0"/>
              <w:rPr>
                <w:sz w:val="20"/>
                <w:szCs w:val="20"/>
                <w:color w:val="auto"/>
              </w:rPr>
            </w:pPr>
            <w:r>
              <w:rPr>
                <w:rFonts w:ascii="Arial" w:cs="Arial" w:eastAsia="Arial" w:hAnsi="Arial"/>
                <w:sz w:val="18"/>
                <w:szCs w:val="18"/>
                <w:color w:val="auto"/>
              </w:rPr>
              <w:t>19.91</w:t>
            </w:r>
          </w:p>
        </w:tc>
        <w:tc>
          <w:tcPr>
            <w:tcW w:w="2360" w:type="dxa"/>
            <w:vAlign w:val="bottom"/>
          </w:tcPr>
          <w:p>
            <w:pPr>
              <w:jc w:val="right"/>
              <w:ind w:right="732"/>
              <w:spacing w:after="0"/>
              <w:rPr>
                <w:sz w:val="20"/>
                <w:szCs w:val="20"/>
                <w:color w:val="auto"/>
              </w:rPr>
            </w:pPr>
            <w:r>
              <w:rPr>
                <w:rFonts w:ascii="Arial" w:cs="Arial" w:eastAsia="Arial" w:hAnsi="Arial"/>
                <w:sz w:val="18"/>
                <w:szCs w:val="18"/>
                <w:color w:val="auto"/>
              </w:rPr>
              <w:t>28,195</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632"/>
              <w:spacing w:after="0"/>
              <w:rPr>
                <w:sz w:val="20"/>
                <w:szCs w:val="20"/>
                <w:color w:val="auto"/>
              </w:rPr>
            </w:pPr>
            <w:r>
              <w:rPr>
                <w:rFonts w:ascii="Arial" w:cs="Arial" w:eastAsia="Arial" w:hAnsi="Arial"/>
                <w:sz w:val="18"/>
                <w:szCs w:val="18"/>
                <w:color w:val="auto"/>
              </w:rPr>
              <w:t>0.5</w:t>
            </w:r>
            <w:r>
              <w:rPr>
                <w:rFonts w:ascii="Arial" w:cs="Arial" w:eastAsia="Arial" w:hAnsi="Arial"/>
                <w:sz w:val="14"/>
                <w:szCs w:val="14"/>
                <w:color w:val="auto"/>
              </w:rPr>
              <w:t>(1)</w:t>
            </w:r>
          </w:p>
        </w:tc>
      </w:tr>
      <w:tr>
        <w:trPr>
          <w:trHeight w:val="358"/>
        </w:trPr>
        <w:tc>
          <w:tcPr>
            <w:tcW w:w="2420" w:type="dxa"/>
            <w:vAlign w:val="bottom"/>
          </w:tcPr>
          <w:p>
            <w:pPr>
              <w:spacing w:after="0"/>
              <w:rPr>
                <w:sz w:val="20"/>
                <w:szCs w:val="20"/>
                <w:color w:val="auto"/>
              </w:rPr>
            </w:pPr>
            <w:r>
              <w:rPr>
                <w:rFonts w:ascii="Arial" w:cs="Arial" w:eastAsia="Arial" w:hAnsi="Arial"/>
                <w:sz w:val="18"/>
                <w:szCs w:val="18"/>
                <w:color w:val="auto"/>
              </w:rPr>
              <w:t>July 1, 2009 through</w:t>
            </w:r>
          </w:p>
        </w:tc>
        <w:tc>
          <w:tcPr>
            <w:tcW w:w="2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22"/>
        </w:trPr>
        <w:tc>
          <w:tcPr>
            <w:tcW w:w="2420" w:type="dxa"/>
            <w:vAlign w:val="bottom"/>
          </w:tcPr>
          <w:p>
            <w:pPr>
              <w:ind w:left="160"/>
              <w:spacing w:after="0"/>
              <w:rPr>
                <w:sz w:val="20"/>
                <w:szCs w:val="20"/>
                <w:color w:val="auto"/>
              </w:rPr>
            </w:pPr>
            <w:r>
              <w:rPr>
                <w:rFonts w:ascii="Arial" w:cs="Arial" w:eastAsia="Arial" w:hAnsi="Arial"/>
                <w:sz w:val="18"/>
                <w:szCs w:val="18"/>
                <w:color w:val="auto"/>
              </w:rPr>
              <w:t>July 31, 2009</w:t>
            </w:r>
          </w:p>
        </w:tc>
        <w:tc>
          <w:tcPr>
            <w:tcW w:w="2160" w:type="dxa"/>
            <w:vAlign w:val="bottom"/>
          </w:tcPr>
          <w:p>
            <w:pPr>
              <w:jc w:val="right"/>
              <w:ind w:right="792"/>
              <w:spacing w:after="0"/>
              <w:rPr>
                <w:sz w:val="20"/>
                <w:szCs w:val="20"/>
                <w:color w:val="auto"/>
              </w:rPr>
            </w:pPr>
            <w:r>
              <w:rPr>
                <w:rFonts w:ascii="Arial" w:cs="Arial" w:eastAsia="Arial" w:hAnsi="Arial"/>
                <w:sz w:val="18"/>
                <w:szCs w:val="18"/>
                <w:color w:val="auto"/>
              </w:rPr>
              <w:t>24,955</w:t>
            </w:r>
          </w:p>
        </w:tc>
        <w:tc>
          <w:tcPr>
            <w:tcW w:w="900" w:type="dxa"/>
            <w:vAlign w:val="bottom"/>
          </w:tcPr>
          <w:p>
            <w:pPr>
              <w:ind w:left="7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72"/>
              <w:spacing w:after="0"/>
              <w:rPr>
                <w:sz w:val="20"/>
                <w:szCs w:val="20"/>
                <w:color w:val="auto"/>
              </w:rPr>
            </w:pPr>
            <w:r>
              <w:rPr>
                <w:rFonts w:ascii="Arial" w:cs="Arial" w:eastAsia="Arial" w:hAnsi="Arial"/>
                <w:sz w:val="18"/>
                <w:szCs w:val="18"/>
                <w:color w:val="auto"/>
              </w:rPr>
              <w:t>18.73</w:t>
            </w:r>
          </w:p>
        </w:tc>
        <w:tc>
          <w:tcPr>
            <w:tcW w:w="2360" w:type="dxa"/>
            <w:vAlign w:val="bottom"/>
          </w:tcPr>
          <w:p>
            <w:pPr>
              <w:jc w:val="right"/>
              <w:ind w:right="732"/>
              <w:spacing w:after="0"/>
              <w:rPr>
                <w:sz w:val="20"/>
                <w:szCs w:val="20"/>
                <w:color w:val="auto"/>
              </w:rPr>
            </w:pPr>
            <w:r>
              <w:rPr>
                <w:rFonts w:ascii="Arial" w:cs="Arial" w:eastAsia="Arial" w:hAnsi="Arial"/>
                <w:sz w:val="18"/>
                <w:szCs w:val="18"/>
                <w:color w:val="auto"/>
              </w:rPr>
              <w:t>24,955</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812"/>
              <w:spacing w:after="0"/>
              <w:rPr>
                <w:sz w:val="20"/>
                <w:szCs w:val="20"/>
                <w:color w:val="auto"/>
              </w:rPr>
            </w:pPr>
            <w:r>
              <w:rPr>
                <w:rFonts w:ascii="Arial" w:cs="Arial" w:eastAsia="Arial" w:hAnsi="Arial"/>
                <w:sz w:val="18"/>
                <w:szCs w:val="18"/>
                <w:color w:val="auto"/>
              </w:rPr>
              <w:t>0.1</w:t>
            </w:r>
          </w:p>
        </w:tc>
      </w:tr>
      <w:tr>
        <w:trPr>
          <w:trHeight w:val="358"/>
        </w:trPr>
        <w:tc>
          <w:tcPr>
            <w:tcW w:w="2420" w:type="dxa"/>
            <w:vAlign w:val="bottom"/>
          </w:tcPr>
          <w:p>
            <w:pPr>
              <w:spacing w:after="0"/>
              <w:rPr>
                <w:sz w:val="20"/>
                <w:szCs w:val="20"/>
                <w:color w:val="auto"/>
              </w:rPr>
            </w:pPr>
            <w:r>
              <w:rPr>
                <w:rFonts w:ascii="Arial" w:cs="Arial" w:eastAsia="Arial" w:hAnsi="Arial"/>
                <w:sz w:val="18"/>
                <w:szCs w:val="18"/>
                <w:color w:val="auto"/>
              </w:rPr>
              <w:t>August 1, 2009 through</w:t>
            </w:r>
          </w:p>
        </w:tc>
        <w:tc>
          <w:tcPr>
            <w:tcW w:w="2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22"/>
        </w:trPr>
        <w:tc>
          <w:tcPr>
            <w:tcW w:w="2420" w:type="dxa"/>
            <w:vAlign w:val="bottom"/>
          </w:tcPr>
          <w:p>
            <w:pPr>
              <w:ind w:left="160"/>
              <w:spacing w:after="0"/>
              <w:rPr>
                <w:sz w:val="20"/>
                <w:szCs w:val="20"/>
                <w:color w:val="auto"/>
              </w:rPr>
            </w:pPr>
            <w:r>
              <w:rPr>
                <w:rFonts w:ascii="Arial" w:cs="Arial" w:eastAsia="Arial" w:hAnsi="Arial"/>
                <w:sz w:val="18"/>
                <w:szCs w:val="18"/>
                <w:color w:val="auto"/>
              </w:rPr>
              <w:t>August 31, 2009</w:t>
            </w:r>
          </w:p>
        </w:tc>
        <w:tc>
          <w:tcPr>
            <w:tcW w:w="2160" w:type="dxa"/>
            <w:vAlign w:val="bottom"/>
          </w:tcPr>
          <w:p>
            <w:pPr>
              <w:jc w:val="right"/>
              <w:ind w:right="792"/>
              <w:spacing w:after="0"/>
              <w:rPr>
                <w:sz w:val="20"/>
                <w:szCs w:val="20"/>
                <w:color w:val="auto"/>
              </w:rPr>
            </w:pPr>
            <w:r>
              <w:rPr>
                <w:rFonts w:ascii="Arial" w:cs="Arial" w:eastAsia="Arial" w:hAnsi="Arial"/>
                <w:sz w:val="18"/>
                <w:szCs w:val="18"/>
                <w:color w:val="auto"/>
              </w:rPr>
              <w:t>—</w:t>
            </w:r>
          </w:p>
        </w:tc>
        <w:tc>
          <w:tcPr>
            <w:tcW w:w="900" w:type="dxa"/>
            <w:vAlign w:val="bottom"/>
          </w:tcPr>
          <w:p>
            <w:pPr>
              <w:ind w:left="7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360" w:type="dxa"/>
            <w:vAlign w:val="bottom"/>
          </w:tcPr>
          <w:p>
            <w:pPr>
              <w:jc w:val="right"/>
              <w:ind w:right="7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812"/>
              <w:spacing w:after="0"/>
              <w:rPr>
                <w:sz w:val="20"/>
                <w:szCs w:val="20"/>
                <w:color w:val="auto"/>
              </w:rPr>
            </w:pPr>
            <w:r>
              <w:rPr>
                <w:rFonts w:ascii="Arial" w:cs="Arial" w:eastAsia="Arial" w:hAnsi="Arial"/>
                <w:sz w:val="18"/>
                <w:szCs w:val="18"/>
                <w:color w:val="auto"/>
              </w:rPr>
              <w:t>0.1</w:t>
            </w:r>
          </w:p>
        </w:tc>
      </w:tr>
      <w:tr>
        <w:trPr>
          <w:trHeight w:val="358"/>
        </w:trPr>
        <w:tc>
          <w:tcPr>
            <w:tcW w:w="2420" w:type="dxa"/>
            <w:vAlign w:val="bottom"/>
          </w:tcPr>
          <w:p>
            <w:pPr>
              <w:spacing w:after="0"/>
              <w:rPr>
                <w:sz w:val="20"/>
                <w:szCs w:val="20"/>
                <w:color w:val="auto"/>
              </w:rPr>
            </w:pPr>
            <w:r>
              <w:rPr>
                <w:rFonts w:ascii="Arial" w:cs="Arial" w:eastAsia="Arial" w:hAnsi="Arial"/>
                <w:sz w:val="18"/>
                <w:szCs w:val="18"/>
                <w:color w:val="auto"/>
              </w:rPr>
              <w:t>September 1, 2009 through</w:t>
            </w:r>
          </w:p>
        </w:tc>
        <w:tc>
          <w:tcPr>
            <w:tcW w:w="2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22"/>
        </w:trPr>
        <w:tc>
          <w:tcPr>
            <w:tcW w:w="2420" w:type="dxa"/>
            <w:vAlign w:val="bottom"/>
          </w:tcPr>
          <w:p>
            <w:pPr>
              <w:ind w:left="160"/>
              <w:spacing w:after="0"/>
              <w:rPr>
                <w:sz w:val="20"/>
                <w:szCs w:val="20"/>
                <w:color w:val="auto"/>
              </w:rPr>
            </w:pPr>
            <w:r>
              <w:rPr>
                <w:rFonts w:ascii="Arial" w:cs="Arial" w:eastAsia="Arial" w:hAnsi="Arial"/>
                <w:sz w:val="18"/>
                <w:szCs w:val="18"/>
                <w:color w:val="auto"/>
              </w:rPr>
              <w:t>September 30, 2009</w:t>
            </w:r>
          </w:p>
        </w:tc>
        <w:tc>
          <w:tcPr>
            <w:tcW w:w="2160" w:type="dxa"/>
            <w:vAlign w:val="bottom"/>
          </w:tcPr>
          <w:p>
            <w:pPr>
              <w:jc w:val="right"/>
              <w:ind w:right="792"/>
              <w:spacing w:after="0"/>
              <w:rPr>
                <w:sz w:val="20"/>
                <w:szCs w:val="20"/>
                <w:color w:val="auto"/>
              </w:rPr>
            </w:pPr>
            <w:r>
              <w:rPr>
                <w:rFonts w:ascii="Arial" w:cs="Arial" w:eastAsia="Arial" w:hAnsi="Arial"/>
                <w:sz w:val="18"/>
                <w:szCs w:val="18"/>
                <w:color w:val="auto"/>
              </w:rPr>
              <w:t>850</w:t>
            </w:r>
          </w:p>
        </w:tc>
        <w:tc>
          <w:tcPr>
            <w:tcW w:w="900" w:type="dxa"/>
            <w:vAlign w:val="bottom"/>
          </w:tcPr>
          <w:p>
            <w:pPr>
              <w:ind w:left="7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72"/>
              <w:spacing w:after="0"/>
              <w:rPr>
                <w:sz w:val="20"/>
                <w:szCs w:val="20"/>
                <w:color w:val="auto"/>
              </w:rPr>
            </w:pPr>
            <w:r>
              <w:rPr>
                <w:rFonts w:ascii="Arial" w:cs="Arial" w:eastAsia="Arial" w:hAnsi="Arial"/>
                <w:sz w:val="18"/>
                <w:szCs w:val="18"/>
                <w:color w:val="auto"/>
              </w:rPr>
              <w:t>23.14</w:t>
            </w:r>
          </w:p>
        </w:tc>
        <w:tc>
          <w:tcPr>
            <w:tcW w:w="2360" w:type="dxa"/>
            <w:vAlign w:val="bottom"/>
          </w:tcPr>
          <w:p>
            <w:pPr>
              <w:jc w:val="right"/>
              <w:ind w:right="732"/>
              <w:spacing w:after="0"/>
              <w:rPr>
                <w:sz w:val="20"/>
                <w:szCs w:val="20"/>
                <w:color w:val="auto"/>
              </w:rPr>
            </w:pPr>
            <w:r>
              <w:rPr>
                <w:rFonts w:ascii="Arial" w:cs="Arial" w:eastAsia="Arial" w:hAnsi="Arial"/>
                <w:sz w:val="18"/>
                <w:szCs w:val="18"/>
                <w:color w:val="auto"/>
              </w:rPr>
              <w:t>850</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812"/>
              <w:spacing w:after="0"/>
              <w:rPr>
                <w:sz w:val="20"/>
                <w:szCs w:val="20"/>
                <w:color w:val="auto"/>
              </w:rPr>
            </w:pPr>
            <w:r>
              <w:rPr>
                <w:rFonts w:ascii="Arial" w:cs="Arial" w:eastAsia="Arial" w:hAnsi="Arial"/>
                <w:sz w:val="18"/>
                <w:szCs w:val="18"/>
                <w:color w:val="auto"/>
              </w:rPr>
              <w:t>—</w:t>
            </w:r>
          </w:p>
        </w:tc>
      </w:tr>
      <w:tr>
        <w:trPr>
          <w:trHeight w:val="358"/>
        </w:trPr>
        <w:tc>
          <w:tcPr>
            <w:tcW w:w="2420" w:type="dxa"/>
            <w:vAlign w:val="bottom"/>
          </w:tcPr>
          <w:p>
            <w:pPr>
              <w:spacing w:after="0"/>
              <w:rPr>
                <w:sz w:val="20"/>
                <w:szCs w:val="20"/>
                <w:color w:val="auto"/>
              </w:rPr>
            </w:pPr>
            <w:r>
              <w:rPr>
                <w:rFonts w:ascii="Arial" w:cs="Arial" w:eastAsia="Arial" w:hAnsi="Arial"/>
                <w:sz w:val="18"/>
                <w:szCs w:val="18"/>
                <w:color w:val="auto"/>
              </w:rPr>
              <w:t>October 1, 2009 through</w:t>
            </w:r>
          </w:p>
        </w:tc>
        <w:tc>
          <w:tcPr>
            <w:tcW w:w="2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22"/>
        </w:trPr>
        <w:tc>
          <w:tcPr>
            <w:tcW w:w="2420" w:type="dxa"/>
            <w:vAlign w:val="bottom"/>
          </w:tcPr>
          <w:p>
            <w:pPr>
              <w:ind w:left="160"/>
              <w:spacing w:after="0"/>
              <w:rPr>
                <w:sz w:val="20"/>
                <w:szCs w:val="20"/>
                <w:color w:val="auto"/>
              </w:rPr>
            </w:pPr>
            <w:r>
              <w:rPr>
                <w:rFonts w:ascii="Arial" w:cs="Arial" w:eastAsia="Arial" w:hAnsi="Arial"/>
                <w:sz w:val="18"/>
                <w:szCs w:val="18"/>
                <w:color w:val="auto"/>
              </w:rPr>
              <w:t>October 31, 2009</w:t>
            </w:r>
          </w:p>
        </w:tc>
        <w:tc>
          <w:tcPr>
            <w:tcW w:w="2160" w:type="dxa"/>
            <w:vAlign w:val="bottom"/>
          </w:tcPr>
          <w:p>
            <w:pPr>
              <w:jc w:val="right"/>
              <w:ind w:right="792"/>
              <w:spacing w:after="0"/>
              <w:rPr>
                <w:sz w:val="20"/>
                <w:szCs w:val="20"/>
                <w:color w:val="auto"/>
              </w:rPr>
            </w:pPr>
            <w:r>
              <w:rPr>
                <w:rFonts w:ascii="Arial" w:cs="Arial" w:eastAsia="Arial" w:hAnsi="Arial"/>
                <w:sz w:val="18"/>
                <w:szCs w:val="18"/>
                <w:color w:val="auto"/>
              </w:rPr>
              <w:t>—</w:t>
            </w:r>
          </w:p>
        </w:tc>
        <w:tc>
          <w:tcPr>
            <w:tcW w:w="900" w:type="dxa"/>
            <w:vAlign w:val="bottom"/>
          </w:tcPr>
          <w:p>
            <w:pPr>
              <w:ind w:left="7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360" w:type="dxa"/>
            <w:vAlign w:val="bottom"/>
          </w:tcPr>
          <w:p>
            <w:pPr>
              <w:jc w:val="right"/>
              <w:ind w:right="7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812"/>
              <w:spacing w:after="0"/>
              <w:rPr>
                <w:sz w:val="20"/>
                <w:szCs w:val="20"/>
                <w:color w:val="auto"/>
              </w:rPr>
            </w:pPr>
            <w:r>
              <w:rPr>
                <w:rFonts w:ascii="Arial" w:cs="Arial" w:eastAsia="Arial" w:hAnsi="Arial"/>
                <w:sz w:val="18"/>
                <w:szCs w:val="18"/>
                <w:color w:val="auto"/>
              </w:rPr>
              <w:t>—</w:t>
            </w:r>
          </w:p>
        </w:tc>
      </w:tr>
      <w:tr>
        <w:trPr>
          <w:trHeight w:val="358"/>
        </w:trPr>
        <w:tc>
          <w:tcPr>
            <w:tcW w:w="2420" w:type="dxa"/>
            <w:vAlign w:val="bottom"/>
          </w:tcPr>
          <w:p>
            <w:pPr>
              <w:spacing w:after="0"/>
              <w:rPr>
                <w:sz w:val="20"/>
                <w:szCs w:val="20"/>
                <w:color w:val="auto"/>
              </w:rPr>
            </w:pPr>
            <w:r>
              <w:rPr>
                <w:rFonts w:ascii="Arial" w:cs="Arial" w:eastAsia="Arial" w:hAnsi="Arial"/>
                <w:sz w:val="18"/>
                <w:szCs w:val="18"/>
                <w:color w:val="auto"/>
              </w:rPr>
              <w:t>November 1, 2009 through</w:t>
            </w:r>
          </w:p>
        </w:tc>
        <w:tc>
          <w:tcPr>
            <w:tcW w:w="2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22"/>
        </w:trPr>
        <w:tc>
          <w:tcPr>
            <w:tcW w:w="2420" w:type="dxa"/>
            <w:vAlign w:val="bottom"/>
          </w:tcPr>
          <w:p>
            <w:pPr>
              <w:ind w:left="160"/>
              <w:spacing w:after="0"/>
              <w:rPr>
                <w:sz w:val="20"/>
                <w:szCs w:val="20"/>
                <w:color w:val="auto"/>
              </w:rPr>
            </w:pPr>
            <w:r>
              <w:rPr>
                <w:rFonts w:ascii="Arial" w:cs="Arial" w:eastAsia="Arial" w:hAnsi="Arial"/>
                <w:sz w:val="18"/>
                <w:szCs w:val="18"/>
                <w:color w:val="auto"/>
              </w:rPr>
              <w:t>November 30, 2009</w:t>
            </w:r>
          </w:p>
        </w:tc>
        <w:tc>
          <w:tcPr>
            <w:tcW w:w="2160" w:type="dxa"/>
            <w:vAlign w:val="bottom"/>
          </w:tcPr>
          <w:p>
            <w:pPr>
              <w:jc w:val="right"/>
              <w:ind w:right="792"/>
              <w:spacing w:after="0"/>
              <w:rPr>
                <w:sz w:val="20"/>
                <w:szCs w:val="20"/>
                <w:color w:val="auto"/>
              </w:rPr>
            </w:pPr>
            <w:r>
              <w:rPr>
                <w:rFonts w:ascii="Arial" w:cs="Arial" w:eastAsia="Arial" w:hAnsi="Arial"/>
                <w:sz w:val="18"/>
                <w:szCs w:val="18"/>
                <w:color w:val="auto"/>
              </w:rPr>
              <w:t>—</w:t>
            </w:r>
          </w:p>
        </w:tc>
        <w:tc>
          <w:tcPr>
            <w:tcW w:w="900" w:type="dxa"/>
            <w:vAlign w:val="bottom"/>
          </w:tcPr>
          <w:p>
            <w:pPr>
              <w:ind w:left="7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360" w:type="dxa"/>
            <w:vAlign w:val="bottom"/>
          </w:tcPr>
          <w:p>
            <w:pPr>
              <w:jc w:val="right"/>
              <w:ind w:right="7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812"/>
              <w:spacing w:after="0"/>
              <w:rPr>
                <w:sz w:val="20"/>
                <w:szCs w:val="20"/>
                <w:color w:val="auto"/>
              </w:rPr>
            </w:pPr>
            <w:r>
              <w:rPr>
                <w:rFonts w:ascii="Arial" w:cs="Arial" w:eastAsia="Arial" w:hAnsi="Arial"/>
                <w:sz w:val="18"/>
                <w:szCs w:val="18"/>
                <w:color w:val="auto"/>
              </w:rPr>
              <w:t>—</w:t>
            </w:r>
          </w:p>
        </w:tc>
      </w:tr>
      <w:tr>
        <w:trPr>
          <w:trHeight w:val="365"/>
        </w:trPr>
        <w:tc>
          <w:tcPr>
            <w:tcW w:w="2420" w:type="dxa"/>
            <w:vAlign w:val="bottom"/>
          </w:tcPr>
          <w:p>
            <w:pPr>
              <w:ind w:left="480"/>
              <w:spacing w:after="0"/>
              <w:rPr>
                <w:sz w:val="20"/>
                <w:szCs w:val="20"/>
                <w:color w:val="auto"/>
              </w:rPr>
            </w:pPr>
            <w:r>
              <w:rPr>
                <w:rFonts w:ascii="Arial" w:cs="Arial" w:eastAsia="Arial" w:hAnsi="Arial"/>
                <w:sz w:val="18"/>
                <w:szCs w:val="18"/>
                <w:color w:val="auto"/>
              </w:rPr>
              <w:t>Total</w:t>
            </w:r>
          </w:p>
        </w:tc>
        <w:tc>
          <w:tcPr>
            <w:tcW w:w="2160" w:type="dxa"/>
            <w:vAlign w:val="bottom"/>
          </w:tcPr>
          <w:p>
            <w:pPr>
              <w:jc w:val="right"/>
              <w:ind w:right="792"/>
              <w:spacing w:after="0"/>
              <w:rPr>
                <w:sz w:val="20"/>
                <w:szCs w:val="20"/>
                <w:color w:val="auto"/>
              </w:rPr>
            </w:pPr>
            <w:r>
              <w:rPr>
                <w:rFonts w:ascii="Arial" w:cs="Arial" w:eastAsia="Arial" w:hAnsi="Arial"/>
                <w:sz w:val="18"/>
                <w:szCs w:val="18"/>
                <w:color w:val="auto"/>
              </w:rPr>
              <w:t>54,000</w:t>
            </w:r>
          </w:p>
        </w:tc>
        <w:tc>
          <w:tcPr>
            <w:tcW w:w="900" w:type="dxa"/>
            <w:vAlign w:val="bottom"/>
          </w:tcPr>
          <w:p>
            <w:pPr>
              <w:ind w:left="7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72"/>
              <w:spacing w:after="0"/>
              <w:rPr>
                <w:sz w:val="20"/>
                <w:szCs w:val="20"/>
                <w:color w:val="auto"/>
              </w:rPr>
            </w:pPr>
            <w:r>
              <w:rPr>
                <w:rFonts w:ascii="Arial" w:cs="Arial" w:eastAsia="Arial" w:hAnsi="Arial"/>
                <w:sz w:val="18"/>
                <w:szCs w:val="18"/>
                <w:color w:val="auto"/>
              </w:rPr>
              <w:t>19.42</w:t>
            </w:r>
          </w:p>
        </w:tc>
        <w:tc>
          <w:tcPr>
            <w:tcW w:w="2360" w:type="dxa"/>
            <w:vAlign w:val="bottom"/>
          </w:tcPr>
          <w:p>
            <w:pPr>
              <w:jc w:val="right"/>
              <w:ind w:right="732"/>
              <w:spacing w:after="0"/>
              <w:rPr>
                <w:sz w:val="20"/>
                <w:szCs w:val="20"/>
                <w:color w:val="auto"/>
              </w:rPr>
            </w:pPr>
            <w:r>
              <w:rPr>
                <w:rFonts w:ascii="Arial" w:cs="Arial" w:eastAsia="Arial" w:hAnsi="Arial"/>
                <w:sz w:val="18"/>
                <w:szCs w:val="18"/>
                <w:color w:val="auto"/>
              </w:rPr>
              <w:t>54,000</w:t>
            </w: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10"/>
        </w:trPr>
        <w:tc>
          <w:tcPr>
            <w:tcW w:w="2420" w:type="dxa"/>
            <w:vAlign w:val="bottom"/>
            <w:tcBorders>
              <w:bottom w:val="single" w:sz="8" w:color="808080"/>
            </w:tcBorders>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r>
    </w:tbl>
    <w:p>
      <w:pPr>
        <w:spacing w:after="0" w:line="356" w:lineRule="exact"/>
        <w:rPr>
          <w:sz w:val="20"/>
          <w:szCs w:val="20"/>
          <w:color w:val="auto"/>
        </w:rPr>
      </w:pPr>
    </w:p>
    <w:p>
      <w:pPr>
        <w:ind w:left="460" w:right="100" w:hanging="452"/>
        <w:spacing w:after="0" w:line="253"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May 28, 2008, the Company announced that its Board of Directors had authorized a new program to purchase up to $20.0 million of Common Stock, from time to time as conditions allow, on the open market or through negotiated private transactions. On November 20, 2008 and February 4, 2009, the Board of Directors authorized further programs to repurchase up to an additional $10.0 million and $5.0 million, respectively, of its Common Stock, to be funded with available cash and pursuant to which the Company could purchase shares from time to time as conditions allow on the open market. As of November 30, 2009, these programs were virtually completed. On December 16, 2009, the Company announced that its Board of Directors had authorized a new program to purchase up to $20.0 million of Common Stock, from time to time as conditions allow, on the open market or through negotiated private transactions.</w:t>
      </w: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Annual Meeting of Stockholders of the Corporation was held on September 23, 2009 (the “Annual Meeting”). The following sets forth the results of the proposals presented at the Annual Meeting voted upon by the stockholders of the Corporation entitled to vote thereon:</w:t>
      </w:r>
    </w:p>
    <w:p>
      <w:pPr>
        <w:spacing w:after="0" w:line="18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Holders of the 1,656,200 outstanding shares of the Class A Stock (the “Class A Stockholders”) voted unanimously in favor of electing Richard Robinson, Ramon C. Cortines, John L. Davies, Andrew S. Hedden, Mae C. Jamison, Peter M. Mayer, Augustus K. Oliver and Richard M. Spaulding as directors to serve until the next annual meeting of the Corporation’s stockholders and until their respective successors are duly elected and qualified.</w:t>
      </w:r>
    </w:p>
    <w:p>
      <w:pPr>
        <w:spacing w:after="0" w:line="16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Holders of the Common Stock elected the following nominees as directors to serve until the next annual meeting of the Corporation’s stockholders and until their respective successors are duly elected and qualified. Votes cast by holders of the Common Stock were: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300" w:type="dxa"/>
            <w:vAlign w:val="bottom"/>
          </w:tcPr>
          <w:p>
            <w:pPr>
              <w:spacing w:after="0"/>
              <w:rPr>
                <w:sz w:val="19"/>
                <w:szCs w:val="19"/>
                <w:color w:val="auto"/>
              </w:rPr>
            </w:pPr>
          </w:p>
        </w:tc>
        <w:tc>
          <w:tcPr>
            <w:tcW w:w="2060" w:type="dxa"/>
            <w:vAlign w:val="bottom"/>
            <w:gridSpan w:val="2"/>
          </w:tcPr>
          <w:p>
            <w:pPr>
              <w:ind w:left="40"/>
              <w:spacing w:after="0"/>
              <w:rPr>
                <w:sz w:val="20"/>
                <w:szCs w:val="20"/>
                <w:color w:val="auto"/>
              </w:rPr>
            </w:pPr>
            <w:r>
              <w:rPr>
                <w:rFonts w:ascii="Arial" w:cs="Arial" w:eastAsia="Arial" w:hAnsi="Arial"/>
                <w:sz w:val="18"/>
                <w:szCs w:val="18"/>
                <w:b w:val="1"/>
                <w:bCs w:val="1"/>
                <w:color w:val="auto"/>
              </w:rPr>
              <w:t>Nominee</w:t>
            </w:r>
          </w:p>
        </w:tc>
        <w:tc>
          <w:tcPr>
            <w:tcW w:w="1700" w:type="dxa"/>
            <w:vAlign w:val="bottom"/>
          </w:tcPr>
          <w:p>
            <w:pPr>
              <w:spacing w:after="0"/>
              <w:rPr>
                <w:sz w:val="19"/>
                <w:szCs w:val="19"/>
                <w:color w:val="auto"/>
              </w:rPr>
            </w:pPr>
          </w:p>
        </w:tc>
        <w:tc>
          <w:tcPr>
            <w:tcW w:w="2860" w:type="dxa"/>
            <w:vAlign w:val="bottom"/>
            <w:gridSpan w:val="2"/>
          </w:tcPr>
          <w:p>
            <w:pPr>
              <w:jc w:val="center"/>
              <w:ind w:right="2500"/>
              <w:spacing w:after="0"/>
              <w:rPr>
                <w:sz w:val="20"/>
                <w:szCs w:val="20"/>
                <w:color w:val="auto"/>
              </w:rPr>
            </w:pPr>
            <w:r>
              <w:rPr>
                <w:rFonts w:ascii="Arial" w:cs="Arial" w:eastAsia="Arial" w:hAnsi="Arial"/>
                <w:sz w:val="18"/>
                <w:szCs w:val="18"/>
                <w:b w:val="1"/>
                <w:bCs w:val="1"/>
                <w:color w:val="auto"/>
                <w:w w:val="96"/>
              </w:rPr>
              <w:t>For</w:t>
            </w:r>
          </w:p>
        </w:tc>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Withheld</w:t>
            </w:r>
          </w:p>
        </w:tc>
      </w:tr>
      <w:tr>
        <w:trPr>
          <w:trHeight w:val="137"/>
        </w:trPr>
        <w:tc>
          <w:tcPr>
            <w:tcW w:w="2300" w:type="dxa"/>
            <w:vAlign w:val="bottom"/>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3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520" w:type="dxa"/>
            <w:vAlign w:val="bottom"/>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840" w:type="dxa"/>
            <w:vAlign w:val="bottom"/>
          </w:tcPr>
          <w:p>
            <w:pPr>
              <w:spacing w:after="0"/>
              <w:rPr>
                <w:sz w:val="11"/>
                <w:szCs w:val="11"/>
                <w:color w:val="auto"/>
              </w:rPr>
            </w:pPr>
          </w:p>
        </w:tc>
      </w:tr>
      <w:tr>
        <w:trPr>
          <w:trHeight w:val="309"/>
        </w:trPr>
        <w:tc>
          <w:tcPr>
            <w:tcW w:w="4360" w:type="dxa"/>
            <w:vAlign w:val="bottom"/>
            <w:gridSpan w:val="3"/>
          </w:tcPr>
          <w:p>
            <w:pPr>
              <w:ind w:left="1780"/>
              <w:spacing w:after="0"/>
              <w:rPr>
                <w:sz w:val="20"/>
                <w:szCs w:val="20"/>
                <w:color w:val="auto"/>
              </w:rPr>
            </w:pPr>
            <w:r>
              <w:rPr>
                <w:rFonts w:ascii="Arial" w:cs="Arial" w:eastAsia="Arial" w:hAnsi="Arial"/>
                <w:sz w:val="18"/>
                <w:szCs w:val="18"/>
                <w:color w:val="auto"/>
              </w:rPr>
              <w:t>James W. Barge</w:t>
            </w:r>
          </w:p>
        </w:tc>
        <w:tc>
          <w:tcPr>
            <w:tcW w:w="4560" w:type="dxa"/>
            <w:vAlign w:val="bottom"/>
            <w:gridSpan w:val="3"/>
          </w:tcPr>
          <w:p>
            <w:pPr>
              <w:jc w:val="center"/>
              <w:ind w:right="800"/>
              <w:spacing w:after="0"/>
              <w:rPr>
                <w:sz w:val="20"/>
                <w:szCs w:val="20"/>
                <w:color w:val="auto"/>
              </w:rPr>
            </w:pPr>
            <w:r>
              <w:rPr>
                <w:rFonts w:ascii="Arial" w:cs="Arial" w:eastAsia="Arial" w:hAnsi="Arial"/>
                <w:sz w:val="18"/>
                <w:szCs w:val="18"/>
                <w:color w:val="auto"/>
                <w:w w:val="85"/>
              </w:rPr>
              <w:t>30,014,597 shares</w:t>
            </w: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946,697 shares</w:t>
            </w:r>
          </w:p>
        </w:tc>
      </w:tr>
      <w:tr>
        <w:trPr>
          <w:trHeight w:val="222"/>
        </w:trPr>
        <w:tc>
          <w:tcPr>
            <w:tcW w:w="4360" w:type="dxa"/>
            <w:vAlign w:val="bottom"/>
            <w:gridSpan w:val="3"/>
          </w:tcPr>
          <w:p>
            <w:pPr>
              <w:ind w:left="1780"/>
              <w:spacing w:after="0"/>
              <w:rPr>
                <w:sz w:val="20"/>
                <w:szCs w:val="20"/>
                <w:color w:val="auto"/>
              </w:rPr>
            </w:pPr>
            <w:r>
              <w:rPr>
                <w:rFonts w:ascii="Arial" w:cs="Arial" w:eastAsia="Arial" w:hAnsi="Arial"/>
                <w:sz w:val="18"/>
                <w:szCs w:val="18"/>
                <w:color w:val="auto"/>
              </w:rPr>
              <w:t>John G. McDonald</w:t>
            </w:r>
          </w:p>
        </w:tc>
        <w:tc>
          <w:tcPr>
            <w:tcW w:w="4560" w:type="dxa"/>
            <w:vAlign w:val="bottom"/>
            <w:gridSpan w:val="3"/>
          </w:tcPr>
          <w:p>
            <w:pPr>
              <w:jc w:val="center"/>
              <w:ind w:right="800"/>
              <w:spacing w:after="0"/>
              <w:rPr>
                <w:sz w:val="20"/>
                <w:szCs w:val="20"/>
                <w:color w:val="auto"/>
              </w:rPr>
            </w:pPr>
            <w:r>
              <w:rPr>
                <w:rFonts w:ascii="Arial" w:cs="Arial" w:eastAsia="Arial" w:hAnsi="Arial"/>
                <w:sz w:val="18"/>
                <w:szCs w:val="18"/>
                <w:color w:val="auto"/>
                <w:w w:val="85"/>
              </w:rPr>
              <w:t>30,390,015 shares</w:t>
            </w: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571,269 shares</w:t>
            </w:r>
          </w:p>
        </w:tc>
      </w:tr>
      <w:tr>
        <w:trPr>
          <w:trHeight w:val="432"/>
        </w:trPr>
        <w:tc>
          <w:tcPr>
            <w:tcW w:w="2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00" w:type="dxa"/>
            <w:vAlign w:val="bottom"/>
          </w:tcPr>
          <w:p>
            <w:pPr>
              <w:jc w:val="right"/>
              <w:ind w:right="172"/>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15"/>
        </w:trPr>
        <w:tc>
          <w:tcPr>
            <w:tcW w:w="2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61"/>
        </w:trPr>
        <w:tc>
          <w:tcPr>
            <w:tcW w:w="23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7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5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8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382" w:right="19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20" w:type="dxa"/>
            <w:vAlign w:val="bottom"/>
          </w:tcPr>
          <w:p>
            <w:pPr>
              <w:spacing w:after="0"/>
              <w:rPr>
                <w:sz w:val="20"/>
                <w:szCs w:val="20"/>
                <w:color w:val="auto"/>
              </w:rPr>
            </w:pPr>
            <w:r>
              <w:rPr>
                <w:rFonts w:ascii="Arial" w:cs="Arial" w:eastAsia="Arial" w:hAnsi="Arial"/>
                <w:sz w:val="18"/>
                <w:szCs w:val="18"/>
                <w:color w:val="auto"/>
              </w:rPr>
              <w:t>Exhibits:</w:t>
            </w:r>
          </w:p>
        </w:tc>
        <w:tc>
          <w:tcPr>
            <w:tcW w:w="9880" w:type="dxa"/>
            <w:vAlign w:val="bottom"/>
          </w:tcPr>
          <w:p>
            <w:pPr>
              <w:spacing w:after="0"/>
              <w:rPr>
                <w:sz w:val="19"/>
                <w:szCs w:val="19"/>
                <w:color w:val="auto"/>
              </w:rPr>
            </w:pPr>
          </w:p>
        </w:tc>
      </w:tr>
      <w:tr>
        <w:trPr>
          <w:trHeight w:val="365"/>
        </w:trPr>
        <w:tc>
          <w:tcPr>
            <w:tcW w:w="1020" w:type="dxa"/>
            <w:vAlign w:val="bottom"/>
          </w:tcPr>
          <w:p>
            <w:pPr>
              <w:spacing w:after="0"/>
              <w:rPr>
                <w:sz w:val="20"/>
                <w:szCs w:val="20"/>
                <w:color w:val="auto"/>
              </w:rPr>
            </w:pPr>
            <w:r>
              <w:rPr>
                <w:rFonts w:ascii="Arial" w:cs="Arial" w:eastAsia="Arial" w:hAnsi="Arial"/>
                <w:sz w:val="18"/>
                <w:szCs w:val="18"/>
                <w:color w:val="auto"/>
              </w:rPr>
              <w:t>31.1</w:t>
            </w:r>
          </w:p>
        </w:tc>
        <w:tc>
          <w:tcPr>
            <w:tcW w:w="9880" w:type="dxa"/>
            <w:vAlign w:val="bottom"/>
          </w:tcPr>
          <w:p>
            <w:pPr>
              <w:ind w:left="360"/>
              <w:spacing w:after="0"/>
              <w:rPr>
                <w:sz w:val="20"/>
                <w:szCs w:val="20"/>
                <w:color w:val="auto"/>
              </w:rPr>
            </w:pPr>
            <w:r>
              <w:rPr>
                <w:rFonts w:ascii="Arial" w:cs="Arial" w:eastAsia="Arial" w:hAnsi="Arial"/>
                <w:sz w:val="18"/>
                <w:szCs w:val="18"/>
                <w:color w:val="auto"/>
                <w:w w:val="89"/>
              </w:rPr>
              <w:t>Certification of the Chief Executive Officer of Scholastic Corporation filed pursuant to Section 302 of the Sarbanes-Oxley Act of 2002.</w:t>
            </w:r>
          </w:p>
        </w:tc>
      </w:tr>
      <w:tr>
        <w:trPr>
          <w:trHeight w:val="365"/>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9880" w:type="dxa"/>
            <w:vAlign w:val="bottom"/>
          </w:tcPr>
          <w:p>
            <w:pPr>
              <w:ind w:left="360"/>
              <w:spacing w:after="0"/>
              <w:rPr>
                <w:sz w:val="20"/>
                <w:szCs w:val="20"/>
                <w:color w:val="auto"/>
              </w:rPr>
            </w:pPr>
            <w:r>
              <w:rPr>
                <w:rFonts w:ascii="Arial" w:cs="Arial" w:eastAsia="Arial" w:hAnsi="Arial"/>
                <w:sz w:val="18"/>
                <w:szCs w:val="18"/>
                <w:color w:val="auto"/>
                <w:w w:val="90"/>
              </w:rPr>
              <w:t>Certification of the Chief Financial Officer of Scholastic Corporation filed pursuant to Section 302 of the Sarbanes-Oxley Act of 2002.</w:t>
            </w:r>
          </w:p>
        </w:tc>
      </w:tr>
    </w:tbl>
    <w:p>
      <w:pPr>
        <w:spacing w:after="0" w:line="142" w:lineRule="exact"/>
        <w:rPr>
          <w:sz w:val="20"/>
          <w:szCs w:val="20"/>
          <w:color w:val="auto"/>
        </w:rPr>
      </w:pPr>
    </w:p>
    <w:p>
      <w:pPr>
        <w:ind w:left="1380" w:hanging="1372"/>
        <w:spacing w:after="0" w:line="268" w:lineRule="auto"/>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Certifications of the Chief Executive Officer and Chief Financial Officer of Scholastic Corporation furnished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00"/>
          </w:cols>
          <w:pgMar w:left="240" w:top="139" w:right="4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26376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(Registrant)</w:t>
      </w:r>
    </w:p>
    <w:p>
      <w:pPr>
        <w:spacing w:after="0" w:line="151" w:lineRule="exact"/>
        <w:rPr>
          <w:sz w:val="20"/>
          <w:szCs w:val="20"/>
          <w:color w:val="auto"/>
        </w:rPr>
      </w:pPr>
    </w:p>
    <w:p>
      <w:pPr>
        <w:spacing w:after="0"/>
        <w:tabs>
          <w:tab w:leader="none" w:pos="6500" w:val="left"/>
        </w:tabs>
        <w:rPr>
          <w:sz w:val="20"/>
          <w:szCs w:val="20"/>
          <w:color w:val="auto"/>
        </w:rPr>
      </w:pPr>
      <w:r>
        <w:rPr>
          <w:rFonts w:ascii="Arial" w:cs="Arial" w:eastAsia="Arial" w:hAnsi="Arial"/>
          <w:sz w:val="18"/>
          <w:szCs w:val="18"/>
          <w:color w:val="auto"/>
        </w:rPr>
        <w:t>Date: December 21, 2009</w:t>
      </w:r>
      <w:r>
        <w:rPr>
          <w:sz w:val="20"/>
          <w:szCs w:val="20"/>
          <w:color w:val="auto"/>
        </w:rPr>
        <w:tab/>
      </w:r>
      <w:r>
        <w:rPr>
          <w:rFonts w:ascii="Arial" w:cs="Arial" w:eastAsia="Arial" w:hAnsi="Arial"/>
          <w:sz w:val="16"/>
          <w:szCs w:val="16"/>
          <w:color w:val="auto"/>
        </w:rPr>
        <w:t>By: /s/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80010</wp:posOffset>
            </wp:positionV>
            <wp:extent cx="293306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36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Richard Robinson</w:t>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Chairman of the Board,</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President and Chief</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Executive Officer</w:t>
      </w:r>
    </w:p>
    <w:p>
      <w:pPr>
        <w:spacing w:after="0" w:line="151" w:lineRule="exact"/>
        <w:rPr>
          <w:sz w:val="20"/>
          <w:szCs w:val="20"/>
          <w:color w:val="auto"/>
        </w:rPr>
      </w:pPr>
    </w:p>
    <w:p>
      <w:pPr>
        <w:spacing w:after="0"/>
        <w:tabs>
          <w:tab w:leader="none" w:pos="6500" w:val="left"/>
        </w:tabs>
        <w:rPr>
          <w:sz w:val="20"/>
          <w:szCs w:val="20"/>
          <w:color w:val="auto"/>
        </w:rPr>
      </w:pPr>
      <w:r>
        <w:rPr>
          <w:rFonts w:ascii="Arial" w:cs="Arial" w:eastAsia="Arial" w:hAnsi="Arial"/>
          <w:sz w:val="18"/>
          <w:szCs w:val="18"/>
          <w:color w:val="auto"/>
        </w:rPr>
        <w:t>Date: December 21, 2009</w:t>
      </w:r>
      <w:r>
        <w:rPr>
          <w:sz w:val="20"/>
          <w:szCs w:val="20"/>
          <w:color w:val="auto"/>
        </w:rPr>
        <w:tab/>
      </w:r>
      <w:r>
        <w:rPr>
          <w:rFonts w:ascii="Arial" w:cs="Arial" w:eastAsia="Arial" w:hAnsi="Arial"/>
          <w:sz w:val="16"/>
          <w:szCs w:val="16"/>
          <w:color w:val="auto"/>
        </w:rPr>
        <w:t>By: /s/ Maureen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80010</wp:posOffset>
            </wp:positionV>
            <wp:extent cx="293306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36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Maureen O’Connell</w:t>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Chief Administrative Officer</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and Chief Financial Officer</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(Principal Financial Officer)</w:t>
      </w:r>
    </w:p>
    <w:p>
      <w:pPr>
        <w:spacing w:after="0" w:line="21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00"/>
          </w:cols>
          <w:pgMar w:left="240" w:top="382" w:right="6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REPORT ON FORM 10-Q, DATED NOVEMBER 30,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580" w:type="dxa"/>
            <w:vAlign w:val="bottom"/>
          </w:tcPr>
          <w:p>
            <w:pPr>
              <w:spacing w:after="0"/>
              <w:rPr>
                <w:sz w:val="18"/>
                <w:szCs w:val="18"/>
                <w:color w:val="auto"/>
              </w:rPr>
            </w:pPr>
          </w:p>
        </w:tc>
      </w:tr>
      <w:tr>
        <w:trPr>
          <w:trHeight w:val="228"/>
        </w:trPr>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1"/>
              </w:rPr>
              <w:t>Number</w:t>
            </w:r>
          </w:p>
        </w:tc>
        <w:tc>
          <w:tcPr>
            <w:tcW w:w="9860" w:type="dxa"/>
            <w:vAlign w:val="bottom"/>
            <w:gridSpan w:val="3"/>
          </w:tcPr>
          <w:p>
            <w:pPr>
              <w:ind w:left="320"/>
              <w:spacing w:after="0"/>
              <w:rPr>
                <w:sz w:val="20"/>
                <w:szCs w:val="20"/>
                <w:color w:val="auto"/>
              </w:rPr>
            </w:pPr>
            <w:r>
              <w:rPr>
                <w:rFonts w:ascii="Arial" w:cs="Arial" w:eastAsia="Arial" w:hAnsi="Arial"/>
                <w:sz w:val="18"/>
                <w:szCs w:val="18"/>
                <w:b w:val="1"/>
                <w:bCs w:val="1"/>
                <w:color w:val="auto"/>
              </w:rPr>
              <w:t>Description of Document</w:t>
            </w:r>
          </w:p>
        </w:tc>
      </w:tr>
      <w:tr>
        <w:trPr>
          <w:trHeight w:val="110"/>
        </w:trPr>
        <w:tc>
          <w:tcPr>
            <w:tcW w:w="8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7580" w:type="dxa"/>
            <w:vAlign w:val="bottom"/>
          </w:tcPr>
          <w:p>
            <w:pPr>
              <w:spacing w:after="0"/>
              <w:rPr>
                <w:sz w:val="9"/>
                <w:szCs w:val="9"/>
                <w:color w:val="auto"/>
              </w:rPr>
            </w:pPr>
          </w:p>
        </w:tc>
      </w:tr>
      <w:tr>
        <w:trPr>
          <w:trHeight w:val="464"/>
        </w:trPr>
        <w:tc>
          <w:tcPr>
            <w:tcW w:w="84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9860" w:type="dxa"/>
            <w:vAlign w:val="bottom"/>
            <w:gridSpan w:val="3"/>
          </w:tcPr>
          <w:p>
            <w:pPr>
              <w:ind w:left="320"/>
              <w:spacing w:after="0"/>
              <w:rPr>
                <w:sz w:val="20"/>
                <w:szCs w:val="20"/>
                <w:color w:val="auto"/>
              </w:rPr>
            </w:pPr>
            <w:r>
              <w:rPr>
                <w:rFonts w:ascii="Arial" w:cs="Arial" w:eastAsia="Arial" w:hAnsi="Arial"/>
                <w:sz w:val="18"/>
                <w:szCs w:val="18"/>
                <w:color w:val="auto"/>
                <w:w w:val="90"/>
              </w:rPr>
              <w:t>Certification of the Chief Executive Officer of Scholastic Corporation filed pursuant to Section 302 of the Sarbanes-Oxley Act of 2002.</w:t>
            </w:r>
          </w:p>
        </w:tc>
      </w:tr>
      <w:tr>
        <w:trPr>
          <w:trHeight w:val="365"/>
        </w:trPr>
        <w:tc>
          <w:tcPr>
            <w:tcW w:w="84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9860" w:type="dxa"/>
            <w:vAlign w:val="bottom"/>
            <w:gridSpan w:val="3"/>
          </w:tcPr>
          <w:p>
            <w:pPr>
              <w:ind w:left="320"/>
              <w:spacing w:after="0"/>
              <w:rPr>
                <w:sz w:val="20"/>
                <w:szCs w:val="20"/>
                <w:color w:val="auto"/>
              </w:rPr>
            </w:pPr>
            <w:r>
              <w:rPr>
                <w:rFonts w:ascii="Arial" w:cs="Arial" w:eastAsia="Arial" w:hAnsi="Arial"/>
                <w:sz w:val="18"/>
                <w:szCs w:val="18"/>
                <w:color w:val="auto"/>
                <w:w w:val="90"/>
              </w:rPr>
              <w:t>Certification of the Chief Financial Officer of Scholastic Corporation filed pursuant to Section 302 of the Sarbanes-Oxley Act of 2002.</w:t>
            </w:r>
          </w:p>
        </w:tc>
      </w:tr>
    </w:tbl>
    <w:p>
      <w:pPr>
        <w:spacing w:after="0" w:line="142" w:lineRule="exact"/>
        <w:rPr>
          <w:sz w:val="20"/>
          <w:szCs w:val="20"/>
          <w:color w:val="auto"/>
        </w:rPr>
      </w:pPr>
    </w:p>
    <w:p>
      <w:pPr>
        <w:ind w:left="1160" w:hanging="900"/>
        <w:spacing w:after="0" w:line="268"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Certifications of the Chief Executive Officer and Chief Financial Officer of Scholastic Corporation furnished pursuant to Section 906 of the Sarbanes-Oxley Act of 2002.</w:t>
      </w:r>
    </w:p>
    <w:p>
      <w:pPr>
        <w:spacing w:after="0" w:line="18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980"/>
          </w:cols>
          <w:pgMar w:left="240" w:top="382" w:right="67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31.1</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I, Richard Robinson, the principal executive officer of Scholastic Corporation, certify that:</w:t>
      </w:r>
    </w:p>
    <w:p>
      <w:pPr>
        <w:spacing w:after="0" w:line="158" w:lineRule="exact"/>
        <w:rPr>
          <w:sz w:val="20"/>
          <w:szCs w:val="20"/>
          <w:color w:val="auto"/>
        </w:rPr>
      </w:pPr>
    </w:p>
    <w:p>
      <w:pPr>
        <w:ind w:left="920" w:hanging="453"/>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Scholastic Corporation;</w:t>
      </w:r>
    </w:p>
    <w:p>
      <w:pPr>
        <w:spacing w:after="0" w:line="157" w:lineRule="exact"/>
        <w:rPr>
          <w:rFonts w:ascii="Arial" w:cs="Arial" w:eastAsia="Arial" w:hAnsi="Arial"/>
          <w:sz w:val="18"/>
          <w:szCs w:val="18"/>
          <w:color w:val="auto"/>
        </w:rPr>
      </w:pPr>
    </w:p>
    <w:p>
      <w:pPr>
        <w:jc w:val="both"/>
        <w:ind w:left="920" w:right="280" w:hanging="453"/>
        <w:spacing w:after="0" w:line="259"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920" w:right="240" w:hanging="453"/>
        <w:spacing w:after="0" w:line="332" w:lineRule="auto"/>
        <w:tabs>
          <w:tab w:leader="none" w:pos="9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left="920" w:right="280" w:hanging="453"/>
        <w:spacing w:after="0" w:line="259"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8"/>
          <w:szCs w:val="18"/>
          <w:color w:val="auto"/>
        </w:rPr>
      </w:pPr>
    </w:p>
    <w:p>
      <w:pPr>
        <w:ind w:left="1380" w:right="80" w:hanging="454"/>
        <w:spacing w:after="0" w:line="259" w:lineRule="auto"/>
        <w:tabs>
          <w:tab w:leader="none" w:pos="13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1380" w:right="380" w:hanging="454"/>
        <w:spacing w:after="0" w:line="259" w:lineRule="auto"/>
        <w:tabs>
          <w:tab w:leader="none" w:pos="13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jc w:val="both"/>
        <w:ind w:left="1380" w:right="540" w:hanging="454"/>
        <w:spacing w:after="0" w:line="370" w:lineRule="auto"/>
        <w:tabs>
          <w:tab w:leader="none" w:pos="1380" w:val="left"/>
        </w:tabs>
        <w:numPr>
          <w:ilvl w:val="1"/>
          <w:numId w:val="1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380" w:right="60" w:hanging="454"/>
        <w:spacing w:after="0" w:line="259" w:lineRule="auto"/>
        <w:tabs>
          <w:tab w:leader="none" w:pos="13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920" w:right="180" w:hanging="453"/>
        <w:spacing w:after="0" w:line="332" w:lineRule="auto"/>
        <w:tabs>
          <w:tab w:leader="none" w:pos="9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1" w:lineRule="exact"/>
        <w:rPr>
          <w:rFonts w:ascii="Arial" w:cs="Arial" w:eastAsia="Arial" w:hAnsi="Arial"/>
          <w:sz w:val="16"/>
          <w:szCs w:val="16"/>
          <w:color w:val="auto"/>
        </w:rPr>
      </w:pPr>
    </w:p>
    <w:p>
      <w:pPr>
        <w:ind w:left="1380" w:right="780" w:hanging="454"/>
        <w:spacing w:after="0" w:line="332" w:lineRule="auto"/>
        <w:tabs>
          <w:tab w:leader="none" w:pos="13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380" w:right="480" w:hanging="454"/>
        <w:spacing w:after="0" w:line="268" w:lineRule="auto"/>
        <w:tabs>
          <w:tab w:leader="none" w:pos="13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21, 2009</w:t>
      </w:r>
    </w:p>
    <w:p>
      <w:pPr>
        <w:spacing w:after="0" w:line="15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173990</wp:posOffset>
            </wp:positionV>
            <wp:extent cx="218694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36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Robinson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26376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536575</wp:posOffset>
            </wp:positionV>
            <wp:extent cx="726757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31.2</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I, Maureen O’Connell, the principal financial officer of Scholastic Corporation, certify that:</w:t>
      </w:r>
    </w:p>
    <w:p>
      <w:pPr>
        <w:spacing w:after="0" w:line="158" w:lineRule="exact"/>
        <w:rPr>
          <w:sz w:val="20"/>
          <w:szCs w:val="20"/>
          <w:color w:val="auto"/>
        </w:rPr>
      </w:pPr>
    </w:p>
    <w:p>
      <w:pPr>
        <w:ind w:left="920" w:hanging="453"/>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Scholastic Corporation;</w:t>
      </w:r>
    </w:p>
    <w:p>
      <w:pPr>
        <w:spacing w:after="0" w:line="157" w:lineRule="exact"/>
        <w:rPr>
          <w:rFonts w:ascii="Arial" w:cs="Arial" w:eastAsia="Arial" w:hAnsi="Arial"/>
          <w:sz w:val="18"/>
          <w:szCs w:val="18"/>
          <w:color w:val="auto"/>
        </w:rPr>
      </w:pPr>
    </w:p>
    <w:p>
      <w:pPr>
        <w:jc w:val="both"/>
        <w:ind w:left="920" w:right="280" w:hanging="453"/>
        <w:spacing w:after="0" w:line="259"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920" w:right="240" w:hanging="453"/>
        <w:spacing w:after="0" w:line="332" w:lineRule="auto"/>
        <w:tabs>
          <w:tab w:leader="none" w:pos="9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left="920" w:right="320" w:hanging="453"/>
        <w:spacing w:after="0" w:line="259"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126" w:lineRule="exact"/>
        <w:rPr>
          <w:rFonts w:ascii="Arial" w:cs="Arial" w:eastAsia="Arial" w:hAnsi="Arial"/>
          <w:sz w:val="18"/>
          <w:szCs w:val="18"/>
          <w:color w:val="auto"/>
        </w:rPr>
      </w:pPr>
    </w:p>
    <w:p>
      <w:pPr>
        <w:ind w:left="1380" w:right="80" w:hanging="454"/>
        <w:spacing w:after="0" w:line="259" w:lineRule="auto"/>
        <w:tabs>
          <w:tab w:leader="none" w:pos="1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1380" w:right="380" w:hanging="454"/>
        <w:spacing w:after="0" w:line="259" w:lineRule="auto"/>
        <w:tabs>
          <w:tab w:leader="none" w:pos="1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jc w:val="both"/>
        <w:ind w:left="1380" w:right="540" w:hanging="454"/>
        <w:spacing w:after="0" w:line="370" w:lineRule="auto"/>
        <w:tabs>
          <w:tab w:leader="none" w:pos="1380" w:val="left"/>
        </w:tabs>
        <w:numPr>
          <w:ilvl w:val="1"/>
          <w:numId w:val="1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380" w:right="60" w:hanging="454"/>
        <w:spacing w:after="0" w:line="259" w:lineRule="auto"/>
        <w:tabs>
          <w:tab w:leader="none" w:pos="1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920" w:right="180" w:hanging="453"/>
        <w:spacing w:after="0" w:line="332" w:lineRule="auto"/>
        <w:tabs>
          <w:tab w:leader="none" w:pos="9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1" w:lineRule="exact"/>
        <w:rPr>
          <w:rFonts w:ascii="Arial" w:cs="Arial" w:eastAsia="Arial" w:hAnsi="Arial"/>
          <w:sz w:val="16"/>
          <w:szCs w:val="16"/>
          <w:color w:val="auto"/>
        </w:rPr>
      </w:pPr>
    </w:p>
    <w:p>
      <w:pPr>
        <w:ind w:left="1380" w:right="780" w:hanging="454"/>
        <w:spacing w:after="0" w:line="332" w:lineRule="auto"/>
        <w:tabs>
          <w:tab w:leader="none" w:pos="13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380" w:right="480" w:hanging="454"/>
        <w:spacing w:after="0" w:line="268" w:lineRule="auto"/>
        <w:tabs>
          <w:tab w:leader="none" w:pos="1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21, 2009</w:t>
      </w:r>
    </w:p>
    <w:p>
      <w:pPr>
        <w:spacing w:after="0" w:line="15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Maureen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173990</wp:posOffset>
            </wp:positionV>
            <wp:extent cx="218694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36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Maureen O’Connell</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Administrative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26376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536575</wp:posOffset>
            </wp:positionV>
            <wp:extent cx="726757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with Respect to the Quarterly Report on 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 ended November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Scholastic Corporation</w:t>
      </w:r>
    </w:p>
    <w:p>
      <w:pPr>
        <w:spacing w:after="0" w:line="219" w:lineRule="exact"/>
        <w:rPr>
          <w:sz w:val="20"/>
          <w:szCs w:val="20"/>
          <w:color w:val="auto"/>
        </w:rPr>
      </w:pPr>
    </w:p>
    <w:p>
      <w:pPr>
        <w:ind w:right="60" w:firstLine="439"/>
        <w:spacing w:after="0" w:line="33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Scholastic Corporation, a Delaware corporation (the “Company”), does hereby certify, to the best of such officer’s knowledge, that:</w:t>
      </w:r>
    </w:p>
    <w:p>
      <w:pPr>
        <w:spacing w:after="0" w:line="153" w:lineRule="exact"/>
        <w:rPr>
          <w:sz w:val="20"/>
          <w:szCs w:val="20"/>
          <w:color w:val="auto"/>
        </w:rPr>
      </w:pPr>
    </w:p>
    <w:p>
      <w:pPr>
        <w:ind w:left="1040" w:right="20" w:hanging="451"/>
        <w:spacing w:after="0" w:line="268"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November 30, 2009 (the “Form 10-Q”) fully complies with the requirements of Section 13(a) or 15(d) of the Securities Exchange Act of 1934, as amended; and</w:t>
      </w:r>
    </w:p>
    <w:p>
      <w:pPr>
        <w:spacing w:after="0" w:line="118" w:lineRule="exact"/>
        <w:rPr>
          <w:rFonts w:ascii="Arial" w:cs="Arial" w:eastAsia="Arial" w:hAnsi="Arial"/>
          <w:sz w:val="18"/>
          <w:szCs w:val="18"/>
          <w:color w:val="auto"/>
        </w:rPr>
      </w:pPr>
    </w:p>
    <w:p>
      <w:pPr>
        <w:ind w:left="1040" w:hanging="451"/>
        <w:spacing w:after="0"/>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Information contained in the Form 10-Q fairly presents, in all material respects, the financial condition and results of operations of the Company.</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20" w:type="dxa"/>
            <w:vAlign w:val="bottom"/>
          </w:tcPr>
          <w:p>
            <w:pPr>
              <w:spacing w:after="0"/>
              <w:rPr>
                <w:sz w:val="20"/>
                <w:szCs w:val="20"/>
                <w:color w:val="auto"/>
              </w:rPr>
            </w:pPr>
            <w:r>
              <w:rPr>
                <w:rFonts w:ascii="Arial" w:cs="Arial" w:eastAsia="Arial" w:hAnsi="Arial"/>
                <w:sz w:val="18"/>
                <w:szCs w:val="18"/>
                <w:color w:val="auto"/>
              </w:rPr>
              <w:t>Date: December 21, 2009</w:t>
            </w:r>
          </w:p>
        </w:tc>
        <w:tc>
          <w:tcPr>
            <w:tcW w:w="3440" w:type="dxa"/>
            <w:vAlign w:val="bottom"/>
          </w:tcPr>
          <w:p>
            <w:pPr>
              <w:spacing w:after="0"/>
              <w:rPr>
                <w:sz w:val="20"/>
                <w:szCs w:val="20"/>
                <w:color w:val="auto"/>
              </w:rPr>
            </w:pPr>
            <w:r>
              <w:rPr>
                <w:rFonts w:ascii="Arial" w:cs="Arial" w:eastAsia="Arial" w:hAnsi="Arial"/>
                <w:sz w:val="18"/>
                <w:szCs w:val="18"/>
                <w:color w:val="auto"/>
              </w:rPr>
              <w:t>/s/ Richard Robinson</w:t>
            </w:r>
          </w:p>
        </w:tc>
      </w:tr>
      <w:tr>
        <w:trPr>
          <w:trHeight w:val="259"/>
        </w:trPr>
        <w:tc>
          <w:tcPr>
            <w:tcW w:w="5720" w:type="dxa"/>
            <w:vAlign w:val="bottom"/>
          </w:tcPr>
          <w:p>
            <w:pPr>
              <w:spacing w:after="0"/>
              <w:rPr>
                <w:sz w:val="22"/>
                <w:szCs w:val="22"/>
                <w:color w:val="auto"/>
              </w:rPr>
            </w:pPr>
          </w:p>
        </w:tc>
        <w:tc>
          <w:tcPr>
            <w:tcW w:w="3440" w:type="dxa"/>
            <w:vAlign w:val="bottom"/>
            <w:tcBorders>
              <w:bottom w:val="single" w:sz="8" w:color="808080"/>
            </w:tcBorders>
          </w:tcPr>
          <w:p>
            <w:pPr>
              <w:spacing w:after="0"/>
              <w:rPr>
                <w:sz w:val="22"/>
                <w:szCs w:val="22"/>
                <w:color w:val="auto"/>
              </w:rPr>
            </w:pPr>
          </w:p>
        </w:tc>
      </w:tr>
      <w:tr>
        <w:trPr>
          <w:trHeight w:val="309"/>
        </w:trPr>
        <w:tc>
          <w:tcPr>
            <w:tcW w:w="572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Richard Robinson</w:t>
            </w:r>
          </w:p>
        </w:tc>
      </w:tr>
      <w:tr>
        <w:trPr>
          <w:trHeight w:val="222"/>
        </w:trPr>
        <w:tc>
          <w:tcPr>
            <w:tcW w:w="57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73"/>
        </w:trPr>
        <w:tc>
          <w:tcPr>
            <w:tcW w:w="5720" w:type="dxa"/>
            <w:vAlign w:val="bottom"/>
          </w:tcPr>
          <w:p>
            <w:pPr>
              <w:spacing w:after="0"/>
              <w:rPr>
                <w:sz w:val="20"/>
                <w:szCs w:val="20"/>
                <w:color w:val="auto"/>
              </w:rPr>
            </w:pPr>
            <w:r>
              <w:rPr>
                <w:rFonts w:ascii="Arial" w:cs="Arial" w:eastAsia="Arial" w:hAnsi="Arial"/>
                <w:sz w:val="18"/>
                <w:szCs w:val="18"/>
                <w:color w:val="auto"/>
              </w:rPr>
              <w:t>Date: December 21, 2009</w:t>
            </w:r>
          </w:p>
        </w:tc>
        <w:tc>
          <w:tcPr>
            <w:tcW w:w="3440" w:type="dxa"/>
            <w:vAlign w:val="bottom"/>
          </w:tcPr>
          <w:p>
            <w:pPr>
              <w:spacing w:after="0"/>
              <w:rPr>
                <w:sz w:val="20"/>
                <w:szCs w:val="20"/>
                <w:color w:val="auto"/>
              </w:rPr>
            </w:pPr>
            <w:r>
              <w:rPr>
                <w:rFonts w:ascii="Arial" w:cs="Arial" w:eastAsia="Arial" w:hAnsi="Arial"/>
                <w:sz w:val="18"/>
                <w:szCs w:val="18"/>
                <w:color w:val="auto"/>
              </w:rPr>
              <w:t>/s/ Maureen O’Connell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164465</wp:posOffset>
            </wp:positionV>
            <wp:extent cx="218694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3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Maureen O’Connell</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1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certification set forth above is being furnished solely pursuant to Section 906 of the Sarbanes-Oxley Act of 2002 and is not being filed as part of the Form 10-Q or as a separate disclosure document of the Company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6376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498475</wp:posOffset>
            </wp:positionV>
            <wp:extent cx="726757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sectPr>
      <w:pgSz w:w="11900" w:h="16838" w:orient="portrait"/>
      <w:cols w:equalWidth="0" w:num="1">
        <w:col w:w="11420"/>
      </w:cols>
      <w:pgMar w:left="240" w:top="59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lvl w:ilvl="1">
      <w:lvlJc w:val="left"/>
      <w:lvlText w:val="o"/>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lowerRoman"/>
      <w:start w:val="2"/>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32"/>
    </w:lvl>
  </w:abstractNum>
  <w:abstractNum w:abstractNumId="11">
    <w:nsid w:val="109CF92E"/>
    <w:multiLevelType w:val="hybridMultilevel"/>
    <w:lvl w:ilvl="0">
      <w:lvlJc w:val="left"/>
      <w:lvlText w:val="%1"/>
      <w:numFmt w:val="decimal"/>
      <w:start w:val="32"/>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2019-12-10T08:51:40Z</dcterms:created>
  <dcterms:modified xsi:type="dcterms:W3CDTF">2019-12-10T08:51:40Z</dcterms:modified>
</cp:coreProperties>
</file>