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chl-20260827.htm"/>
      <w:bookmarkStart w:id="1" w:name="ksschl202608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SCHOLASTIC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000-19860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13-3385513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557 Broadway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10012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212</w:t>
            </w:r>
            <w:r>
              <w:rPr>
                <w:rFonts w:ascii="Times New Roman" w:hAnsi="Times New Roman"/>
                <w:color w:val="000000"/>
                <w:sz w:val="20"/>
              </w:rPr>
              <w:t xml:space="preserve"> </w:t>
            </w:r>
            <w:r>
              <w:rPr>
                <w:rFonts w:ascii="Times New Roman" w:hAnsi="Times New Roman"/>
                <w:b/>
                <w:color w:val="000000"/>
                <w:sz w:val="20"/>
              </w:rPr>
              <w:t>343-6100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95" w:type="dxa"/>
        <w:jc w:val="left"/>
        <w:tblInd w:w="0" w:type="dxa"/>
        <w:tblLayout w:type="fixed"/>
        <w:tblCellMar>
          <w:top w:w="28" w:type="dxa"/>
          <w:left w:w="28" w:type="dxa"/>
          <w:bottom w:w="28" w:type="dxa"/>
          <w:right w:w="28" w:type="dxa"/>
        </w:tblCellMar>
      </w:tblPr>
      <w:tblGrid>
        <w:gridCol w:w="2731"/>
        <w:gridCol w:w="146"/>
        <w:gridCol w:w="94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SCHL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both"/>
        <w:rPr>
          <w:rFonts w:ascii="Times New Roman" w:hAnsi="Times New Roman"/>
          <w:color w:val="000000"/>
          <w:sz w:val="20"/>
        </w:rPr>
      </w:pPr>
      <w:r>
        <w:rPr>
          <w:rFonts w:ascii="Times New Roman" w:hAnsi="Times New Roman"/>
          <w:color w:val="000000"/>
          <w:sz w:val="20"/>
        </w:rPr>
        <w:t xml:space="preserve">Scholastic Corporation (the “Company”) entered into a share repurchase agreement dated as of August 25, 2026 (the “Repurchase Agreement"), to purchase shares of its common stock, par value $0.01 per share ("Common Shares"), from the Estate of M. Richard Robinson, Jr. (the “Estate”) in a private transaction. Pursuant to the Repurchase Agreement, the Company purchased 289,624 Common Shares on August 26, 2026 at a price of $39.7603 per share from the Estate, representing an aggregate purchase price of $11,515,537.13. The price per share paid represented a 3% discount to the closing price of the stock ($40.99) on the date of execution of the Repurchase Agreement. The Estate holds certain Common Shares, as well as the shares of Class A Stock, of the Company previously owned by the late M. Richard Robinson, Jr., the Company’s former Chairman of the Board and Chief Executive Officer. </w:t>
      </w:r>
    </w:p>
    <w:p>
      <w:pPr>
        <w:pStyle w:val="TextBody"/>
        <w:bidi w:val="0"/>
        <w:jc w:val="both"/>
        <w:rPr>
          <w:rFonts w:ascii="Times New Roman" w:hAnsi="Times New Roman"/>
          <w:color w:val="000000"/>
          <w:sz w:val="20"/>
        </w:rPr>
      </w:pPr>
      <w:r>
        <w:rPr>
          <w:rFonts w:ascii="Times New Roman" w:hAnsi="Times New Roman"/>
          <w:color w:val="000000"/>
          <w:sz w:val="20"/>
        </w:rPr>
        <w:t>Iole Lucchese, Chair of the Board of Directors of the Company (the “Board”) and Executive Vice President, Chief Strategy Officer of the Company and President of Scholastic Entertainment, and Andrew S. Hedden, Senior Counsellor of the Company, are the Preliminary Co-Executors of the Estate.</w:t>
      </w:r>
    </w:p>
    <w:p>
      <w:pPr>
        <w:pStyle w:val="TextBody"/>
        <w:bidi w:val="0"/>
        <w:jc w:val="both"/>
        <w:rPr>
          <w:rFonts w:ascii="Times New Roman" w:hAnsi="Times New Roman"/>
          <w:sz w:val="20"/>
        </w:rPr>
      </w:pPr>
      <w:r>
        <w:rPr>
          <w:rFonts w:ascii="Times New Roman" w:hAnsi="Times New Roman"/>
          <w:color w:val="000000"/>
          <w:sz w:val="20"/>
        </w:rPr>
        <w:t xml:space="preserve">The Board (without Ms. Lucchese's participation) reviewed and approved the transaction upon the recommendation of the Company's Audit Committee (the "Committee"), which consists entirely of independent directors with no financial interests in the transaction. In approving the transaction, the Committee, assisted by outside counsel and an independent financial advisory firm, evaluated the transaction and considered a variety of factors including: </w:t>
      </w:r>
      <w:r>
        <w:rPr>
          <w:rFonts w:ascii="Times New Roman" w:hAnsi="Times New Roman"/>
          <w:color w:val="000000"/>
          <w:sz w:val="24"/>
        </w:rPr>
        <w:t>(</w:t>
      </w:r>
      <w:r>
        <w:rPr>
          <w:rFonts w:ascii="Times New Roman" w:hAnsi="Times New Roman"/>
          <w:color w:val="000000"/>
          <w:sz w:val="20"/>
        </w:rPr>
        <w:t>i) the Company's capacity to execute the transaction under its existing share repurchase program, (ii) the limited amount of Common Shares that the Company is generally able to repurchase under the current Rule 10b-18 share repurchase program, (iii) the Company's current share repurchase goals, (iv) the Company's available cash position, (v) the Company's desire to reverse the impact of dilutive issuance of Common Shares from compensatory programs, (vi) dividend payment savings on the repurchased shares, (vii) the ability to execute the transaction without the need for the Company to pay brokerage fees on the shares to be repurchased and (viii) the information obtained from the independent financial adviser selected by the Committee.</w:t>
      </w:r>
    </w:p>
    <w:p>
      <w:pPr>
        <w:pStyle w:val="TextBody"/>
        <w:bidi w:val="0"/>
        <w:jc w:val="both"/>
        <w:rPr>
          <w:rFonts w:ascii="Times New Roman" w:hAnsi="Times New Roman"/>
          <w:color w:val="000000"/>
          <w:sz w:val="20"/>
        </w:rPr>
      </w:pPr>
      <w:r>
        <w:rPr>
          <w:rFonts w:ascii="Times New Roman" w:hAnsi="Times New Roman"/>
          <w:color w:val="000000"/>
          <w:sz w:val="20"/>
        </w:rPr>
        <w:t>The amount of Common Shares repurchased by the Company pursuant to the Repurchase Agreement represents approximately 1.6% of the Company’s issued and outstanding Common Shares pre-transaction and the repurchase was made from the Issuer’s current $300 million authorization for share repurchases. Following this transaction, approximately $158.9 million is now left available under the current Board authorization in respect of the Company’s current program for further repurchases, from time to time as conditions allow, on the open market or through negotiated private transactions. Including the Common Shares repurchased from the Estate in the transaction reported today, the total amount of shares repurchased by the Company fiscal-year-to-date is 590,895.</w:t>
      </w:r>
    </w:p>
    <w:p>
      <w:pPr>
        <w:pStyle w:val="TextBody"/>
        <w:bidi w:val="0"/>
        <w:jc w:val="both"/>
        <w:rPr>
          <w:rFonts w:ascii="Times New Roman" w:hAnsi="Times New Roman"/>
          <w:color w:val="000000"/>
          <w:sz w:val="20"/>
        </w:rPr>
      </w:pPr>
      <w:r>
        <w:rPr>
          <w:rFonts w:ascii="Times New Roman" w:hAnsi="Times New Roman"/>
          <w:color w:val="000000"/>
          <w:sz w:val="20"/>
        </w:rPr>
        <w:t>The Estate has advised the Company that it will be applying the proceeds of the sale to meet certain obligations of the Estate.</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tbl>
      <w:tblPr>
        <w:tblW w:w="4772" w:type="dxa"/>
        <w:jc w:val="left"/>
        <w:tblInd w:w="0" w:type="dxa"/>
        <w:tblLayout w:type="fixed"/>
        <w:tblCellMar>
          <w:top w:w="28" w:type="dxa"/>
          <w:left w:w="28" w:type="dxa"/>
          <w:bottom w:w="28" w:type="dxa"/>
          <w:right w:w="28" w:type="dxa"/>
        </w:tblCellMar>
      </w:tblPr>
      <w:tblGrid>
        <w:gridCol w:w="346"/>
        <w:gridCol w:w="4426"/>
      </w:tblGrid>
      <w:tr>
        <w:trPr/>
        <w:tc>
          <w:tcPr>
            <w:tcW w:w="346"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 applicable.</w:t>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 applicable.</w:t>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 applicable.</w:t>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exhibits are filed as part of this report:</w:t>
            </w:r>
          </w:p>
        </w:tc>
      </w:tr>
    </w:tbl>
    <w:p>
      <w:pPr>
        <w:pStyle w:val="TextBody"/>
        <w:bidi w:val="0"/>
        <w:jc w:val="left"/>
        <w:rPr/>
      </w:pPr>
      <w:r>
        <w:rPr/>
        <w:t> </w:t>
      </w:r>
    </w:p>
    <w:tbl>
      <w:tblPr>
        <w:tblW w:w="7487" w:type="dxa"/>
        <w:jc w:val="left"/>
        <w:tblInd w:w="0" w:type="dxa"/>
        <w:tblLayout w:type="fixed"/>
        <w:tblCellMar>
          <w:top w:w="28" w:type="dxa"/>
          <w:left w:w="28" w:type="dxa"/>
          <w:bottom w:w="28" w:type="dxa"/>
          <w:right w:w="28" w:type="dxa"/>
        </w:tblCellMar>
      </w:tblPr>
      <w:tblGrid>
        <w:gridCol w:w="841"/>
        <w:gridCol w:w="6646"/>
      </w:tblGrid>
      <w:tr>
        <w:trPr/>
        <w:tc>
          <w:tcPr>
            <w:tcW w:w="84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color w:val="000000"/>
                <w:u w:val="single"/>
              </w:rPr>
              <w:t> </w:t>
            </w:r>
            <w:r>
              <w:rPr>
                <w:rFonts w:ascii="Times New Roman" w:hAnsi="Times New Roman"/>
                <w:color w:val="000000"/>
                <w:sz w:val="20"/>
                <w:u w:val="single"/>
              </w:rPr>
              <w:t>Exhibit</w:t>
            </w:r>
            <w:r>
              <w:rPr>
                <w:rFonts w:ascii="Times New Roman" w:hAnsi="Times New Roman"/>
                <w:color w:val="000000"/>
                <w:sz w:val="20"/>
              </w:rPr>
              <w:t xml:space="preserve"> </w:t>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274" w:type="dxa"/>
        <w:jc w:val="left"/>
        <w:tblInd w:w="0" w:type="dxa"/>
        <w:tblLayout w:type="fixed"/>
        <w:tblCellMar>
          <w:top w:w="28" w:type="dxa"/>
          <w:left w:w="28" w:type="dxa"/>
          <w:bottom w:w="28" w:type="dxa"/>
          <w:right w:w="28" w:type="dxa"/>
        </w:tblCellMar>
      </w:tblPr>
      <w:tblGrid>
        <w:gridCol w:w="916"/>
        <w:gridCol w:w="1816"/>
        <w:gridCol w:w="631"/>
        <w:gridCol w:w="2911"/>
      </w:tblGrid>
      <w:tr>
        <w:trPr/>
        <w:tc>
          <w:tcPr>
            <w:tcW w:w="91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SCHOLASTIC CORPORATION</w:t>
            </w:r>
          </w:p>
        </w:tc>
      </w:tr>
      <w:tr>
        <w:trPr/>
        <w:tc>
          <w:tcPr>
            <w:tcW w:w="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86" w:after="283"/>
              <w:ind w:left="0" w:right="0" w:firstLine="360"/>
              <w:jc w:val="left"/>
              <w:rPr>
                <w:rFonts w:ascii="Times New Roman" w:hAnsi="Times New Roman"/>
                <w:color w:val="000000"/>
                <w:sz w:val="20"/>
              </w:rPr>
            </w:pPr>
            <w:r>
              <w:rPr>
                <w:rFonts w:ascii="Times New Roman" w:hAnsi="Times New Roman"/>
                <w:color w:val="000000"/>
                <w:sz w:val="20"/>
              </w:rPr>
              <w:t>Date:</w:t>
            </w:r>
          </w:p>
        </w:tc>
        <w:tc>
          <w:tcPr>
            <w:tcW w:w="1816" w:type="dxa"/>
            <w:tcBorders/>
            <w:tcMar>
              <w:top w:w="0" w:type="dxa"/>
              <w:left w:w="0" w:type="dxa"/>
              <w:bottom w:w="0" w:type="dxa"/>
              <w:right w:w="0" w:type="dxa"/>
            </w:tcMar>
            <w:vAlign w:val="center"/>
          </w:tcPr>
          <w:p>
            <w:pPr>
              <w:pStyle w:val="TableContents"/>
              <w:bidi w:val="0"/>
              <w:spacing w:before="86" w:after="283"/>
              <w:ind w:left="0" w:right="0" w:firstLine="360"/>
              <w:jc w:val="left"/>
              <w:rPr>
                <w:rFonts w:ascii="Times New Roman" w:hAnsi="Times New Roman"/>
                <w:color w:val="000000"/>
                <w:sz w:val="20"/>
              </w:rPr>
            </w:pPr>
            <w:r>
              <w:rPr>
                <w:rFonts w:ascii="Times New Roman" w:hAnsi="Times New Roman"/>
                <w:color w:val="000000"/>
                <w:sz w:val="20"/>
              </w:rPr>
              <w:t>August 27,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9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u w:val="single"/>
              </w:rPr>
            </w:pPr>
            <w:r>
              <w:rPr>
                <w:rFonts w:ascii="Times New Roman" w:hAnsi="Times New Roman"/>
                <w:color w:val="000000"/>
                <w:sz w:val="20"/>
                <w:u w:val="single"/>
              </w:rPr>
              <w:t>/s/ Haji Glover</w:t>
            </w:r>
          </w:p>
        </w:tc>
      </w:tr>
      <w:tr>
        <w:trPr/>
        <w:tc>
          <w:tcPr>
            <w:tcW w:w="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2911" w:type="dxa"/>
            <w:tcBorders/>
            <w:tcMar>
              <w:top w:w="0" w:type="dxa"/>
              <w:left w:w="0" w:type="dxa"/>
              <w:bottom w:w="0" w:type="dxa"/>
              <w:right w:w="0" w:type="dxa"/>
            </w:tcMar>
            <w:vAlign w:val="center"/>
          </w:tcPr>
          <w:p>
            <w:pPr>
              <w:pStyle w:val="TableContents"/>
              <w:bidi w:val="0"/>
              <w:spacing w:before="14" w:after="187"/>
              <w:jc w:val="left"/>
              <w:rPr>
                <w:color w:val="000000"/>
              </w:rPr>
            </w:pPr>
            <w:r>
              <w:rPr>
                <w:color w:val="000000"/>
              </w:rPr>
              <w:t> </w:t>
            </w:r>
            <w:r>
              <w:rPr>
                <w:rFonts w:ascii="Times New Roman" w:hAnsi="Times New Roman"/>
                <w:color w:val="000000"/>
                <w:sz w:val="20"/>
              </w:rPr>
              <w:t>Haji Glover</w:t>
              <w:br/>
              <w:t>Chief Financial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876</Words>
  <Characters>4919</Characters>
  <CharactersWithSpaces>5767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