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2910205</wp:posOffset>
            </wp:positionH>
            <wp:positionV relativeFrom="page">
              <wp:posOffset>320675</wp:posOffset>
            </wp:positionV>
            <wp:extent cx="1741170"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41170" cy="222885"/>
                    </a:xfrm>
                    <a:prstGeom prst="rect">
                      <a:avLst/>
                    </a:prstGeom>
                    <a:noFill/>
                  </pic:spPr>
                </pic:pic>
              </a:graphicData>
            </a:graphic>
          </wp:anchor>
        </w:drawing>
        <w:t>UNITED STATES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14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6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20"/>
                <w:szCs w:val="20"/>
                <w:color w:val="auto"/>
              </w:rPr>
            </w:pPr>
            <w:r>
              <w:rPr>
                <w:rFonts w:ascii="Arial" w:cs="Arial" w:eastAsia="Arial" w:hAnsi="Arial"/>
                <w:sz w:val="18"/>
                <w:szCs w:val="18"/>
                <w:color w:val="auto"/>
                <w:w w:val="94"/>
              </w:rPr>
              <w:t>For the quarterly period ended August 31, 2011</w:t>
            </w:r>
          </w:p>
        </w:tc>
        <w:tc>
          <w:tcPr>
            <w:tcW w:w="6000" w:type="dxa"/>
            <w:vAlign w:val="bottom"/>
          </w:tcPr>
          <w:p>
            <w:pPr>
              <w:ind w:left="2980"/>
              <w:spacing w:after="0"/>
              <w:rPr>
                <w:sz w:val="20"/>
                <w:szCs w:val="20"/>
                <w:color w:val="auto"/>
              </w:rPr>
            </w:pPr>
            <w:r>
              <w:rPr>
                <w:rFonts w:ascii="Arial" w:cs="Arial" w:eastAsia="Arial" w:hAnsi="Arial"/>
                <w:sz w:val="18"/>
                <w:szCs w:val="18"/>
                <w:color w:val="auto"/>
              </w:rPr>
              <w:t>Commission File No. 000-19860</w:t>
            </w:r>
          </w:p>
        </w:tc>
      </w:tr>
      <w:tr>
        <w:trPr>
          <w:trHeight w:val="358"/>
        </w:trPr>
        <w:tc>
          <w:tcPr>
            <w:tcW w:w="3600" w:type="dxa"/>
            <w:vAlign w:val="bottom"/>
          </w:tcPr>
          <w:p>
            <w:pPr>
              <w:spacing w:after="0"/>
              <w:rPr>
                <w:sz w:val="24"/>
                <w:szCs w:val="24"/>
                <w:color w:val="auto"/>
              </w:rPr>
            </w:pPr>
          </w:p>
        </w:tc>
        <w:tc>
          <w:tcPr>
            <w:tcW w:w="6000" w:type="dxa"/>
            <w:vAlign w:val="bottom"/>
          </w:tcPr>
          <w:p>
            <w:pPr>
              <w:jc w:val="center"/>
              <w:ind w:right="167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600" w:type="dxa"/>
            <w:vAlign w:val="bottom"/>
          </w:tcPr>
          <w:p>
            <w:pPr>
              <w:spacing w:after="0"/>
              <w:rPr>
                <w:sz w:val="19"/>
                <w:szCs w:val="19"/>
                <w:color w:val="auto"/>
              </w:rPr>
            </w:pPr>
          </w:p>
        </w:tc>
        <w:tc>
          <w:tcPr>
            <w:tcW w:w="6000" w:type="dxa"/>
            <w:vAlign w:val="bottom"/>
          </w:tcPr>
          <w:p>
            <w:pPr>
              <w:jc w:val="center"/>
              <w:ind w:right="167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66"/>
        </w:trPr>
        <w:tc>
          <w:tcPr>
            <w:tcW w:w="3600" w:type="dxa"/>
            <w:vAlign w:val="bottom"/>
          </w:tcPr>
          <w:p>
            <w:pPr>
              <w:ind w:left="660"/>
              <w:spacing w:after="0"/>
              <w:rPr>
                <w:sz w:val="20"/>
                <w:szCs w:val="20"/>
                <w:color w:val="auto"/>
              </w:rPr>
            </w:pPr>
            <w:r>
              <w:rPr>
                <w:rFonts w:ascii="Arial" w:cs="Arial" w:eastAsia="Arial" w:hAnsi="Arial"/>
                <w:sz w:val="18"/>
                <w:szCs w:val="18"/>
                <w:b w:val="1"/>
                <w:bCs w:val="1"/>
                <w:color w:val="auto"/>
              </w:rPr>
              <w:t>Delaware</w:t>
            </w:r>
          </w:p>
        </w:tc>
        <w:tc>
          <w:tcPr>
            <w:tcW w:w="6000" w:type="dxa"/>
            <w:vAlign w:val="bottom"/>
          </w:tcPr>
          <w:p>
            <w:pPr>
              <w:jc w:val="right"/>
              <w:ind w:right="69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6000" w:type="dxa"/>
            <w:vAlign w:val="bottom"/>
          </w:tcPr>
          <w:p>
            <w:pPr>
              <w:jc w:val="center"/>
              <w:ind w:left="349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6000" w:type="dxa"/>
            <w:vAlign w:val="bottom"/>
          </w:tcPr>
          <w:p>
            <w:pPr>
              <w:spacing w:after="0"/>
              <w:rPr>
                <w:sz w:val="19"/>
                <w:szCs w:val="19"/>
                <w:color w:val="auto"/>
              </w:rPr>
            </w:pPr>
          </w:p>
        </w:tc>
      </w:tr>
      <w:tr>
        <w:trPr>
          <w:trHeight w:val="358"/>
        </w:trPr>
        <w:tc>
          <w:tcPr>
            <w:tcW w:w="360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6000" w:type="dxa"/>
            <w:vAlign w:val="bottom"/>
          </w:tcPr>
          <w:p>
            <w:pPr>
              <w:jc w:val="right"/>
              <w:ind w:right="892"/>
              <w:spacing w:after="0"/>
              <w:rPr>
                <w:sz w:val="20"/>
                <w:szCs w:val="20"/>
                <w:color w:val="auto"/>
              </w:rPr>
            </w:pPr>
            <w:r>
              <w:rPr>
                <w:rFonts w:ascii="Arial" w:cs="Arial" w:eastAsia="Arial" w:hAnsi="Arial"/>
                <w:sz w:val="18"/>
                <w:szCs w:val="18"/>
                <w:b w:val="1"/>
                <w:bCs w:val="1"/>
                <w:color w:val="auto"/>
              </w:rPr>
              <w:t>10012</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6000" w:type="dxa"/>
            <w:vAlign w:val="bottom"/>
          </w:tcPr>
          <w:p>
            <w:pPr>
              <w:jc w:val="center"/>
              <w:ind w:left="349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the preceding 12 months (or for such shorter period that the Registrant was required to file such reports), and (2) has been subject to such filing requirements for</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x No o</w:t>
      </w:r>
    </w:p>
    <w:p>
      <w:pPr>
        <w:spacing w:after="0" w:line="194"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989" w:right="199" w:bottom="1440" w:gutter="0" w:footer="0" w:header="0"/>
        </w:sectPr>
      </w:pP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4580" w:space="720"/>
            <w:col w:w="6160"/>
          </w:cols>
          <w:pgMar w:left="240" w:top="989" w:right="19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3"/>
              </w:rPr>
              <w:t>Title</w:t>
            </w:r>
          </w:p>
        </w:tc>
        <w:tc>
          <w:tcPr>
            <w:tcW w:w="28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85"/>
              </w:rPr>
              <w:t>of each class</w:t>
            </w:r>
          </w:p>
        </w:tc>
        <w:tc>
          <w:tcPr>
            <w:tcW w:w="282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5"/>
              </w:rPr>
              <w:t>as of September 30, 2011</w:t>
            </w:r>
          </w:p>
        </w:tc>
        <w:tc>
          <w:tcPr>
            <w:tcW w:w="1440" w:type="dxa"/>
            <w:vAlign w:val="bottom"/>
          </w:tcPr>
          <w:p>
            <w:pPr>
              <w:spacing w:after="0"/>
              <w:rPr>
                <w:sz w:val="19"/>
                <w:szCs w:val="19"/>
                <w:color w:val="auto"/>
              </w:rPr>
            </w:pPr>
          </w:p>
        </w:tc>
      </w:tr>
      <w:tr>
        <w:trPr>
          <w:trHeight w:val="110"/>
        </w:trPr>
        <w:tc>
          <w:tcPr>
            <w:tcW w:w="1440" w:type="dxa"/>
            <w:vAlign w:val="bottom"/>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282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r>
      <w:tr>
        <w:trPr>
          <w:trHeight w:val="458"/>
        </w:trPr>
        <w:tc>
          <w:tcPr>
            <w:tcW w:w="144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88"/>
              </w:rPr>
              <w:t>Common Stock, $.01 par value</w:t>
            </w:r>
          </w:p>
        </w:tc>
        <w:tc>
          <w:tcPr>
            <w:tcW w:w="5680" w:type="dxa"/>
            <w:vAlign w:val="bottom"/>
            <w:gridSpan w:val="2"/>
          </w:tcPr>
          <w:p>
            <w:pPr>
              <w:jc w:val="right"/>
              <w:ind w:right="952"/>
              <w:spacing w:after="0"/>
              <w:rPr>
                <w:sz w:val="20"/>
                <w:szCs w:val="20"/>
                <w:color w:val="auto"/>
              </w:rPr>
            </w:pPr>
            <w:r>
              <w:rPr>
                <w:rFonts w:ascii="Arial" w:cs="Arial" w:eastAsia="Arial" w:hAnsi="Arial"/>
                <w:sz w:val="18"/>
                <w:szCs w:val="18"/>
                <w:color w:val="auto"/>
              </w:rPr>
              <w:t>29,557,830</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88"/>
              </w:rPr>
              <w:t>Class A Stock, $.01 par value</w:t>
            </w:r>
          </w:p>
        </w:tc>
        <w:tc>
          <w:tcPr>
            <w:tcW w:w="5680" w:type="dxa"/>
            <w:vAlign w:val="bottom"/>
            <w:gridSpan w:val="2"/>
          </w:tcPr>
          <w:p>
            <w:pPr>
              <w:jc w:val="right"/>
              <w:ind w:right="992"/>
              <w:spacing w:after="0"/>
              <w:rPr>
                <w:sz w:val="20"/>
                <w:szCs w:val="20"/>
                <w:color w:val="auto"/>
              </w:rPr>
            </w:pPr>
            <w:r>
              <w:rPr>
                <w:rFonts w:ascii="Arial" w:cs="Arial" w:eastAsia="Arial" w:hAnsi="Arial"/>
                <w:sz w:val="18"/>
                <w:szCs w:val="18"/>
                <w:color w:val="auto"/>
              </w:rPr>
              <w:t>1,656,200</w:t>
            </w:r>
          </w:p>
        </w:tc>
        <w:tc>
          <w:tcPr>
            <w:tcW w:w="1440" w:type="dxa"/>
            <w:vAlign w:val="bottom"/>
          </w:tcPr>
          <w:p>
            <w:pPr>
              <w:spacing w:after="0"/>
              <w:rPr>
                <w:sz w:val="19"/>
                <w:szCs w:val="19"/>
                <w:color w:val="auto"/>
              </w:rPr>
            </w:pPr>
          </w:p>
        </w:tc>
      </w:tr>
      <w:tr>
        <w:trPr>
          <w:trHeight w:val="350"/>
        </w:trPr>
        <w:tc>
          <w:tcPr>
            <w:tcW w:w="1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1"/>
        </w:trPr>
        <w:tc>
          <w:tcPr>
            <w:tcW w:w="1440" w:type="dxa"/>
            <w:vAlign w:val="bottom"/>
            <w:shd w:val="clear" w:color="auto" w:fill="808080"/>
          </w:tcPr>
          <w:p>
            <w:pPr>
              <w:spacing w:after="0"/>
              <w:rPr>
                <w:sz w:val="5"/>
                <w:szCs w:val="5"/>
                <w:color w:val="auto"/>
              </w:rPr>
            </w:pPr>
          </w:p>
        </w:tc>
        <w:tc>
          <w:tcPr>
            <w:tcW w:w="2900" w:type="dxa"/>
            <w:vAlign w:val="bottom"/>
            <w:shd w:val="clear" w:color="auto" w:fill="808080"/>
          </w:tcPr>
          <w:p>
            <w:pPr>
              <w:spacing w:after="0"/>
              <w:rPr>
                <w:sz w:val="5"/>
                <w:szCs w:val="5"/>
                <w:color w:val="auto"/>
              </w:rPr>
            </w:pPr>
          </w:p>
        </w:tc>
        <w:tc>
          <w:tcPr>
            <w:tcW w:w="2820" w:type="dxa"/>
            <w:vAlign w:val="bottom"/>
            <w:shd w:val="clear" w:color="auto" w:fill="808080"/>
          </w:tcPr>
          <w:p>
            <w:pPr>
              <w:spacing w:after="0"/>
              <w:rPr>
                <w:sz w:val="5"/>
                <w:szCs w:val="5"/>
                <w:color w:val="auto"/>
              </w:rPr>
            </w:pPr>
          </w:p>
        </w:tc>
        <w:tc>
          <w:tcPr>
            <w:tcW w:w="28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989"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AUGUST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2"/>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94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0940" w:type="dxa"/>
            <w:vAlign w:val="bottom"/>
            <w:gridSpan w:val="16"/>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940" w:type="dxa"/>
            <w:vAlign w:val="bottom"/>
          </w:tcPr>
          <w:p>
            <w:pPr>
              <w:spacing w:after="0"/>
              <w:rPr>
                <w:sz w:val="24"/>
                <w:szCs w:val="24"/>
                <w:color w:val="auto"/>
              </w:rPr>
            </w:pP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70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18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(Unaudited)</w:t>
              </w:r>
            </w:hyperlink>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 (Unaudited)</w:t>
              </w:r>
            </w:hyperlink>
          </w:p>
        </w:tc>
        <w:tc>
          <w:tcPr>
            <w:tcW w:w="700" w:type="dxa"/>
            <w:vAlign w:val="bottom"/>
            <w:tcBorders>
              <w:top w:val="single" w:sz="8" w:color="0000EE"/>
            </w:tcBorders>
            <w:gridSpan w:val="2"/>
          </w:tcPr>
          <w:p>
            <w:pPr>
              <w:spacing w:after="0"/>
              <w:rPr>
                <w:sz w:val="24"/>
                <w:szCs w:val="24"/>
                <w:color w:val="auto"/>
              </w:rPr>
            </w:pPr>
          </w:p>
        </w:tc>
        <w:tc>
          <w:tcPr>
            <w:tcW w:w="4720" w:type="dxa"/>
            <w:vAlign w:val="bottom"/>
            <w:gridSpan w:val="3"/>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7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(Unaudited)</w:t>
              </w:r>
            </w:hyperlink>
          </w:p>
        </w:tc>
        <w:tc>
          <w:tcPr>
            <w:tcW w:w="5480" w:type="dxa"/>
            <w:vAlign w:val="bottom"/>
            <w:gridSpan w:val="6"/>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4380" w:type="dxa"/>
            <w:vAlign w:val="bottom"/>
            <w:gridSpan w:val="2"/>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24">
              <w:r>
                <w:rPr>
                  <w:rFonts w:ascii="Arial" w:cs="Arial" w:eastAsia="Arial" w:hAnsi="Arial"/>
                  <w:sz w:val="18"/>
                  <w:szCs w:val="18"/>
                  <w:color w:val="0000EE"/>
                  <w:w w:val="83"/>
                </w:rPr>
                <w:t>Item 2.</w:t>
              </w:r>
            </w:hyperlink>
          </w:p>
        </w:tc>
        <w:tc>
          <w:tcPr>
            <w:tcW w:w="940" w:type="dxa"/>
            <w:vAlign w:val="bottom"/>
          </w:tcPr>
          <w:p>
            <w:pPr>
              <w:spacing w:after="0"/>
              <w:rPr>
                <w:sz w:val="24"/>
                <w:szCs w:val="24"/>
                <w:color w:val="auto"/>
              </w:rPr>
            </w:pPr>
          </w:p>
        </w:tc>
        <w:tc>
          <w:tcPr>
            <w:tcW w:w="918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33">
              <w:r>
                <w:rPr>
                  <w:rFonts w:ascii="Arial" w:cs="Arial" w:eastAsia="Arial" w:hAnsi="Arial"/>
                  <w:sz w:val="18"/>
                  <w:szCs w:val="18"/>
                  <w:color w:val="0000EE"/>
                  <w:w w:val="83"/>
                </w:rPr>
                <w:t>Item 3.</w:t>
              </w:r>
            </w:hyperlink>
          </w:p>
        </w:tc>
        <w:tc>
          <w:tcPr>
            <w:tcW w:w="940" w:type="dxa"/>
            <w:vAlign w:val="bottom"/>
          </w:tcPr>
          <w:p>
            <w:pPr>
              <w:spacing w:after="0"/>
              <w:rPr>
                <w:sz w:val="24"/>
                <w:szCs w:val="24"/>
                <w:color w:val="auto"/>
              </w:rPr>
            </w:pPr>
          </w:p>
        </w:tc>
        <w:tc>
          <w:tcPr>
            <w:tcW w:w="6300" w:type="dxa"/>
            <w:vAlign w:val="bottom"/>
            <w:tcBorders>
              <w:top w:val="single" w:sz="8" w:color="0000EE"/>
            </w:tcBorders>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2880" w:type="dxa"/>
            <w:vAlign w:val="bottom"/>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34">
              <w:r>
                <w:rPr>
                  <w:rFonts w:ascii="Arial" w:cs="Arial" w:eastAsia="Arial" w:hAnsi="Arial"/>
                  <w:sz w:val="18"/>
                  <w:szCs w:val="18"/>
                  <w:color w:val="0000EE"/>
                  <w:w w:val="83"/>
                </w:rPr>
                <w:t>Item 4.</w:t>
              </w:r>
            </w:hyperlink>
          </w:p>
        </w:tc>
        <w:tc>
          <w:tcPr>
            <w:tcW w:w="940" w:type="dxa"/>
            <w:vAlign w:val="bottom"/>
          </w:tcPr>
          <w:p>
            <w:pPr>
              <w:spacing w:after="0"/>
              <w:rPr>
                <w:sz w:val="24"/>
                <w:szCs w:val="24"/>
                <w:color w:val="auto"/>
              </w:rPr>
            </w:pPr>
          </w:p>
        </w:tc>
        <w:tc>
          <w:tcPr>
            <w:tcW w:w="4200" w:type="dxa"/>
            <w:vAlign w:val="bottom"/>
            <w:tcBorders>
              <w:top w:val="single" w:sz="8" w:color="0000EE"/>
            </w:tcBorders>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4980" w:type="dxa"/>
            <w:vAlign w:val="bottom"/>
            <w:gridSpan w:val="4"/>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6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940" w:type="dxa"/>
            <w:vAlign w:val="bottom"/>
            <w:gridSpan w:val="1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8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1.</w:t>
              </w:r>
            </w:hyperlink>
          </w:p>
        </w:tc>
        <w:tc>
          <w:tcPr>
            <w:tcW w:w="940" w:type="dxa"/>
            <w:vAlign w:val="bottom"/>
          </w:tcPr>
          <w:p>
            <w:pPr>
              <w:spacing w:after="0"/>
              <w:rPr>
                <w:sz w:val="24"/>
                <w:szCs w:val="24"/>
                <w:color w:val="auto"/>
              </w:rPr>
            </w:pPr>
          </w:p>
        </w:tc>
        <w:tc>
          <w:tcPr>
            <w:tcW w:w="918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6.</w:t>
              </w:r>
            </w:hyperlink>
          </w:p>
        </w:tc>
        <w:tc>
          <w:tcPr>
            <w:tcW w:w="94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7880" w:type="dxa"/>
            <w:vAlign w:val="bottom"/>
            <w:gridSpan w:val="9"/>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60" w:type="dxa"/>
            <w:vAlign w:val="bottom"/>
            <w:gridSpan w:val="3"/>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Signatures</w:t>
              </w:r>
            </w:hyperlink>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940" w:type="dxa"/>
            <w:vAlign w:val="bottom"/>
            <w:tcBorders>
              <w:left w:val="single" w:sz="8" w:color="808080"/>
            </w:tcBorders>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8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82"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6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80" w:type="dxa"/>
            <w:vAlign w:val="bottom"/>
            <w:gridSpan w:val="3"/>
          </w:tcPr>
          <w:p>
            <w:pPr>
              <w:jc w:val="right"/>
              <w:ind w:right="632"/>
              <w:spacing w:after="0"/>
              <w:rPr>
                <w:sz w:val="20"/>
                <w:szCs w:val="20"/>
                <w:color w:val="auto"/>
              </w:rPr>
            </w:pPr>
            <w:r>
              <w:rPr>
                <w:rFonts w:ascii="Arial" w:cs="Arial" w:eastAsia="Arial" w:hAnsi="Arial"/>
                <w:sz w:val="18"/>
                <w:szCs w:val="18"/>
                <w:b w:val="1"/>
                <w:bCs w:val="1"/>
                <w:color w:val="auto"/>
              </w:rPr>
              <w:t>Three months ended</w:t>
            </w:r>
          </w:p>
        </w:tc>
      </w:tr>
      <w:tr>
        <w:trPr>
          <w:trHeight w:val="228"/>
        </w:trPr>
        <w:tc>
          <w:tcPr>
            <w:tcW w:w="7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August 31,</w:t>
            </w:r>
          </w:p>
        </w:tc>
        <w:tc>
          <w:tcPr>
            <w:tcW w:w="960" w:type="dxa"/>
            <w:vAlign w:val="bottom"/>
          </w:tcPr>
          <w:p>
            <w:pPr>
              <w:spacing w:after="0"/>
              <w:rPr>
                <w:sz w:val="19"/>
                <w:szCs w:val="19"/>
                <w:color w:val="auto"/>
              </w:rPr>
            </w:pPr>
          </w:p>
        </w:tc>
      </w:tr>
      <w:tr>
        <w:trPr>
          <w:trHeight w:val="110"/>
        </w:trPr>
        <w:tc>
          <w:tcPr>
            <w:tcW w:w="75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7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jc w:val="right"/>
              <w:ind w:right="592"/>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24"/>
                <w:szCs w:val="24"/>
                <w:color w:val="auto"/>
              </w:rPr>
            </w:pP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color w:val="auto"/>
              </w:rPr>
              <w:t>2010</w:t>
            </w:r>
          </w:p>
        </w:tc>
      </w:tr>
      <w:tr>
        <w:trPr>
          <w:trHeight w:val="259"/>
        </w:trPr>
        <w:tc>
          <w:tcPr>
            <w:tcW w:w="7540" w:type="dxa"/>
            <w:vAlign w:val="bottom"/>
            <w:tcBorders>
              <w:bottom w:val="single" w:sz="8" w:color="808080"/>
            </w:tcBorders>
          </w:tcPr>
          <w:p>
            <w:pPr>
              <w:spacing w:after="0"/>
              <w:rPr>
                <w:sz w:val="22"/>
                <w:szCs w:val="22"/>
                <w:color w:val="auto"/>
              </w:rPr>
            </w:pPr>
          </w:p>
        </w:tc>
        <w:tc>
          <w:tcPr>
            <w:tcW w:w="132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960" w:type="dxa"/>
            <w:vAlign w:val="bottom"/>
            <w:tcBorders>
              <w:bottom w:val="single" w:sz="8" w:color="808080"/>
            </w:tcBorders>
          </w:tcPr>
          <w:p>
            <w:pPr>
              <w:spacing w:after="0"/>
              <w:rPr>
                <w:sz w:val="22"/>
                <w:szCs w:val="22"/>
                <w:color w:val="auto"/>
              </w:rPr>
            </w:pPr>
          </w:p>
        </w:tc>
      </w:tr>
      <w:tr>
        <w:trPr>
          <w:trHeight w:val="316"/>
        </w:trPr>
        <w:tc>
          <w:tcPr>
            <w:tcW w:w="7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3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318.0</w:t>
            </w:r>
          </w:p>
        </w:tc>
        <w:tc>
          <w:tcPr>
            <w:tcW w:w="4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290.4</w:t>
            </w:r>
          </w:p>
        </w:tc>
      </w:tr>
      <w:tr>
        <w:trPr>
          <w:trHeight w:val="358"/>
        </w:trPr>
        <w:tc>
          <w:tcPr>
            <w:tcW w:w="75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7540" w:type="dxa"/>
            <w:vAlign w:val="bottom"/>
          </w:tcPr>
          <w:p>
            <w:pPr>
              <w:ind w:left="160"/>
              <w:spacing w:after="0"/>
              <w:rPr>
                <w:sz w:val="20"/>
                <w:szCs w:val="20"/>
                <w:color w:val="auto"/>
              </w:rPr>
            </w:pPr>
            <w:r>
              <w:rPr>
                <w:rFonts w:ascii="Arial" w:cs="Arial" w:eastAsia="Arial" w:hAnsi="Arial"/>
                <w:sz w:val="18"/>
                <w:szCs w:val="18"/>
                <w:color w:val="auto"/>
              </w:rPr>
              <w:t>Cost of goods sold (exclusive of depreciation and amortization)</w:t>
            </w:r>
          </w:p>
        </w:tc>
        <w:tc>
          <w:tcPr>
            <w:tcW w:w="132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160.4</w:t>
            </w:r>
          </w:p>
        </w:tc>
        <w:tc>
          <w:tcPr>
            <w:tcW w:w="48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147.3</w:t>
            </w:r>
          </w:p>
        </w:tc>
      </w:tr>
      <w:tr>
        <w:trPr>
          <w:trHeight w:val="216"/>
        </w:trPr>
        <w:tc>
          <w:tcPr>
            <w:tcW w:w="754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 (exclusive of depreciation and amortization)</w:t>
            </w:r>
          </w:p>
        </w:tc>
        <w:tc>
          <w:tcPr>
            <w:tcW w:w="132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171.0</w:t>
            </w:r>
          </w:p>
        </w:tc>
        <w:tc>
          <w:tcPr>
            <w:tcW w:w="48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170.0</w:t>
            </w:r>
          </w:p>
        </w:tc>
      </w:tr>
      <w:tr>
        <w:trPr>
          <w:trHeight w:val="216"/>
        </w:trPr>
        <w:tc>
          <w:tcPr>
            <w:tcW w:w="754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132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2.9</w:t>
            </w:r>
          </w:p>
        </w:tc>
      </w:tr>
      <w:tr>
        <w:trPr>
          <w:trHeight w:val="216"/>
        </w:trPr>
        <w:tc>
          <w:tcPr>
            <w:tcW w:w="75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14.4</w:t>
            </w:r>
          </w:p>
        </w:tc>
      </w:tr>
      <w:tr>
        <w:trPr>
          <w:trHeight w:val="222"/>
        </w:trPr>
        <w:tc>
          <w:tcPr>
            <w:tcW w:w="7540" w:type="dxa"/>
            <w:vAlign w:val="bottom"/>
          </w:tcPr>
          <w:p>
            <w:pPr>
              <w:ind w:left="160"/>
              <w:spacing w:after="0"/>
              <w:rPr>
                <w:sz w:val="20"/>
                <w:szCs w:val="20"/>
                <w:color w:val="auto"/>
              </w:rPr>
            </w:pPr>
            <w:r>
              <w:rPr>
                <w:rFonts w:ascii="Arial" w:cs="Arial" w:eastAsia="Arial" w:hAnsi="Arial"/>
                <w:sz w:val="18"/>
                <w:szCs w:val="18"/>
                <w:color w:val="auto"/>
              </w:rPr>
              <w:t>Severance</w:t>
            </w:r>
          </w:p>
        </w:tc>
        <w:tc>
          <w:tcPr>
            <w:tcW w:w="1320" w:type="dxa"/>
            <w:vAlign w:val="bottom"/>
          </w:tcPr>
          <w:p>
            <w:pPr>
              <w:spacing w:after="0"/>
              <w:rPr>
                <w:sz w:val="19"/>
                <w:szCs w:val="19"/>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2.1</w:t>
            </w:r>
          </w:p>
        </w:tc>
      </w:tr>
      <w:tr>
        <w:trPr>
          <w:trHeight w:val="110"/>
        </w:trPr>
        <w:tc>
          <w:tcPr>
            <w:tcW w:w="75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754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1320" w:type="dxa"/>
            <w:vAlign w:val="bottom"/>
          </w:tcPr>
          <w:p>
            <w:pPr>
              <w:spacing w:after="0"/>
              <w:rPr>
                <w:sz w:val="24"/>
                <w:szCs w:val="24"/>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351.2</w:t>
            </w:r>
          </w:p>
        </w:tc>
        <w:tc>
          <w:tcPr>
            <w:tcW w:w="48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336.7</w:t>
            </w:r>
          </w:p>
        </w:tc>
      </w:tr>
      <w:tr>
        <w:trPr>
          <w:trHeight w:val="110"/>
        </w:trPr>
        <w:tc>
          <w:tcPr>
            <w:tcW w:w="75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58"/>
        </w:trPr>
        <w:tc>
          <w:tcPr>
            <w:tcW w:w="75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32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b w:val="1"/>
                <w:bCs w:val="1"/>
                <w:color w:val="auto"/>
              </w:rPr>
              <w:t>(33.2)</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(46.3)</w:t>
            </w:r>
          </w:p>
        </w:tc>
      </w:tr>
      <w:tr>
        <w:trPr>
          <w:trHeight w:val="222"/>
        </w:trPr>
        <w:tc>
          <w:tcPr>
            <w:tcW w:w="754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32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10"/>
        </w:trPr>
        <w:tc>
          <w:tcPr>
            <w:tcW w:w="75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754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32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b w:val="1"/>
                <w:bCs w:val="1"/>
                <w:color w:val="auto"/>
              </w:rPr>
              <w:t>(37.1)</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(50.1)</w:t>
            </w:r>
          </w:p>
        </w:tc>
      </w:tr>
      <w:tr>
        <w:trPr>
          <w:trHeight w:val="365"/>
        </w:trPr>
        <w:tc>
          <w:tcPr>
            <w:tcW w:w="7540" w:type="dxa"/>
            <w:vAlign w:val="bottom"/>
          </w:tcPr>
          <w:p>
            <w:pPr>
              <w:ind w:left="160"/>
              <w:spacing w:after="0"/>
              <w:rPr>
                <w:sz w:val="20"/>
                <w:szCs w:val="20"/>
                <w:color w:val="auto"/>
              </w:rPr>
            </w:pPr>
            <w:r>
              <w:rPr>
                <w:rFonts w:ascii="Arial" w:cs="Arial" w:eastAsia="Arial" w:hAnsi="Arial"/>
                <w:sz w:val="18"/>
                <w:szCs w:val="18"/>
                <w:color w:val="auto"/>
              </w:rPr>
              <w:t>Benefit from income taxes</w:t>
            </w:r>
          </w:p>
        </w:tc>
        <w:tc>
          <w:tcPr>
            <w:tcW w:w="132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(12.0)</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110"/>
        </w:trPr>
        <w:tc>
          <w:tcPr>
            <w:tcW w:w="75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7540" w:type="dxa"/>
            <w:vAlign w:val="bottom"/>
          </w:tcPr>
          <w:p>
            <w:pPr>
              <w:ind w:left="160"/>
              <w:spacing w:after="0"/>
              <w:rPr>
                <w:sz w:val="20"/>
                <w:szCs w:val="20"/>
                <w:color w:val="auto"/>
              </w:rPr>
            </w:pPr>
            <w:r>
              <w:rPr>
                <w:rFonts w:ascii="Arial" w:cs="Arial" w:eastAsia="Arial" w:hAnsi="Arial"/>
                <w:sz w:val="18"/>
                <w:szCs w:val="18"/>
                <w:color w:val="auto"/>
              </w:rPr>
              <w:t>Loss from continuing operations</w:t>
            </w:r>
          </w:p>
        </w:tc>
        <w:tc>
          <w:tcPr>
            <w:tcW w:w="132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(25.1)</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365"/>
        </w:trPr>
        <w:tc>
          <w:tcPr>
            <w:tcW w:w="7540" w:type="dxa"/>
            <w:vAlign w:val="bottom"/>
          </w:tcPr>
          <w:p>
            <w:pPr>
              <w:ind w:left="160"/>
              <w:spacing w:after="0"/>
              <w:rPr>
                <w:sz w:val="20"/>
                <w:szCs w:val="20"/>
                <w:color w:val="auto"/>
              </w:rPr>
            </w:pPr>
            <w:r>
              <w:rPr>
                <w:rFonts w:ascii="Arial" w:cs="Arial" w:eastAsia="Arial" w:hAnsi="Arial"/>
                <w:sz w:val="18"/>
                <w:szCs w:val="18"/>
                <w:color w:val="auto"/>
              </w:rPr>
              <w:t>Loss from discontinued operations, net of tax</w:t>
            </w:r>
          </w:p>
        </w:tc>
        <w:tc>
          <w:tcPr>
            <w:tcW w:w="132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10"/>
        </w:trPr>
        <w:tc>
          <w:tcPr>
            <w:tcW w:w="75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75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3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b w:val="1"/>
                <w:bCs w:val="1"/>
                <w:color w:val="auto"/>
              </w:rPr>
              <w:t>(27.1)</w:t>
            </w:r>
          </w:p>
        </w:tc>
        <w:tc>
          <w:tcPr>
            <w:tcW w:w="4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(35.2)</w:t>
            </w:r>
          </w:p>
        </w:tc>
      </w:tr>
      <w:tr>
        <w:trPr>
          <w:trHeight w:val="110"/>
        </w:trPr>
        <w:tc>
          <w:tcPr>
            <w:tcW w:w="75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58"/>
        </w:trPr>
        <w:tc>
          <w:tcPr>
            <w:tcW w:w="7540" w:type="dxa"/>
            <w:vAlign w:val="bottom"/>
          </w:tcPr>
          <w:p>
            <w:pPr>
              <w:spacing w:after="0"/>
              <w:rPr>
                <w:sz w:val="20"/>
                <w:szCs w:val="20"/>
                <w:color w:val="auto"/>
              </w:rPr>
            </w:pPr>
            <w:r>
              <w:rPr>
                <w:rFonts w:ascii="Arial" w:cs="Arial" w:eastAsia="Arial" w:hAnsi="Arial"/>
                <w:sz w:val="18"/>
                <w:szCs w:val="18"/>
                <w:b w:val="1"/>
                <w:bCs w:val="1"/>
                <w:color w:val="auto"/>
              </w:rPr>
              <w:t>Basic and diluted loss per Share of Class A and Common Stock</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54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(0.81)</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216"/>
        </w:trPr>
        <w:tc>
          <w:tcPr>
            <w:tcW w:w="7540" w:type="dxa"/>
            <w:vAlign w:val="bottom"/>
          </w:tcPr>
          <w:p>
            <w:pPr>
              <w:ind w:left="480"/>
              <w:spacing w:after="0"/>
              <w:rPr>
                <w:sz w:val="20"/>
                <w:szCs w:val="20"/>
                <w:color w:val="auto"/>
              </w:rPr>
            </w:pPr>
            <w:r>
              <w:rPr>
                <w:rFonts w:ascii="Arial" w:cs="Arial" w:eastAsia="Arial" w:hAnsi="Arial"/>
                <w:sz w:val="18"/>
                <w:szCs w:val="18"/>
                <w:color w:val="auto"/>
              </w:rPr>
              <w:t>Loss from discontinued operations, net of tax</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(0.06)</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16"/>
        </w:trPr>
        <w:tc>
          <w:tcPr>
            <w:tcW w:w="7540" w:type="dxa"/>
            <w:vAlign w:val="bottom"/>
          </w:tcPr>
          <w:p>
            <w:pPr>
              <w:ind w:left="480"/>
              <w:spacing w:after="0"/>
              <w:rPr>
                <w:sz w:val="20"/>
                <w:szCs w:val="20"/>
                <w:color w:val="auto"/>
              </w:rPr>
            </w:pPr>
            <w:r>
              <w:rPr>
                <w:rFonts w:ascii="Arial" w:cs="Arial" w:eastAsia="Arial" w:hAnsi="Arial"/>
                <w:sz w:val="18"/>
                <w:szCs w:val="18"/>
                <w:color w:val="auto"/>
              </w:rPr>
              <w:t>Net loss</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(0.87)</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54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(0.81)</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216"/>
        </w:trPr>
        <w:tc>
          <w:tcPr>
            <w:tcW w:w="7540" w:type="dxa"/>
            <w:vAlign w:val="bottom"/>
          </w:tcPr>
          <w:p>
            <w:pPr>
              <w:ind w:left="480"/>
              <w:spacing w:after="0"/>
              <w:rPr>
                <w:sz w:val="20"/>
                <w:szCs w:val="20"/>
                <w:color w:val="auto"/>
              </w:rPr>
            </w:pPr>
            <w:r>
              <w:rPr>
                <w:rFonts w:ascii="Arial" w:cs="Arial" w:eastAsia="Arial" w:hAnsi="Arial"/>
                <w:sz w:val="18"/>
                <w:szCs w:val="18"/>
                <w:color w:val="auto"/>
              </w:rPr>
              <w:t>Loss from discontinued operations, net of tax</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(0.06)</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22"/>
        </w:trPr>
        <w:tc>
          <w:tcPr>
            <w:tcW w:w="7540" w:type="dxa"/>
            <w:vAlign w:val="bottom"/>
          </w:tcPr>
          <w:p>
            <w:pPr>
              <w:ind w:left="480"/>
              <w:spacing w:after="0"/>
              <w:rPr>
                <w:sz w:val="20"/>
                <w:szCs w:val="20"/>
                <w:color w:val="auto"/>
              </w:rPr>
            </w:pPr>
            <w:r>
              <w:rPr>
                <w:rFonts w:ascii="Arial" w:cs="Arial" w:eastAsia="Arial" w:hAnsi="Arial"/>
                <w:sz w:val="18"/>
                <w:szCs w:val="18"/>
                <w:color w:val="auto"/>
              </w:rPr>
              <w:t>Net loss</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(0.87)</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365"/>
        </w:trPr>
        <w:tc>
          <w:tcPr>
            <w:tcW w:w="754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0.100</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0.075</w:t>
            </w:r>
          </w:p>
        </w:tc>
      </w:tr>
      <w:tr>
        <w:trPr>
          <w:trHeight w:val="110"/>
        </w:trPr>
        <w:tc>
          <w:tcPr>
            <w:tcW w:w="75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Pr>
          <w:p>
            <w:pPr>
              <w:spacing w:after="0"/>
              <w:rPr>
                <w:sz w:val="19"/>
                <w:szCs w:val="19"/>
                <w:color w:val="auto"/>
              </w:rPr>
            </w:pPr>
          </w:p>
        </w:tc>
        <w:tc>
          <w:tcPr>
            <w:tcW w:w="334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August 31, 2011</w:t>
            </w: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31, 2011</w:t>
            </w:r>
          </w:p>
        </w:tc>
        <w:tc>
          <w:tcPr>
            <w:tcW w:w="16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August 31, 2010</w:t>
            </w:r>
          </w:p>
        </w:tc>
      </w:tr>
      <w:tr>
        <w:trPr>
          <w:trHeight w:val="110"/>
        </w:trPr>
        <w:tc>
          <w:tcPr>
            <w:tcW w:w="51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309"/>
        </w:trPr>
        <w:tc>
          <w:tcPr>
            <w:tcW w:w="51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14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24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33.7</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105.3</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124.2</w:t>
            </w:r>
          </w:p>
        </w:tc>
      </w:tr>
      <w:tr>
        <w:trPr>
          <w:trHeight w:val="216"/>
        </w:trPr>
        <w:tc>
          <w:tcPr>
            <w:tcW w:w="514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24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217.1</w:t>
            </w:r>
          </w:p>
        </w:tc>
        <w:tc>
          <w:tcPr>
            <w:tcW w:w="54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220.3</w:t>
            </w:r>
          </w:p>
        </w:tc>
        <w:tc>
          <w:tcPr>
            <w:tcW w:w="6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212.4</w:t>
            </w:r>
          </w:p>
        </w:tc>
      </w:tr>
      <w:tr>
        <w:trPr>
          <w:trHeight w:val="216"/>
        </w:trPr>
        <w:tc>
          <w:tcPr>
            <w:tcW w:w="514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24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422.8</w:t>
            </w:r>
          </w:p>
        </w:tc>
        <w:tc>
          <w:tcPr>
            <w:tcW w:w="54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308.7</w:t>
            </w:r>
          </w:p>
        </w:tc>
        <w:tc>
          <w:tcPr>
            <w:tcW w:w="6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429.8</w:t>
            </w:r>
          </w:p>
        </w:tc>
      </w:tr>
      <w:tr>
        <w:trPr>
          <w:trHeight w:val="216"/>
        </w:trPr>
        <w:tc>
          <w:tcPr>
            <w:tcW w:w="514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4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56.2</w:t>
            </w:r>
          </w:p>
        </w:tc>
        <w:tc>
          <w:tcPr>
            <w:tcW w:w="54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56.2</w:t>
            </w:r>
          </w:p>
        </w:tc>
        <w:tc>
          <w:tcPr>
            <w:tcW w:w="6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59.7</w:t>
            </w:r>
          </w:p>
        </w:tc>
      </w:tr>
      <w:tr>
        <w:trPr>
          <w:trHeight w:val="216"/>
        </w:trPr>
        <w:tc>
          <w:tcPr>
            <w:tcW w:w="514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4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100.3</w:t>
            </w:r>
          </w:p>
        </w:tc>
        <w:tc>
          <w:tcPr>
            <w:tcW w:w="54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57.1</w:t>
            </w:r>
          </w:p>
        </w:tc>
        <w:tc>
          <w:tcPr>
            <w:tcW w:w="6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80.8</w:t>
            </w:r>
          </w:p>
        </w:tc>
      </w:tr>
      <w:tr>
        <w:trPr>
          <w:trHeight w:val="222"/>
        </w:trPr>
        <w:tc>
          <w:tcPr>
            <w:tcW w:w="514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240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9.6</w:t>
            </w:r>
          </w:p>
        </w:tc>
        <w:tc>
          <w:tcPr>
            <w:tcW w:w="54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18.4</w:t>
            </w:r>
          </w:p>
        </w:tc>
      </w:tr>
      <w:tr>
        <w:trPr>
          <w:trHeight w:val="110"/>
        </w:trPr>
        <w:tc>
          <w:tcPr>
            <w:tcW w:w="51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assets</w:t>
            </w:r>
          </w:p>
        </w:tc>
        <w:tc>
          <w:tcPr>
            <w:tcW w:w="13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839.7</w:t>
            </w:r>
          </w:p>
        </w:tc>
        <w:tc>
          <w:tcPr>
            <w:tcW w:w="42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758.1</w:t>
            </w:r>
          </w:p>
        </w:tc>
        <w:tc>
          <w:tcPr>
            <w:tcW w:w="5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925.3</w:t>
            </w:r>
          </w:p>
        </w:tc>
      </w:tr>
      <w:tr>
        <w:trPr>
          <w:trHeight w:val="358"/>
        </w:trPr>
        <w:tc>
          <w:tcPr>
            <w:tcW w:w="612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134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331.3</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339.0</w:t>
            </w:r>
          </w:p>
        </w:tc>
        <w:tc>
          <w:tcPr>
            <w:tcW w:w="5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321.0</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116.9</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117.7</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109.1</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Royalty advances, net</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34.6</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35.5</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37.9</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7.2</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154.2</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154.2</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156.6</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19.4</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19.8</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15.4</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Noncurrent deferred income taxes</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20.2</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20.2</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33.0</w:t>
            </w:r>
          </w:p>
        </w:tc>
      </w:tr>
      <w:tr>
        <w:trPr>
          <w:trHeight w:val="222"/>
        </w:trPr>
        <w:tc>
          <w:tcPr>
            <w:tcW w:w="612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13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35.1</w:t>
            </w:r>
          </w:p>
        </w:tc>
        <w:tc>
          <w:tcPr>
            <w:tcW w:w="5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37.8</w:t>
            </w:r>
          </w:p>
        </w:tc>
      </w:tr>
      <w:tr>
        <w:trPr>
          <w:trHeight w:val="110"/>
        </w:trPr>
        <w:tc>
          <w:tcPr>
            <w:tcW w:w="6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61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1,559.1</w:t>
            </w:r>
          </w:p>
        </w:tc>
        <w:tc>
          <w:tcPr>
            <w:tcW w:w="4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1,487.0</w:t>
            </w:r>
          </w:p>
        </w:tc>
        <w:tc>
          <w:tcPr>
            <w:tcW w:w="56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1,643.3</w:t>
            </w:r>
          </w:p>
        </w:tc>
      </w:tr>
      <w:tr>
        <w:trPr>
          <w:trHeight w:val="110"/>
        </w:trPr>
        <w:tc>
          <w:tcPr>
            <w:tcW w:w="6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458"/>
        </w:trPr>
        <w:tc>
          <w:tcPr>
            <w:tcW w:w="61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1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Lines of credit, short-term debt and current portion of long-term debt</w:t>
            </w: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47.4</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43.5</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50.5</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0.9</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181.2</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120.1</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177.0</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35.4</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56.3</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75.9</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49.1</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59.8</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169.7</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173.3</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138.9</w:t>
            </w:r>
          </w:p>
        </w:tc>
      </w:tr>
      <w:tr>
        <w:trPr>
          <w:trHeight w:val="222"/>
        </w:trPr>
        <w:tc>
          <w:tcPr>
            <w:tcW w:w="612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13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5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3.9</w:t>
            </w:r>
          </w:p>
        </w:tc>
      </w:tr>
      <w:tr>
        <w:trPr>
          <w:trHeight w:val="110"/>
        </w:trPr>
        <w:tc>
          <w:tcPr>
            <w:tcW w:w="6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464"/>
        </w:trPr>
        <w:tc>
          <w:tcPr>
            <w:tcW w:w="61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liabilities</w:t>
            </w:r>
          </w:p>
        </w:tc>
        <w:tc>
          <w:tcPr>
            <w:tcW w:w="134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528.6</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422.7</w:t>
            </w:r>
          </w:p>
        </w:tc>
        <w:tc>
          <w:tcPr>
            <w:tcW w:w="5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487.3</w:t>
            </w:r>
          </w:p>
        </w:tc>
      </w:tr>
      <w:tr>
        <w:trPr>
          <w:trHeight w:val="358"/>
        </w:trPr>
        <w:tc>
          <w:tcPr>
            <w:tcW w:w="61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Noncurrent Liabilities:</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152.6</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159.9</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191.8</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55.3</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55.0</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55.1</w:t>
            </w:r>
          </w:p>
        </w:tc>
      </w:tr>
      <w:tr>
        <w:trPr>
          <w:trHeight w:val="222"/>
        </w:trPr>
        <w:tc>
          <w:tcPr>
            <w:tcW w:w="612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13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107.5</w:t>
            </w:r>
          </w:p>
        </w:tc>
        <w:tc>
          <w:tcPr>
            <w:tcW w:w="42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109.4</w:t>
            </w:r>
          </w:p>
        </w:tc>
        <w:tc>
          <w:tcPr>
            <w:tcW w:w="5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116.8</w:t>
            </w:r>
          </w:p>
        </w:tc>
      </w:tr>
      <w:tr>
        <w:trPr>
          <w:trHeight w:val="110"/>
        </w:trPr>
        <w:tc>
          <w:tcPr>
            <w:tcW w:w="6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464"/>
        </w:trPr>
        <w:tc>
          <w:tcPr>
            <w:tcW w:w="61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noncurrent liabilities</w:t>
            </w:r>
          </w:p>
        </w:tc>
        <w:tc>
          <w:tcPr>
            <w:tcW w:w="134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315.4</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324.3</w:t>
            </w:r>
          </w:p>
        </w:tc>
        <w:tc>
          <w:tcPr>
            <w:tcW w:w="5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363.7</w:t>
            </w:r>
          </w:p>
        </w:tc>
      </w:tr>
      <w:tr>
        <w:trPr>
          <w:trHeight w:val="365"/>
        </w:trPr>
        <w:tc>
          <w:tcPr>
            <w:tcW w:w="612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134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358"/>
        </w:trPr>
        <w:tc>
          <w:tcPr>
            <w:tcW w:w="612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Preferred Stock, $1.00 par value</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Class A Stock, $.01 par value</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0.0</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Common Stock, $.01 par value</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0.4</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578.2</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576.6</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574.5</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134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(52.1)</w:t>
            </w:r>
          </w:p>
        </w:tc>
        <w:tc>
          <w:tcPr>
            <w:tcW w:w="4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(53.9)</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16"/>
        </w:trPr>
        <w:tc>
          <w:tcPr>
            <w:tcW w:w="612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3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605.6</w:t>
            </w:r>
          </w:p>
        </w:tc>
        <w:tc>
          <w:tcPr>
            <w:tcW w:w="4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635.8</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569.9</w:t>
            </w:r>
          </w:p>
        </w:tc>
      </w:tr>
      <w:tr>
        <w:trPr>
          <w:trHeight w:val="222"/>
        </w:trPr>
        <w:tc>
          <w:tcPr>
            <w:tcW w:w="612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134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(417.0)</w:t>
            </w:r>
          </w:p>
        </w:tc>
        <w:tc>
          <w:tcPr>
            <w:tcW w:w="4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(418.9)</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(270.9)</w:t>
            </w:r>
          </w:p>
        </w:tc>
      </w:tr>
      <w:tr>
        <w:trPr>
          <w:trHeight w:val="110"/>
        </w:trPr>
        <w:tc>
          <w:tcPr>
            <w:tcW w:w="6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61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stockholders’ equity</w:t>
            </w:r>
          </w:p>
        </w:tc>
        <w:tc>
          <w:tcPr>
            <w:tcW w:w="134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715.1</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740.0</w:t>
            </w:r>
          </w:p>
        </w:tc>
        <w:tc>
          <w:tcPr>
            <w:tcW w:w="5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792.3</w:t>
            </w:r>
          </w:p>
        </w:tc>
      </w:tr>
      <w:tr>
        <w:trPr>
          <w:trHeight w:val="110"/>
        </w:trPr>
        <w:tc>
          <w:tcPr>
            <w:tcW w:w="6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61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34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1,559.1</w:t>
            </w:r>
          </w:p>
        </w:tc>
        <w:tc>
          <w:tcPr>
            <w:tcW w:w="4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1,487.0</w:t>
            </w:r>
          </w:p>
        </w:tc>
        <w:tc>
          <w:tcPr>
            <w:tcW w:w="56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1,643.3</w:t>
            </w:r>
          </w:p>
        </w:tc>
      </w:tr>
      <w:tr>
        <w:trPr>
          <w:trHeight w:val="110"/>
        </w:trPr>
        <w:tc>
          <w:tcPr>
            <w:tcW w:w="6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382" w:right="219" w:bottom="96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963"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60" w:type="dxa"/>
            <w:vAlign w:val="bottom"/>
            <w:gridSpan w:val="3"/>
          </w:tcPr>
          <w:p>
            <w:pPr>
              <w:jc w:val="center"/>
              <w:ind w:right="232"/>
              <w:spacing w:after="0"/>
              <w:rPr>
                <w:sz w:val="20"/>
                <w:szCs w:val="20"/>
                <w:color w:val="auto"/>
              </w:rPr>
            </w:pPr>
            <w:r>
              <w:rPr>
                <w:rFonts w:ascii="Arial" w:cs="Arial" w:eastAsia="Arial" w:hAnsi="Arial"/>
                <w:sz w:val="18"/>
                <w:szCs w:val="18"/>
                <w:b w:val="1"/>
                <w:bCs w:val="1"/>
                <w:color w:val="auto"/>
                <w:w w:val="86"/>
              </w:rPr>
              <w:t>Three months ended</w:t>
            </w:r>
          </w:p>
        </w:tc>
        <w:tc>
          <w:tcPr>
            <w:tcW w:w="20" w:type="dxa"/>
            <w:vAlign w:val="bottom"/>
          </w:tcPr>
          <w:p>
            <w:pPr>
              <w:spacing w:after="0"/>
              <w:rPr>
                <w:sz w:val="18"/>
                <w:szCs w:val="18"/>
                <w:color w:val="auto"/>
              </w:rPr>
            </w:pPr>
          </w:p>
        </w:tc>
      </w:tr>
      <w:tr>
        <w:trPr>
          <w:trHeight w:val="228"/>
        </w:trPr>
        <w:tc>
          <w:tcPr>
            <w:tcW w:w="8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4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6"/>
              </w:rPr>
              <w:t>August 31,</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8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jc w:val="right"/>
              <w:ind w:right="612"/>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24"/>
                <w:szCs w:val="24"/>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4"/>
                <w:szCs w:val="24"/>
                <w:color w:val="auto"/>
              </w:rPr>
            </w:pPr>
          </w:p>
        </w:tc>
      </w:tr>
      <w:tr>
        <w:trPr>
          <w:trHeight w:val="110"/>
        </w:trPr>
        <w:tc>
          <w:tcPr>
            <w:tcW w:w="8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(used in) provided by operating activities:</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(27.1)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r>
      <w:tr>
        <w:trPr>
          <w:trHeight w:val="222"/>
        </w:trPr>
        <w:tc>
          <w:tcPr>
            <w:tcW w:w="8360" w:type="dxa"/>
            <w:vAlign w:val="bottom"/>
          </w:tcPr>
          <w:p>
            <w:pPr>
              <w:ind w:left="160"/>
              <w:spacing w:after="0"/>
              <w:rPr>
                <w:sz w:val="20"/>
                <w:szCs w:val="20"/>
                <w:color w:val="auto"/>
              </w:rPr>
            </w:pPr>
            <w:r>
              <w:rPr>
                <w:rFonts w:ascii="Arial" w:cs="Arial" w:eastAsia="Arial" w:hAnsi="Arial"/>
                <w:sz w:val="18"/>
                <w:szCs w:val="18"/>
                <w:color w:val="auto"/>
              </w:rPr>
              <w:t>Loss from discontinued operations, net of tax</w:t>
            </w:r>
          </w:p>
        </w:tc>
        <w:tc>
          <w:tcPr>
            <w:tcW w:w="620" w:type="dxa"/>
            <w:vAlign w:val="bottom"/>
          </w:tcPr>
          <w:p>
            <w:pPr>
              <w:spacing w:after="0"/>
              <w:rPr>
                <w:sz w:val="19"/>
                <w:szCs w:val="19"/>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110"/>
        </w:trPr>
        <w:tc>
          <w:tcPr>
            <w:tcW w:w="8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360" w:type="dxa"/>
            <w:vAlign w:val="bottom"/>
          </w:tcPr>
          <w:p>
            <w:pPr>
              <w:ind w:left="320"/>
              <w:spacing w:after="0"/>
              <w:rPr>
                <w:sz w:val="20"/>
                <w:szCs w:val="20"/>
                <w:color w:val="auto"/>
              </w:rPr>
            </w:pPr>
            <w:r>
              <w:rPr>
                <w:rFonts w:ascii="Arial" w:cs="Arial" w:eastAsia="Arial" w:hAnsi="Arial"/>
                <w:sz w:val="18"/>
                <w:szCs w:val="18"/>
                <w:color w:val="auto"/>
              </w:rPr>
              <w:t>Loss from continuing operations</w:t>
            </w:r>
          </w:p>
        </w:tc>
        <w:tc>
          <w:tcPr>
            <w:tcW w:w="62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(25.1)</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24"/>
                <w:szCs w:val="24"/>
                <w:color w:val="auto"/>
              </w:rPr>
            </w:pPr>
          </w:p>
        </w:tc>
      </w:tr>
      <w:tr>
        <w:trPr>
          <w:trHeight w:val="358"/>
        </w:trPr>
        <w:tc>
          <w:tcPr>
            <w:tcW w:w="8360" w:type="dxa"/>
            <w:vAlign w:val="bottom"/>
          </w:tcPr>
          <w:p>
            <w:pPr>
              <w:spacing w:after="0"/>
              <w:rPr>
                <w:sz w:val="20"/>
                <w:szCs w:val="20"/>
                <w:color w:val="auto"/>
              </w:rPr>
            </w:pPr>
            <w:r>
              <w:rPr>
                <w:rFonts w:ascii="Arial" w:cs="Arial" w:eastAsia="Arial" w:hAnsi="Arial"/>
                <w:sz w:val="18"/>
                <w:szCs w:val="18"/>
                <w:color w:val="auto"/>
                <w:w w:val="93"/>
              </w:rPr>
              <w:t>Adjustments to reconcile loss from continuing operations to net cash provided by (used in) operating activities of</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36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6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8360" w:type="dxa"/>
            <w:vAlign w:val="bottom"/>
          </w:tcPr>
          <w:p>
            <w:pPr>
              <w:ind w:left="320"/>
              <w:spacing w:after="0"/>
              <w:rPr>
                <w:sz w:val="20"/>
                <w:szCs w:val="20"/>
                <w:color w:val="auto"/>
              </w:rPr>
            </w:pPr>
            <w:r>
              <w:rPr>
                <w:rFonts w:ascii="Arial" w:cs="Arial" w:eastAsia="Arial" w:hAnsi="Arial"/>
                <w:sz w:val="18"/>
                <w:szCs w:val="18"/>
                <w:color w:val="auto"/>
              </w:rPr>
              <w:t>Provision for losses on inventory</w:t>
            </w:r>
          </w:p>
        </w:tc>
        <w:tc>
          <w:tcPr>
            <w:tcW w:w="6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r>
        <w:trPr>
          <w:trHeight w:val="216"/>
        </w:trPr>
        <w:tc>
          <w:tcPr>
            <w:tcW w:w="8360" w:type="dxa"/>
            <w:vAlign w:val="bottom"/>
          </w:tcPr>
          <w:p>
            <w:pPr>
              <w:ind w:left="320"/>
              <w:spacing w:after="0"/>
              <w:rPr>
                <w:sz w:val="20"/>
                <w:szCs w:val="20"/>
                <w:color w:val="auto"/>
              </w:rPr>
            </w:pPr>
            <w:r>
              <w:rPr>
                <w:rFonts w:ascii="Arial" w:cs="Arial" w:eastAsia="Arial" w:hAnsi="Arial"/>
                <w:sz w:val="18"/>
                <w:szCs w:val="18"/>
                <w:color w:val="auto"/>
              </w:rPr>
              <w:t>Provision for losses on royalty advances</w:t>
            </w:r>
          </w:p>
        </w:tc>
        <w:tc>
          <w:tcPr>
            <w:tcW w:w="6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836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6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11.9</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16"/>
        </w:trPr>
        <w:tc>
          <w:tcPr>
            <w:tcW w:w="836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r>
      <w:tr>
        <w:trPr>
          <w:trHeight w:val="216"/>
        </w:trPr>
        <w:tc>
          <w:tcPr>
            <w:tcW w:w="836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6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836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6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836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36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6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62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(121.3)</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8"/>
                <w:szCs w:val="18"/>
                <w:color w:val="auto"/>
              </w:rPr>
            </w:pPr>
          </w:p>
        </w:tc>
      </w:tr>
      <w:tr>
        <w:trPr>
          <w:trHeight w:val="216"/>
        </w:trPr>
        <w:tc>
          <w:tcPr>
            <w:tcW w:w="8360" w:type="dxa"/>
            <w:vAlign w:val="bottom"/>
          </w:tcPr>
          <w:p>
            <w:pPr>
              <w:ind w:left="480"/>
              <w:spacing w:after="0"/>
              <w:rPr>
                <w:sz w:val="20"/>
                <w:szCs w:val="20"/>
                <w:color w:val="auto"/>
              </w:rPr>
            </w:pPr>
            <w:r>
              <w:rPr>
                <w:rFonts w:ascii="Arial" w:cs="Arial" w:eastAsia="Arial" w:hAnsi="Arial"/>
                <w:sz w:val="18"/>
                <w:szCs w:val="18"/>
                <w:color w:val="auto"/>
              </w:rPr>
              <w:t>Prepaid and other current assets</w:t>
            </w:r>
          </w:p>
        </w:tc>
        <w:tc>
          <w:tcPr>
            <w:tcW w:w="62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(24.3)</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r>
      <w:tr>
        <w:trPr>
          <w:trHeight w:val="216"/>
        </w:trPr>
        <w:tc>
          <w:tcPr>
            <w:tcW w:w="836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62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836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62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83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60.7</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8"/>
                <w:szCs w:val="18"/>
                <w:color w:val="auto"/>
              </w:rPr>
            </w:pPr>
          </w:p>
        </w:tc>
      </w:tr>
      <w:tr>
        <w:trPr>
          <w:trHeight w:val="216"/>
        </w:trPr>
        <w:tc>
          <w:tcPr>
            <w:tcW w:w="8360" w:type="dxa"/>
            <w:vAlign w:val="bottom"/>
          </w:tcPr>
          <w:p>
            <w:pPr>
              <w:ind w:left="480"/>
              <w:spacing w:after="0"/>
              <w:rPr>
                <w:sz w:val="20"/>
                <w:szCs w:val="20"/>
                <w:color w:val="auto"/>
              </w:rPr>
            </w:pPr>
            <w:r>
              <w:rPr>
                <w:rFonts w:ascii="Arial" w:cs="Arial" w:eastAsia="Arial" w:hAnsi="Arial"/>
                <w:sz w:val="18"/>
                <w:szCs w:val="18"/>
                <w:color w:val="auto"/>
              </w:rPr>
              <w:t>Other accrued expenses</w:t>
            </w:r>
          </w:p>
        </w:tc>
        <w:tc>
          <w:tcPr>
            <w:tcW w:w="62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(18.3)</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r>
      <w:tr>
        <w:trPr>
          <w:trHeight w:val="216"/>
        </w:trPr>
        <w:tc>
          <w:tcPr>
            <w:tcW w:w="836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6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16"/>
        </w:trPr>
        <w:tc>
          <w:tcPr>
            <w:tcW w:w="836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6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26.8</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r>
      <w:tr>
        <w:trPr>
          <w:trHeight w:val="216"/>
        </w:trPr>
        <w:tc>
          <w:tcPr>
            <w:tcW w:w="8360" w:type="dxa"/>
            <w:vAlign w:val="bottom"/>
          </w:tcPr>
          <w:p>
            <w:pPr>
              <w:ind w:left="480"/>
              <w:spacing w:after="0"/>
              <w:rPr>
                <w:sz w:val="20"/>
                <w:szCs w:val="20"/>
                <w:color w:val="auto"/>
              </w:rPr>
            </w:pPr>
            <w:r>
              <w:rPr>
                <w:rFonts w:ascii="Arial" w:cs="Arial" w:eastAsia="Arial" w:hAnsi="Arial"/>
                <w:sz w:val="18"/>
                <w:szCs w:val="18"/>
                <w:color w:val="auto"/>
              </w:rPr>
              <w:t>Pension and post-retirement liability</w:t>
            </w:r>
          </w:p>
        </w:tc>
        <w:tc>
          <w:tcPr>
            <w:tcW w:w="62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(0.7)</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8360" w:type="dxa"/>
            <w:vAlign w:val="bottom"/>
          </w:tcPr>
          <w:p>
            <w:pPr>
              <w:ind w:left="480"/>
              <w:spacing w:after="0"/>
              <w:rPr>
                <w:sz w:val="20"/>
                <w:szCs w:val="20"/>
                <w:color w:val="auto"/>
              </w:rPr>
            </w:pPr>
            <w:r>
              <w:rPr>
                <w:rFonts w:ascii="Arial" w:cs="Arial" w:eastAsia="Arial" w:hAnsi="Arial"/>
                <w:sz w:val="18"/>
                <w:szCs w:val="18"/>
                <w:color w:val="auto"/>
              </w:rPr>
              <w:t>Other noncurrent liability</w:t>
            </w:r>
          </w:p>
        </w:tc>
        <w:tc>
          <w:tcPr>
            <w:tcW w:w="62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836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19"/>
                <w:szCs w:val="19"/>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110"/>
        </w:trPr>
        <w:tc>
          <w:tcPr>
            <w:tcW w:w="8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36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62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(24.5)</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24"/>
                <w:szCs w:val="24"/>
                <w:color w:val="auto"/>
              </w:rPr>
            </w:pPr>
          </w:p>
        </w:tc>
      </w:tr>
      <w:tr>
        <w:trPr>
          <w:trHeight w:val="110"/>
        </w:trPr>
        <w:tc>
          <w:tcPr>
            <w:tcW w:w="8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8360" w:type="dxa"/>
            <w:vAlign w:val="bottom"/>
          </w:tcPr>
          <w:p>
            <w:pPr>
              <w:ind w:left="160"/>
              <w:spacing w:after="0"/>
              <w:rPr>
                <w:sz w:val="20"/>
                <w:szCs w:val="20"/>
                <w:color w:val="auto"/>
              </w:rPr>
            </w:pPr>
            <w:r>
              <w:rPr>
                <w:rFonts w:ascii="Arial" w:cs="Arial" w:eastAsia="Arial" w:hAnsi="Arial"/>
                <w:sz w:val="18"/>
                <w:szCs w:val="18"/>
                <w:color w:val="auto"/>
              </w:rPr>
              <w:t>Net cash used in operating activities of continuing operations</w:t>
            </w:r>
          </w:p>
        </w:tc>
        <w:tc>
          <w:tcPr>
            <w:tcW w:w="62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(49.6)</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24"/>
                <w:szCs w:val="24"/>
                <w:color w:val="auto"/>
              </w:rPr>
            </w:pPr>
          </w:p>
        </w:tc>
      </w:tr>
      <w:tr>
        <w:trPr>
          <w:trHeight w:val="222"/>
        </w:trPr>
        <w:tc>
          <w:tcPr>
            <w:tcW w:w="8360" w:type="dxa"/>
            <w:vAlign w:val="bottom"/>
          </w:tcPr>
          <w:p>
            <w:pPr>
              <w:ind w:left="160"/>
              <w:spacing w:after="0"/>
              <w:rPr>
                <w:sz w:val="20"/>
                <w:szCs w:val="20"/>
                <w:color w:val="auto"/>
              </w:rPr>
            </w:pPr>
            <w:r>
              <w:rPr>
                <w:rFonts w:ascii="Arial" w:cs="Arial" w:eastAsia="Arial" w:hAnsi="Arial"/>
                <w:sz w:val="18"/>
                <w:szCs w:val="18"/>
                <w:color w:val="auto"/>
              </w:rPr>
              <w:t>Net cash provided by (used in) operating activities of discontinued operations</w:t>
            </w:r>
          </w:p>
        </w:tc>
        <w:tc>
          <w:tcPr>
            <w:tcW w:w="620" w:type="dxa"/>
            <w:vAlign w:val="bottom"/>
          </w:tcPr>
          <w:p>
            <w:pPr>
              <w:spacing w:after="0"/>
              <w:rPr>
                <w:sz w:val="19"/>
                <w:szCs w:val="19"/>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r>
      <w:tr>
        <w:trPr>
          <w:trHeight w:val="110"/>
        </w:trPr>
        <w:tc>
          <w:tcPr>
            <w:tcW w:w="8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8360" w:type="dxa"/>
            <w:vAlign w:val="bottom"/>
          </w:tcPr>
          <w:p>
            <w:pPr>
              <w:ind w:left="160"/>
              <w:spacing w:after="0"/>
              <w:rPr>
                <w:sz w:val="20"/>
                <w:szCs w:val="20"/>
                <w:color w:val="auto"/>
              </w:rPr>
            </w:pPr>
            <w:r>
              <w:rPr>
                <w:rFonts w:ascii="Arial" w:cs="Arial" w:eastAsia="Arial" w:hAnsi="Arial"/>
                <w:sz w:val="18"/>
                <w:szCs w:val="18"/>
                <w:color w:val="auto"/>
              </w:rPr>
              <w:t>Net cash used in operating activities</w:t>
            </w:r>
          </w:p>
        </w:tc>
        <w:tc>
          <w:tcPr>
            <w:tcW w:w="62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(49.3)</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24"/>
                <w:szCs w:val="24"/>
                <w:color w:val="auto"/>
              </w:rPr>
            </w:pPr>
          </w:p>
        </w:tc>
      </w:tr>
      <w:tr>
        <w:trPr>
          <w:trHeight w:val="358"/>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Prepublication and production expenditures</w:t>
            </w:r>
          </w:p>
        </w:tc>
        <w:tc>
          <w:tcPr>
            <w:tcW w:w="62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62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r>
      <w:tr>
        <w:trPr>
          <w:trHeight w:val="222"/>
        </w:trPr>
        <w:tc>
          <w:tcPr>
            <w:tcW w:w="8360" w:type="dxa"/>
            <w:vAlign w:val="bottom"/>
          </w:tcPr>
          <w:p>
            <w:pPr>
              <w:ind w:left="160"/>
              <w:spacing w:after="0"/>
              <w:rPr>
                <w:sz w:val="20"/>
                <w:szCs w:val="20"/>
                <w:color w:val="auto"/>
              </w:rPr>
            </w:pPr>
            <w:r>
              <w:rPr>
                <w:rFonts w:ascii="Arial" w:cs="Arial" w:eastAsia="Arial" w:hAnsi="Arial"/>
                <w:sz w:val="18"/>
                <w:szCs w:val="18"/>
                <w:color w:val="auto"/>
              </w:rPr>
              <w:t>Acquisition related payments</w:t>
            </w:r>
          </w:p>
        </w:tc>
        <w:tc>
          <w:tcPr>
            <w:tcW w:w="620" w:type="dxa"/>
            <w:vAlign w:val="bottom"/>
          </w:tcPr>
          <w:p>
            <w:pPr>
              <w:spacing w:after="0"/>
              <w:rPr>
                <w:sz w:val="19"/>
                <w:szCs w:val="19"/>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110"/>
        </w:trPr>
        <w:tc>
          <w:tcPr>
            <w:tcW w:w="8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836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continuing operations</w:t>
            </w:r>
          </w:p>
        </w:tc>
        <w:tc>
          <w:tcPr>
            <w:tcW w:w="62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(18.7)</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24"/>
                <w:szCs w:val="24"/>
                <w:color w:val="auto"/>
              </w:rPr>
            </w:pPr>
          </w:p>
        </w:tc>
      </w:tr>
      <w:tr>
        <w:trPr>
          <w:trHeight w:val="365"/>
        </w:trPr>
        <w:tc>
          <w:tcPr>
            <w:tcW w:w="836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360" w:type="dxa"/>
            <w:vAlign w:val="bottom"/>
          </w:tcPr>
          <w:p>
            <w:pPr>
              <w:ind w:left="568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8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83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60" w:type="dxa"/>
            <w:vAlign w:val="bottom"/>
            <w:gridSpan w:val="3"/>
          </w:tcPr>
          <w:p>
            <w:pPr>
              <w:jc w:val="center"/>
              <w:ind w:right="272"/>
              <w:spacing w:after="0"/>
              <w:rPr>
                <w:sz w:val="20"/>
                <w:szCs w:val="20"/>
                <w:color w:val="auto"/>
              </w:rPr>
            </w:pPr>
            <w:r>
              <w:rPr>
                <w:rFonts w:ascii="Arial" w:cs="Arial" w:eastAsia="Arial" w:hAnsi="Arial"/>
                <w:sz w:val="18"/>
                <w:szCs w:val="18"/>
                <w:b w:val="1"/>
                <w:bCs w:val="1"/>
                <w:color w:val="auto"/>
                <w:w w:val="86"/>
              </w:rPr>
              <w:t>Three months ended</w:t>
            </w:r>
          </w:p>
        </w:tc>
      </w:tr>
      <w:tr>
        <w:trPr>
          <w:trHeight w:val="228"/>
        </w:trPr>
        <w:tc>
          <w:tcPr>
            <w:tcW w:w="66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6"/>
              </w:rPr>
              <w:t>August 31,</w:t>
            </w:r>
          </w:p>
        </w:tc>
        <w:tc>
          <w:tcPr>
            <w:tcW w:w="820" w:type="dxa"/>
            <w:vAlign w:val="bottom"/>
          </w:tcPr>
          <w:p>
            <w:pPr>
              <w:spacing w:after="0"/>
              <w:rPr>
                <w:sz w:val="19"/>
                <w:szCs w:val="19"/>
                <w:color w:val="auto"/>
              </w:rPr>
            </w:pPr>
          </w:p>
        </w:tc>
      </w:tr>
      <w:tr>
        <w:trPr>
          <w:trHeight w:val="110"/>
        </w:trPr>
        <w:tc>
          <w:tcPr>
            <w:tcW w:w="66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16"/>
        </w:trPr>
        <w:tc>
          <w:tcPr>
            <w:tcW w:w="6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jc w:val="right"/>
              <w:ind w:right="612"/>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24"/>
                <w:szCs w:val="24"/>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color w:val="auto"/>
              </w:rPr>
              <w:t>2010</w:t>
            </w:r>
          </w:p>
        </w:tc>
      </w:tr>
      <w:tr>
        <w:trPr>
          <w:trHeight w:val="110"/>
        </w:trPr>
        <w:tc>
          <w:tcPr>
            <w:tcW w:w="66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09"/>
        </w:trPr>
        <w:tc>
          <w:tcPr>
            <w:tcW w:w="6620" w:type="dxa"/>
            <w:vAlign w:val="bottom"/>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236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Borrowings under lines of credit</w:t>
            </w:r>
          </w:p>
        </w:tc>
        <w:tc>
          <w:tcPr>
            <w:tcW w:w="236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18.5</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Repayment under lines of credit</w:t>
            </w:r>
          </w:p>
        </w:tc>
        <w:tc>
          <w:tcPr>
            <w:tcW w:w="236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236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Reacquisition of common stock</w:t>
            </w:r>
          </w:p>
        </w:tc>
        <w:tc>
          <w:tcPr>
            <w:tcW w:w="236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Proceeds pursuant to stock-based compensation plans</w:t>
            </w:r>
          </w:p>
        </w:tc>
        <w:tc>
          <w:tcPr>
            <w:tcW w:w="236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236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6620" w:type="dxa"/>
            <w:vAlign w:val="bottom"/>
          </w:tcPr>
          <w:p>
            <w:pPr>
              <w:ind w:left="160"/>
              <w:spacing w:after="0"/>
              <w:rPr>
                <w:sz w:val="20"/>
                <w:szCs w:val="20"/>
                <w:color w:val="auto"/>
              </w:rPr>
            </w:pPr>
            <w:r>
              <w:rPr>
                <w:rFonts w:ascii="Arial" w:cs="Arial" w:eastAsia="Arial" w:hAnsi="Arial"/>
                <w:sz w:val="18"/>
                <w:szCs w:val="18"/>
                <w:color w:val="auto"/>
              </w:rPr>
              <w:t>Other</w:t>
            </w:r>
          </w:p>
        </w:tc>
        <w:tc>
          <w:tcPr>
            <w:tcW w:w="2360" w:type="dxa"/>
            <w:vAlign w:val="bottom"/>
          </w:tcPr>
          <w:p>
            <w:pPr>
              <w:spacing w:after="0"/>
              <w:rPr>
                <w:sz w:val="19"/>
                <w:szCs w:val="19"/>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66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458"/>
        </w:trPr>
        <w:tc>
          <w:tcPr>
            <w:tcW w:w="6620" w:type="dxa"/>
            <w:vAlign w:val="bottom"/>
          </w:tcPr>
          <w:p>
            <w:pPr>
              <w:ind w:left="160"/>
              <w:spacing w:after="0"/>
              <w:rPr>
                <w:sz w:val="20"/>
                <w:szCs w:val="20"/>
                <w:color w:val="auto"/>
              </w:rPr>
            </w:pPr>
            <w:r>
              <w:rPr>
                <w:rFonts w:ascii="Arial" w:cs="Arial" w:eastAsia="Arial" w:hAnsi="Arial"/>
                <w:sz w:val="18"/>
                <w:szCs w:val="18"/>
                <w:color w:val="auto"/>
              </w:rPr>
              <w:t>Net cash used in financing activities of continuing operations</w:t>
            </w:r>
          </w:p>
        </w:tc>
        <w:tc>
          <w:tcPr>
            <w:tcW w:w="236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Net cash used in financing activities</w:t>
            </w:r>
          </w:p>
        </w:tc>
        <w:tc>
          <w:tcPr>
            <w:tcW w:w="236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2"/>
        </w:trPr>
        <w:tc>
          <w:tcPr>
            <w:tcW w:w="662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2360" w:type="dxa"/>
            <w:vAlign w:val="bottom"/>
          </w:tcPr>
          <w:p>
            <w:pPr>
              <w:spacing w:after="0"/>
              <w:rPr>
                <w:sz w:val="19"/>
                <w:szCs w:val="19"/>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10"/>
        </w:trPr>
        <w:tc>
          <w:tcPr>
            <w:tcW w:w="66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458"/>
        </w:trPr>
        <w:tc>
          <w:tcPr>
            <w:tcW w:w="66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36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(71.6)</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360" w:type="dxa"/>
            <w:vAlign w:val="bottom"/>
          </w:tcPr>
          <w:p>
            <w:pPr>
              <w:spacing w:after="0"/>
              <w:rPr>
                <w:sz w:val="19"/>
                <w:szCs w:val="19"/>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105.3</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244.1</w:t>
            </w:r>
          </w:p>
        </w:tc>
      </w:tr>
      <w:tr>
        <w:trPr>
          <w:trHeight w:val="365"/>
        </w:trPr>
        <w:tc>
          <w:tcPr>
            <w:tcW w:w="662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3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rPr>
              <w:t>33.7</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124.2</w:t>
            </w:r>
          </w:p>
        </w:tc>
      </w:tr>
      <w:tr>
        <w:trPr>
          <w:trHeight w:val="110"/>
        </w:trPr>
        <w:tc>
          <w:tcPr>
            <w:tcW w:w="66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ind w:right="9440" w:firstLine="8"/>
        <w:spacing w:after="0" w:line="605" w:lineRule="auto"/>
        <w:tabs>
          <w:tab w:leader="none" w:pos="17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Principles of consolidation</w:t>
      </w:r>
    </w:p>
    <w:p>
      <w:pPr>
        <w:spacing w:after="0" w:line="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accompanying condensed consolidated financial statements include the accounts of Scholastic Corporation (the “Corporation”) and all wholly-owned and majority-owned subsidiaries (collectively, “Scholastic” or the “Company”). All significant intercompany transactions are eliminated in consolidation.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2011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fiscal year is not a calendar year. Accordingly, references in this document to fiscal 2011 relate to the twelve- month period ended May 31, 2011.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Reportable Segments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August 31, 2011, the Company determined that its reportable segment structure is now comprised of five reportable segments:</w:t>
      </w:r>
    </w:p>
    <w:p>
      <w:pPr>
        <w:spacing w:after="0" w:line="262" w:lineRule="exact"/>
        <w:rPr>
          <w:sz w:val="20"/>
          <w:szCs w:val="20"/>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Children’s Book Publishing and Distribution</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Educational Technology and Services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Classroom and Supplemental Materials Publishing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Media, Licensing and Advertising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International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has presented segment data in prior periods consistent with this change in reportable segments.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The Company closed or sold several operations during fiscal 2009, fiscal 2010 and the first quarter of fiscal 2012, and presently holds for sale one facility. In the current fiscal period, the Company ceased operations in its direct-to-home catalog business specializing in toys. This business was a separate reporting unit included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and it is now classified as a discontinued operation in the Company’s financial statements. Reference is made to Note 2, “Discontinued Operations,” for additional information concerning discontinued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 Due to the seasonal fluctuations that occur, the August 31, 2010 condensed consolidated balance sheet is included for comparative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3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receivable, returns and allowances</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and other post-retirement obligations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profits for book fair operations during interim periods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taxes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Royalty advance reserves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reward programs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testing for goodwill, intangibles and other long-lived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October 2009, the Financial Accounting Standards Board (the “FASB”) issued an update to authoritative guidance on the revenue recognition related to multiple deliverable revenue arrangements. The guidance addresses the accounting for multiple-deliverable arrangements to enable vendors to account for products or services (deliverables) separately rather than as a combined unit. Vendors often provide multiple products or services to their customers. Those deliverables often are provided at different points in time or over different time periods. The current authoritative guidance establishes the accounting and reporting guidance for arrangements under which the vendor will perform multiple revenue-generating activities. Specifically, this guidance addresses how to separate deliverables and how to measure and allocate arrangement consideration to one or more units of accounting. This guidance is effective prospectively for revenue arrangements entered into or materially modified in fiscal years beginning on or after June 15, 2010. To date, the adoption of this standard has not had a significant impact on the Company’s consolidated financial position, results of operations or cash flows.</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October 2009, the FASB issued an update to authoritative guidance related to certain revenue arrangements that include software elements. The accounting guidance update addresses the accounting for revenue arrangements that contain tangible products and software and it affects vendors that sell or lease tangible products in an arrangement that contains software that is more than incidental to the tangible product as a whole. The update clarifies what guidance should be used in allocating and measuring revenue. Tangible products containing software components and non-software components that function together to deliver the tangible product’s essential functionality are no longer within the scope of the software recognition guidance “Software – Revenue Recognition.” The amendment requires that hardware components of a tangible product containing software components always be excluded from the software revenue guidance. This guidance is effective prospectively for revenue arrangements entered into or materially modified in fiscal years beginning on or after June 15, 2010. The adoption of this standard has had no impact on the Company’s consolidated financial position, results of operations or cash flows.</w:t>
      </w:r>
    </w:p>
    <w:p>
      <w:pPr>
        <w:spacing w:after="0" w:line="17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2010, the FASB issued an update to the authoritative guidance on the two-step testing required for impairment of goodwill and other intangible assets. When a goodwill impairment test is performed (either on an annual or interim basis), an entity must assess whether the carrying amount of a reporting unit exceeds its fair value. If it does, an entity must perform an additional test to determine whether goodwill has been impaired and to calculate the amount of that impairment. The amendments in this update modify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an impairment of goodwill exists, an entity should consider whether there are any adverse qualitative factors indicating that impairment may exist. The amendments in this update are effective for fiscal years, and interim periods within those years, beginning on or after December 15, 2010. The adoption of this standard had no impact on the Company’s consolidated financial position, results of operations or cash flows.</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December 2010, the FASB issued an update to the authoritative guidance related to business combinations. The amendments in this update specify that, for material business combinations, on an individual or aggregate basis, when comparative financial statements are presented, revenue and earnings of the combined entity should be disclosed as though the business combination had occurred as of the beginning of the comparable prior annual reporting period. The amendments in this update also expand the supplemental pro forma disclosures to include a description of the nature and amount of material, nonrecurring pro forma adjustments directly attributable to the business combination included in the reported pro forma revenue and earnings. The amendments in this update are effective prospectively for business combinations for which the acquisition date is on or after the beginning of the first annual reporting period beginning on or after December 15, 2010. The adoption of this standard had no impact on the Company’s consolidated financial position, results of operations or cash flows.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May 2011, the FASB issued an update to the authoritative guidance related to fair value measurements. The amendments will add new disclosures, with a particular focus on Level 3 measurements. The objective of these amendments is to improve the comparability of fair value measurements presented and disclosed in financial statements prepared in accordance with U.S. generally accepted accounting principles (“GAAP”) and International Financial Reporting Standards (“IFRS”). The disclosure amendments in this update are to be applied prospectively and are effective during interim and annual periods beginning after December 15, 2011. Early application is not permitted.</w:t>
      </w:r>
    </w:p>
    <w:p>
      <w:pPr>
        <w:spacing w:after="0" w:line="19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June 2011, the FASB issued an update related to the reporting of other comprehensive income. The amendments require that all non-owner changes in stockholders’ equity be presented either in a single continuous statement of comprehensive income or in two separate but consecutive statements. Regardless of the approach chosen, a company will be required to present on the face of the financial statements reclassification adjustments for items that are reclassified from other comprehensive income to net income in the statements where the components of net income and the components of other comprehensive income are presented. The amendments in this update are to be applied retrospectively. The amendments are effective for fiscal years, and interim periods within those years, beginning after December 15, 2011. The Company has not chosen early adoption.</w:t>
      </w:r>
    </w:p>
    <w:p>
      <w:pPr>
        <w:spacing w:after="0" w:line="17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September 2011, the FASB issued an update to the authoritative guidance related to goodwill impairment testing. The updated guidance gives companies the option to first perform a qualitative assessment to determine whether it is more likely than not that the fair value of a reporting unit is less than its carrying amount. The guidance provides companies with a revised list of examples of events and circumstances to consider, in their totality, to determine whether it is more likely than not that the fair value of a reporting unit is less than its carrying amount. If a company concludes that this is the case, it must perform the two-step test. Otherwise, a company can skip the two-step test. Companies are not required to perform the qualitative assessment and are permitted to skip the qualitative assessment for any reporting unit in any period and proceed directly to Step 1 of the test. A company that validates its conclusion by measuring fair value can resume performing the qualitative assessment in any subsequent period. The amendments are effective for annual and interim goodwill impairment tests performed for fiscal years beginning after December 15, 2011. Early adoption is permitted.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The Company continuously evaluates its portfolio of businesses for both impairment and economic viability. The Company monitors the expected cash proceeds to be realized from the disposition of discontinued operations assets, and adjusts asset values accordingly. In the current fiscal period, the Company ceased operations in its direct-to-home catalog business specializing in toys. This business was a separate reporting unit included in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3"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Three months ended August</w:t>
      </w:r>
    </w:p>
    <w:p>
      <w:pPr>
        <w:spacing w:after="0" w:line="21"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814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230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color w:val="auto"/>
              </w:rPr>
              <w:t>Revenues</w:t>
            </w:r>
          </w:p>
        </w:tc>
        <w:tc>
          <w:tcPr>
            <w:tcW w:w="300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w w:val="95"/>
              </w:rPr>
              <w:t>0.1</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2300" w:type="dxa"/>
            <w:vAlign w:val="bottom"/>
          </w:tcPr>
          <w:p>
            <w:pPr>
              <w:spacing w:after="0"/>
              <w:rPr>
                <w:sz w:val="24"/>
                <w:szCs w:val="24"/>
                <w:color w:val="auto"/>
              </w:rPr>
            </w:pPr>
          </w:p>
        </w:tc>
      </w:tr>
      <w:tr>
        <w:trPr>
          <w:trHeight w:val="358"/>
        </w:trPr>
        <w:tc>
          <w:tcPr>
            <w:tcW w:w="4520" w:type="dxa"/>
            <w:vAlign w:val="bottom"/>
          </w:tcPr>
          <w:p>
            <w:pPr>
              <w:spacing w:after="0"/>
              <w:rPr>
                <w:sz w:val="20"/>
                <w:szCs w:val="20"/>
                <w:color w:val="auto"/>
              </w:rPr>
            </w:pPr>
            <w:r>
              <w:rPr>
                <w:rFonts w:ascii="Arial" w:cs="Arial" w:eastAsia="Arial" w:hAnsi="Arial"/>
                <w:sz w:val="18"/>
                <w:szCs w:val="18"/>
                <w:color w:val="auto"/>
              </w:rPr>
              <w:t>Asset impairments</w:t>
            </w:r>
          </w:p>
        </w:tc>
        <w:tc>
          <w:tcPr>
            <w:tcW w:w="3000" w:type="dxa"/>
            <w:vAlign w:val="bottom"/>
          </w:tcPr>
          <w:p>
            <w:pPr>
              <w:spacing w:after="0"/>
              <w:rPr>
                <w:sz w:val="24"/>
                <w:szCs w:val="24"/>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color w:val="auto"/>
                <w:w w:val="95"/>
              </w:rPr>
              <w:t>0.9</w:t>
            </w:r>
          </w:p>
        </w:tc>
        <w:tc>
          <w:tcPr>
            <w:tcW w:w="34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000" w:type="dxa"/>
            <w:vAlign w:val="bottom"/>
          </w:tcPr>
          <w:p>
            <w:pPr>
              <w:spacing w:after="0"/>
              <w:rPr>
                <w:sz w:val="18"/>
                <w:szCs w:val="18"/>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color w:val="auto"/>
                <w:w w:val="95"/>
              </w:rPr>
              <w:t>2.6</w:t>
            </w:r>
          </w:p>
        </w:tc>
        <w:tc>
          <w:tcPr>
            <w:tcW w:w="3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2300" w:type="dxa"/>
            <w:vAlign w:val="bottom"/>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Income tax benefit</w:t>
            </w:r>
          </w:p>
        </w:tc>
        <w:tc>
          <w:tcPr>
            <w:tcW w:w="3000" w:type="dxa"/>
            <w:vAlign w:val="bottom"/>
          </w:tcPr>
          <w:p>
            <w:pPr>
              <w:spacing w:after="0"/>
              <w:rPr>
                <w:sz w:val="19"/>
                <w:szCs w:val="19"/>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color w:val="auto"/>
                <w:w w:val="95"/>
              </w:rPr>
              <w:t>0.6</w:t>
            </w:r>
          </w:p>
        </w:tc>
        <w:tc>
          <w:tcPr>
            <w:tcW w:w="3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230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464"/>
        </w:trPr>
        <w:tc>
          <w:tcPr>
            <w:tcW w:w="452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3000" w:type="dxa"/>
            <w:vAlign w:val="bottom"/>
          </w:tcPr>
          <w:p>
            <w:pPr>
              <w:jc w:val="right"/>
              <w:ind w:right="51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52"/>
              <w:spacing w:after="0"/>
              <w:rPr>
                <w:sz w:val="20"/>
                <w:szCs w:val="20"/>
                <w:color w:val="auto"/>
              </w:rPr>
            </w:pPr>
            <w:r>
              <w:rPr>
                <w:rFonts w:ascii="Arial" w:cs="Arial" w:eastAsia="Arial" w:hAnsi="Arial"/>
                <w:sz w:val="18"/>
                <w:szCs w:val="18"/>
                <w:b w:val="1"/>
                <w:bCs w:val="1"/>
                <w:color w:val="auto"/>
                <w:w w:val="95"/>
              </w:rPr>
              <w:t>2.0</w:t>
            </w:r>
          </w:p>
        </w:tc>
        <w:tc>
          <w:tcPr>
            <w:tcW w:w="3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1.3</w:t>
            </w:r>
          </w:p>
        </w:tc>
        <w:tc>
          <w:tcPr>
            <w:tcW w:w="230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532"/>
        </w:trPr>
        <w:tc>
          <w:tcPr>
            <w:tcW w:w="4520" w:type="dxa"/>
            <w:vAlign w:val="bottom"/>
          </w:tcPr>
          <w:p>
            <w:pPr>
              <w:spacing w:after="0"/>
              <w:rPr>
                <w:sz w:val="24"/>
                <w:szCs w:val="24"/>
                <w:color w:val="auto"/>
              </w:rPr>
            </w:pPr>
          </w:p>
        </w:tc>
        <w:tc>
          <w:tcPr>
            <w:tcW w:w="3000" w:type="dxa"/>
            <w:vAlign w:val="bottom"/>
          </w:tcPr>
          <w:p>
            <w:pPr>
              <w:jc w:val="right"/>
              <w:ind w:right="1672"/>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5"/>
        </w:trPr>
        <w:tc>
          <w:tcPr>
            <w:tcW w:w="45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61"/>
        </w:trPr>
        <w:tc>
          <w:tcPr>
            <w:tcW w:w="4520" w:type="dxa"/>
            <w:vAlign w:val="bottom"/>
            <w:shd w:val="clear" w:color="auto" w:fill="808080"/>
          </w:tcPr>
          <w:p>
            <w:pPr>
              <w:spacing w:after="0"/>
              <w:rPr>
                <w:sz w:val="5"/>
                <w:szCs w:val="5"/>
                <w:color w:val="auto"/>
              </w:rPr>
            </w:pPr>
          </w:p>
        </w:tc>
        <w:tc>
          <w:tcPr>
            <w:tcW w:w="30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60" w:type="dxa"/>
            <w:vAlign w:val="bottom"/>
          </w:tcPr>
          <w:p>
            <w:pPr>
              <w:spacing w:after="0"/>
              <w:rPr>
                <w:sz w:val="19"/>
                <w:szCs w:val="19"/>
                <w:color w:val="auto"/>
              </w:rPr>
            </w:pPr>
          </w:p>
        </w:tc>
        <w:tc>
          <w:tcPr>
            <w:tcW w:w="300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August 31, 2011</w:t>
            </w:r>
          </w:p>
        </w:tc>
        <w:tc>
          <w:tcPr>
            <w:tcW w:w="158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May 31, 2011</w:t>
            </w:r>
          </w:p>
        </w:tc>
        <w:tc>
          <w:tcPr>
            <w:tcW w:w="180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August 31, 2010</w:t>
            </w:r>
          </w:p>
        </w:tc>
      </w:tr>
      <w:tr>
        <w:trPr>
          <w:trHeight w:val="110"/>
        </w:trPr>
        <w:tc>
          <w:tcPr>
            <w:tcW w:w="506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09"/>
        </w:trPr>
        <w:tc>
          <w:tcPr>
            <w:tcW w:w="50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72"/>
              <w:spacing w:after="0"/>
              <w:rPr>
                <w:sz w:val="20"/>
                <w:szCs w:val="20"/>
                <w:color w:val="auto"/>
              </w:rPr>
            </w:pPr>
            <w:r>
              <w:rPr>
                <w:rFonts w:ascii="Arial" w:cs="Arial" w:eastAsia="Arial" w:hAnsi="Arial"/>
                <w:sz w:val="18"/>
                <w:szCs w:val="18"/>
                <w:color w:val="auto"/>
              </w:rPr>
              <w:t>0.1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92"/>
              <w:spacing w:after="0"/>
              <w:rPr>
                <w:sz w:val="20"/>
                <w:szCs w:val="20"/>
                <w:color w:val="auto"/>
              </w:rPr>
            </w:pPr>
            <w:r>
              <w:rPr>
                <w:rFonts w:ascii="Arial" w:cs="Arial" w:eastAsia="Arial" w:hAnsi="Arial"/>
                <w:sz w:val="18"/>
                <w:szCs w:val="18"/>
                <w:color w:val="auto"/>
              </w:rPr>
              <w:t>0.1</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3.4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Inventory</w:t>
            </w:r>
          </w:p>
        </w:tc>
        <w:tc>
          <w:tcPr>
            <w:tcW w:w="2040" w:type="dxa"/>
            <w:vAlign w:val="bottom"/>
          </w:tcPr>
          <w:p>
            <w:pPr>
              <w:spacing w:after="0"/>
              <w:rPr>
                <w:sz w:val="18"/>
                <w:szCs w:val="18"/>
                <w:color w:val="auto"/>
              </w:rPr>
            </w:pPr>
          </w:p>
        </w:tc>
        <w:tc>
          <w:tcPr>
            <w:tcW w:w="960" w:type="dxa"/>
            <w:vAlign w:val="bottom"/>
          </w:tcPr>
          <w:p>
            <w:pPr>
              <w:jc w:val="right"/>
              <w:ind w:right="572"/>
              <w:spacing w:after="0"/>
              <w:rPr>
                <w:sz w:val="20"/>
                <w:szCs w:val="20"/>
                <w:color w:val="auto"/>
              </w:rPr>
            </w:pPr>
            <w:r>
              <w:rPr>
                <w:rFonts w:ascii="Arial" w:cs="Arial" w:eastAsia="Arial" w:hAnsi="Arial"/>
                <w:sz w:val="18"/>
                <w:szCs w:val="18"/>
                <w:color w:val="auto"/>
              </w:rPr>
              <w:t>0.3</w:t>
            </w:r>
          </w:p>
        </w:tc>
        <w:tc>
          <w:tcPr>
            <w:tcW w:w="680" w:type="dxa"/>
            <w:vAlign w:val="bottom"/>
          </w:tcPr>
          <w:p>
            <w:pPr>
              <w:spacing w:after="0"/>
              <w:rPr>
                <w:sz w:val="18"/>
                <w:szCs w:val="18"/>
                <w:color w:val="auto"/>
              </w:rPr>
            </w:pPr>
          </w:p>
        </w:tc>
        <w:tc>
          <w:tcPr>
            <w:tcW w:w="900" w:type="dxa"/>
            <w:vAlign w:val="bottom"/>
          </w:tcPr>
          <w:p>
            <w:pPr>
              <w:jc w:val="right"/>
              <w:ind w:right="492"/>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18"/>
                <w:szCs w:val="18"/>
                <w:color w:val="auto"/>
              </w:rPr>
            </w:pP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3.2</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2040" w:type="dxa"/>
            <w:vAlign w:val="bottom"/>
          </w:tcPr>
          <w:p>
            <w:pPr>
              <w:spacing w:after="0"/>
              <w:rPr>
                <w:sz w:val="19"/>
                <w:szCs w:val="19"/>
                <w:color w:val="auto"/>
              </w:rPr>
            </w:pPr>
          </w:p>
        </w:tc>
        <w:tc>
          <w:tcPr>
            <w:tcW w:w="960" w:type="dxa"/>
            <w:vAlign w:val="bottom"/>
          </w:tcPr>
          <w:p>
            <w:pPr>
              <w:jc w:val="right"/>
              <w:ind w:right="572"/>
              <w:spacing w:after="0"/>
              <w:rPr>
                <w:sz w:val="20"/>
                <w:szCs w:val="20"/>
                <w:color w:val="auto"/>
              </w:rPr>
            </w:pPr>
            <w:r>
              <w:rPr>
                <w:rFonts w:ascii="Arial" w:cs="Arial" w:eastAsia="Arial" w:hAnsi="Arial"/>
                <w:sz w:val="18"/>
                <w:szCs w:val="18"/>
                <w:color w:val="auto"/>
              </w:rPr>
              <w:t>9.2</w:t>
            </w:r>
          </w:p>
        </w:tc>
        <w:tc>
          <w:tcPr>
            <w:tcW w:w="680" w:type="dxa"/>
            <w:vAlign w:val="bottom"/>
          </w:tcPr>
          <w:p>
            <w:pPr>
              <w:spacing w:after="0"/>
              <w:rPr>
                <w:sz w:val="19"/>
                <w:szCs w:val="19"/>
                <w:color w:val="auto"/>
              </w:rPr>
            </w:pPr>
          </w:p>
        </w:tc>
        <w:tc>
          <w:tcPr>
            <w:tcW w:w="900" w:type="dxa"/>
            <w:vAlign w:val="bottom"/>
          </w:tcPr>
          <w:p>
            <w:pPr>
              <w:jc w:val="right"/>
              <w:ind w:right="492"/>
              <w:spacing w:after="0"/>
              <w:rPr>
                <w:sz w:val="20"/>
                <w:szCs w:val="20"/>
                <w:color w:val="auto"/>
              </w:rPr>
            </w:pPr>
            <w:r>
              <w:rPr>
                <w:rFonts w:ascii="Arial" w:cs="Arial" w:eastAsia="Arial" w:hAnsi="Arial"/>
                <w:sz w:val="18"/>
                <w:szCs w:val="18"/>
                <w:color w:val="auto"/>
              </w:rPr>
              <w:t>9.2</w:t>
            </w:r>
          </w:p>
        </w:tc>
        <w:tc>
          <w:tcPr>
            <w:tcW w:w="800" w:type="dxa"/>
            <w:vAlign w:val="bottom"/>
          </w:tcPr>
          <w:p>
            <w:pPr>
              <w:spacing w:after="0"/>
              <w:rPr>
                <w:sz w:val="19"/>
                <w:szCs w:val="19"/>
                <w:color w:val="auto"/>
              </w:rPr>
            </w:pPr>
          </w:p>
        </w:tc>
        <w:tc>
          <w:tcPr>
            <w:tcW w:w="1000" w:type="dxa"/>
            <w:vAlign w:val="bottom"/>
          </w:tcPr>
          <w:p>
            <w:pPr>
              <w:jc w:val="right"/>
              <w:ind w:right="552"/>
              <w:spacing w:after="0"/>
              <w:rPr>
                <w:sz w:val="20"/>
                <w:szCs w:val="20"/>
                <w:color w:val="auto"/>
              </w:rPr>
            </w:pPr>
            <w:r>
              <w:rPr>
                <w:rFonts w:ascii="Arial" w:cs="Arial" w:eastAsia="Arial" w:hAnsi="Arial"/>
                <w:sz w:val="18"/>
                <w:szCs w:val="18"/>
                <w:color w:val="auto"/>
                <w:w w:val="96"/>
              </w:rPr>
              <w:t>11.8</w:t>
            </w:r>
          </w:p>
        </w:tc>
      </w:tr>
      <w:tr>
        <w:trPr>
          <w:trHeight w:val="110"/>
        </w:trPr>
        <w:tc>
          <w:tcPr>
            <w:tcW w:w="506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464"/>
        </w:trPr>
        <w:tc>
          <w:tcPr>
            <w:tcW w:w="5060" w:type="dxa"/>
            <w:vAlign w:val="bottom"/>
          </w:tcPr>
          <w:p>
            <w:pPr>
              <w:ind w:left="160"/>
              <w:spacing w:after="0"/>
              <w:rPr>
                <w:sz w:val="20"/>
                <w:szCs w:val="20"/>
                <w:color w:val="auto"/>
              </w:rPr>
            </w:pPr>
            <w:r>
              <w:rPr>
                <w:rFonts w:ascii="Arial" w:cs="Arial" w:eastAsia="Arial" w:hAnsi="Arial"/>
                <w:sz w:val="18"/>
                <w:szCs w:val="18"/>
                <w:b w:val="1"/>
                <w:bCs w:val="1"/>
                <w:color w:val="auto"/>
              </w:rPr>
              <w:t>Current assets of discontinued operations</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72"/>
              <w:spacing w:after="0"/>
              <w:rPr>
                <w:sz w:val="20"/>
                <w:szCs w:val="20"/>
                <w:color w:val="auto"/>
              </w:rPr>
            </w:pPr>
            <w:r>
              <w:rPr>
                <w:rFonts w:ascii="Arial" w:cs="Arial" w:eastAsia="Arial" w:hAnsi="Arial"/>
                <w:sz w:val="18"/>
                <w:szCs w:val="18"/>
                <w:b w:val="1"/>
                <w:bCs w:val="1"/>
                <w:color w:val="auto"/>
              </w:rPr>
              <w:t>9.6</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492"/>
              <w:spacing w:after="0"/>
              <w:rPr>
                <w:sz w:val="20"/>
                <w:szCs w:val="20"/>
                <w:color w:val="auto"/>
              </w:rPr>
            </w:pPr>
            <w:r>
              <w:rPr>
                <w:rFonts w:ascii="Arial" w:cs="Arial" w:eastAsia="Arial" w:hAnsi="Arial"/>
                <w:sz w:val="18"/>
                <w:szCs w:val="18"/>
                <w:b w:val="1"/>
                <w:bCs w:val="1"/>
                <w:color w:val="auto"/>
                <w:w w:val="85"/>
              </w:rPr>
              <w:t>10.5</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b w:val="1"/>
                <w:bCs w:val="1"/>
                <w:color w:val="auto"/>
                <w:w w:val="96"/>
              </w:rPr>
              <w:t>18.4</w:t>
            </w:r>
          </w:p>
        </w:tc>
      </w:tr>
      <w:tr>
        <w:trPr>
          <w:trHeight w:val="110"/>
        </w:trPr>
        <w:tc>
          <w:tcPr>
            <w:tcW w:w="506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458"/>
        </w:trPr>
        <w:tc>
          <w:tcPr>
            <w:tcW w:w="5060" w:type="dxa"/>
            <w:vAlign w:val="bottom"/>
          </w:tcPr>
          <w:p>
            <w:pPr>
              <w:spacing w:after="0"/>
              <w:rPr>
                <w:sz w:val="20"/>
                <w:szCs w:val="20"/>
                <w:color w:val="auto"/>
              </w:rPr>
            </w:pPr>
            <w:r>
              <w:rPr>
                <w:rFonts w:ascii="Arial" w:cs="Arial" w:eastAsia="Arial" w:hAnsi="Arial"/>
                <w:sz w:val="18"/>
                <w:szCs w:val="18"/>
                <w:color w:val="auto"/>
              </w:rPr>
              <w:t>Accounts payable</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72"/>
              <w:spacing w:after="0"/>
              <w:rPr>
                <w:sz w:val="20"/>
                <w:szCs w:val="20"/>
                <w:color w:val="auto"/>
              </w:rPr>
            </w:pPr>
            <w:r>
              <w:rPr>
                <w:rFonts w:ascii="Arial" w:cs="Arial" w:eastAsia="Arial" w:hAnsi="Arial"/>
                <w:sz w:val="18"/>
                <w:szCs w:val="18"/>
                <w:color w:val="auto"/>
              </w:rPr>
              <w:t>0.1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92"/>
              <w:spacing w:after="0"/>
              <w:rPr>
                <w:sz w:val="20"/>
                <w:szCs w:val="20"/>
                <w:color w:val="auto"/>
              </w:rPr>
            </w:pPr>
            <w:r>
              <w:rPr>
                <w:rFonts w:ascii="Arial" w:cs="Arial" w:eastAsia="Arial" w:hAnsi="Arial"/>
                <w:sz w:val="18"/>
                <w:szCs w:val="18"/>
                <w:color w:val="auto"/>
              </w:rPr>
              <w:t>0.2</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1.1</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040" w:type="dxa"/>
            <w:vAlign w:val="bottom"/>
          </w:tcPr>
          <w:p>
            <w:pPr>
              <w:spacing w:after="0"/>
              <w:rPr>
                <w:sz w:val="19"/>
                <w:szCs w:val="19"/>
                <w:color w:val="auto"/>
              </w:rPr>
            </w:pPr>
          </w:p>
        </w:tc>
        <w:tc>
          <w:tcPr>
            <w:tcW w:w="960" w:type="dxa"/>
            <w:vAlign w:val="bottom"/>
          </w:tcPr>
          <w:p>
            <w:pPr>
              <w:jc w:val="right"/>
              <w:ind w:right="572"/>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19"/>
                <w:szCs w:val="19"/>
                <w:color w:val="auto"/>
              </w:rPr>
            </w:pPr>
          </w:p>
        </w:tc>
        <w:tc>
          <w:tcPr>
            <w:tcW w:w="900" w:type="dxa"/>
            <w:vAlign w:val="bottom"/>
          </w:tcPr>
          <w:p>
            <w:pPr>
              <w:jc w:val="right"/>
              <w:ind w:right="492"/>
              <w:spacing w:after="0"/>
              <w:rPr>
                <w:sz w:val="20"/>
                <w:szCs w:val="20"/>
                <w:color w:val="auto"/>
              </w:rPr>
            </w:pPr>
            <w:r>
              <w:rPr>
                <w:rFonts w:ascii="Arial" w:cs="Arial" w:eastAsia="Arial" w:hAnsi="Arial"/>
                <w:sz w:val="18"/>
                <w:szCs w:val="18"/>
                <w:color w:val="auto"/>
              </w:rPr>
              <w:t>0.6</w:t>
            </w:r>
          </w:p>
        </w:tc>
        <w:tc>
          <w:tcPr>
            <w:tcW w:w="800" w:type="dxa"/>
            <w:vAlign w:val="bottom"/>
          </w:tcPr>
          <w:p>
            <w:pPr>
              <w:spacing w:after="0"/>
              <w:rPr>
                <w:sz w:val="19"/>
                <w:szCs w:val="19"/>
                <w:color w:val="auto"/>
              </w:rPr>
            </w:pPr>
          </w:p>
        </w:tc>
        <w:tc>
          <w:tcPr>
            <w:tcW w:w="1000" w:type="dxa"/>
            <w:vAlign w:val="bottom"/>
          </w:tcPr>
          <w:p>
            <w:pPr>
              <w:jc w:val="right"/>
              <w:ind w:right="552"/>
              <w:spacing w:after="0"/>
              <w:rPr>
                <w:sz w:val="20"/>
                <w:szCs w:val="20"/>
                <w:color w:val="auto"/>
              </w:rPr>
            </w:pPr>
            <w:r>
              <w:rPr>
                <w:rFonts w:ascii="Arial" w:cs="Arial" w:eastAsia="Arial" w:hAnsi="Arial"/>
                <w:sz w:val="18"/>
                <w:szCs w:val="18"/>
                <w:color w:val="auto"/>
              </w:rPr>
              <w:t>2.8</w:t>
            </w:r>
          </w:p>
        </w:tc>
      </w:tr>
      <w:tr>
        <w:trPr>
          <w:trHeight w:val="110"/>
        </w:trPr>
        <w:tc>
          <w:tcPr>
            <w:tcW w:w="506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464"/>
        </w:trPr>
        <w:tc>
          <w:tcPr>
            <w:tcW w:w="506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72"/>
              <w:spacing w:after="0"/>
              <w:rPr>
                <w:sz w:val="20"/>
                <w:szCs w:val="20"/>
                <w:color w:val="auto"/>
              </w:rPr>
            </w:pPr>
            <w:r>
              <w:rPr>
                <w:rFonts w:ascii="Arial" w:cs="Arial" w:eastAsia="Arial" w:hAnsi="Arial"/>
                <w:sz w:val="18"/>
                <w:szCs w:val="18"/>
                <w:b w:val="1"/>
                <w:bCs w:val="1"/>
                <w:color w:val="auto"/>
              </w:rPr>
              <w:t>1.2</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492"/>
              <w:spacing w:after="0"/>
              <w:rPr>
                <w:sz w:val="20"/>
                <w:szCs w:val="20"/>
                <w:color w:val="auto"/>
              </w:rPr>
            </w:pPr>
            <w:r>
              <w:rPr>
                <w:rFonts w:ascii="Arial" w:cs="Arial" w:eastAsia="Arial" w:hAnsi="Arial"/>
                <w:sz w:val="18"/>
                <w:szCs w:val="18"/>
                <w:b w:val="1"/>
                <w:bCs w:val="1"/>
                <w:color w:val="auto"/>
              </w:rPr>
              <w:t>0.8</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52"/>
              <w:spacing w:after="0"/>
              <w:rPr>
                <w:sz w:val="20"/>
                <w:szCs w:val="20"/>
                <w:color w:val="auto"/>
              </w:rPr>
            </w:pPr>
            <w:r>
              <w:rPr>
                <w:rFonts w:ascii="Arial" w:cs="Arial" w:eastAsia="Arial" w:hAnsi="Arial"/>
                <w:sz w:val="18"/>
                <w:szCs w:val="18"/>
                <w:b w:val="1"/>
                <w:bCs w:val="1"/>
                <w:color w:val="auto"/>
              </w:rPr>
              <w:t>3.9</w:t>
            </w:r>
          </w:p>
        </w:tc>
      </w:tr>
      <w:tr>
        <w:trPr>
          <w:trHeight w:val="110"/>
        </w:trPr>
        <w:tc>
          <w:tcPr>
            <w:tcW w:w="506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3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 xml:space="preserve">The Company categorizes its businesses into five reportable segments: </w:t>
      </w:r>
      <w:r>
        <w:rPr>
          <w:rFonts w:ascii="Arial" w:cs="Arial" w:eastAsia="Arial" w:hAnsi="Arial"/>
          <w:sz w:val="16"/>
          <w:szCs w:val="16"/>
          <w:i w:val="1"/>
          <w:iCs w:val="1"/>
          <w:color w:val="auto"/>
        </w:rPr>
        <w:t>Children’s Book Publishing and Distribution; Educational Technology and Services;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Classroom and Supplemental Materials Publishing; Media, Licensing and Advertising; </w:t>
      </w:r>
      <w:r>
        <w:rPr>
          <w:rFonts w:ascii="Arial" w:cs="Arial" w:eastAsia="Arial" w:hAnsi="Arial"/>
          <w:sz w:val="16"/>
          <w:szCs w:val="16"/>
          <w:color w:val="auto"/>
        </w:rPr>
        <w:t>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This classification reflects the nature of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consistent with the method by which the Company’s chief operating decision-maker assesses operating performance and allocates resources.</w:t>
      </w:r>
    </w:p>
    <w:p>
      <w:pPr>
        <w:spacing w:after="0" w:line="161" w:lineRule="exact"/>
        <w:rPr>
          <w:sz w:val="20"/>
          <w:szCs w:val="20"/>
          <w:color w:val="auto"/>
        </w:rPr>
      </w:pPr>
    </w:p>
    <w:p>
      <w:pPr>
        <w:ind w:right="220" w:firstLine="8"/>
        <w:spacing w:after="0" w:line="259" w:lineRule="auto"/>
        <w:tabs>
          <w:tab w:leader="none" w:pos="10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 media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interactive products in the United States through school-based book clubs and book fairs and the trade channel. This segment is comprised of three operating segments.</w:t>
      </w:r>
    </w:p>
    <w:p>
      <w:pPr>
        <w:spacing w:after="0" w:line="194" w:lineRule="exact"/>
        <w:rPr>
          <w:rFonts w:ascii="Arial" w:cs="Arial" w:eastAsia="Arial" w:hAnsi="Arial"/>
          <w:sz w:val="18"/>
          <w:szCs w:val="18"/>
          <w:i w:val="1"/>
          <w:iCs w:val="1"/>
          <w:color w:val="auto"/>
        </w:rPr>
      </w:pPr>
    </w:p>
    <w:p>
      <w:pPr>
        <w:jc w:val="both"/>
        <w:ind w:right="120" w:firstLine="8"/>
        <w:spacing w:after="0" w:line="259" w:lineRule="auto"/>
        <w:tabs>
          <w:tab w:leader="none" w:pos="10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Educational Technology and Services </w:t>
      </w:r>
      <w:r>
        <w:rPr>
          <w:rFonts w:ascii="Arial" w:cs="Arial" w:eastAsia="Arial" w:hAnsi="Arial"/>
          <w:sz w:val="18"/>
          <w:szCs w:val="18"/>
          <w:color w:val="auto"/>
        </w:rPr>
        <w:t>includes the production and distribution to schools of curriculum-based learning technology and materials for grades pre-kindergarten to 12 in the United States, together with related implementation and assessment services and school consulting services. This segment is comprised of one operating segment.</w:t>
      </w:r>
    </w:p>
    <w:p>
      <w:pPr>
        <w:spacing w:after="0" w:line="194" w:lineRule="exact"/>
        <w:rPr>
          <w:rFonts w:ascii="Arial" w:cs="Arial" w:eastAsia="Arial" w:hAnsi="Arial"/>
          <w:sz w:val="18"/>
          <w:szCs w:val="18"/>
          <w:i w:val="1"/>
          <w:iCs w:val="1"/>
          <w:color w:val="auto"/>
        </w:rPr>
      </w:pPr>
    </w:p>
    <w:p>
      <w:pPr>
        <w:ind w:right="100" w:firstLine="8"/>
        <w:spacing w:after="0" w:line="259" w:lineRule="auto"/>
        <w:tabs>
          <w:tab w:leader="none" w:pos="10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Classroom and Supplemental Materials Publishing </w:t>
      </w:r>
      <w:r>
        <w:rPr>
          <w:rFonts w:ascii="Arial" w:cs="Arial" w:eastAsia="Arial" w:hAnsi="Arial"/>
          <w:sz w:val="18"/>
          <w:szCs w:val="18"/>
          <w:color w:val="auto"/>
        </w:rPr>
        <w:t>includes the publication and distribution to schools and libraries of children’s books, classroom magazines,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classroom materials and print and on-line reference and non-fiction products for grades pre-kindergarten to 12 in the United States. This segment is comprised of two operating segments.</w:t>
      </w:r>
    </w:p>
    <w:p>
      <w:pPr>
        <w:spacing w:after="0" w:line="194" w:lineRule="exact"/>
        <w:rPr>
          <w:rFonts w:ascii="Arial" w:cs="Arial" w:eastAsia="Arial" w:hAnsi="Arial"/>
          <w:sz w:val="18"/>
          <w:szCs w:val="18"/>
          <w:i w:val="1"/>
          <w:iCs w:val="1"/>
          <w:color w:val="auto"/>
        </w:rPr>
      </w:pPr>
    </w:p>
    <w:p>
      <w:pPr>
        <w:ind w:right="500" w:firstLine="8"/>
        <w:spacing w:after="0" w:line="268" w:lineRule="auto"/>
        <w:tabs>
          <w:tab w:leader="none" w:pos="10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media, consumer promotions and merchandising and advertising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sponsorship programs. This segment is comprised of two operating segments.</w:t>
      </w:r>
    </w:p>
    <w:p>
      <w:pPr>
        <w:spacing w:after="0" w:line="185" w:lineRule="exact"/>
        <w:rPr>
          <w:rFonts w:ascii="Arial" w:cs="Arial" w:eastAsia="Arial" w:hAnsi="Arial"/>
          <w:sz w:val="18"/>
          <w:szCs w:val="18"/>
          <w:i w:val="1"/>
          <w:iCs w:val="1"/>
          <w:color w:val="auto"/>
        </w:rPr>
      </w:pPr>
    </w:p>
    <w:p>
      <w:pPr>
        <w:ind w:right="400" w:firstLine="8"/>
        <w:spacing w:after="0" w:line="268" w:lineRule="auto"/>
        <w:tabs>
          <w:tab w:leader="none" w:pos="10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 This segment is comprised of two operating segments.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w w:val="90"/>
              </w:rPr>
              <w:t>Children’s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72"/>
              <w:spacing w:after="0"/>
              <w:rPr>
                <w:sz w:val="20"/>
                <w:szCs w:val="20"/>
                <w:color w:val="auto"/>
              </w:rPr>
            </w:pPr>
            <w:r>
              <w:rPr>
                <w:rFonts w:ascii="Arial" w:cs="Arial" w:eastAsia="Arial" w:hAnsi="Arial"/>
                <w:sz w:val="14"/>
                <w:szCs w:val="14"/>
                <w:b w:val="1"/>
                <w:bCs w:val="1"/>
                <w:color w:val="auto"/>
                <w:w w:val="82"/>
              </w:rPr>
              <w:t>Classroom</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5"/>
              </w:rPr>
              <w:t>Book</w:t>
            </w:r>
          </w:p>
        </w:tc>
        <w:tc>
          <w:tcPr>
            <w:tcW w:w="160" w:type="dxa"/>
            <w:vAlign w:val="bottom"/>
          </w:tcPr>
          <w:p>
            <w:pPr>
              <w:spacing w:after="0"/>
              <w:rPr>
                <w:sz w:val="12"/>
                <w:szCs w:val="12"/>
                <w:color w:val="auto"/>
              </w:rPr>
            </w:pPr>
          </w:p>
        </w:tc>
        <w:tc>
          <w:tcPr>
            <w:tcW w:w="9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Educational</w:t>
            </w:r>
          </w:p>
        </w:tc>
        <w:tc>
          <w:tcPr>
            <w:tcW w:w="220" w:type="dxa"/>
            <w:vAlign w:val="bottom"/>
          </w:tcPr>
          <w:p>
            <w:pPr>
              <w:spacing w:after="0"/>
              <w:rPr>
                <w:sz w:val="12"/>
                <w:szCs w:val="12"/>
                <w:color w:val="auto"/>
              </w:rPr>
            </w:pPr>
          </w:p>
        </w:tc>
        <w:tc>
          <w:tcPr>
            <w:tcW w:w="9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0"/>
              </w:rPr>
              <w:t>and</w:t>
            </w:r>
          </w:p>
        </w:tc>
        <w:tc>
          <w:tcPr>
            <w:tcW w:w="220" w:type="dxa"/>
            <w:vAlign w:val="bottom"/>
          </w:tcPr>
          <w:p>
            <w:pPr>
              <w:spacing w:after="0"/>
              <w:rPr>
                <w:sz w:val="12"/>
                <w:szCs w:val="12"/>
                <w:color w:val="auto"/>
              </w:rPr>
            </w:pPr>
          </w:p>
        </w:tc>
        <w:tc>
          <w:tcPr>
            <w:tcW w:w="94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1"/>
              </w:rPr>
              <w:t>Media,</w:t>
            </w: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6"/>
              </w:rPr>
              <w:t>Publishing</w:t>
            </w:r>
          </w:p>
        </w:tc>
        <w:tc>
          <w:tcPr>
            <w:tcW w:w="160" w:type="dxa"/>
            <w:vAlign w:val="bottom"/>
          </w:tcPr>
          <w:p>
            <w:pPr>
              <w:spacing w:after="0"/>
              <w:rPr>
                <w:sz w:val="12"/>
                <w:szCs w:val="12"/>
                <w:color w:val="auto"/>
              </w:rPr>
            </w:pPr>
          </w:p>
        </w:tc>
        <w:tc>
          <w:tcPr>
            <w:tcW w:w="96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3"/>
              </w:rPr>
              <w:t>Technology</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Supplemental</w:t>
            </w:r>
          </w:p>
        </w:tc>
        <w:tc>
          <w:tcPr>
            <w:tcW w:w="220" w:type="dxa"/>
            <w:vAlign w:val="bottom"/>
          </w:tcPr>
          <w:p>
            <w:pPr>
              <w:spacing w:after="0"/>
              <w:rPr>
                <w:sz w:val="12"/>
                <w:szCs w:val="12"/>
                <w:color w:val="auto"/>
              </w:rPr>
            </w:pPr>
          </w:p>
        </w:tc>
        <w:tc>
          <w:tcPr>
            <w:tcW w:w="94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5"/>
              </w:rPr>
              <w:t>Licensing</w:t>
            </w: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212"/>
              <w:spacing w:after="0"/>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4"/>
                <w:szCs w:val="14"/>
                <w:color w:val="auto"/>
              </w:rPr>
            </w:pPr>
          </w:p>
        </w:tc>
        <w:tc>
          <w:tcPr>
            <w:tcW w:w="96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4"/>
                <w:szCs w:val="14"/>
                <w:color w:val="auto"/>
              </w:rPr>
            </w:pPr>
          </w:p>
        </w:tc>
        <w:tc>
          <w:tcPr>
            <w:tcW w:w="92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Materials</w:t>
            </w:r>
          </w:p>
        </w:tc>
        <w:tc>
          <w:tcPr>
            <w:tcW w:w="220" w:type="dxa"/>
            <w:vAlign w:val="bottom"/>
          </w:tcPr>
          <w:p>
            <w:pPr>
              <w:spacing w:after="0"/>
              <w:rPr>
                <w:sz w:val="14"/>
                <w:szCs w:val="14"/>
                <w:color w:val="auto"/>
              </w:rPr>
            </w:pPr>
          </w:p>
        </w:tc>
        <w:tc>
          <w:tcPr>
            <w:tcW w:w="940" w:type="dxa"/>
            <w:vAlign w:val="bottom"/>
          </w:tcPr>
          <w:p>
            <w:pPr>
              <w:jc w:val="center"/>
              <w:ind w:right="192"/>
              <w:spacing w:after="0"/>
              <w:rPr>
                <w:sz w:val="20"/>
                <w:szCs w:val="20"/>
                <w:color w:val="auto"/>
              </w:rPr>
            </w:pPr>
            <w:r>
              <w:rPr>
                <w:rFonts w:ascii="Arial" w:cs="Arial" w:eastAsia="Arial" w:hAnsi="Arial"/>
                <w:sz w:val="14"/>
                <w:szCs w:val="14"/>
                <w:b w:val="1"/>
                <w:bCs w:val="1"/>
                <w:color w:val="auto"/>
                <w:w w:val="80"/>
              </w:rPr>
              <w:t>and</w:t>
            </w:r>
          </w:p>
        </w:tc>
        <w:tc>
          <w:tcPr>
            <w:tcW w:w="114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w w:val="93"/>
              </w:rPr>
              <w:t>Overhead</w:t>
            </w:r>
            <w:r>
              <w:rPr>
                <w:rFonts w:ascii="Arial" w:cs="Arial" w:eastAsia="Arial" w:hAnsi="Arial"/>
                <w:sz w:val="22"/>
                <w:szCs w:val="22"/>
                <w:b w:val="1"/>
                <w:bCs w:val="1"/>
                <w:color w:val="auto"/>
                <w:w w:val="93"/>
                <w:vertAlign w:val="superscript"/>
              </w:rPr>
              <w:t>(1)(3)</w:t>
            </w:r>
          </w:p>
        </w:tc>
        <w:tc>
          <w:tcPr>
            <w:tcW w:w="220" w:type="dxa"/>
            <w:vAlign w:val="bottom"/>
          </w:tcPr>
          <w:p>
            <w:pPr>
              <w:spacing w:after="0"/>
              <w:rPr>
                <w:sz w:val="14"/>
                <w:szCs w:val="14"/>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w w:val="96"/>
              </w:rPr>
              <w:t>International</w:t>
            </w:r>
            <w:r>
              <w:rPr>
                <w:rFonts w:ascii="Arial" w:cs="Arial" w:eastAsia="Arial" w:hAnsi="Arial"/>
                <w:sz w:val="22"/>
                <w:szCs w:val="22"/>
                <w:b w:val="1"/>
                <w:bCs w:val="1"/>
                <w:color w:val="auto"/>
                <w:w w:val="96"/>
                <w:vertAlign w:val="superscript"/>
              </w:rPr>
              <w:t>(1)</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1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Distribution</w:t>
            </w:r>
            <w:r>
              <w:rPr>
                <w:rFonts w:ascii="Arial" w:cs="Arial" w:eastAsia="Arial" w:hAnsi="Arial"/>
                <w:sz w:val="22"/>
                <w:szCs w:val="22"/>
                <w:b w:val="1"/>
                <w:bCs w:val="1"/>
                <w:color w:val="auto"/>
                <w:w w:val="84"/>
                <w:vertAlign w:val="superscript"/>
              </w:rPr>
              <w:t>(1)</w:t>
            </w:r>
          </w:p>
        </w:tc>
        <w:tc>
          <w:tcPr>
            <w:tcW w:w="1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center"/>
              <w:ind w:right="112"/>
              <w:spacing w:after="0"/>
              <w:rPr>
                <w:sz w:val="20"/>
                <w:szCs w:val="20"/>
                <w:color w:val="auto"/>
              </w:rPr>
            </w:pPr>
            <w:r>
              <w:rPr>
                <w:rFonts w:ascii="Arial" w:cs="Arial" w:eastAsia="Arial" w:hAnsi="Arial"/>
                <w:sz w:val="14"/>
                <w:szCs w:val="14"/>
                <w:b w:val="1"/>
                <w:bCs w:val="1"/>
                <w:color w:val="auto"/>
                <w:w w:val="79"/>
              </w:rPr>
              <w:t>Services</w:t>
            </w:r>
            <w:r>
              <w:rPr>
                <w:rFonts w:ascii="Arial" w:cs="Arial" w:eastAsia="Arial" w:hAnsi="Arial"/>
                <w:sz w:val="22"/>
                <w:szCs w:val="22"/>
                <w:b w:val="1"/>
                <w:bCs w:val="1"/>
                <w:color w:val="auto"/>
                <w:w w:val="79"/>
                <w:vertAlign w:val="superscript"/>
              </w:rPr>
              <w:t>(1)(2)</w:t>
            </w:r>
          </w:p>
        </w:tc>
        <w:tc>
          <w:tcPr>
            <w:tcW w:w="11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1"/>
              </w:rPr>
              <w:t>Publishing</w:t>
            </w:r>
            <w:r>
              <w:rPr>
                <w:rFonts w:ascii="Arial" w:cs="Arial" w:eastAsia="Arial" w:hAnsi="Arial"/>
                <w:sz w:val="22"/>
                <w:szCs w:val="22"/>
                <w:b w:val="1"/>
                <w:bCs w:val="1"/>
                <w:color w:val="auto"/>
                <w:w w:val="81"/>
                <w:vertAlign w:val="superscript"/>
              </w:rPr>
              <w:t>(1)(2)</w:t>
            </w:r>
          </w:p>
        </w:tc>
        <w:tc>
          <w:tcPr>
            <w:tcW w:w="116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Advertising</w:t>
            </w:r>
            <w:r>
              <w:rPr>
                <w:rFonts w:ascii="Arial" w:cs="Arial" w:eastAsia="Arial" w:hAnsi="Arial"/>
                <w:sz w:val="22"/>
                <w:szCs w:val="22"/>
                <w:b w:val="1"/>
                <w:bCs w:val="1"/>
                <w:color w:val="auto"/>
                <w:w w:val="84"/>
                <w:vertAlign w:val="superscript"/>
              </w:rPr>
              <w:t>(1)</w:t>
            </w:r>
          </w:p>
        </w:tc>
        <w:tc>
          <w:tcPr>
            <w:tcW w:w="1140" w:type="dxa"/>
            <w:vAlign w:val="bottom"/>
            <w:tcBorders>
              <w:bottom w:val="single" w:sz="8" w:color="808080"/>
            </w:tcBorders>
            <w:gridSpan w:val="2"/>
            <w:vMerge w:val="continue"/>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ind w:right="272"/>
              <w:spacing w:after="0"/>
              <w:rPr>
                <w:sz w:val="20"/>
                <w:szCs w:val="20"/>
                <w:color w:val="auto"/>
              </w:rPr>
            </w:pPr>
            <w:r>
              <w:rPr>
                <w:rFonts w:ascii="Arial" w:cs="Arial" w:eastAsia="Arial" w:hAnsi="Arial"/>
                <w:sz w:val="14"/>
                <w:szCs w:val="14"/>
                <w:b w:val="1"/>
                <w:bCs w:val="1"/>
                <w:color w:val="auto"/>
                <w:w w:val="91"/>
              </w:rPr>
              <w:t>Domestic</w:t>
            </w:r>
          </w:p>
        </w:tc>
        <w:tc>
          <w:tcPr>
            <w:tcW w:w="1160" w:type="dxa"/>
            <w:vAlign w:val="bottom"/>
            <w:tcBorders>
              <w:bottom w:val="single" w:sz="8" w:color="808080"/>
            </w:tcBorders>
            <w:gridSpan w:val="2"/>
            <w:vMerge w:val="continue"/>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20"/>
                <w:szCs w:val="20"/>
                <w:color w:val="auto"/>
              </w:rPr>
            </w:pPr>
            <w:r>
              <w:rPr>
                <w:rFonts w:ascii="Arial" w:cs="Arial" w:eastAsia="Arial" w:hAnsi="Arial"/>
                <w:sz w:val="14"/>
                <w:szCs w:val="14"/>
                <w:b w:val="1"/>
                <w:bCs w:val="1"/>
                <w:color w:val="auto"/>
              </w:rPr>
              <w:t>August 31, 2011</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77.3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96.6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45.7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10.7</w:t>
            </w:r>
          </w:p>
        </w:tc>
        <w:tc>
          <w:tcPr>
            <w:tcW w:w="4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230.3</w:t>
            </w:r>
          </w:p>
        </w:tc>
        <w:tc>
          <w:tcPr>
            <w:tcW w:w="4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87.7</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144"/>
        </w:trPr>
        <w:tc>
          <w:tcPr>
            <w:tcW w:w="2180" w:type="dxa"/>
            <w:vAlign w:val="bottom"/>
          </w:tcPr>
          <w:p>
            <w:pPr>
              <w:ind w:left="160"/>
              <w:spacing w:after="0" w:line="144" w:lineRule="exact"/>
              <w:rPr>
                <w:sz w:val="20"/>
                <w:szCs w:val="20"/>
                <w:color w:val="auto"/>
              </w:rPr>
            </w:pPr>
            <w:r>
              <w:rPr>
                <w:rFonts w:ascii="Arial" w:cs="Arial" w:eastAsia="Arial" w:hAnsi="Arial"/>
                <w:sz w:val="14"/>
                <w:szCs w:val="14"/>
                <w:color w:val="auto"/>
              </w:rPr>
              <w:t>Bad debts</w:t>
            </w:r>
          </w:p>
        </w:tc>
        <w:tc>
          <w:tcPr>
            <w:tcW w:w="26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0.3</w:t>
            </w:r>
          </w:p>
        </w:tc>
        <w:tc>
          <w:tcPr>
            <w:tcW w:w="220" w:type="dxa"/>
            <w:vAlign w:val="bottom"/>
          </w:tcPr>
          <w:p>
            <w:pPr>
              <w:spacing w:after="0"/>
              <w:rPr>
                <w:sz w:val="12"/>
                <w:szCs w:val="12"/>
                <w:color w:val="auto"/>
              </w:rPr>
            </w:pPr>
          </w:p>
        </w:tc>
        <w:tc>
          <w:tcPr>
            <w:tcW w:w="9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0.7</w:t>
            </w:r>
          </w:p>
        </w:tc>
        <w:tc>
          <w:tcPr>
            <w:tcW w:w="44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0.7</w:t>
            </w:r>
          </w:p>
        </w:tc>
        <w:tc>
          <w:tcPr>
            <w:tcW w:w="280" w:type="dxa"/>
            <w:vAlign w:val="bottom"/>
          </w:tcPr>
          <w:p>
            <w:pPr>
              <w:spacing w:after="0"/>
              <w:rPr>
                <w:sz w:val="12"/>
                <w:szCs w:val="12"/>
                <w:color w:val="auto"/>
              </w:rPr>
            </w:pPr>
          </w:p>
        </w:tc>
        <w:tc>
          <w:tcPr>
            <w:tcW w:w="9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6"/>
        </w:trPr>
        <w:tc>
          <w:tcPr>
            <w:tcW w:w="21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(4)</w:t>
            </w:r>
          </w:p>
        </w:tc>
        <w:tc>
          <w:tcPr>
            <w:tcW w:w="26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0.1</w:t>
            </w:r>
          </w:p>
        </w:tc>
        <w:tc>
          <w:tcPr>
            <w:tcW w:w="44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9.2</w:t>
            </w:r>
          </w:p>
        </w:tc>
        <w:tc>
          <w:tcPr>
            <w:tcW w:w="2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13.6</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0"/>
        </w:trPr>
        <w:tc>
          <w:tcPr>
            <w:tcW w:w="21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(5)</w:t>
            </w:r>
          </w:p>
        </w:tc>
        <w:tc>
          <w:tcPr>
            <w:tcW w:w="26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1.5</w:t>
            </w:r>
          </w:p>
        </w:tc>
        <w:tc>
          <w:tcPr>
            <w:tcW w:w="44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11.2</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0.7</w:t>
            </w:r>
          </w:p>
        </w:tc>
        <w:tc>
          <w:tcPr>
            <w:tcW w:w="28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2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0.1</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0.1</w:t>
            </w:r>
          </w:p>
        </w:tc>
        <w:tc>
          <w:tcPr>
            <w:tcW w:w="44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0.8</w:t>
            </w:r>
          </w:p>
        </w:tc>
        <w:tc>
          <w:tcPr>
            <w:tcW w:w="2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w w:val="97"/>
              </w:rPr>
              <w:t>Segment operating (loss) income</w:t>
            </w:r>
          </w:p>
        </w:tc>
        <w:tc>
          <w:tcPr>
            <w:tcW w:w="26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(49.8)</w:t>
            </w:r>
          </w:p>
        </w:tc>
        <w:tc>
          <w:tcPr>
            <w:tcW w:w="16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38.8</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w:t>
            </w:r>
          </w:p>
        </w:tc>
        <w:tc>
          <w:tcPr>
            <w:tcW w:w="4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(19.2)</w:t>
            </w:r>
          </w:p>
        </w:tc>
        <w:tc>
          <w:tcPr>
            <w:tcW w:w="220" w:type="dxa"/>
            <w:vAlign w:val="bottom"/>
          </w:tcPr>
          <w:p>
            <w:pPr>
              <w:spacing w:after="0"/>
              <w:rPr>
                <w:sz w:val="12"/>
                <w:szCs w:val="12"/>
                <w:color w:val="auto"/>
              </w:rPr>
            </w:pP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(33.1)</w:t>
            </w:r>
          </w:p>
        </w:tc>
        <w:tc>
          <w:tcPr>
            <w:tcW w:w="4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(0.1)</w:t>
            </w:r>
          </w:p>
        </w:tc>
        <w:tc>
          <w:tcPr>
            <w:tcW w:w="2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rPr>
              <w:t>Segment assets at 8/31/11</w:t>
            </w:r>
          </w:p>
        </w:tc>
        <w:tc>
          <w:tcPr>
            <w:tcW w:w="2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506.5</w:t>
            </w:r>
          </w:p>
        </w:tc>
        <w:tc>
          <w:tcPr>
            <w:tcW w:w="16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185.8</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149.8</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40.6</w:t>
            </w:r>
          </w:p>
        </w:tc>
        <w:tc>
          <w:tcPr>
            <w:tcW w:w="44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396.6</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1,279.3</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270.2</w:t>
            </w:r>
          </w:p>
        </w:tc>
        <w:tc>
          <w:tcPr>
            <w:tcW w:w="2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1,549.5</w:t>
            </w: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rPr>
              <w:t>Goodwill at 8/31/11</w:t>
            </w:r>
          </w:p>
        </w:tc>
        <w:tc>
          <w:tcPr>
            <w:tcW w:w="2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54.3</w:t>
            </w:r>
          </w:p>
        </w:tc>
        <w:tc>
          <w:tcPr>
            <w:tcW w:w="16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21.9</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64.0</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44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145.6</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8.6</w:t>
            </w:r>
          </w:p>
        </w:tc>
        <w:tc>
          <w:tcPr>
            <w:tcW w:w="2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w w:val="93"/>
              </w:rPr>
              <w:t>Expenditures for long-lived assets,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320"/>
              <w:spacing w:after="0" w:line="149" w:lineRule="exact"/>
              <w:rPr>
                <w:sz w:val="20"/>
                <w:szCs w:val="20"/>
                <w:color w:val="auto"/>
              </w:rPr>
            </w:pPr>
            <w:r>
              <w:rPr>
                <w:rFonts w:ascii="Arial" w:cs="Arial" w:eastAsia="Arial" w:hAnsi="Arial"/>
                <w:sz w:val="14"/>
                <w:szCs w:val="14"/>
                <w:color w:val="auto"/>
              </w:rPr>
              <w:t>including royalty advances</w:t>
            </w:r>
          </w:p>
        </w:tc>
        <w:tc>
          <w:tcPr>
            <w:tcW w:w="2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8.2</w:t>
            </w:r>
          </w:p>
        </w:tc>
        <w:tc>
          <w:tcPr>
            <w:tcW w:w="16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w:t>
            </w:r>
          </w:p>
        </w:tc>
        <w:tc>
          <w:tcPr>
            <w:tcW w:w="44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21.7</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w:t>
            </w:r>
          </w:p>
        </w:tc>
        <w:tc>
          <w:tcPr>
            <w:tcW w:w="2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72"/>
        </w:trPr>
        <w:tc>
          <w:tcPr>
            <w:tcW w:w="2180" w:type="dxa"/>
            <w:vAlign w:val="bottom"/>
          </w:tcPr>
          <w:p>
            <w:pPr>
              <w:ind w:left="160"/>
              <w:spacing w:after="0"/>
              <w:rPr>
                <w:sz w:val="20"/>
                <w:szCs w:val="20"/>
                <w:color w:val="auto"/>
              </w:rPr>
            </w:pPr>
            <w:r>
              <w:rPr>
                <w:rFonts w:ascii="Arial" w:cs="Arial" w:eastAsia="Arial" w:hAnsi="Arial"/>
                <w:sz w:val="14"/>
                <w:szCs w:val="14"/>
                <w:color w:val="auto"/>
              </w:rPr>
              <w:t>Long-lived assets at 8/31/11</w:t>
            </w:r>
          </w:p>
        </w:tc>
        <w:tc>
          <w:tcPr>
            <w:tcW w:w="26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172.5</w:t>
            </w:r>
          </w:p>
        </w:tc>
        <w:tc>
          <w:tcPr>
            <w:tcW w:w="16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97.1</w:t>
            </w:r>
          </w:p>
        </w:tc>
        <w:tc>
          <w:tcPr>
            <w:tcW w:w="22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79.7</w:t>
            </w:r>
          </w:p>
        </w:tc>
        <w:tc>
          <w:tcPr>
            <w:tcW w:w="22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20.2</w:t>
            </w:r>
          </w:p>
        </w:tc>
        <w:tc>
          <w:tcPr>
            <w:tcW w:w="44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244.6</w:t>
            </w:r>
          </w:p>
        </w:tc>
        <w:tc>
          <w:tcPr>
            <w:tcW w:w="22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614.1</w:t>
            </w:r>
          </w:p>
        </w:tc>
        <w:tc>
          <w:tcPr>
            <w:tcW w:w="44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71.0</w:t>
            </w:r>
          </w:p>
        </w:tc>
        <w:tc>
          <w:tcPr>
            <w:tcW w:w="28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685.1</w:t>
            </w:r>
          </w:p>
        </w:tc>
        <w:tc>
          <w:tcPr>
            <w:tcW w:w="0" w:type="dxa"/>
            <w:vAlign w:val="bottom"/>
          </w:tcPr>
          <w:p>
            <w:pPr>
              <w:spacing w:after="0"/>
              <w:rPr>
                <w:sz w:val="1"/>
                <w:szCs w:val="1"/>
                <w:color w:val="auto"/>
              </w:rPr>
            </w:pPr>
          </w:p>
        </w:tc>
      </w:tr>
      <w:tr>
        <w:trPr>
          <w:trHeight w:val="420"/>
        </w:trPr>
        <w:tc>
          <w:tcPr>
            <w:tcW w:w="218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20"/>
                <w:szCs w:val="20"/>
                <w:color w:val="auto"/>
              </w:rPr>
            </w:pPr>
            <w:r>
              <w:rPr>
                <w:rFonts w:ascii="Arial" w:cs="Arial" w:eastAsia="Arial" w:hAnsi="Arial"/>
                <w:sz w:val="14"/>
                <w:szCs w:val="14"/>
                <w:b w:val="1"/>
                <w:bCs w:val="1"/>
                <w:color w:val="auto"/>
              </w:rPr>
              <w:t>August 31, 2010</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72.8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82.1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36.5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17.1</w:t>
            </w:r>
          </w:p>
        </w:tc>
        <w:tc>
          <w:tcPr>
            <w:tcW w:w="4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208.5</w:t>
            </w:r>
          </w:p>
        </w:tc>
        <w:tc>
          <w:tcPr>
            <w:tcW w:w="4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81.9</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290.4</w:t>
            </w:r>
          </w:p>
        </w:tc>
        <w:tc>
          <w:tcPr>
            <w:tcW w:w="0" w:type="dxa"/>
            <w:vAlign w:val="bottom"/>
          </w:tcPr>
          <w:p>
            <w:pPr>
              <w:spacing w:after="0"/>
              <w:rPr>
                <w:sz w:val="1"/>
                <w:szCs w:val="1"/>
                <w:color w:val="auto"/>
              </w:rPr>
            </w:pPr>
          </w:p>
        </w:tc>
      </w:tr>
      <w:tr>
        <w:trPr>
          <w:trHeight w:val="144"/>
        </w:trPr>
        <w:tc>
          <w:tcPr>
            <w:tcW w:w="2180" w:type="dxa"/>
            <w:vAlign w:val="bottom"/>
          </w:tcPr>
          <w:p>
            <w:pPr>
              <w:ind w:left="160"/>
              <w:spacing w:after="0" w:line="144" w:lineRule="exact"/>
              <w:rPr>
                <w:sz w:val="20"/>
                <w:szCs w:val="20"/>
                <w:color w:val="auto"/>
              </w:rPr>
            </w:pPr>
            <w:r>
              <w:rPr>
                <w:rFonts w:ascii="Arial" w:cs="Arial" w:eastAsia="Arial" w:hAnsi="Arial"/>
                <w:sz w:val="14"/>
                <w:szCs w:val="14"/>
                <w:color w:val="auto"/>
              </w:rPr>
              <w:t>Bad debts</w:t>
            </w:r>
          </w:p>
        </w:tc>
        <w:tc>
          <w:tcPr>
            <w:tcW w:w="26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96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0.3</w:t>
            </w:r>
          </w:p>
        </w:tc>
        <w:tc>
          <w:tcPr>
            <w:tcW w:w="220" w:type="dxa"/>
            <w:vAlign w:val="bottom"/>
          </w:tcPr>
          <w:p>
            <w:pPr>
              <w:spacing w:after="0"/>
              <w:rPr>
                <w:sz w:val="12"/>
                <w:szCs w:val="12"/>
                <w:color w:val="auto"/>
              </w:rPr>
            </w:pPr>
          </w:p>
        </w:tc>
        <w:tc>
          <w:tcPr>
            <w:tcW w:w="920" w:type="dxa"/>
            <w:vAlign w:val="bottom"/>
          </w:tcPr>
          <w:p>
            <w:pPr>
              <w:jc w:val="right"/>
              <w:ind w:right="12"/>
              <w:spacing w:after="0" w:line="144" w:lineRule="exact"/>
              <w:rPr>
                <w:sz w:val="20"/>
                <w:szCs w:val="20"/>
                <w:color w:val="auto"/>
              </w:rPr>
            </w:pPr>
            <w:r>
              <w:rPr>
                <w:rFonts w:ascii="Arial" w:cs="Arial" w:eastAsia="Arial" w:hAnsi="Arial"/>
                <w:sz w:val="14"/>
                <w:szCs w:val="14"/>
                <w:color w:val="auto"/>
              </w:rPr>
              <w:t>(0.3)</w:t>
            </w:r>
          </w:p>
        </w:tc>
        <w:tc>
          <w:tcPr>
            <w:tcW w:w="22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2.0</w:t>
            </w:r>
          </w:p>
        </w:tc>
        <w:tc>
          <w:tcPr>
            <w:tcW w:w="44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0.9</w:t>
            </w:r>
          </w:p>
        </w:tc>
        <w:tc>
          <w:tcPr>
            <w:tcW w:w="280" w:type="dxa"/>
            <w:vAlign w:val="bottom"/>
          </w:tcPr>
          <w:p>
            <w:pPr>
              <w:spacing w:after="0"/>
              <w:rPr>
                <w:sz w:val="12"/>
                <w:szCs w:val="12"/>
                <w:color w:val="auto"/>
              </w:rPr>
            </w:pPr>
          </w:p>
        </w:tc>
        <w:tc>
          <w:tcPr>
            <w:tcW w:w="9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6"/>
        </w:trPr>
        <w:tc>
          <w:tcPr>
            <w:tcW w:w="21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(4)</w:t>
            </w:r>
          </w:p>
        </w:tc>
        <w:tc>
          <w:tcPr>
            <w:tcW w:w="26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44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8.4</w:t>
            </w:r>
          </w:p>
        </w:tc>
        <w:tc>
          <w:tcPr>
            <w:tcW w:w="2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13.1</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0"/>
        </w:trPr>
        <w:tc>
          <w:tcPr>
            <w:tcW w:w="21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(5)</w:t>
            </w:r>
          </w:p>
        </w:tc>
        <w:tc>
          <w:tcPr>
            <w:tcW w:w="26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5.8</w:t>
            </w:r>
          </w:p>
        </w:tc>
        <w:tc>
          <w:tcPr>
            <w:tcW w:w="22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1.7</w:t>
            </w:r>
          </w:p>
        </w:tc>
        <w:tc>
          <w:tcPr>
            <w:tcW w:w="44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11.5</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0.6</w:t>
            </w:r>
          </w:p>
        </w:tc>
        <w:tc>
          <w:tcPr>
            <w:tcW w:w="28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2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w:t>
            </w:r>
          </w:p>
        </w:tc>
        <w:tc>
          <w:tcPr>
            <w:tcW w:w="16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0.1</w:t>
            </w:r>
          </w:p>
        </w:tc>
        <w:tc>
          <w:tcPr>
            <w:tcW w:w="44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0.6</w:t>
            </w:r>
          </w:p>
        </w:tc>
        <w:tc>
          <w:tcPr>
            <w:tcW w:w="2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w w:val="97"/>
              </w:rPr>
              <w:t>Segment operating (loss) income</w:t>
            </w:r>
          </w:p>
        </w:tc>
        <w:tc>
          <w:tcPr>
            <w:tcW w:w="26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(51.6)</w:t>
            </w:r>
          </w:p>
        </w:tc>
        <w:tc>
          <w:tcPr>
            <w:tcW w:w="16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30.2</w:t>
            </w:r>
          </w:p>
        </w:tc>
        <w:tc>
          <w:tcPr>
            <w:tcW w:w="22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w:t>
            </w:r>
          </w:p>
        </w:tc>
        <w:tc>
          <w:tcPr>
            <w:tcW w:w="4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(18.8)</w:t>
            </w:r>
          </w:p>
        </w:tc>
        <w:tc>
          <w:tcPr>
            <w:tcW w:w="220" w:type="dxa"/>
            <w:vAlign w:val="bottom"/>
          </w:tcPr>
          <w:p>
            <w:pPr>
              <w:spacing w:after="0"/>
              <w:rPr>
                <w:sz w:val="12"/>
                <w:szCs w:val="12"/>
                <w:color w:val="auto"/>
              </w:rPr>
            </w:pP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(44.1)</w:t>
            </w:r>
          </w:p>
        </w:tc>
        <w:tc>
          <w:tcPr>
            <w:tcW w:w="4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w:t>
            </w:r>
          </w:p>
        </w:tc>
        <w:tc>
          <w:tcPr>
            <w:tcW w:w="2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rPr>
              <w:t>Segment assets at 8/31/10</w:t>
            </w:r>
          </w:p>
        </w:tc>
        <w:tc>
          <w:tcPr>
            <w:tcW w:w="2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553.1</w:t>
            </w:r>
          </w:p>
        </w:tc>
        <w:tc>
          <w:tcPr>
            <w:tcW w:w="16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204.6</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143.5</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51.5</w:t>
            </w:r>
          </w:p>
        </w:tc>
        <w:tc>
          <w:tcPr>
            <w:tcW w:w="44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384.0</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1,336.7</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288.2</w:t>
            </w:r>
          </w:p>
        </w:tc>
        <w:tc>
          <w:tcPr>
            <w:tcW w:w="2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1,624.9</w:t>
            </w: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rPr>
              <w:t>Goodwill at 8/31/10</w:t>
            </w:r>
          </w:p>
        </w:tc>
        <w:tc>
          <w:tcPr>
            <w:tcW w:w="2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54.3</w:t>
            </w:r>
          </w:p>
        </w:tc>
        <w:tc>
          <w:tcPr>
            <w:tcW w:w="16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21.0</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67.4</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44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148.1</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8.5</w:t>
            </w:r>
          </w:p>
        </w:tc>
        <w:tc>
          <w:tcPr>
            <w:tcW w:w="2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w w:val="93"/>
              </w:rPr>
              <w:t>Expenditures for long-lived assets,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320"/>
              <w:spacing w:after="0" w:line="149" w:lineRule="exact"/>
              <w:rPr>
                <w:sz w:val="20"/>
                <w:szCs w:val="20"/>
                <w:color w:val="auto"/>
              </w:rPr>
            </w:pPr>
            <w:r>
              <w:rPr>
                <w:rFonts w:ascii="Arial" w:cs="Arial" w:eastAsia="Arial" w:hAnsi="Arial"/>
                <w:sz w:val="14"/>
                <w:szCs w:val="14"/>
                <w:color w:val="auto"/>
              </w:rPr>
              <w:t>including royalty advances</w:t>
            </w:r>
          </w:p>
        </w:tc>
        <w:tc>
          <w:tcPr>
            <w:tcW w:w="2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6.1</w:t>
            </w:r>
          </w:p>
        </w:tc>
        <w:tc>
          <w:tcPr>
            <w:tcW w:w="2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0.8</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w:t>
            </w:r>
          </w:p>
        </w:tc>
        <w:tc>
          <w:tcPr>
            <w:tcW w:w="44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27.4</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w:t>
            </w:r>
          </w:p>
        </w:tc>
        <w:tc>
          <w:tcPr>
            <w:tcW w:w="2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72"/>
        </w:trPr>
        <w:tc>
          <w:tcPr>
            <w:tcW w:w="2180" w:type="dxa"/>
            <w:vAlign w:val="bottom"/>
          </w:tcPr>
          <w:p>
            <w:pPr>
              <w:ind w:left="160"/>
              <w:spacing w:after="0"/>
              <w:rPr>
                <w:sz w:val="20"/>
                <w:szCs w:val="20"/>
                <w:color w:val="auto"/>
              </w:rPr>
            </w:pPr>
            <w:r>
              <w:rPr>
                <w:rFonts w:ascii="Arial" w:cs="Arial" w:eastAsia="Arial" w:hAnsi="Arial"/>
                <w:sz w:val="14"/>
                <w:szCs w:val="14"/>
                <w:color w:val="auto"/>
              </w:rPr>
              <w:t>Long-lived assets at 8/31/10</w:t>
            </w:r>
          </w:p>
        </w:tc>
        <w:tc>
          <w:tcPr>
            <w:tcW w:w="26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183.8</w:t>
            </w:r>
          </w:p>
        </w:tc>
        <w:tc>
          <w:tcPr>
            <w:tcW w:w="16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91.5</w:t>
            </w:r>
          </w:p>
        </w:tc>
        <w:tc>
          <w:tcPr>
            <w:tcW w:w="22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76.7</w:t>
            </w:r>
          </w:p>
        </w:tc>
        <w:tc>
          <w:tcPr>
            <w:tcW w:w="22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20.1</w:t>
            </w:r>
          </w:p>
        </w:tc>
        <w:tc>
          <w:tcPr>
            <w:tcW w:w="44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227.1</w:t>
            </w:r>
          </w:p>
        </w:tc>
        <w:tc>
          <w:tcPr>
            <w:tcW w:w="22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599.2</w:t>
            </w:r>
          </w:p>
        </w:tc>
        <w:tc>
          <w:tcPr>
            <w:tcW w:w="44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69.7</w:t>
            </w:r>
          </w:p>
        </w:tc>
        <w:tc>
          <w:tcPr>
            <w:tcW w:w="28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668.9</w:t>
            </w:r>
          </w:p>
        </w:tc>
        <w:tc>
          <w:tcPr>
            <w:tcW w:w="0" w:type="dxa"/>
            <w:vAlign w:val="bottom"/>
          </w:tcPr>
          <w:p>
            <w:pPr>
              <w:spacing w:after="0"/>
              <w:rPr>
                <w:sz w:val="1"/>
                <w:szCs w:val="1"/>
                <w:color w:val="auto"/>
              </w:rPr>
            </w:pPr>
          </w:p>
        </w:tc>
      </w:tr>
      <w:tr>
        <w:trPr>
          <w:trHeight w:val="95"/>
        </w:trPr>
        <w:tc>
          <w:tcPr>
            <w:tcW w:w="2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3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80" w:hanging="452"/>
        <w:spacing w:after="0" w:line="210" w:lineRule="auto"/>
        <w:tabs>
          <w:tab w:leader="none" w:pos="4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i w:val="1"/>
          <w:iCs w:val="1"/>
          <w:color w:val="auto"/>
        </w:rPr>
        <w:t>As discussed under “Discontinued Operations” in Note 1, “Basis of Presentation,” the Company closed or sold several operations during fiscal 2009, fiscal 2010 and the first quarter of fiscal 2012 and presently holds for sale one facility. All of these businesses are classified as discontinued operations in the Company’s financial statements and, as such, are not reflected in this table.</w:t>
      </w:r>
    </w:p>
    <w:p>
      <w:pPr>
        <w:spacing w:after="0" w:line="31" w:lineRule="exact"/>
        <w:rPr>
          <w:rFonts w:ascii="Arial" w:cs="Arial" w:eastAsia="Arial" w:hAnsi="Arial"/>
          <w:sz w:val="29"/>
          <w:szCs w:val="29"/>
          <w:color w:val="auto"/>
          <w:vertAlign w:val="superscript"/>
        </w:rPr>
      </w:pPr>
    </w:p>
    <w:p>
      <w:pPr>
        <w:ind w:left="460" w:hanging="452"/>
        <w:spacing w:after="0"/>
        <w:tabs>
          <w:tab w:leader="none" w:pos="4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i w:val="1"/>
          <w:iCs w:val="1"/>
          <w:color w:val="auto"/>
        </w:rPr>
        <w:t>Includes assets and results of operations acquired in a business acquisition as of September 9, 2010.</w:t>
      </w:r>
    </w:p>
    <w:p>
      <w:pPr>
        <w:spacing w:after="0" w:line="156" w:lineRule="exact"/>
        <w:rPr>
          <w:rFonts w:ascii="Arial" w:cs="Arial" w:eastAsia="Arial" w:hAnsi="Arial"/>
          <w:sz w:val="29"/>
          <w:szCs w:val="29"/>
          <w:color w:val="auto"/>
          <w:vertAlign w:val="superscript"/>
        </w:rPr>
      </w:pPr>
    </w:p>
    <w:p>
      <w:pPr>
        <w:ind w:left="460" w:hanging="452"/>
        <w:spacing w:after="0" w:line="221" w:lineRule="auto"/>
        <w:tabs>
          <w:tab w:leader="none" w:pos="4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its facility located in Connecticut. Overhead also includes amounts previously allocated to the Media</w:t>
      </w:r>
      <w:r>
        <w:rPr>
          <w:rFonts w:ascii="Arial" w:cs="Arial" w:eastAsia="Arial" w:hAnsi="Arial"/>
          <w:sz w:val="18"/>
          <w:szCs w:val="18"/>
          <w:color w:val="auto"/>
        </w:rPr>
        <w:t>,</w:t>
      </w:r>
      <w:r>
        <w:rPr>
          <w:rFonts w:ascii="Arial" w:cs="Arial" w:eastAsia="Arial" w:hAnsi="Arial"/>
          <w:sz w:val="18"/>
          <w:szCs w:val="18"/>
          <w:i w:val="1"/>
          <w:iCs w:val="1"/>
          <w:color w:val="auto"/>
        </w:rPr>
        <w:t xml:space="preserve"> Licensing and Advertising segment for the Company’s direct-to-home toy catalog business that was discontinued in the first quarter of fiscal 2012.</w:t>
      </w:r>
    </w:p>
    <w:p>
      <w:pPr>
        <w:spacing w:after="0" w:line="34" w:lineRule="exact"/>
        <w:rPr>
          <w:rFonts w:ascii="Arial" w:cs="Arial" w:eastAsia="Arial" w:hAnsi="Arial"/>
          <w:sz w:val="29"/>
          <w:szCs w:val="29"/>
          <w:color w:val="auto"/>
          <w:vertAlign w:val="superscript"/>
        </w:rPr>
      </w:pPr>
    </w:p>
    <w:p>
      <w:pPr>
        <w:ind w:left="460" w:hanging="452"/>
        <w:spacing w:after="0"/>
        <w:tabs>
          <w:tab w:leader="none" w:pos="4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i w:val="1"/>
          <w:iCs w:val="1"/>
          <w:color w:val="auto"/>
        </w:rPr>
        <w:t>Includes depreciation of property, plant and equipment and amortization of intangible assets.</w:t>
      </w:r>
    </w:p>
    <w:p>
      <w:pPr>
        <w:spacing w:after="0" w:line="156" w:lineRule="exact"/>
        <w:rPr>
          <w:rFonts w:ascii="Arial" w:cs="Arial" w:eastAsia="Arial" w:hAnsi="Arial"/>
          <w:sz w:val="29"/>
          <w:szCs w:val="29"/>
          <w:color w:val="auto"/>
          <w:vertAlign w:val="superscript"/>
        </w:rPr>
      </w:pPr>
    </w:p>
    <w:p>
      <w:pPr>
        <w:ind w:left="460" w:hanging="452"/>
        <w:spacing w:after="0" w:line="181" w:lineRule="auto"/>
        <w:tabs>
          <w:tab w:leader="none" w:pos="46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i w:val="1"/>
          <w:iCs w:val="1"/>
          <w:color w:val="auto"/>
        </w:rPr>
        <w:t>Includes amortization of prepublication and production costs.</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0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Arial" w:cs="Arial" w:eastAsia="Arial" w:hAnsi="Arial"/>
                <w:sz w:val="18"/>
                <w:szCs w:val="18"/>
                <w:b w:val="1"/>
                <w:bCs w:val="1"/>
                <w:color w:val="auto"/>
              </w:rPr>
              <w:t>Fair</w:t>
            </w:r>
          </w:p>
        </w:tc>
        <w:tc>
          <w:tcPr>
            <w:tcW w:w="9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Arial" w:cs="Arial" w:eastAsia="Arial" w:hAnsi="Arial"/>
                <w:sz w:val="18"/>
                <w:szCs w:val="18"/>
                <w:b w:val="1"/>
                <w:bCs w:val="1"/>
                <w:color w:val="auto"/>
              </w:rPr>
              <w:t>Fair</w:t>
            </w:r>
          </w:p>
        </w:tc>
      </w:tr>
      <w:tr>
        <w:trPr>
          <w:trHeight w:val="228"/>
        </w:trPr>
        <w:tc>
          <w:tcPr>
            <w:tcW w:w="5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w w:val="95"/>
              </w:rPr>
              <w:t>Value</w:t>
            </w:r>
          </w:p>
        </w:tc>
        <w:tc>
          <w:tcPr>
            <w:tcW w:w="22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w w:val="95"/>
              </w:rPr>
              <w:t>Value</w:t>
            </w:r>
          </w:p>
        </w:tc>
        <w:tc>
          <w:tcPr>
            <w:tcW w:w="22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w w:val="95"/>
              </w:rPr>
              <w:t>Value</w:t>
            </w:r>
          </w:p>
        </w:tc>
        <w:tc>
          <w:tcPr>
            <w:tcW w:w="22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w w:val="95"/>
              </w:rPr>
              <w:t>Value</w:t>
            </w:r>
          </w:p>
        </w:tc>
        <w:tc>
          <w:tcPr>
            <w:tcW w:w="20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w w:val="95"/>
              </w:rPr>
              <w:t>Value</w:t>
            </w:r>
          </w:p>
        </w:tc>
        <w:tc>
          <w:tcPr>
            <w:tcW w:w="22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w w:val="95"/>
              </w:rPr>
              <w:t>Value</w:t>
            </w:r>
          </w:p>
        </w:tc>
      </w:tr>
      <w:tr>
        <w:trPr>
          <w:trHeight w:val="110"/>
        </w:trPr>
        <w:tc>
          <w:tcPr>
            <w:tcW w:w="5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gridSpan w:val="3"/>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gridSpan w:val="3"/>
          </w:tcPr>
          <w:p>
            <w:pPr>
              <w:spacing w:after="0"/>
              <w:rPr>
                <w:sz w:val="9"/>
                <w:szCs w:val="9"/>
                <w:color w:val="auto"/>
              </w:rPr>
            </w:pPr>
          </w:p>
        </w:tc>
      </w:tr>
      <w:tr>
        <w:trPr>
          <w:trHeight w:val="316"/>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3"/>
          </w:tcPr>
          <w:p>
            <w:pPr>
              <w:jc w:val="right"/>
              <w:ind w:right="392"/>
              <w:spacing w:after="0"/>
              <w:rPr>
                <w:sz w:val="20"/>
                <w:szCs w:val="20"/>
                <w:color w:val="auto"/>
              </w:rPr>
            </w:pPr>
            <w:r>
              <w:rPr>
                <w:rFonts w:ascii="Arial" w:cs="Arial" w:eastAsia="Arial" w:hAnsi="Arial"/>
                <w:sz w:val="18"/>
                <w:szCs w:val="18"/>
                <w:b w:val="1"/>
                <w:bCs w:val="1"/>
                <w:color w:val="auto"/>
                <w:w w:val="99"/>
              </w:rPr>
              <w:t>August 31, 2011</w:t>
            </w:r>
          </w:p>
        </w:tc>
        <w:tc>
          <w:tcPr>
            <w:tcW w:w="220" w:type="dxa"/>
            <w:vAlign w:val="bottom"/>
          </w:tcPr>
          <w:p>
            <w:pPr>
              <w:spacing w:after="0"/>
              <w:rPr>
                <w:sz w:val="24"/>
                <w:szCs w:val="24"/>
                <w:color w:val="auto"/>
              </w:rPr>
            </w:pPr>
          </w:p>
        </w:tc>
        <w:tc>
          <w:tcPr>
            <w:tcW w:w="186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rPr>
              <w:t>May 31, 2011</w:t>
            </w:r>
          </w:p>
        </w:tc>
        <w:tc>
          <w:tcPr>
            <w:tcW w:w="200" w:type="dxa"/>
            <w:vAlign w:val="bottom"/>
          </w:tcPr>
          <w:p>
            <w:pPr>
              <w:spacing w:after="0"/>
              <w:rPr>
                <w:sz w:val="24"/>
                <w:szCs w:val="24"/>
                <w:color w:val="auto"/>
              </w:rPr>
            </w:pPr>
          </w:p>
        </w:tc>
        <w:tc>
          <w:tcPr>
            <w:tcW w:w="178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w w:val="97"/>
              </w:rPr>
              <w:t>August 31, 2010</w:t>
            </w:r>
          </w:p>
        </w:tc>
      </w:tr>
      <w:tr>
        <w:trPr>
          <w:trHeight w:val="110"/>
        </w:trPr>
        <w:tc>
          <w:tcPr>
            <w:tcW w:w="5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458"/>
        </w:trPr>
        <w:tc>
          <w:tcPr>
            <w:tcW w:w="5260" w:type="dxa"/>
            <w:vAlign w:val="bottom"/>
          </w:tcPr>
          <w:p>
            <w:pPr>
              <w:spacing w:after="0"/>
              <w:rPr>
                <w:sz w:val="20"/>
                <w:szCs w:val="20"/>
                <w:color w:val="auto"/>
              </w:rPr>
            </w:pPr>
            <w:r>
              <w:rPr>
                <w:rFonts w:ascii="Arial" w:cs="Arial" w:eastAsia="Arial" w:hAnsi="Arial"/>
                <w:sz w:val="18"/>
                <w:szCs w:val="18"/>
                <w:color w:val="auto"/>
                <w:w w:val="90"/>
              </w:rPr>
              <w:t>Lines of Credit (weighted average interest rates of 4.0%, 6.7% and 3.9%,</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Loan Agreement: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rPr>
              <w:t>Revolving Loan</w:t>
            </w:r>
          </w:p>
        </w:tc>
        <w:tc>
          <w:tcPr>
            <w:tcW w:w="26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w w:val="99"/>
              </w:rPr>
              <w:t>Term Loan (interest rates of 1.0%, 1.0% and 1.1%, respectively)</w:t>
            </w:r>
          </w:p>
        </w:tc>
        <w:tc>
          <w:tcPr>
            <w:tcW w:w="26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82.3</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2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152.6</w:t>
            </w:r>
          </w:p>
        </w:tc>
        <w:tc>
          <w:tcPr>
            <w:tcW w:w="22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153.0</w:t>
            </w:r>
          </w:p>
        </w:tc>
        <w:tc>
          <w:tcPr>
            <w:tcW w:w="22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152.5</w:t>
            </w:r>
          </w:p>
        </w:tc>
        <w:tc>
          <w:tcPr>
            <w:tcW w:w="22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156.6</w:t>
            </w:r>
          </w:p>
        </w:tc>
        <w:tc>
          <w:tcPr>
            <w:tcW w:w="20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149.2</w:t>
            </w:r>
          </w:p>
        </w:tc>
      </w:tr>
      <w:tr>
        <w:trPr>
          <w:trHeight w:val="110"/>
        </w:trPr>
        <w:tc>
          <w:tcPr>
            <w:tcW w:w="5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464"/>
        </w:trPr>
        <w:tc>
          <w:tcPr>
            <w:tcW w:w="5260" w:type="dxa"/>
            <w:vAlign w:val="bottom"/>
          </w:tcPr>
          <w:p>
            <w:pPr>
              <w:ind w:left="160"/>
              <w:spacing w:after="0"/>
              <w:rPr>
                <w:sz w:val="20"/>
                <w:szCs w:val="20"/>
                <w:color w:val="auto"/>
              </w:rPr>
            </w:pPr>
            <w:r>
              <w:rPr>
                <w:rFonts w:ascii="Arial" w:cs="Arial" w:eastAsia="Arial" w:hAnsi="Arial"/>
                <w:sz w:val="18"/>
                <w:szCs w:val="18"/>
                <w:b w:val="1"/>
                <w:bCs w:val="1"/>
                <w:color w:val="auto"/>
              </w:rPr>
              <w:t>Total debt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200.0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203.4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207.5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242.3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239.2</w:t>
            </w:r>
          </w:p>
        </w:tc>
      </w:tr>
      <w:tr>
        <w:trPr>
          <w:trHeight w:val="358"/>
        </w:trPr>
        <w:tc>
          <w:tcPr>
            <w:tcW w:w="5260" w:type="dxa"/>
            <w:vAlign w:val="bottom"/>
          </w:tcPr>
          <w:p>
            <w:pPr>
              <w:spacing w:after="0"/>
              <w:rPr>
                <w:sz w:val="20"/>
                <w:szCs w:val="20"/>
                <w:color w:val="auto"/>
              </w:rPr>
            </w:pPr>
            <w:r>
              <w:rPr>
                <w:rFonts w:ascii="Arial" w:cs="Arial" w:eastAsia="Arial" w:hAnsi="Arial"/>
                <w:sz w:val="18"/>
                <w:szCs w:val="18"/>
                <w:color w:val="auto"/>
                <w:w w:val="97"/>
              </w:rPr>
              <w:t>Less lines of credit, short-term debt and current portion of long-term</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5260" w:type="dxa"/>
            <w:vAlign w:val="bottom"/>
          </w:tcPr>
          <w:p>
            <w:pPr>
              <w:ind w:left="160"/>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110"/>
        </w:trPr>
        <w:tc>
          <w:tcPr>
            <w:tcW w:w="5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464"/>
        </w:trPr>
        <w:tc>
          <w:tcPr>
            <w:tcW w:w="526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152.6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153.0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159.9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164.0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191.8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188.7</w:t>
            </w:r>
          </w:p>
        </w:tc>
      </w:tr>
      <w:tr>
        <w:trPr>
          <w:trHeight w:val="110"/>
        </w:trPr>
        <w:tc>
          <w:tcPr>
            <w:tcW w:w="5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Short-term debt’s carrying value approximates fair value. Fair value of the Loan Agreement approximates its carrying value due to its variable interest rate and stable credit rating. Fair values of the Notes were estimated based on market quotes, where available, or dealer quotes.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carrying values of Company’s debt obligations as of August 31, 2011, for the twelve-month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43649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2012</w:t>
            </w:r>
          </w:p>
        </w:tc>
        <w:tc>
          <w:tcPr>
            <w:tcW w:w="28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47.4</w:t>
            </w: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2013</w:t>
            </w:r>
          </w:p>
        </w:tc>
        <w:tc>
          <w:tcPr>
            <w:tcW w:w="284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152.6</w:t>
            </w:r>
          </w:p>
        </w:tc>
      </w:tr>
      <w:tr>
        <w:trPr>
          <w:trHeight w:val="110"/>
        </w:trPr>
        <w:tc>
          <w:tcPr>
            <w:tcW w:w="328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64"/>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284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200.0</w:t>
            </w:r>
          </w:p>
        </w:tc>
      </w:tr>
      <w:tr>
        <w:trPr>
          <w:trHeight w:val="110"/>
        </w:trPr>
        <w:tc>
          <w:tcPr>
            <w:tcW w:w="328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August 31, 2011, the Company’s domestic credit lines available under unsecured money market bid rate credit lines totaled $20.0. There were no outstanding borrowings under these credit lines at August 31, 2011, May 31, 2011 and August 31, 2010.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9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of August 31, 2011, the Company had various local currency credit lines, with maximum available borrowings in amounts equivalent to $30.1,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$7.9 at August 31, 2011, at a weighted average interest rate of 4.0%; $0.7 at May 31, 2011, at a weighted average interest rate of 6.7%; and $7.7 at August 31, 2010, at a weighted average interest rate of 3.9%.</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Term Loan, which may be prepaid at any time without penalty, requires quarterly principal payments of $10.7, with the first payment on December 31, 2007, and a final payment of $7.4 due on June 1, 2012.</w:t>
      </w:r>
    </w:p>
    <w:p>
      <w:pPr>
        <w:spacing w:after="0" w:line="17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August 16, 2010, the Borrowers entered into an amendment to the Loan Agreement, which added certain provisions related to covenants and interest. 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as amended, is based on (1) a rate equal to the higher of (i) the prime rate, (ii) the prevailing Federal Funds rate plus 0.500% or (iii) the Eurodollar Rate for a one month interest period plus 1%; or (2) an adjusted LIBOR rate plus an applicable margin, ranging from 0.500% to 1.250% based upon the Company’s prevailing consolidated debt to total capital ratio. As of August 31, 2011, there were no borrowings outstanding under the Revolving Loan.</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August 31, 2011, the applicable margin on the Term Loan was 0.750% and the applicable margin on the Revolving Loan was 0.600%. The Loan Agreement also provides for the payment of a facility fee ranging from 0.125% to 0.250% per annum on the Revolving Loan only, which at August 31, 2011, was 0.150%. As of August 31, 2011, $39.5 was outstanding under the Term Loan at an interest rate of 1.0%.</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of August 31, 2011, standby letters of credit outstanding under the Loan Agreement totaled $1.4. The Loan Agreement contains certain covenants, including interest coverage and leverage ratio tests and certain limitations on the amount of dividends and other distributions, and at August 31, 2011, the Company was in compliance with these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Loss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comprehensive loss for the periods indicated:</w:t>
      </w:r>
    </w:p>
    <w:p>
      <w:pPr>
        <w:spacing w:after="0" w:line="233"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592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920" w:type="dxa"/>
            <w:vAlign w:val="bottom"/>
          </w:tcPr>
          <w:p>
            <w:pPr>
              <w:spacing w:after="0"/>
              <w:rPr>
                <w:sz w:val="20"/>
                <w:szCs w:val="20"/>
                <w:color w:val="auto"/>
              </w:rPr>
            </w:pPr>
            <w:r>
              <w:rPr>
                <w:rFonts w:ascii="Arial" w:cs="Arial" w:eastAsia="Arial" w:hAnsi="Arial"/>
                <w:sz w:val="18"/>
                <w:szCs w:val="18"/>
                <w:color w:val="auto"/>
              </w:rPr>
              <w:t>Net loss</w:t>
            </w:r>
          </w:p>
        </w:tc>
        <w:tc>
          <w:tcPr>
            <w:tcW w:w="3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24"/>
                <w:szCs w:val="24"/>
                <w:color w:val="auto"/>
              </w:rPr>
            </w:pPr>
          </w:p>
        </w:tc>
      </w:tr>
      <w:tr>
        <w:trPr>
          <w:trHeight w:val="358"/>
        </w:trPr>
        <w:tc>
          <w:tcPr>
            <w:tcW w:w="5920" w:type="dxa"/>
            <w:vAlign w:val="bottom"/>
          </w:tcPr>
          <w:p>
            <w:pPr>
              <w:spacing w:after="0"/>
              <w:rPr>
                <w:sz w:val="20"/>
                <w:szCs w:val="20"/>
                <w:color w:val="auto"/>
              </w:rPr>
            </w:pPr>
            <w:r>
              <w:rPr>
                <w:rFonts w:ascii="Arial" w:cs="Arial" w:eastAsia="Arial" w:hAnsi="Arial"/>
                <w:sz w:val="18"/>
                <w:szCs w:val="18"/>
                <w:color w:val="auto"/>
              </w:rPr>
              <w:t>Other comprehensive income, net:</w:t>
            </w: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9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920" w:type="dxa"/>
            <w:vAlign w:val="bottom"/>
          </w:tcPr>
          <w:p>
            <w:pPr>
              <w:ind w:left="160"/>
              <w:spacing w:after="0"/>
              <w:rPr>
                <w:sz w:val="20"/>
                <w:szCs w:val="20"/>
                <w:color w:val="auto"/>
              </w:rPr>
            </w:pPr>
            <w:r>
              <w:rPr>
                <w:rFonts w:ascii="Arial" w:cs="Arial" w:eastAsia="Arial" w:hAnsi="Arial"/>
                <w:sz w:val="18"/>
                <w:szCs w:val="18"/>
                <w:color w:val="auto"/>
              </w:rPr>
              <w:t>Pension and post-retirement adjustments</w:t>
            </w: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59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920" w:type="dxa"/>
            <w:vAlign w:val="bottom"/>
          </w:tcPr>
          <w:p>
            <w:pPr>
              <w:spacing w:after="0"/>
              <w:rPr>
                <w:sz w:val="20"/>
                <w:szCs w:val="20"/>
                <w:color w:val="auto"/>
              </w:rPr>
            </w:pPr>
            <w:r>
              <w:rPr>
                <w:rFonts w:ascii="Arial" w:cs="Arial" w:eastAsia="Arial" w:hAnsi="Arial"/>
                <w:sz w:val="18"/>
                <w:szCs w:val="18"/>
                <w:color w:val="auto"/>
              </w:rPr>
              <w:t>Total other comprehensive income, net:</w:t>
            </w: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592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gridSpan w:val="2"/>
          </w:tcPr>
          <w:p>
            <w:pPr>
              <w:spacing w:after="0"/>
              <w:rPr>
                <w:sz w:val="9"/>
                <w:szCs w:val="9"/>
                <w:color w:val="auto"/>
              </w:rPr>
            </w:pPr>
          </w:p>
        </w:tc>
        <w:tc>
          <w:tcPr>
            <w:tcW w:w="1060" w:type="dxa"/>
            <w:vAlign w:val="bottom"/>
            <w:tcBorders>
              <w:bottom w:val="single" w:sz="8" w:color="808080"/>
            </w:tcBorders>
            <w:gridSpan w:val="2"/>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920" w:type="dxa"/>
            <w:vAlign w:val="bottom"/>
          </w:tcPr>
          <w:p>
            <w:pPr>
              <w:ind w:left="160"/>
              <w:spacing w:after="0"/>
              <w:rPr>
                <w:sz w:val="20"/>
                <w:szCs w:val="20"/>
                <w:color w:val="auto"/>
              </w:rPr>
            </w:pPr>
            <w:r>
              <w:rPr>
                <w:rFonts w:ascii="Arial" w:cs="Arial" w:eastAsia="Arial" w:hAnsi="Arial"/>
                <w:sz w:val="18"/>
                <w:szCs w:val="18"/>
                <w:color w:val="auto"/>
              </w:rPr>
              <w:t>Total comprehensive loss</w:t>
            </w:r>
          </w:p>
        </w:tc>
        <w:tc>
          <w:tcPr>
            <w:tcW w:w="3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4"/>
                <w:szCs w:val="24"/>
                <w:color w:val="auto"/>
              </w:rPr>
            </w:pPr>
          </w:p>
        </w:tc>
      </w:tr>
      <w:tr>
        <w:trPr>
          <w:trHeight w:val="134"/>
        </w:trPr>
        <w:tc>
          <w:tcPr>
            <w:tcW w:w="5920" w:type="dxa"/>
            <w:vAlign w:val="bottom"/>
            <w:tcBorders>
              <w:bottom w:val="single" w:sz="8" w:color="808080"/>
            </w:tcBorders>
          </w:tcPr>
          <w:p>
            <w:pPr>
              <w:spacing w:after="0"/>
              <w:rPr>
                <w:sz w:val="11"/>
                <w:szCs w:val="11"/>
                <w:color w:val="auto"/>
              </w:rPr>
            </w:pPr>
          </w:p>
        </w:tc>
        <w:tc>
          <w:tcPr>
            <w:tcW w:w="29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23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A portion of the Company’s Stock Units granted to employees participate in earnings through cumulative non-forfeitable dividends payable to the employees upon vesting of the Stock Units. For periods in which the Company has net income, basic earnings per Common and Class A shares outstanding (the “Issued Shares”) is calculated as the lesser of:</w:t>
      </w:r>
    </w:p>
    <w:p>
      <w:pPr>
        <w:spacing w:after="0" w:line="208" w:lineRule="exact"/>
        <w:rPr>
          <w:sz w:val="20"/>
          <w:szCs w:val="20"/>
          <w:color w:val="auto"/>
        </w:rPr>
      </w:pPr>
    </w:p>
    <w:p>
      <w:pPr>
        <w:ind w:left="920" w:hanging="453"/>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earnings divided by the weighted average shares outstanding of the Issued Shares during the period (the “Treasury Stock Method”); or</w:t>
      </w:r>
    </w:p>
    <w:p>
      <w:pPr>
        <w:spacing w:after="0" w:line="180" w:lineRule="exact"/>
        <w:rPr>
          <w:rFonts w:ascii="Arial" w:cs="Arial" w:eastAsia="Arial" w:hAnsi="Arial"/>
          <w:sz w:val="16"/>
          <w:szCs w:val="16"/>
          <w:color w:val="auto"/>
        </w:rPr>
      </w:pPr>
    </w:p>
    <w:p>
      <w:pPr>
        <w:ind w:left="920" w:right="260" w:hanging="453"/>
        <w:spacing w:after="0" w:line="259"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earnings distributed in the period to the Issued Shares and undistributed earnings available to the Issued Shares (excluding earnings attributable to the participating Stock Units) divided by the weighted average shares outstanding of the Issued Shares during the period (the “Two-Class Method”).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for periods in which the Company has net income is calculated as the lesser of:</w:t>
      </w:r>
    </w:p>
    <w:p>
      <w:pPr>
        <w:spacing w:after="0" w:line="158" w:lineRule="exact"/>
        <w:rPr>
          <w:sz w:val="20"/>
          <w:szCs w:val="20"/>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Treasury Stock Method incorporating the effect of dilutive shares; or</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Two-Class Method incorporating the effect of dilutive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periods of net loss, dilutive earnings per share are not reported as the effect of the potentially dilutive shares becomes anti-dilutive.</w:t>
      </w:r>
    </w:p>
    <w:p>
      <w:pPr>
        <w:spacing w:after="0" w:line="22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a period in which the Company reports a discontinued operation, Earnings (loss) from continuing operations is used as the “control number” in determining whether potentially dilutive common shares are dilutive or anti-dilutive. The Company calculates per share figures prior to rounding in millions.</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table summarizes the reconciliation of the numerators and denominators for the Basic and Diluted loss per share computation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9"/>
                <w:szCs w:val="19"/>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b w:val="1"/>
                <w:bCs w:val="1"/>
                <w:color w:val="auto"/>
              </w:rPr>
              <w:t>2010</w:t>
            </w:r>
          </w:p>
        </w:tc>
      </w:tr>
      <w:tr>
        <w:trPr>
          <w:trHeight w:val="110"/>
        </w:trPr>
        <w:tc>
          <w:tcPr>
            <w:tcW w:w="87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464"/>
        </w:trPr>
        <w:tc>
          <w:tcPr>
            <w:tcW w:w="8740" w:type="dxa"/>
            <w:vAlign w:val="bottom"/>
          </w:tcPr>
          <w:p>
            <w:pPr>
              <w:spacing w:after="0"/>
              <w:rPr>
                <w:sz w:val="20"/>
                <w:szCs w:val="20"/>
                <w:color w:val="auto"/>
              </w:rPr>
            </w:pPr>
            <w:r>
              <w:rPr>
                <w:rFonts w:ascii="Arial" w:cs="Arial" w:eastAsia="Arial" w:hAnsi="Arial"/>
                <w:sz w:val="18"/>
                <w:szCs w:val="18"/>
                <w:color w:val="auto"/>
              </w:rPr>
              <w:t>Loss from continuing operations attributable to Class A and Common Shares</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(25.1)</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365"/>
        </w:trPr>
        <w:tc>
          <w:tcPr>
            <w:tcW w:w="8740" w:type="dxa"/>
            <w:vAlign w:val="bottom"/>
          </w:tcPr>
          <w:p>
            <w:pPr>
              <w:spacing w:after="0"/>
              <w:rPr>
                <w:sz w:val="20"/>
                <w:szCs w:val="20"/>
                <w:color w:val="auto"/>
              </w:rPr>
            </w:pPr>
            <w:r>
              <w:rPr>
                <w:rFonts w:ascii="Arial" w:cs="Arial" w:eastAsia="Arial" w:hAnsi="Arial"/>
                <w:sz w:val="18"/>
                <w:szCs w:val="18"/>
                <w:color w:val="auto"/>
              </w:rPr>
              <w:t>Loss from discontinued operations attributable to Class A and Common Shares, net of tax</w:t>
            </w:r>
          </w:p>
        </w:tc>
        <w:tc>
          <w:tcPr>
            <w:tcW w:w="46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10"/>
        </w:trPr>
        <w:tc>
          <w:tcPr>
            <w:tcW w:w="87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464"/>
        </w:trPr>
        <w:tc>
          <w:tcPr>
            <w:tcW w:w="8740" w:type="dxa"/>
            <w:vAlign w:val="bottom"/>
          </w:tcPr>
          <w:p>
            <w:pPr>
              <w:spacing w:after="0"/>
              <w:rPr>
                <w:sz w:val="20"/>
                <w:szCs w:val="20"/>
                <w:color w:val="auto"/>
              </w:rPr>
            </w:pPr>
            <w:r>
              <w:rPr>
                <w:rFonts w:ascii="Arial" w:cs="Arial" w:eastAsia="Arial" w:hAnsi="Arial"/>
                <w:sz w:val="18"/>
                <w:szCs w:val="18"/>
                <w:color w:val="auto"/>
              </w:rPr>
              <w:t>Net loss attributable to Class A and Common Shares</w:t>
            </w:r>
          </w:p>
        </w:tc>
        <w:tc>
          <w:tcPr>
            <w:tcW w:w="46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(27.1)</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365"/>
        </w:trPr>
        <w:tc>
          <w:tcPr>
            <w:tcW w:w="8740" w:type="dxa"/>
            <w:vAlign w:val="bottom"/>
          </w:tcPr>
          <w:p>
            <w:pPr>
              <w:spacing w:after="0"/>
              <w:rPr>
                <w:sz w:val="20"/>
                <w:szCs w:val="20"/>
                <w:color w:val="auto"/>
              </w:rPr>
            </w:pPr>
            <w:r>
              <w:rPr>
                <w:rFonts w:ascii="Arial" w:cs="Arial" w:eastAsia="Arial" w:hAnsi="Arial"/>
                <w:sz w:val="18"/>
                <w:szCs w:val="18"/>
                <w:color w:val="auto"/>
                <w:w w:val="97"/>
              </w:rPr>
              <w:t>Weighted average Shares of Class A Stock and Common Stock outstanding for basic loss per share (in millions)</w:t>
            </w:r>
          </w:p>
        </w:tc>
        <w:tc>
          <w:tcPr>
            <w:tcW w:w="460" w:type="dxa"/>
            <w:vAlign w:val="bottom"/>
          </w:tcPr>
          <w:p>
            <w:pPr>
              <w:spacing w:after="0"/>
              <w:rPr>
                <w:sz w:val="24"/>
                <w:szCs w:val="24"/>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31.0</w:t>
            </w:r>
          </w:p>
        </w:tc>
        <w:tc>
          <w:tcPr>
            <w:tcW w:w="38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36.1</w:t>
            </w:r>
          </w:p>
        </w:tc>
      </w:tr>
      <w:tr>
        <w:trPr>
          <w:trHeight w:val="358"/>
        </w:trPr>
        <w:tc>
          <w:tcPr>
            <w:tcW w:w="8740" w:type="dxa"/>
            <w:vAlign w:val="bottom"/>
          </w:tcPr>
          <w:p>
            <w:pPr>
              <w:spacing w:after="0"/>
              <w:rPr>
                <w:sz w:val="20"/>
                <w:szCs w:val="20"/>
                <w:color w:val="auto"/>
              </w:rPr>
            </w:pPr>
            <w:r>
              <w:rPr>
                <w:rFonts w:ascii="Arial" w:cs="Arial" w:eastAsia="Arial" w:hAnsi="Arial"/>
                <w:sz w:val="18"/>
                <w:szCs w:val="18"/>
                <w:color w:val="auto"/>
                <w:w w:val="91"/>
              </w:rPr>
              <w:t>Dilutive effect of Class A Stock and Common Stock potentially issuable pursuant to stock-based compensation plans (in</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millions)</w:t>
            </w:r>
          </w:p>
        </w:tc>
        <w:tc>
          <w:tcPr>
            <w:tcW w:w="46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358"/>
        </w:trPr>
        <w:tc>
          <w:tcPr>
            <w:tcW w:w="8740" w:type="dxa"/>
            <w:vAlign w:val="bottom"/>
          </w:tcPr>
          <w:p>
            <w:pPr>
              <w:spacing w:after="0"/>
              <w:rPr>
                <w:sz w:val="20"/>
                <w:szCs w:val="20"/>
                <w:color w:val="auto"/>
              </w:rPr>
            </w:pPr>
            <w:r>
              <w:rPr>
                <w:rFonts w:ascii="Arial" w:cs="Arial" w:eastAsia="Arial" w:hAnsi="Arial"/>
                <w:sz w:val="18"/>
                <w:szCs w:val="18"/>
                <w:color w:val="auto"/>
                <w:w w:val="96"/>
              </w:rPr>
              <w:t>Adjusted weighted average Shares of Class A Stock and Common Stock outstanding for diluted loss per share (in</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millions)</w:t>
            </w:r>
          </w:p>
        </w:tc>
        <w:tc>
          <w:tcPr>
            <w:tcW w:w="46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352"/>
        </w:trPr>
        <w:tc>
          <w:tcPr>
            <w:tcW w:w="8740" w:type="dxa"/>
            <w:vAlign w:val="bottom"/>
          </w:tcPr>
          <w:p>
            <w:pPr>
              <w:spacing w:after="0"/>
              <w:rPr>
                <w:sz w:val="20"/>
                <w:szCs w:val="20"/>
                <w:color w:val="auto"/>
              </w:rPr>
            </w:pPr>
            <w:r>
              <w:rPr>
                <w:rFonts w:ascii="Arial" w:cs="Arial" w:eastAsia="Arial" w:hAnsi="Arial"/>
                <w:sz w:val="18"/>
                <w:szCs w:val="18"/>
                <w:b w:val="1"/>
                <w:bCs w:val="1"/>
                <w:color w:val="auto"/>
              </w:rPr>
              <w:t>Loss per share of Class A and Common Stock:</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8740" w:type="dxa"/>
            <w:vAlign w:val="bottom"/>
          </w:tcPr>
          <w:p>
            <w:pPr>
              <w:ind w:left="160"/>
              <w:spacing w:after="0"/>
              <w:rPr>
                <w:sz w:val="20"/>
                <w:szCs w:val="20"/>
                <w:color w:val="auto"/>
              </w:rPr>
            </w:pPr>
            <w:r>
              <w:rPr>
                <w:rFonts w:ascii="Arial" w:cs="Arial" w:eastAsia="Arial" w:hAnsi="Arial"/>
                <w:sz w:val="18"/>
                <w:szCs w:val="18"/>
                <w:b w:val="1"/>
                <w:bCs w:val="1"/>
                <w:color w:val="auto"/>
              </w:rPr>
              <w:t>Basic:</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8740" w:type="dxa"/>
            <w:vAlign w:val="bottom"/>
          </w:tcPr>
          <w:p>
            <w:pPr>
              <w:ind w:left="320"/>
              <w:spacing w:after="0"/>
              <w:rPr>
                <w:sz w:val="20"/>
                <w:szCs w:val="20"/>
                <w:color w:val="auto"/>
              </w:rPr>
            </w:pPr>
            <w:r>
              <w:rPr>
                <w:rFonts w:ascii="Arial" w:cs="Arial" w:eastAsia="Arial" w:hAnsi="Arial"/>
                <w:sz w:val="18"/>
                <w:szCs w:val="18"/>
                <w:color w:val="auto"/>
              </w:rPr>
              <w:t>Loss from continuing operations</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(0.81)</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216"/>
        </w:trPr>
        <w:tc>
          <w:tcPr>
            <w:tcW w:w="874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(0.06)</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22"/>
        </w:trPr>
        <w:tc>
          <w:tcPr>
            <w:tcW w:w="8740" w:type="dxa"/>
            <w:vAlign w:val="bottom"/>
          </w:tcPr>
          <w:p>
            <w:pPr>
              <w:ind w:left="320"/>
              <w:spacing w:after="0"/>
              <w:rPr>
                <w:sz w:val="20"/>
                <w:szCs w:val="20"/>
                <w:color w:val="auto"/>
              </w:rPr>
            </w:pPr>
            <w:r>
              <w:rPr>
                <w:rFonts w:ascii="Arial" w:cs="Arial" w:eastAsia="Arial" w:hAnsi="Arial"/>
                <w:sz w:val="18"/>
                <w:szCs w:val="18"/>
                <w:color w:val="auto"/>
              </w:rPr>
              <w:t>Net loss</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(0.87)</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358"/>
        </w:trPr>
        <w:tc>
          <w:tcPr>
            <w:tcW w:w="874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8740" w:type="dxa"/>
            <w:vAlign w:val="bottom"/>
          </w:tcPr>
          <w:p>
            <w:pPr>
              <w:ind w:left="320"/>
              <w:spacing w:after="0"/>
              <w:rPr>
                <w:sz w:val="20"/>
                <w:szCs w:val="20"/>
                <w:color w:val="auto"/>
              </w:rPr>
            </w:pPr>
            <w:r>
              <w:rPr>
                <w:rFonts w:ascii="Arial" w:cs="Arial" w:eastAsia="Arial" w:hAnsi="Arial"/>
                <w:sz w:val="18"/>
                <w:szCs w:val="18"/>
                <w:color w:val="auto"/>
              </w:rPr>
              <w:t>Loss from continuing operations</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(0.81)</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216"/>
        </w:trPr>
        <w:tc>
          <w:tcPr>
            <w:tcW w:w="874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(0.06)</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22"/>
        </w:trPr>
        <w:tc>
          <w:tcPr>
            <w:tcW w:w="8740" w:type="dxa"/>
            <w:vAlign w:val="bottom"/>
          </w:tcPr>
          <w:p>
            <w:pPr>
              <w:ind w:left="320"/>
              <w:spacing w:after="0"/>
              <w:rPr>
                <w:sz w:val="20"/>
                <w:szCs w:val="20"/>
                <w:color w:val="auto"/>
              </w:rPr>
            </w:pPr>
            <w:r>
              <w:rPr>
                <w:rFonts w:ascii="Arial" w:cs="Arial" w:eastAsia="Arial" w:hAnsi="Arial"/>
                <w:sz w:val="18"/>
                <w:szCs w:val="18"/>
                <w:color w:val="auto"/>
              </w:rPr>
              <w:t>Net loss</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(0.87)</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110"/>
        </w:trPr>
        <w:tc>
          <w:tcPr>
            <w:tcW w:w="87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420" w:firstLine="8"/>
        <w:spacing w:after="0" w:line="268" w:lineRule="auto"/>
        <w:tabs>
          <w:tab w:leader="none" w:pos="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three months ended August 31, 2011 and 2010, the Company experienced a loss from continuing operations and therefore did not report any dilutive share impact.</w:t>
      </w:r>
    </w:p>
    <w:p>
      <w:pPr>
        <w:spacing w:after="0" w:line="18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Potentially dilutive options pursuant to compensation plans that were not included in the computation of diluted earnings per share because to do so would have been anti-dilutive were 4.5 million and 5.0 million for the three-month periods ended August 31, 2011 and 2010, respectively. Had the Company reported net income for the three-month periods ended August 31, 2011 and 2010, the dilutive effect for the periods ended August 31, 2011 and 2010 would have been 0.6 million and 0.4 million, respectively. Options outstanding pursuant to compensation plans were 6.0 million and 6.4 million as of August 31, 2011 and 2010, respectively.</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of August 31, 2011, $44.5 remained available for future purchases of common shares under the current repurchase authorization of the Board of Directors. See Note 12, “Treasury Stock,” for a more complete description of the Company’s share buy-back program.</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annually for impairment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36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Three months ended</w:t>
            </w:r>
          </w:p>
        </w:tc>
        <w:tc>
          <w:tcPr>
            <w:tcW w:w="20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w w:val="94"/>
              </w:rPr>
              <w:t>Twelve months ended</w:t>
            </w:r>
          </w:p>
        </w:tc>
        <w:tc>
          <w:tcPr>
            <w:tcW w:w="19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6"/>
              </w:rPr>
              <w:t>Three months ended</w:t>
            </w:r>
          </w:p>
        </w:tc>
      </w:tr>
      <w:tr>
        <w:trPr>
          <w:trHeight w:val="228"/>
        </w:trPr>
        <w:tc>
          <w:tcPr>
            <w:tcW w:w="3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60" w:type="dxa"/>
            <w:vAlign w:val="bottom"/>
          </w:tcPr>
          <w:p>
            <w:pPr>
              <w:jc w:val="right"/>
              <w:ind w:right="332"/>
              <w:spacing w:after="0"/>
              <w:rPr>
                <w:sz w:val="20"/>
                <w:szCs w:val="20"/>
                <w:color w:val="auto"/>
              </w:rPr>
            </w:pPr>
            <w:r>
              <w:rPr>
                <w:rFonts w:ascii="Arial" w:cs="Arial" w:eastAsia="Arial" w:hAnsi="Arial"/>
                <w:sz w:val="18"/>
                <w:szCs w:val="18"/>
                <w:b w:val="1"/>
                <w:bCs w:val="1"/>
                <w:color w:val="auto"/>
                <w:w w:val="88"/>
              </w:rPr>
              <w:t>August 31, 2011</w:t>
            </w:r>
          </w:p>
        </w:tc>
        <w:tc>
          <w:tcPr>
            <w:tcW w:w="360" w:type="dxa"/>
            <w:vAlign w:val="bottom"/>
          </w:tcPr>
          <w:p>
            <w:pPr>
              <w:spacing w:after="0"/>
              <w:rPr>
                <w:sz w:val="19"/>
                <w:szCs w:val="19"/>
                <w:color w:val="auto"/>
              </w:rPr>
            </w:pPr>
          </w:p>
        </w:tc>
        <w:tc>
          <w:tcPr>
            <w:tcW w:w="1700" w:type="dxa"/>
            <w:vAlign w:val="bottom"/>
          </w:tcPr>
          <w:p>
            <w:pPr>
              <w:jc w:val="right"/>
              <w:ind w:right="472"/>
              <w:spacing w:after="0"/>
              <w:rPr>
                <w:sz w:val="20"/>
                <w:szCs w:val="20"/>
                <w:color w:val="auto"/>
              </w:rPr>
            </w:pPr>
            <w:r>
              <w:rPr>
                <w:rFonts w:ascii="Arial" w:cs="Arial" w:eastAsia="Arial" w:hAnsi="Arial"/>
                <w:sz w:val="18"/>
                <w:szCs w:val="18"/>
                <w:b w:val="1"/>
                <w:bCs w:val="1"/>
                <w:color w:val="auto"/>
              </w:rPr>
              <w:t>May 31, 2011</w:t>
            </w:r>
          </w:p>
        </w:tc>
        <w:tc>
          <w:tcPr>
            <w:tcW w:w="280" w:type="dxa"/>
            <w:vAlign w:val="bottom"/>
          </w:tcPr>
          <w:p>
            <w:pPr>
              <w:spacing w:after="0"/>
              <w:rPr>
                <w:sz w:val="19"/>
                <w:szCs w:val="19"/>
                <w:color w:val="auto"/>
              </w:rPr>
            </w:pPr>
          </w:p>
        </w:tc>
        <w:tc>
          <w:tcPr>
            <w:tcW w:w="1620" w:type="dxa"/>
            <w:vAlign w:val="bottom"/>
          </w:tcPr>
          <w:p>
            <w:pPr>
              <w:jc w:val="right"/>
              <w:ind w:right="272"/>
              <w:spacing w:after="0"/>
              <w:rPr>
                <w:sz w:val="20"/>
                <w:szCs w:val="20"/>
                <w:color w:val="auto"/>
              </w:rPr>
            </w:pPr>
            <w:r>
              <w:rPr>
                <w:rFonts w:ascii="Arial" w:cs="Arial" w:eastAsia="Arial" w:hAnsi="Arial"/>
                <w:sz w:val="18"/>
                <w:szCs w:val="18"/>
                <w:b w:val="1"/>
                <w:bCs w:val="1"/>
                <w:color w:val="auto"/>
                <w:w w:val="90"/>
              </w:rPr>
              <w:t>August 31, 2010</w:t>
            </w:r>
          </w:p>
        </w:tc>
      </w:tr>
      <w:tr>
        <w:trPr>
          <w:trHeight w:val="110"/>
        </w:trPr>
        <w:tc>
          <w:tcPr>
            <w:tcW w:w="38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309"/>
        </w:trPr>
        <w:tc>
          <w:tcPr>
            <w:tcW w:w="3820" w:type="dxa"/>
            <w:vAlign w:val="bottom"/>
          </w:tcPr>
          <w:p>
            <w:pPr>
              <w:spacing w:after="0"/>
              <w:rPr>
                <w:sz w:val="20"/>
                <w:szCs w:val="20"/>
                <w:color w:val="auto"/>
              </w:rPr>
            </w:pPr>
            <w:r>
              <w:rPr>
                <w:rFonts w:ascii="Arial" w:cs="Arial" w:eastAsia="Arial" w:hAnsi="Arial"/>
                <w:sz w:val="18"/>
                <w:szCs w:val="18"/>
                <w:color w:val="auto"/>
              </w:rPr>
              <w:t>Gross beginning balance</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175.0</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174.0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174.0</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Accumulated impairment</w:t>
            </w:r>
          </w:p>
        </w:tc>
        <w:tc>
          <w:tcPr>
            <w:tcW w:w="2000" w:type="dxa"/>
            <w:vAlign w:val="bottom"/>
          </w:tcPr>
          <w:p>
            <w:pPr>
              <w:spacing w:after="0"/>
              <w:rPr>
                <w:sz w:val="19"/>
                <w:szCs w:val="19"/>
                <w:color w:val="auto"/>
              </w:rPr>
            </w:pPr>
          </w:p>
        </w:tc>
        <w:tc>
          <w:tcPr>
            <w:tcW w:w="166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9"/>
                <w:szCs w:val="19"/>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110"/>
        </w:trPr>
        <w:tc>
          <w:tcPr>
            <w:tcW w:w="38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458"/>
        </w:trPr>
        <w:tc>
          <w:tcPr>
            <w:tcW w:w="3820" w:type="dxa"/>
            <w:vAlign w:val="bottom"/>
          </w:tcPr>
          <w:p>
            <w:pPr>
              <w:spacing w:after="0"/>
              <w:rPr>
                <w:sz w:val="20"/>
                <w:szCs w:val="20"/>
                <w:color w:val="auto"/>
              </w:rPr>
            </w:pPr>
            <w:r>
              <w:rPr>
                <w:rFonts w:ascii="Arial" w:cs="Arial" w:eastAsia="Arial" w:hAnsi="Arial"/>
                <w:sz w:val="18"/>
                <w:szCs w:val="18"/>
                <w:color w:val="auto"/>
              </w:rPr>
              <w:t>Beginning balance</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154.2</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156.6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156.6</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Additions due to acquisition</w:t>
            </w:r>
          </w:p>
        </w:tc>
        <w:tc>
          <w:tcPr>
            <w:tcW w:w="2000" w:type="dxa"/>
            <w:vAlign w:val="bottom"/>
          </w:tcPr>
          <w:p>
            <w:pPr>
              <w:spacing w:after="0"/>
              <w:rPr>
                <w:sz w:val="18"/>
                <w:szCs w:val="18"/>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Impairment charge</w:t>
            </w:r>
          </w:p>
        </w:tc>
        <w:tc>
          <w:tcPr>
            <w:tcW w:w="2000" w:type="dxa"/>
            <w:vAlign w:val="bottom"/>
          </w:tcPr>
          <w:p>
            <w:pPr>
              <w:spacing w:after="0"/>
              <w:rPr>
                <w:sz w:val="19"/>
                <w:szCs w:val="19"/>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110"/>
        </w:trPr>
        <w:tc>
          <w:tcPr>
            <w:tcW w:w="38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309"/>
        </w:trPr>
        <w:tc>
          <w:tcPr>
            <w:tcW w:w="3820" w:type="dxa"/>
            <w:vAlign w:val="bottom"/>
          </w:tcPr>
          <w:p>
            <w:pPr>
              <w:spacing w:after="0"/>
              <w:rPr>
                <w:sz w:val="20"/>
                <w:szCs w:val="20"/>
                <w:color w:val="auto"/>
              </w:rPr>
            </w:pPr>
            <w:r>
              <w:rPr>
                <w:rFonts w:ascii="Arial" w:cs="Arial" w:eastAsia="Arial" w:hAnsi="Arial"/>
                <w:sz w:val="18"/>
                <w:szCs w:val="18"/>
                <w:color w:val="auto"/>
              </w:rPr>
              <w:t>Gross ending balance</w:t>
            </w:r>
          </w:p>
        </w:tc>
        <w:tc>
          <w:tcPr>
            <w:tcW w:w="2000" w:type="dxa"/>
            <w:vAlign w:val="bottom"/>
          </w:tcPr>
          <w:p>
            <w:pPr>
              <w:spacing w:after="0"/>
              <w:rPr>
                <w:sz w:val="24"/>
                <w:szCs w:val="24"/>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175.0</w:t>
            </w:r>
          </w:p>
        </w:tc>
        <w:tc>
          <w:tcPr>
            <w:tcW w:w="360" w:type="dxa"/>
            <w:vAlign w:val="bottom"/>
          </w:tcPr>
          <w:p>
            <w:pPr>
              <w:spacing w:after="0"/>
              <w:rPr>
                <w:sz w:val="24"/>
                <w:szCs w:val="24"/>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175.0</w:t>
            </w:r>
          </w:p>
        </w:tc>
        <w:tc>
          <w:tcPr>
            <w:tcW w:w="280" w:type="dxa"/>
            <w:vAlign w:val="bottom"/>
          </w:tcPr>
          <w:p>
            <w:pPr>
              <w:spacing w:after="0"/>
              <w:rPr>
                <w:sz w:val="24"/>
                <w:szCs w:val="24"/>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174.0</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Accumulated impairment</w:t>
            </w:r>
          </w:p>
        </w:tc>
        <w:tc>
          <w:tcPr>
            <w:tcW w:w="2000" w:type="dxa"/>
            <w:vAlign w:val="bottom"/>
          </w:tcPr>
          <w:p>
            <w:pPr>
              <w:spacing w:after="0"/>
              <w:rPr>
                <w:sz w:val="19"/>
                <w:szCs w:val="19"/>
                <w:color w:val="auto"/>
              </w:rPr>
            </w:pPr>
          </w:p>
        </w:tc>
        <w:tc>
          <w:tcPr>
            <w:tcW w:w="166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9"/>
                <w:szCs w:val="19"/>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110"/>
        </w:trPr>
        <w:tc>
          <w:tcPr>
            <w:tcW w:w="38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316"/>
        </w:trPr>
        <w:tc>
          <w:tcPr>
            <w:tcW w:w="382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b w:val="1"/>
                <w:bCs w:val="1"/>
                <w:color w:val="auto"/>
              </w:rPr>
              <w:t>154.2</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b w:val="1"/>
                <w:bCs w:val="1"/>
                <w:color w:val="auto"/>
              </w:rPr>
              <w:t>154.2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2"/>
              <w:spacing w:after="0"/>
              <w:rPr>
                <w:sz w:val="20"/>
                <w:szCs w:val="20"/>
                <w:color w:val="auto"/>
              </w:rPr>
            </w:pPr>
            <w:r>
              <w:rPr>
                <w:rFonts w:ascii="Arial" w:cs="Arial" w:eastAsia="Arial" w:hAnsi="Arial"/>
                <w:sz w:val="18"/>
                <w:szCs w:val="18"/>
                <w:b w:val="1"/>
                <w:bCs w:val="1"/>
                <w:color w:val="auto"/>
              </w:rPr>
              <w:t>156.6</w:t>
            </w:r>
          </w:p>
        </w:tc>
      </w:tr>
      <w:tr>
        <w:trPr>
          <w:trHeight w:val="110"/>
        </w:trPr>
        <w:tc>
          <w:tcPr>
            <w:tcW w:w="38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On September 9, 2010, the Company purchased the assets of Math Solutions, an education resources and professional development company focusing on K-12 math instruction, for $8.2, net of cash acquired. The Company has integrated this business with its </w:t>
      </w:r>
      <w:r>
        <w:rPr>
          <w:rFonts w:ascii="Arial" w:cs="Arial" w:eastAsia="Arial" w:hAnsi="Arial"/>
          <w:sz w:val="18"/>
          <w:szCs w:val="18"/>
          <w:i w:val="1"/>
          <w:iCs w:val="1"/>
          <w:color w:val="auto"/>
        </w:rPr>
        <w:t>Educational Technology and Services</w:t>
      </w:r>
      <w:r>
        <w:rPr>
          <w:rFonts w:ascii="Arial" w:cs="Arial" w:eastAsia="Arial" w:hAnsi="Arial"/>
          <w:sz w:val="18"/>
          <w:szCs w:val="18"/>
          <w:color w:val="auto"/>
        </w:rPr>
        <w:t xml:space="preserve"> segment. The Company utilized Level 3 fair value measurement inputs, using its own assumptions, including internally-developed discounted cash flow forecasts, to determine the fair value of the assets acquired and the amount of goodwill to be allocated to the Math Solutions business. As a result, the Company recognized $0.8 of goodwill and $5.6 of amortizable intangible assets. In the second quarter of fiscal 2011, the Company also recognized $0.2 of goodwill associated with a previously acquired international entity.</w:t>
      </w:r>
    </w:p>
    <w:p>
      <w:pPr>
        <w:spacing w:after="0" w:line="19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As of May 31, 2011, the Company determined the carrying value of its Scholastic Library Publishing and Classroom Magazines business within the </w:t>
      </w:r>
      <w:r>
        <w:rPr>
          <w:rFonts w:ascii="Arial" w:cs="Arial" w:eastAsia="Arial" w:hAnsi="Arial"/>
          <w:sz w:val="18"/>
          <w:szCs w:val="18"/>
          <w:i w:val="1"/>
          <w:iCs w:val="1"/>
          <w:color w:val="auto"/>
        </w:rPr>
        <w:t>Classroom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Supplemental Materials Publishing </w:t>
      </w:r>
      <w:r>
        <w:rPr>
          <w:rFonts w:ascii="Arial" w:cs="Arial" w:eastAsia="Arial" w:hAnsi="Arial"/>
          <w:sz w:val="18"/>
          <w:szCs w:val="18"/>
          <w:color w:val="auto"/>
        </w:rPr>
        <w:t>segment exceeded the fair value of this reporting unit. The Company employed internally-developed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forecasts and market comparisons to determine the fair value of the reporting unit and the implied fair value of the reporting unit’s assets and liabilities. Accordingly, the Company recognized an impairment charge of $3.4 at May 31, 2011.</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Other intangibles subject to amortization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Three months ended</w:t>
            </w:r>
          </w:p>
        </w:tc>
        <w:tc>
          <w:tcPr>
            <w:tcW w:w="20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w w:val="94"/>
              </w:rPr>
              <w:t>Twelve months ended</w:t>
            </w:r>
          </w:p>
        </w:tc>
        <w:tc>
          <w:tcPr>
            <w:tcW w:w="19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6"/>
              </w:rPr>
              <w:t>Three months ended</w:t>
            </w:r>
          </w:p>
        </w:tc>
      </w:tr>
      <w:tr>
        <w:trPr>
          <w:trHeight w:val="228"/>
        </w:trPr>
        <w:tc>
          <w:tcPr>
            <w:tcW w:w="5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ind w:right="332"/>
              <w:spacing w:after="0"/>
              <w:rPr>
                <w:sz w:val="20"/>
                <w:szCs w:val="20"/>
                <w:color w:val="auto"/>
              </w:rPr>
            </w:pPr>
            <w:r>
              <w:rPr>
                <w:rFonts w:ascii="Arial" w:cs="Arial" w:eastAsia="Arial" w:hAnsi="Arial"/>
                <w:sz w:val="18"/>
                <w:szCs w:val="18"/>
                <w:b w:val="1"/>
                <w:bCs w:val="1"/>
                <w:color w:val="auto"/>
                <w:w w:val="88"/>
              </w:rPr>
              <w:t>August 31, 2011</w:t>
            </w:r>
          </w:p>
        </w:tc>
        <w:tc>
          <w:tcPr>
            <w:tcW w:w="360" w:type="dxa"/>
            <w:vAlign w:val="bottom"/>
          </w:tcPr>
          <w:p>
            <w:pPr>
              <w:spacing w:after="0"/>
              <w:rPr>
                <w:sz w:val="19"/>
                <w:szCs w:val="19"/>
                <w:color w:val="auto"/>
              </w:rPr>
            </w:pPr>
          </w:p>
        </w:tc>
        <w:tc>
          <w:tcPr>
            <w:tcW w:w="1700" w:type="dxa"/>
            <w:vAlign w:val="bottom"/>
          </w:tcPr>
          <w:p>
            <w:pPr>
              <w:jc w:val="right"/>
              <w:ind w:right="472"/>
              <w:spacing w:after="0"/>
              <w:rPr>
                <w:sz w:val="20"/>
                <w:szCs w:val="20"/>
                <w:color w:val="auto"/>
              </w:rPr>
            </w:pPr>
            <w:r>
              <w:rPr>
                <w:rFonts w:ascii="Arial" w:cs="Arial" w:eastAsia="Arial" w:hAnsi="Arial"/>
                <w:sz w:val="18"/>
                <w:szCs w:val="18"/>
                <w:b w:val="1"/>
                <w:bCs w:val="1"/>
                <w:color w:val="auto"/>
              </w:rPr>
              <w:t>May 31, 2011</w:t>
            </w:r>
          </w:p>
        </w:tc>
        <w:tc>
          <w:tcPr>
            <w:tcW w:w="280" w:type="dxa"/>
            <w:vAlign w:val="bottom"/>
          </w:tcPr>
          <w:p>
            <w:pPr>
              <w:spacing w:after="0"/>
              <w:rPr>
                <w:sz w:val="19"/>
                <w:szCs w:val="19"/>
                <w:color w:val="auto"/>
              </w:rPr>
            </w:pPr>
          </w:p>
        </w:tc>
        <w:tc>
          <w:tcPr>
            <w:tcW w:w="1620" w:type="dxa"/>
            <w:vAlign w:val="bottom"/>
          </w:tcPr>
          <w:p>
            <w:pPr>
              <w:jc w:val="right"/>
              <w:ind w:right="272"/>
              <w:spacing w:after="0"/>
              <w:rPr>
                <w:sz w:val="20"/>
                <w:szCs w:val="20"/>
                <w:color w:val="auto"/>
              </w:rPr>
            </w:pPr>
            <w:r>
              <w:rPr>
                <w:rFonts w:ascii="Arial" w:cs="Arial" w:eastAsia="Arial" w:hAnsi="Arial"/>
                <w:sz w:val="18"/>
                <w:szCs w:val="18"/>
                <w:b w:val="1"/>
                <w:bCs w:val="1"/>
                <w:color w:val="auto"/>
                <w:w w:val="90"/>
              </w:rPr>
              <w:t>August 31, 2010</w:t>
            </w:r>
          </w:p>
        </w:tc>
      </w:tr>
      <w:tr>
        <w:trPr>
          <w:trHeight w:val="110"/>
        </w:trPr>
        <w:tc>
          <w:tcPr>
            <w:tcW w:w="5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458"/>
        </w:trPr>
        <w:tc>
          <w:tcPr>
            <w:tcW w:w="5440" w:type="dxa"/>
            <w:vAlign w:val="bottom"/>
          </w:tcPr>
          <w:p>
            <w:pPr>
              <w:spacing w:after="0"/>
              <w:rPr>
                <w:sz w:val="20"/>
                <w:szCs w:val="20"/>
                <w:color w:val="auto"/>
              </w:rPr>
            </w:pPr>
            <w:r>
              <w:rPr>
                <w:rFonts w:ascii="Arial" w:cs="Arial" w:eastAsia="Arial" w:hAnsi="Arial"/>
                <w:sz w:val="18"/>
                <w:szCs w:val="18"/>
                <w:color w:val="auto"/>
              </w:rPr>
              <w:t>Beginning balance - Customer lists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0.8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Amortization expense</w:t>
            </w:r>
          </w:p>
        </w:tc>
        <w:tc>
          <w:tcPr>
            <w:tcW w:w="380" w:type="dxa"/>
            <w:vAlign w:val="bottom"/>
          </w:tcPr>
          <w:p>
            <w:pPr>
              <w:spacing w:after="0"/>
              <w:rPr>
                <w:sz w:val="18"/>
                <w:szCs w:val="18"/>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19"/>
                <w:szCs w:val="19"/>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9"/>
                <w:szCs w:val="19"/>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0.1</w:t>
            </w:r>
          </w:p>
        </w:tc>
      </w:tr>
      <w:tr>
        <w:trPr>
          <w:trHeight w:val="110"/>
        </w:trPr>
        <w:tc>
          <w:tcPr>
            <w:tcW w:w="5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309"/>
        </w:trPr>
        <w:tc>
          <w:tcPr>
            <w:tcW w:w="5440" w:type="dxa"/>
            <w:vAlign w:val="bottom"/>
          </w:tcPr>
          <w:p>
            <w:pPr>
              <w:spacing w:after="0"/>
              <w:rPr>
                <w:sz w:val="20"/>
                <w:szCs w:val="20"/>
                <w:color w:val="auto"/>
              </w:rPr>
            </w:pPr>
            <w:r>
              <w:rPr>
                <w:rFonts w:ascii="Arial" w:cs="Arial" w:eastAsia="Arial" w:hAnsi="Arial"/>
                <w:sz w:val="18"/>
                <w:szCs w:val="18"/>
                <w:color w:val="auto"/>
                <w:w w:val="96"/>
              </w:rPr>
              <w:t>Customer lists, net of accumulated amortization of $1.1, $1.1 and $1.0,</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544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0.8</w:t>
            </w:r>
          </w:p>
        </w:tc>
      </w:tr>
      <w:tr>
        <w:trPr>
          <w:trHeight w:val="110"/>
        </w:trPr>
        <w:tc>
          <w:tcPr>
            <w:tcW w:w="5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458"/>
        </w:trPr>
        <w:tc>
          <w:tcPr>
            <w:tcW w:w="5440" w:type="dxa"/>
            <w:vAlign w:val="bottom"/>
          </w:tcPr>
          <w:p>
            <w:pPr>
              <w:spacing w:after="0"/>
              <w:rPr>
                <w:sz w:val="20"/>
                <w:szCs w:val="20"/>
                <w:color w:val="auto"/>
              </w:rPr>
            </w:pPr>
            <w:r>
              <w:rPr>
                <w:rFonts w:ascii="Arial" w:cs="Arial" w:eastAsia="Arial" w:hAnsi="Arial"/>
                <w:sz w:val="18"/>
                <w:szCs w:val="18"/>
                <w:color w:val="auto"/>
              </w:rPr>
              <w:t>Beginning balance - Other intangibles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17.3</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Additions due to acquisition</w:t>
            </w:r>
          </w:p>
        </w:tc>
        <w:tc>
          <w:tcPr>
            <w:tcW w:w="380" w:type="dxa"/>
            <w:vAlign w:val="bottom"/>
          </w:tcPr>
          <w:p>
            <w:pPr>
              <w:spacing w:after="0"/>
              <w:rPr>
                <w:sz w:val="18"/>
                <w:szCs w:val="18"/>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Reclassified from indefinite-lived intangible assets</w:t>
            </w:r>
          </w:p>
        </w:tc>
        <w:tc>
          <w:tcPr>
            <w:tcW w:w="380" w:type="dxa"/>
            <w:vAlign w:val="bottom"/>
          </w:tcPr>
          <w:p>
            <w:pPr>
              <w:spacing w:after="0"/>
              <w:rPr>
                <w:sz w:val="18"/>
                <w:szCs w:val="18"/>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Amortization expense</w:t>
            </w:r>
          </w:p>
        </w:tc>
        <w:tc>
          <w:tcPr>
            <w:tcW w:w="380" w:type="dxa"/>
            <w:vAlign w:val="bottom"/>
          </w:tcPr>
          <w:p>
            <w:pPr>
              <w:spacing w:after="0"/>
              <w:rPr>
                <w:sz w:val="19"/>
                <w:szCs w:val="19"/>
                <w:color w:val="auto"/>
              </w:rPr>
            </w:pPr>
          </w:p>
        </w:tc>
        <w:tc>
          <w:tcPr>
            <w:tcW w:w="166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110"/>
        </w:trPr>
        <w:tc>
          <w:tcPr>
            <w:tcW w:w="5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309"/>
        </w:trPr>
        <w:tc>
          <w:tcPr>
            <w:tcW w:w="5440" w:type="dxa"/>
            <w:vAlign w:val="bottom"/>
          </w:tcPr>
          <w:p>
            <w:pPr>
              <w:spacing w:after="0"/>
              <w:rPr>
                <w:sz w:val="20"/>
                <w:szCs w:val="20"/>
                <w:color w:val="auto"/>
              </w:rPr>
            </w:pPr>
            <w:r>
              <w:rPr>
                <w:rFonts w:ascii="Arial" w:cs="Arial" w:eastAsia="Arial" w:hAnsi="Arial"/>
                <w:sz w:val="18"/>
                <w:szCs w:val="18"/>
                <w:color w:val="auto"/>
                <w:w w:val="92"/>
              </w:rPr>
              <w:t>Other intangibles, net of accumulated amortization of $4.5, $4.2 and $3.1,</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544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16.9</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2.1</w:t>
            </w:r>
          </w:p>
        </w:tc>
      </w:tr>
      <w:tr>
        <w:trPr>
          <w:trHeight w:val="110"/>
        </w:trPr>
        <w:tc>
          <w:tcPr>
            <w:tcW w:w="5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358"/>
        </w:trPr>
        <w:tc>
          <w:tcPr>
            <w:tcW w:w="54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r>
      <w:tr>
        <w:trPr>
          <w:trHeight w:val="316"/>
        </w:trPr>
        <w:tc>
          <w:tcPr>
            <w:tcW w:w="5440" w:type="dxa"/>
            <w:vAlign w:val="bottom"/>
          </w:tcPr>
          <w:p>
            <w:pPr>
              <w:spacing w:after="0"/>
              <w:rPr>
                <w:sz w:val="20"/>
                <w:szCs w:val="20"/>
                <w:color w:val="auto"/>
              </w:rPr>
            </w:pPr>
            <w:r>
              <w:rPr>
                <w:rFonts w:ascii="Arial" w:cs="Arial" w:eastAsia="Arial" w:hAnsi="Arial"/>
                <w:sz w:val="18"/>
                <w:szCs w:val="18"/>
                <w:b w:val="1"/>
                <w:bCs w:val="1"/>
                <w:color w:val="auto"/>
              </w:rPr>
              <w:t>Total other intangibles subject to amortization</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112"/>
              <w:spacing w:after="0"/>
              <w:rPr>
                <w:sz w:val="20"/>
                <w:szCs w:val="20"/>
                <w:color w:val="auto"/>
              </w:rPr>
            </w:pPr>
            <w:r>
              <w:rPr>
                <w:rFonts w:ascii="Arial" w:cs="Arial" w:eastAsia="Arial" w:hAnsi="Arial"/>
                <w:sz w:val="18"/>
                <w:szCs w:val="18"/>
                <w:b w:val="1"/>
                <w:bCs w:val="1"/>
                <w:color w:val="auto"/>
              </w:rPr>
              <w:t>17.6</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112"/>
              <w:spacing w:after="0"/>
              <w:rPr>
                <w:sz w:val="20"/>
                <w:szCs w:val="20"/>
                <w:color w:val="auto"/>
              </w:rPr>
            </w:pPr>
            <w:r>
              <w:rPr>
                <w:rFonts w:ascii="Arial" w:cs="Arial" w:eastAsia="Arial" w:hAnsi="Arial"/>
                <w:sz w:val="18"/>
                <w:szCs w:val="18"/>
                <w:b w:val="1"/>
                <w:bCs w:val="1"/>
                <w:color w:val="auto"/>
              </w:rPr>
              <w:t>18.0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2"/>
              <w:spacing w:after="0"/>
              <w:rPr>
                <w:sz w:val="20"/>
                <w:szCs w:val="20"/>
                <w:color w:val="auto"/>
              </w:rPr>
            </w:pPr>
            <w:r>
              <w:rPr>
                <w:rFonts w:ascii="Arial" w:cs="Arial" w:eastAsia="Arial" w:hAnsi="Arial"/>
                <w:sz w:val="18"/>
                <w:szCs w:val="18"/>
                <w:b w:val="1"/>
                <w:bCs w:val="1"/>
                <w:color w:val="auto"/>
              </w:rPr>
              <w:t>2.9</w:t>
            </w:r>
          </w:p>
        </w:tc>
      </w:tr>
      <w:tr>
        <w:trPr>
          <w:trHeight w:val="110"/>
        </w:trPr>
        <w:tc>
          <w:tcPr>
            <w:tcW w:w="5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Amortization expense for Other intangibles totaled $0.4 for the three months ended August 31, 2011, $1.4 for the twelve months ended May 31, 2011, and $0.2 for the three months ended August 31, 2010. Intangible assets with definite lives consist principally of customer lists and covenants not to compete. Intangible assets with definite lives are amortized over their estimated useful lives. The average remaining useful lives of all amortizable intangible assets is 7 years.</w:t>
      </w:r>
    </w:p>
    <w:p>
      <w:pPr>
        <w:spacing w:after="0" w:line="14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fiscal 2011, the Company recognized $5.6 of amortizable intangible assets as a result of the Math Solutions acquisition. The Company utilized Level 3 fair value measurement inputs, using its own assumptions including internally-developed discounted cash flow forecasts and market comparisons, to determine the fair value of the intangible assets acquired.</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540" w:type="dxa"/>
            <w:vAlign w:val="bottom"/>
          </w:tcPr>
          <w:p>
            <w:pPr>
              <w:jc w:val="right"/>
              <w:ind w:right="232"/>
              <w:spacing w:after="0"/>
              <w:rPr>
                <w:sz w:val="20"/>
                <w:szCs w:val="20"/>
                <w:color w:val="auto"/>
              </w:rPr>
            </w:pPr>
            <w:r>
              <w:rPr>
                <w:rFonts w:ascii="Arial" w:cs="Arial" w:eastAsia="Arial" w:hAnsi="Arial"/>
                <w:sz w:val="18"/>
                <w:szCs w:val="18"/>
                <w:b w:val="1"/>
                <w:bCs w:val="1"/>
                <w:color w:val="auto"/>
                <w:w w:val="87"/>
              </w:rPr>
              <w:t>August 31, 2011</w:t>
            </w:r>
          </w:p>
        </w:tc>
        <w:tc>
          <w:tcPr>
            <w:tcW w:w="340" w:type="dxa"/>
            <w:vAlign w:val="bottom"/>
          </w:tcPr>
          <w:p>
            <w:pPr>
              <w:spacing w:after="0"/>
              <w:rPr>
                <w:sz w:val="19"/>
                <w:szCs w:val="19"/>
                <w:color w:val="auto"/>
              </w:rPr>
            </w:pPr>
          </w:p>
        </w:tc>
        <w:tc>
          <w:tcPr>
            <w:tcW w:w="1500" w:type="dxa"/>
            <w:vAlign w:val="bottom"/>
          </w:tcPr>
          <w:p>
            <w:pPr>
              <w:jc w:val="right"/>
              <w:ind w:right="332"/>
              <w:spacing w:after="0"/>
              <w:rPr>
                <w:sz w:val="20"/>
                <w:szCs w:val="20"/>
                <w:color w:val="auto"/>
              </w:rPr>
            </w:pPr>
            <w:r>
              <w:rPr>
                <w:rFonts w:ascii="Arial" w:cs="Arial" w:eastAsia="Arial" w:hAnsi="Arial"/>
                <w:sz w:val="18"/>
                <w:szCs w:val="18"/>
                <w:b w:val="1"/>
                <w:bCs w:val="1"/>
                <w:color w:val="auto"/>
                <w:w w:val="96"/>
              </w:rPr>
              <w:t>May 31, 2011</w:t>
            </w:r>
          </w:p>
        </w:tc>
        <w:tc>
          <w:tcPr>
            <w:tcW w:w="280" w:type="dxa"/>
            <w:vAlign w:val="bottom"/>
          </w:tcPr>
          <w:p>
            <w:pPr>
              <w:spacing w:after="0"/>
              <w:rPr>
                <w:sz w:val="19"/>
                <w:szCs w:val="19"/>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b w:val="1"/>
                <w:bCs w:val="1"/>
                <w:color w:val="auto"/>
                <w:w w:val="88"/>
              </w:rPr>
              <w:t>August 31, 2010</w:t>
            </w:r>
          </w:p>
        </w:tc>
      </w:tr>
      <w:tr>
        <w:trPr>
          <w:trHeight w:val="110"/>
        </w:trPr>
        <w:tc>
          <w:tcPr>
            <w:tcW w:w="42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8"/>
                <w:szCs w:val="18"/>
                <w:color w:val="auto"/>
              </w:rPr>
              <w:t>Net carrying value by major class:</w:t>
            </w:r>
          </w:p>
        </w:tc>
        <w:tc>
          <w:tcPr>
            <w:tcW w:w="1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2"/>
        </w:trPr>
        <w:tc>
          <w:tcPr>
            <w:tcW w:w="4280" w:type="dxa"/>
            <w:vAlign w:val="bottom"/>
          </w:tcPr>
          <w:p>
            <w:pPr>
              <w:ind w:left="160"/>
              <w:spacing w:after="0"/>
              <w:rPr>
                <w:sz w:val="20"/>
                <w:szCs w:val="20"/>
                <w:color w:val="auto"/>
              </w:rPr>
            </w:pPr>
            <w:r>
              <w:rPr>
                <w:rFonts w:ascii="Arial" w:cs="Arial" w:eastAsia="Arial" w:hAnsi="Arial"/>
                <w:sz w:val="18"/>
                <w:szCs w:val="18"/>
                <w:color w:val="auto"/>
              </w:rPr>
              <w:t>Trademarks and Other</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12.5</w:t>
            </w:r>
          </w:p>
        </w:tc>
      </w:tr>
      <w:tr>
        <w:trPr>
          <w:trHeight w:val="110"/>
        </w:trPr>
        <w:tc>
          <w:tcPr>
            <w:tcW w:w="42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r>
        <w:trPr>
          <w:trHeight w:val="316"/>
        </w:trPr>
        <w:tc>
          <w:tcPr>
            <w:tcW w:w="4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72"/>
              <w:spacing w:after="0"/>
              <w:rPr>
                <w:sz w:val="20"/>
                <w:szCs w:val="20"/>
                <w:color w:val="auto"/>
              </w:rPr>
            </w:pPr>
            <w:r>
              <w:rPr>
                <w:rFonts w:ascii="Arial" w:cs="Arial" w:eastAsia="Arial" w:hAnsi="Arial"/>
                <w:sz w:val="18"/>
                <w:szCs w:val="18"/>
                <w:b w:val="1"/>
                <w:bCs w:val="1"/>
                <w:color w:val="auto"/>
              </w:rPr>
              <w:t>1.8</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52"/>
              <w:spacing w:after="0"/>
              <w:rPr>
                <w:sz w:val="20"/>
                <w:szCs w:val="20"/>
                <w:color w:val="auto"/>
              </w:rPr>
            </w:pPr>
            <w:r>
              <w:rPr>
                <w:rFonts w:ascii="Arial" w:cs="Arial" w:eastAsia="Arial" w:hAnsi="Arial"/>
                <w:sz w:val="18"/>
                <w:szCs w:val="18"/>
                <w:b w:val="1"/>
                <w:bCs w:val="1"/>
                <w:color w:val="auto"/>
              </w:rPr>
              <w:t>12.5</w:t>
            </w:r>
          </w:p>
        </w:tc>
      </w:tr>
      <w:tr>
        <w:trPr>
          <w:trHeight w:val="110"/>
        </w:trPr>
        <w:tc>
          <w:tcPr>
            <w:tcW w:w="42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31"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Included in “Other assets and deferred charges” on the Company’s condensed consolidated balance sheets were investments of $21.2, $20.4 and $21.7 at August 31, 2011, May 31, 2011 and August 31, 2010, respectively.</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owns non-controlling interests in a book distribution business located in the United Kingdom. In fiscal 2011, the Company determined that these assets were other than temporarily impaired. The Company employed Level 3 fair value measures, including discounted cash flow projections, and recognized an impairment loss of $3.6. The carrying value of these assets was $5.7 as of August 31, 2011.</w:t>
      </w:r>
    </w:p>
    <w:p>
      <w:pPr>
        <w:spacing w:after="0" w:line="194"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In fiscal 2007, the Company participated in the organization of a new entity that produces and distributes educational children’s television programming. Since inception in August 2006, the Company has contributed a total of $6.0 in cash and certain rights to existing television programming. The Company’s investment, which consists of a 12.25% equity interest, is accounted for using the equity method of accounting. The net value of this investment at August 31, 2011 was $1.3.</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Company’s 26.2% non-controlling interest in a children’s book publishing business located in the UK is accounted for using the equity method of accounting.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net value of this investment at August 31, 2011 was $14.2.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Income from equity joint ventures totaled $0.4 and $0.3 for the three months ended August 31, 2011 and 2010,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40" w:type="dxa"/>
            <w:vAlign w:val="bottom"/>
          </w:tcPr>
          <w:p>
            <w:pPr>
              <w:jc w:val="right"/>
              <w:ind w:right="232"/>
              <w:spacing w:after="0"/>
              <w:rPr>
                <w:sz w:val="20"/>
                <w:szCs w:val="20"/>
                <w:color w:val="auto"/>
              </w:rPr>
            </w:pPr>
            <w:r>
              <w:rPr>
                <w:rFonts w:ascii="Arial" w:cs="Arial" w:eastAsia="Arial" w:hAnsi="Arial"/>
                <w:sz w:val="18"/>
                <w:szCs w:val="18"/>
                <w:b w:val="1"/>
                <w:bCs w:val="1"/>
                <w:color w:val="auto"/>
                <w:w w:val="87"/>
              </w:rPr>
              <w:t>August 31, 2011</w:t>
            </w:r>
          </w:p>
        </w:tc>
        <w:tc>
          <w:tcPr>
            <w:tcW w:w="340" w:type="dxa"/>
            <w:vAlign w:val="bottom"/>
          </w:tcPr>
          <w:p>
            <w:pPr>
              <w:spacing w:after="0"/>
              <w:rPr>
                <w:sz w:val="19"/>
                <w:szCs w:val="19"/>
                <w:color w:val="auto"/>
              </w:rPr>
            </w:pPr>
          </w:p>
        </w:tc>
        <w:tc>
          <w:tcPr>
            <w:tcW w:w="1500" w:type="dxa"/>
            <w:vAlign w:val="bottom"/>
          </w:tcPr>
          <w:p>
            <w:pPr>
              <w:jc w:val="right"/>
              <w:ind w:right="332"/>
              <w:spacing w:after="0"/>
              <w:rPr>
                <w:sz w:val="20"/>
                <w:szCs w:val="20"/>
                <w:color w:val="auto"/>
              </w:rPr>
            </w:pPr>
            <w:r>
              <w:rPr>
                <w:rFonts w:ascii="Arial" w:cs="Arial" w:eastAsia="Arial" w:hAnsi="Arial"/>
                <w:sz w:val="18"/>
                <w:szCs w:val="18"/>
                <w:b w:val="1"/>
                <w:bCs w:val="1"/>
                <w:color w:val="auto"/>
                <w:w w:val="96"/>
              </w:rPr>
              <w:t>May 31, 2011</w:t>
            </w:r>
          </w:p>
        </w:tc>
        <w:tc>
          <w:tcPr>
            <w:tcW w:w="280" w:type="dxa"/>
            <w:vAlign w:val="bottom"/>
          </w:tcPr>
          <w:p>
            <w:pPr>
              <w:spacing w:after="0"/>
              <w:rPr>
                <w:sz w:val="19"/>
                <w:szCs w:val="19"/>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b w:val="1"/>
                <w:bCs w:val="1"/>
                <w:color w:val="auto"/>
                <w:w w:val="88"/>
              </w:rPr>
              <w:t>August 31, 2010</w:t>
            </w:r>
          </w:p>
        </w:tc>
      </w:tr>
      <w:tr>
        <w:trPr>
          <w:trHeight w:val="110"/>
        </w:trPr>
        <w:tc>
          <w:tcPr>
            <w:tcW w:w="430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r>
        <w:trPr>
          <w:trHeight w:val="309"/>
        </w:trPr>
        <w:tc>
          <w:tcPr>
            <w:tcW w:w="4300" w:type="dxa"/>
            <w:vAlign w:val="bottom"/>
          </w:tcPr>
          <w:p>
            <w:pPr>
              <w:ind w:left="160"/>
              <w:spacing w:after="0"/>
              <w:rPr>
                <w:sz w:val="20"/>
                <w:szCs w:val="20"/>
                <w:color w:val="auto"/>
              </w:rPr>
            </w:pPr>
            <w:r>
              <w:rPr>
                <w:rFonts w:ascii="Arial" w:cs="Arial" w:eastAsia="Arial" w:hAnsi="Arial"/>
                <w:sz w:val="18"/>
                <w:szCs w:val="18"/>
                <w:color w:val="auto"/>
              </w:rPr>
              <w:t>Cost method investments:</w:t>
            </w:r>
          </w:p>
        </w:tc>
        <w:tc>
          <w:tcPr>
            <w:tcW w:w="1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2"/>
        </w:trPr>
        <w:tc>
          <w:tcPr>
            <w:tcW w:w="4300" w:type="dxa"/>
            <w:vAlign w:val="bottom"/>
          </w:tcPr>
          <w:p>
            <w:pPr>
              <w:ind w:left="160"/>
              <w:spacing w:after="0"/>
              <w:rPr>
                <w:sz w:val="20"/>
                <w:szCs w:val="20"/>
                <w:color w:val="auto"/>
              </w:rPr>
            </w:pPr>
            <w:r>
              <w:rPr>
                <w:rFonts w:ascii="Arial" w:cs="Arial" w:eastAsia="Arial" w:hAnsi="Arial"/>
                <w:sz w:val="18"/>
                <w:szCs w:val="18"/>
                <w:color w:val="auto"/>
              </w:rPr>
              <w:t>UK - based</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5.7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9.1</w:t>
            </w:r>
          </w:p>
        </w:tc>
      </w:tr>
      <w:tr>
        <w:trPr>
          <w:trHeight w:val="110"/>
        </w:trPr>
        <w:tc>
          <w:tcPr>
            <w:tcW w:w="430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r>
        <w:trPr>
          <w:trHeight w:val="316"/>
        </w:trPr>
        <w:tc>
          <w:tcPr>
            <w:tcW w:w="4300" w:type="dxa"/>
            <w:vAlign w:val="bottom"/>
          </w:tcPr>
          <w:p>
            <w:pPr>
              <w:ind w:left="160"/>
              <w:spacing w:after="0"/>
              <w:rPr>
                <w:sz w:val="20"/>
                <w:szCs w:val="20"/>
                <w:color w:val="auto"/>
              </w:rPr>
            </w:pPr>
            <w:r>
              <w:rPr>
                <w:rFonts w:ascii="Arial" w:cs="Arial" w:eastAsia="Arial" w:hAnsi="Arial"/>
                <w:sz w:val="18"/>
                <w:szCs w:val="18"/>
                <w:color w:val="auto"/>
              </w:rPr>
              <w:t>Total cost method investments</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5.7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9.1</w:t>
            </w:r>
          </w:p>
        </w:tc>
      </w:tr>
      <w:tr>
        <w:trPr>
          <w:trHeight w:val="110"/>
        </w:trPr>
        <w:tc>
          <w:tcPr>
            <w:tcW w:w="430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r>
        <w:trPr>
          <w:trHeight w:val="458"/>
        </w:trPr>
        <w:tc>
          <w:tcPr>
            <w:tcW w:w="430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1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UK - based</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14.2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11.7</w:t>
            </w:r>
          </w:p>
        </w:tc>
      </w:tr>
      <w:tr>
        <w:trPr>
          <w:trHeight w:val="222"/>
        </w:trPr>
        <w:tc>
          <w:tcPr>
            <w:tcW w:w="4300" w:type="dxa"/>
            <w:vAlign w:val="bottom"/>
          </w:tcPr>
          <w:p>
            <w:pPr>
              <w:ind w:left="160"/>
              <w:spacing w:after="0"/>
              <w:rPr>
                <w:sz w:val="20"/>
                <w:szCs w:val="20"/>
                <w:color w:val="auto"/>
              </w:rPr>
            </w:pPr>
            <w:r>
              <w:rPr>
                <w:rFonts w:ascii="Arial" w:cs="Arial" w:eastAsia="Arial" w:hAnsi="Arial"/>
                <w:sz w:val="18"/>
                <w:szCs w:val="18"/>
                <w:color w:val="auto"/>
              </w:rPr>
              <w:t>U.S. - based</w:t>
            </w:r>
          </w:p>
        </w:tc>
        <w:tc>
          <w:tcPr>
            <w:tcW w:w="1940" w:type="dxa"/>
            <w:vAlign w:val="bottom"/>
          </w:tcPr>
          <w:p>
            <w:pPr>
              <w:spacing w:after="0"/>
              <w:rPr>
                <w:sz w:val="19"/>
                <w:szCs w:val="19"/>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0.9</w:t>
            </w:r>
          </w:p>
        </w:tc>
      </w:tr>
      <w:tr>
        <w:trPr>
          <w:trHeight w:val="110"/>
        </w:trPr>
        <w:tc>
          <w:tcPr>
            <w:tcW w:w="430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r>
        <w:trPr>
          <w:trHeight w:val="316"/>
        </w:trPr>
        <w:tc>
          <w:tcPr>
            <w:tcW w:w="4300" w:type="dxa"/>
            <w:vAlign w:val="bottom"/>
          </w:tcPr>
          <w:p>
            <w:pPr>
              <w:ind w:left="160"/>
              <w:spacing w:after="0"/>
              <w:rPr>
                <w:sz w:val="20"/>
                <w:szCs w:val="20"/>
                <w:color w:val="auto"/>
              </w:rPr>
            </w:pPr>
            <w:r>
              <w:rPr>
                <w:rFonts w:ascii="Arial" w:cs="Arial" w:eastAsia="Arial" w:hAnsi="Arial"/>
                <w:sz w:val="18"/>
                <w:szCs w:val="18"/>
                <w:color w:val="auto"/>
              </w:rPr>
              <w:t>Total equity method investments</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15.5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12.6</w:t>
            </w:r>
          </w:p>
        </w:tc>
      </w:tr>
      <w:tr>
        <w:trPr>
          <w:trHeight w:val="110"/>
        </w:trPr>
        <w:tc>
          <w:tcPr>
            <w:tcW w:w="430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7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21.2</w:t>
            </w:r>
          </w:p>
        </w:tc>
        <w:tc>
          <w:tcPr>
            <w:tcW w:w="80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20.4</w:t>
            </w:r>
          </w:p>
        </w:tc>
        <w:tc>
          <w:tcPr>
            <w:tcW w:w="820" w:type="dxa"/>
            <w:vAlign w:val="bottom"/>
          </w:tcPr>
          <w:p>
            <w:pPr>
              <w:jc w:val="right"/>
              <w:ind w:right="47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21.7</w:t>
            </w:r>
          </w:p>
        </w:tc>
      </w:tr>
      <w:tr>
        <w:trPr>
          <w:trHeight w:val="134"/>
        </w:trPr>
        <w:tc>
          <w:tcPr>
            <w:tcW w:w="30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r>
      <w:tr>
        <w:trPr>
          <w:trHeight w:val="535"/>
        </w:trPr>
        <w:tc>
          <w:tcPr>
            <w:tcW w:w="3000" w:type="dxa"/>
            <w:vAlign w:val="bottom"/>
          </w:tcPr>
          <w:p>
            <w:pPr>
              <w:spacing w:after="0"/>
              <w:rPr>
                <w:sz w:val="24"/>
                <w:szCs w:val="24"/>
                <w:color w:val="auto"/>
              </w:rPr>
            </w:pPr>
          </w:p>
        </w:tc>
        <w:tc>
          <w:tcPr>
            <w:tcW w:w="3760" w:type="dxa"/>
            <w:vAlign w:val="bottom"/>
            <w:gridSpan w:val="2"/>
          </w:tcPr>
          <w:p>
            <w:pPr>
              <w:jc w:val="right"/>
              <w:ind w:right="960"/>
              <w:spacing w:after="0"/>
              <w:rPr>
                <w:sz w:val="20"/>
                <w:szCs w:val="20"/>
                <w:color w:val="auto"/>
              </w:rPr>
            </w:pPr>
            <w:r>
              <w:rPr>
                <w:rFonts w:ascii="Arial" w:cs="Arial" w:eastAsia="Arial" w:hAnsi="Arial"/>
                <w:sz w:val="18"/>
                <w:szCs w:val="18"/>
                <w:color w:val="auto"/>
              </w:rPr>
              <w:t>17</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5"/>
        </w:trPr>
        <w:tc>
          <w:tcPr>
            <w:tcW w:w="30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1"/>
        </w:trPr>
        <w:tc>
          <w:tcPr>
            <w:tcW w:w="3000" w:type="dxa"/>
            <w:vAlign w:val="bottom"/>
            <w:shd w:val="clear" w:color="auto" w:fill="808080"/>
          </w:tcPr>
          <w:p>
            <w:pPr>
              <w:spacing w:after="0"/>
              <w:rPr>
                <w:sz w:val="5"/>
                <w:szCs w:val="5"/>
                <w:color w:val="auto"/>
              </w:rPr>
            </w:pPr>
          </w:p>
        </w:tc>
        <w:tc>
          <w:tcPr>
            <w:tcW w:w="27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-543560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-543560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-543560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-543560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-543560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-543560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-543560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-543560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-543560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-543560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-543560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-543560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following table sets forth components of the net periodic benefit costs for the periods indicated under the Company’s cash balance retirement plan for its United States employees meeting certain eligibility requirements (the “U.S. Pension Plan”), the defined benefit pension plan of Scholastic Limited, an indirect subsidiary of Scholastic Corporation located in the United Kingdom (the “UK Pension Plan”), and the defined benefit pension plan of Grolier Limited, an indirect subsidiary of Scholastic Corporation located in Canada (the “Canadian Pension Plan” and together with the U.S. Pension Plan and the UK Pension Plan, the “Pension Plans”). Also included are the post-retirement benefits, consisting of certain healthcare and life insurance benefits, provided by the Company to its eligible retired United States-based employees (the “Post-Retirement Benefits”). The Pension Plans and Post-Retirement Benefits include participants associated with both continuing operations and discontinued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Pension Plans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3"/>
          </w:tcPr>
          <w:p>
            <w:pPr>
              <w:jc w:val="right"/>
              <w:ind w:right="592"/>
              <w:spacing w:after="0"/>
              <w:rPr>
                <w:sz w:val="20"/>
                <w:szCs w:val="20"/>
                <w:color w:val="auto"/>
              </w:rPr>
            </w:pPr>
            <w:r>
              <w:rPr>
                <w:rFonts w:ascii="Arial" w:cs="Arial" w:eastAsia="Arial" w:hAnsi="Arial"/>
                <w:sz w:val="18"/>
                <w:szCs w:val="18"/>
                <w:b w:val="1"/>
                <w:bCs w:val="1"/>
                <w:color w:val="auto"/>
              </w:rPr>
              <w:t>Post-Retirement Benefits</w:t>
            </w:r>
          </w:p>
        </w:tc>
        <w:tc>
          <w:tcPr>
            <w:tcW w:w="20" w:type="dxa"/>
            <w:vAlign w:val="bottom"/>
          </w:tcPr>
          <w:p>
            <w:pPr>
              <w:spacing w:after="0"/>
              <w:rPr>
                <w:sz w:val="18"/>
                <w:szCs w:val="18"/>
                <w:color w:val="auto"/>
              </w:rPr>
            </w:pPr>
          </w:p>
        </w:tc>
      </w:tr>
      <w:tr>
        <w:trPr>
          <w:trHeight w:val="228"/>
        </w:trPr>
        <w:tc>
          <w:tcPr>
            <w:tcW w:w="4000" w:type="dxa"/>
            <w:vAlign w:val="bottom"/>
          </w:tcPr>
          <w:p>
            <w:pPr>
              <w:spacing w:after="0"/>
              <w:rPr>
                <w:sz w:val="19"/>
                <w:szCs w:val="19"/>
                <w:color w:val="auto"/>
              </w:rPr>
            </w:pPr>
          </w:p>
        </w:tc>
        <w:tc>
          <w:tcPr>
            <w:tcW w:w="4200" w:type="dxa"/>
            <w:vAlign w:val="bottom"/>
            <w:gridSpan w:val="4"/>
          </w:tcPr>
          <w:p>
            <w:pPr>
              <w:jc w:val="right"/>
              <w:ind w:right="392"/>
              <w:spacing w:after="0"/>
              <w:rPr>
                <w:sz w:val="20"/>
                <w:szCs w:val="20"/>
                <w:color w:val="auto"/>
              </w:rPr>
            </w:pPr>
            <w:r>
              <w:rPr>
                <w:rFonts w:ascii="Arial" w:cs="Arial" w:eastAsia="Arial" w:hAnsi="Arial"/>
                <w:sz w:val="18"/>
                <w:szCs w:val="18"/>
                <w:b w:val="1"/>
                <w:bCs w:val="1"/>
                <w:color w:val="auto"/>
              </w:rPr>
              <w:t>Three months ended August 31,</w:t>
            </w:r>
          </w:p>
        </w:tc>
        <w:tc>
          <w:tcPr>
            <w:tcW w:w="320" w:type="dxa"/>
            <w:vAlign w:val="bottom"/>
          </w:tcPr>
          <w:p>
            <w:pPr>
              <w:spacing w:after="0"/>
              <w:rPr>
                <w:sz w:val="19"/>
                <w:szCs w:val="19"/>
                <w:color w:val="auto"/>
              </w:rPr>
            </w:pPr>
          </w:p>
        </w:tc>
        <w:tc>
          <w:tcPr>
            <w:tcW w:w="292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w w:val="90"/>
              </w:rPr>
              <w:t>Three months ended August 31,</w:t>
            </w:r>
          </w:p>
        </w:tc>
        <w:tc>
          <w:tcPr>
            <w:tcW w:w="20" w:type="dxa"/>
            <w:vAlign w:val="bottom"/>
          </w:tcPr>
          <w:p>
            <w:pPr>
              <w:spacing w:after="0"/>
              <w:rPr>
                <w:sz w:val="19"/>
                <w:szCs w:val="19"/>
                <w:color w:val="auto"/>
              </w:rPr>
            </w:pPr>
          </w:p>
        </w:tc>
      </w:tr>
      <w:tr>
        <w:trPr>
          <w:trHeight w:val="110"/>
        </w:trPr>
        <w:tc>
          <w:tcPr>
            <w:tcW w:w="400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0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532"/>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4"/>
                <w:szCs w:val="24"/>
                <w:color w:val="auto"/>
              </w:rPr>
            </w:pPr>
          </w:p>
        </w:tc>
        <w:tc>
          <w:tcPr>
            <w:tcW w:w="1440" w:type="dxa"/>
            <w:vAlign w:val="bottom"/>
          </w:tcPr>
          <w:p>
            <w:pPr>
              <w:jc w:val="right"/>
              <w:ind w:right="652"/>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4"/>
                <w:szCs w:val="24"/>
                <w:color w:val="auto"/>
              </w:rPr>
            </w:pPr>
          </w:p>
        </w:tc>
      </w:tr>
      <w:tr>
        <w:trPr>
          <w:trHeight w:val="110"/>
        </w:trPr>
        <w:tc>
          <w:tcPr>
            <w:tcW w:w="400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00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Service cost</w:t>
            </w:r>
          </w:p>
        </w:tc>
        <w:tc>
          <w:tcPr>
            <w:tcW w:w="198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0.0</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cost</w:t>
            </w:r>
          </w:p>
        </w:tc>
        <w:tc>
          <w:tcPr>
            <w:tcW w:w="19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9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amortization of prior service credit</w:t>
            </w:r>
          </w:p>
        </w:tc>
        <w:tc>
          <w:tcPr>
            <w:tcW w:w="19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Amortization of loss</w:t>
            </w:r>
          </w:p>
        </w:tc>
        <w:tc>
          <w:tcPr>
            <w:tcW w:w="1980" w:type="dxa"/>
            <w:vAlign w:val="bottom"/>
          </w:tcPr>
          <w:p>
            <w:pPr>
              <w:spacing w:after="0"/>
              <w:rPr>
                <w:sz w:val="19"/>
                <w:szCs w:val="19"/>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110"/>
        </w:trPr>
        <w:tc>
          <w:tcPr>
            <w:tcW w:w="400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000" w:type="dxa"/>
            <w:vAlign w:val="bottom"/>
          </w:tcPr>
          <w:p>
            <w:pPr>
              <w:spacing w:after="0"/>
              <w:rPr>
                <w:sz w:val="20"/>
                <w:szCs w:val="20"/>
                <w:color w:val="auto"/>
              </w:rPr>
            </w:pPr>
            <w:r>
              <w:rPr>
                <w:rFonts w:ascii="Arial" w:cs="Arial" w:eastAsia="Arial" w:hAnsi="Arial"/>
                <w:sz w:val="18"/>
                <w:szCs w:val="18"/>
                <w:b w:val="1"/>
                <w:bCs w:val="1"/>
                <w:color w:val="auto"/>
              </w:rPr>
              <w:t>Net periodic benefit costs</w:t>
            </w:r>
          </w:p>
        </w:tc>
        <w:tc>
          <w:tcPr>
            <w:tcW w:w="1980" w:type="dxa"/>
            <w:vAlign w:val="bottom"/>
          </w:tcPr>
          <w:p>
            <w:pPr>
              <w:jc w:val="right"/>
              <w:ind w:right="73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(0.3)</w:t>
            </w:r>
          </w:p>
        </w:tc>
        <w:tc>
          <w:tcPr>
            <w:tcW w:w="48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0.4</w:t>
            </w:r>
          </w:p>
        </w:tc>
        <w:tc>
          <w:tcPr>
            <w:tcW w:w="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32"/>
              <w:spacing w:after="0"/>
              <w:rPr>
                <w:sz w:val="20"/>
                <w:szCs w:val="20"/>
                <w:color w:val="auto"/>
              </w:rPr>
            </w:pPr>
            <w:r>
              <w:rPr>
                <w:rFonts w:ascii="Arial" w:cs="Arial" w:eastAsia="Arial" w:hAnsi="Arial"/>
                <w:sz w:val="18"/>
                <w:szCs w:val="18"/>
                <w:b w:val="1"/>
                <w:bCs w:val="1"/>
                <w:color w:val="auto"/>
              </w:rPr>
              <w:t>1.3</w:t>
            </w:r>
          </w:p>
        </w:tc>
        <w:tc>
          <w:tcPr>
            <w:tcW w:w="4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0.8</w:t>
            </w:r>
          </w:p>
        </w:tc>
        <w:tc>
          <w:tcPr>
            <w:tcW w:w="20" w:type="dxa"/>
            <w:vAlign w:val="bottom"/>
          </w:tcPr>
          <w:p>
            <w:pPr>
              <w:spacing w:after="0"/>
              <w:rPr>
                <w:sz w:val="24"/>
                <w:szCs w:val="24"/>
                <w:color w:val="auto"/>
              </w:rPr>
            </w:pPr>
          </w:p>
        </w:tc>
      </w:tr>
      <w:tr>
        <w:trPr>
          <w:trHeight w:val="134"/>
        </w:trPr>
        <w:tc>
          <w:tcPr>
            <w:tcW w:w="400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the second quarter of fiscal 2011, the Company completed the settlement of its outstanding liabilities under the Canadian Pension Plan by purchasing non-participating annuities to service these liabilities prospectively.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Company’s funding practice with respect to the Pension Plans is to contribute on an annual basis at least the minimum amounts required by applicable laws.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August 31, 2011, the Company contributed $0.0 to the U.S. Pension Plan and $0.2 to the UK Pension Plan.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based on actuarial calculations to contribute cash of approximately $8.5 to the Pension Plans for the fiscal year ending May 31, 2012.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included in Selling, general and administrative expenses for the periods indicated:</w:t>
      </w:r>
    </w:p>
    <w:p>
      <w:pPr>
        <w:spacing w:after="0" w:line="233"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3760" w:type="dxa"/>
            <w:vAlign w:val="bottom"/>
          </w:tcPr>
          <w:p>
            <w:pPr>
              <w:jc w:val="right"/>
              <w:ind w:right="72"/>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110"/>
        </w:trPr>
        <w:tc>
          <w:tcPr>
            <w:tcW w:w="574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5740" w:type="dxa"/>
            <w:vAlign w:val="bottom"/>
          </w:tcPr>
          <w:p>
            <w:pPr>
              <w:spacing w:after="0"/>
              <w:rPr>
                <w:sz w:val="20"/>
                <w:szCs w:val="20"/>
                <w:color w:val="auto"/>
              </w:rPr>
            </w:pPr>
            <w:r>
              <w:rPr>
                <w:rFonts w:ascii="Arial" w:cs="Arial" w:eastAsia="Arial" w:hAnsi="Arial"/>
                <w:sz w:val="18"/>
                <w:szCs w:val="18"/>
                <w:color w:val="auto"/>
              </w:rPr>
              <w:t>Stock option expense</w:t>
            </w:r>
          </w:p>
        </w:tc>
        <w:tc>
          <w:tcPr>
            <w:tcW w:w="3760" w:type="dxa"/>
            <w:vAlign w:val="bottom"/>
          </w:tcPr>
          <w:p>
            <w:pPr>
              <w:jc w:val="right"/>
              <w:ind w:right="85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376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Management stock purchase plan expense</w:t>
            </w:r>
          </w:p>
        </w:tc>
        <w:tc>
          <w:tcPr>
            <w:tcW w:w="376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Employee stock purchase plan expense</w:t>
            </w:r>
          </w:p>
        </w:tc>
        <w:tc>
          <w:tcPr>
            <w:tcW w:w="3760" w:type="dxa"/>
            <w:vAlign w:val="bottom"/>
          </w:tcPr>
          <w:p>
            <w:pPr>
              <w:spacing w:after="0"/>
              <w:rPr>
                <w:sz w:val="19"/>
                <w:szCs w:val="19"/>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110"/>
        </w:trPr>
        <w:tc>
          <w:tcPr>
            <w:tcW w:w="574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5740" w:type="dxa"/>
            <w:vAlign w:val="bottom"/>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3760" w:type="dxa"/>
            <w:vAlign w:val="bottom"/>
          </w:tcPr>
          <w:p>
            <w:pPr>
              <w:jc w:val="right"/>
              <w:ind w:right="852"/>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12"/>
              <w:spacing w:after="0"/>
              <w:rPr>
                <w:sz w:val="20"/>
                <w:szCs w:val="20"/>
                <w:color w:val="auto"/>
              </w:rPr>
            </w:pPr>
            <w:r>
              <w:rPr>
                <w:rFonts w:ascii="Arial" w:cs="Arial" w:eastAsia="Arial" w:hAnsi="Arial"/>
                <w:sz w:val="18"/>
                <w:szCs w:val="18"/>
                <w:b w:val="1"/>
                <w:bCs w:val="1"/>
                <w:color w:val="auto"/>
              </w:rPr>
              <w:t>2.2</w:t>
            </w:r>
          </w:p>
        </w:tc>
        <w:tc>
          <w:tcPr>
            <w:tcW w:w="38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5.3</w:t>
            </w:r>
          </w:p>
        </w:tc>
        <w:tc>
          <w:tcPr>
            <w:tcW w:w="20" w:type="dxa"/>
            <w:vAlign w:val="bottom"/>
          </w:tcPr>
          <w:p>
            <w:pPr>
              <w:spacing w:after="0"/>
              <w:rPr>
                <w:sz w:val="24"/>
                <w:szCs w:val="24"/>
                <w:color w:val="auto"/>
              </w:rPr>
            </w:pPr>
          </w:p>
        </w:tc>
      </w:tr>
      <w:tr>
        <w:trPr>
          <w:trHeight w:val="134"/>
        </w:trPr>
        <w:tc>
          <w:tcPr>
            <w:tcW w:w="574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During each of the three months ended August 31, 2011 and 2010, shares of Common Stock issued by the Corporation pursuant to its stock-based compensation plans were not material.</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3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Severance</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implemented new cost reduction initiatives, notably a voluntary retirement program, in the current fiscal year and incurred severance expense of $2.1 million related to this program. The table below provides information regarding the severance cost reported in the Company’s condensed consolidated statements of operations, including the costs related to this program.</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Accrued severance of $2.4, $1.9 and $1.7 as of August 31, 2011, May 31, 2011 and August 31, 2010, respectively, is included in “Other accrued expenses” on the Company’s condensed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12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w w:val="93"/>
              </w:rPr>
              <w:t>Three months ended</w:t>
            </w:r>
          </w:p>
        </w:tc>
        <w:tc>
          <w:tcPr>
            <w:tcW w:w="230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w w:val="95"/>
              </w:rPr>
              <w:t>Twelve months ended</w:t>
            </w:r>
          </w:p>
        </w:tc>
        <w:tc>
          <w:tcPr>
            <w:tcW w:w="196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w w:val="92"/>
              </w:rPr>
              <w:t>Three months ended</w:t>
            </w:r>
          </w:p>
        </w:tc>
      </w:tr>
      <w:tr>
        <w:trPr>
          <w:trHeight w:val="228"/>
        </w:trPr>
        <w:tc>
          <w:tcPr>
            <w:tcW w:w="3920" w:type="dxa"/>
            <w:vAlign w:val="bottom"/>
          </w:tcPr>
          <w:p>
            <w:pPr>
              <w:spacing w:after="0"/>
              <w:rPr>
                <w:sz w:val="19"/>
                <w:szCs w:val="19"/>
                <w:color w:val="auto"/>
              </w:rPr>
            </w:pPr>
          </w:p>
        </w:tc>
        <w:tc>
          <w:tcPr>
            <w:tcW w:w="212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rPr>
              <w:t>August 31, 2011</w:t>
            </w:r>
          </w:p>
        </w:tc>
        <w:tc>
          <w:tcPr>
            <w:tcW w:w="2300" w:type="dxa"/>
            <w:vAlign w:val="bottom"/>
            <w:gridSpan w:val="2"/>
          </w:tcPr>
          <w:p>
            <w:pPr>
              <w:jc w:val="right"/>
              <w:ind w:right="712"/>
              <w:spacing w:after="0"/>
              <w:rPr>
                <w:sz w:val="20"/>
                <w:szCs w:val="20"/>
                <w:color w:val="auto"/>
              </w:rPr>
            </w:pPr>
            <w:r>
              <w:rPr>
                <w:rFonts w:ascii="Arial" w:cs="Arial" w:eastAsia="Arial" w:hAnsi="Arial"/>
                <w:sz w:val="18"/>
                <w:szCs w:val="18"/>
                <w:b w:val="1"/>
                <w:bCs w:val="1"/>
                <w:color w:val="auto"/>
              </w:rPr>
              <w:t>May 31, 2011</w:t>
            </w:r>
          </w:p>
        </w:tc>
        <w:tc>
          <w:tcPr>
            <w:tcW w:w="196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August 31, 2010</w:t>
            </w:r>
          </w:p>
        </w:tc>
      </w:tr>
      <w:tr>
        <w:trPr>
          <w:trHeight w:val="110"/>
        </w:trPr>
        <w:tc>
          <w:tcPr>
            <w:tcW w:w="3920" w:type="dxa"/>
            <w:vAlign w:val="bottom"/>
            <w:tcBorders>
              <w:bottom w:val="single" w:sz="8" w:color="808080"/>
            </w:tcBorders>
          </w:tcPr>
          <w:p>
            <w:pPr>
              <w:spacing w:after="0"/>
              <w:rPr>
                <w:sz w:val="9"/>
                <w:szCs w:val="9"/>
                <w:color w:val="auto"/>
              </w:rPr>
            </w:pPr>
          </w:p>
        </w:tc>
        <w:tc>
          <w:tcPr>
            <w:tcW w:w="690" w:type="dxa"/>
            <w:vAlign w:val="bottom"/>
            <w:tcBorders>
              <w:bottom w:val="single" w:sz="8" w:color="808080"/>
            </w:tcBorders>
          </w:tcPr>
          <w:p>
            <w:pPr>
              <w:spacing w:after="0"/>
              <w:rPr>
                <w:sz w:val="9"/>
                <w:szCs w:val="9"/>
                <w:color w:val="auto"/>
              </w:rPr>
            </w:pPr>
          </w:p>
        </w:tc>
        <w:tc>
          <w:tcPr>
            <w:tcW w:w="1430" w:type="dxa"/>
            <w:vAlign w:val="bottom"/>
            <w:tcBorders>
              <w:bottom w:val="single" w:sz="8" w:color="808080"/>
            </w:tcBorders>
          </w:tcPr>
          <w:p>
            <w:pPr>
              <w:spacing w:after="0"/>
              <w:rPr>
                <w:sz w:val="9"/>
                <w:szCs w:val="9"/>
                <w:color w:val="auto"/>
              </w:rPr>
            </w:pPr>
          </w:p>
        </w:tc>
        <w:tc>
          <w:tcPr>
            <w:tcW w:w="950" w:type="dxa"/>
            <w:vAlign w:val="bottom"/>
            <w:tcBorders>
              <w:bottom w:val="single" w:sz="8" w:color="808080"/>
            </w:tcBorders>
          </w:tcPr>
          <w:p>
            <w:pPr>
              <w:spacing w:after="0"/>
              <w:rPr>
                <w:sz w:val="9"/>
                <w:szCs w:val="9"/>
                <w:color w:val="auto"/>
              </w:rPr>
            </w:pPr>
          </w:p>
        </w:tc>
        <w:tc>
          <w:tcPr>
            <w:tcW w:w="1350" w:type="dxa"/>
            <w:vAlign w:val="bottom"/>
            <w:tcBorders>
              <w:bottom w:val="single" w:sz="8" w:color="808080"/>
            </w:tcBorders>
          </w:tcPr>
          <w:p>
            <w:pPr>
              <w:spacing w:after="0"/>
              <w:rPr>
                <w:sz w:val="9"/>
                <w:szCs w:val="9"/>
                <w:color w:val="auto"/>
              </w:rPr>
            </w:pPr>
          </w:p>
        </w:tc>
        <w:tc>
          <w:tcPr>
            <w:tcW w:w="810" w:type="dxa"/>
            <w:vAlign w:val="bottom"/>
            <w:tcBorders>
              <w:bottom w:val="single" w:sz="8" w:color="808080"/>
            </w:tcBorders>
          </w:tcPr>
          <w:p>
            <w:pPr>
              <w:spacing w:after="0"/>
              <w:rPr>
                <w:sz w:val="9"/>
                <w:szCs w:val="9"/>
                <w:color w:val="auto"/>
              </w:rPr>
            </w:pPr>
          </w:p>
        </w:tc>
        <w:tc>
          <w:tcPr>
            <w:tcW w:w="1150" w:type="dxa"/>
            <w:vAlign w:val="bottom"/>
            <w:tcBorders>
              <w:bottom w:val="single" w:sz="8" w:color="808080"/>
            </w:tcBorders>
          </w:tcPr>
          <w:p>
            <w:pPr>
              <w:spacing w:after="0"/>
              <w:rPr>
                <w:sz w:val="9"/>
                <w:szCs w:val="9"/>
                <w:color w:val="auto"/>
              </w:rPr>
            </w:pPr>
          </w:p>
        </w:tc>
      </w:tr>
      <w:tr>
        <w:trPr>
          <w:trHeight w:val="309"/>
        </w:trPr>
        <w:tc>
          <w:tcPr>
            <w:tcW w:w="3920" w:type="dxa"/>
            <w:vAlign w:val="bottom"/>
          </w:tcPr>
          <w:p>
            <w:pPr>
              <w:spacing w:after="0"/>
              <w:rPr>
                <w:sz w:val="20"/>
                <w:szCs w:val="20"/>
                <w:color w:val="auto"/>
              </w:rPr>
            </w:pPr>
            <w:r>
              <w:rPr>
                <w:rFonts w:ascii="Arial" w:cs="Arial" w:eastAsia="Arial" w:hAnsi="Arial"/>
                <w:sz w:val="18"/>
                <w:szCs w:val="18"/>
                <w:color w:val="auto"/>
              </w:rPr>
              <w:t>Beginning balance</w:t>
            </w:r>
          </w:p>
        </w:tc>
        <w:tc>
          <w:tcPr>
            <w:tcW w:w="690" w:type="dxa"/>
            <w:vAlign w:val="bottom"/>
          </w:tcPr>
          <w:p>
            <w:pPr>
              <w:jc w:val="right"/>
              <w:spacing w:after="0"/>
              <w:rPr>
                <w:sz w:val="20"/>
                <w:szCs w:val="20"/>
                <w:color w:val="auto"/>
              </w:rPr>
            </w:pPr>
            <w:r>
              <w:rPr>
                <w:rFonts w:ascii="Arial" w:cs="Arial" w:eastAsia="Arial" w:hAnsi="Arial"/>
                <w:sz w:val="18"/>
                <w:szCs w:val="18"/>
                <w:color w:val="auto"/>
              </w:rPr>
              <w:t>$</w:t>
            </w:r>
          </w:p>
        </w:tc>
        <w:tc>
          <w:tcPr>
            <w:tcW w:w="1430" w:type="dxa"/>
            <w:vAlign w:val="bottom"/>
          </w:tcPr>
          <w:p>
            <w:pPr>
              <w:jc w:val="right"/>
              <w:ind w:right="872"/>
              <w:spacing w:after="0"/>
              <w:rPr>
                <w:sz w:val="20"/>
                <w:szCs w:val="20"/>
                <w:color w:val="auto"/>
              </w:rPr>
            </w:pPr>
            <w:r>
              <w:rPr>
                <w:rFonts w:ascii="Arial" w:cs="Arial" w:eastAsia="Arial" w:hAnsi="Arial"/>
                <w:sz w:val="18"/>
                <w:szCs w:val="18"/>
                <w:color w:val="auto"/>
              </w:rPr>
              <w:t>1.9</w:t>
            </w:r>
          </w:p>
        </w:tc>
        <w:tc>
          <w:tcPr>
            <w:tcW w:w="950" w:type="dxa"/>
            <w:vAlign w:val="bottom"/>
          </w:tcPr>
          <w:p>
            <w:pPr>
              <w:jc w:val="right"/>
              <w:spacing w:after="0"/>
              <w:rPr>
                <w:sz w:val="20"/>
                <w:szCs w:val="20"/>
                <w:color w:val="auto"/>
              </w:rPr>
            </w:pPr>
            <w:r>
              <w:rPr>
                <w:rFonts w:ascii="Arial" w:cs="Arial" w:eastAsia="Arial" w:hAnsi="Arial"/>
                <w:sz w:val="18"/>
                <w:szCs w:val="18"/>
                <w:color w:val="auto"/>
              </w:rPr>
              <w:t>$</w:t>
            </w:r>
          </w:p>
        </w:tc>
        <w:tc>
          <w:tcPr>
            <w:tcW w:w="1350" w:type="dxa"/>
            <w:vAlign w:val="bottom"/>
          </w:tcPr>
          <w:p>
            <w:pPr>
              <w:jc w:val="right"/>
              <w:ind w:right="792"/>
              <w:spacing w:after="0"/>
              <w:rPr>
                <w:sz w:val="20"/>
                <w:szCs w:val="20"/>
                <w:color w:val="auto"/>
              </w:rPr>
            </w:pPr>
            <w:r>
              <w:rPr>
                <w:rFonts w:ascii="Arial" w:cs="Arial" w:eastAsia="Arial" w:hAnsi="Arial"/>
                <w:sz w:val="18"/>
                <w:szCs w:val="18"/>
                <w:color w:val="auto"/>
              </w:rPr>
              <w:t>3.4</w:t>
            </w:r>
          </w:p>
        </w:tc>
        <w:tc>
          <w:tcPr>
            <w:tcW w:w="810" w:type="dxa"/>
            <w:vAlign w:val="bottom"/>
          </w:tcPr>
          <w:p>
            <w:pPr>
              <w:jc w:val="right"/>
              <w:spacing w:after="0"/>
              <w:rPr>
                <w:sz w:val="20"/>
                <w:szCs w:val="20"/>
                <w:color w:val="auto"/>
              </w:rPr>
            </w:pPr>
            <w:r>
              <w:rPr>
                <w:rFonts w:ascii="Arial" w:cs="Arial" w:eastAsia="Arial" w:hAnsi="Arial"/>
                <w:sz w:val="18"/>
                <w:szCs w:val="18"/>
                <w:color w:val="auto"/>
              </w:rPr>
              <w:t>$</w:t>
            </w:r>
          </w:p>
        </w:tc>
        <w:tc>
          <w:tcPr>
            <w:tcW w:w="1150" w:type="dxa"/>
            <w:vAlign w:val="bottom"/>
          </w:tcPr>
          <w:p>
            <w:pPr>
              <w:jc w:val="right"/>
              <w:ind w:right="692"/>
              <w:spacing w:after="0"/>
              <w:rPr>
                <w:sz w:val="20"/>
                <w:szCs w:val="20"/>
                <w:color w:val="auto"/>
              </w:rPr>
            </w:pPr>
            <w:r>
              <w:rPr>
                <w:rFonts w:ascii="Arial" w:cs="Arial" w:eastAsia="Arial" w:hAnsi="Arial"/>
                <w:sz w:val="18"/>
                <w:szCs w:val="18"/>
                <w:color w:val="auto"/>
              </w:rPr>
              <w:t>3.4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Accruals</w:t>
            </w:r>
          </w:p>
        </w:tc>
        <w:tc>
          <w:tcPr>
            <w:tcW w:w="690" w:type="dxa"/>
            <w:vAlign w:val="bottom"/>
          </w:tcPr>
          <w:p>
            <w:pPr>
              <w:spacing w:after="0"/>
              <w:rPr>
                <w:sz w:val="18"/>
                <w:szCs w:val="18"/>
                <w:color w:val="auto"/>
              </w:rPr>
            </w:pPr>
          </w:p>
        </w:tc>
        <w:tc>
          <w:tcPr>
            <w:tcW w:w="1430" w:type="dxa"/>
            <w:vAlign w:val="bottom"/>
          </w:tcPr>
          <w:p>
            <w:pPr>
              <w:jc w:val="right"/>
              <w:ind w:right="872"/>
              <w:spacing w:after="0"/>
              <w:rPr>
                <w:sz w:val="20"/>
                <w:szCs w:val="20"/>
                <w:color w:val="auto"/>
              </w:rPr>
            </w:pPr>
            <w:r>
              <w:rPr>
                <w:rFonts w:ascii="Arial" w:cs="Arial" w:eastAsia="Arial" w:hAnsi="Arial"/>
                <w:sz w:val="18"/>
                <w:szCs w:val="18"/>
                <w:color w:val="auto"/>
              </w:rPr>
              <w:t>3.3</w:t>
            </w:r>
          </w:p>
        </w:tc>
        <w:tc>
          <w:tcPr>
            <w:tcW w:w="950" w:type="dxa"/>
            <w:vAlign w:val="bottom"/>
          </w:tcPr>
          <w:p>
            <w:pPr>
              <w:spacing w:after="0"/>
              <w:rPr>
                <w:sz w:val="18"/>
                <w:szCs w:val="18"/>
                <w:color w:val="auto"/>
              </w:rPr>
            </w:pPr>
          </w:p>
        </w:tc>
        <w:tc>
          <w:tcPr>
            <w:tcW w:w="1350" w:type="dxa"/>
            <w:vAlign w:val="bottom"/>
          </w:tcPr>
          <w:p>
            <w:pPr>
              <w:jc w:val="right"/>
              <w:ind w:right="792"/>
              <w:spacing w:after="0"/>
              <w:rPr>
                <w:sz w:val="20"/>
                <w:szCs w:val="20"/>
                <w:color w:val="auto"/>
              </w:rPr>
            </w:pPr>
            <w:r>
              <w:rPr>
                <w:rFonts w:ascii="Arial" w:cs="Arial" w:eastAsia="Arial" w:hAnsi="Arial"/>
                <w:sz w:val="18"/>
                <w:szCs w:val="18"/>
                <w:color w:val="auto"/>
              </w:rPr>
              <w:t>6.7</w:t>
            </w:r>
          </w:p>
        </w:tc>
        <w:tc>
          <w:tcPr>
            <w:tcW w:w="810" w:type="dxa"/>
            <w:vAlign w:val="bottom"/>
          </w:tcPr>
          <w:p>
            <w:pPr>
              <w:spacing w:after="0"/>
              <w:rPr>
                <w:sz w:val="18"/>
                <w:szCs w:val="18"/>
                <w:color w:val="auto"/>
              </w:rPr>
            </w:pPr>
          </w:p>
        </w:tc>
        <w:tc>
          <w:tcPr>
            <w:tcW w:w="1150" w:type="dxa"/>
            <w:vAlign w:val="bottom"/>
          </w:tcPr>
          <w:p>
            <w:pPr>
              <w:jc w:val="right"/>
              <w:ind w:right="692"/>
              <w:spacing w:after="0"/>
              <w:rPr>
                <w:sz w:val="20"/>
                <w:szCs w:val="20"/>
                <w:color w:val="auto"/>
              </w:rPr>
            </w:pPr>
            <w:r>
              <w:rPr>
                <w:rFonts w:ascii="Arial" w:cs="Arial" w:eastAsia="Arial" w:hAnsi="Arial"/>
                <w:sz w:val="18"/>
                <w:szCs w:val="18"/>
                <w:color w:val="auto"/>
              </w:rPr>
              <w:t>2.1</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Payments</w:t>
            </w:r>
          </w:p>
        </w:tc>
        <w:tc>
          <w:tcPr>
            <w:tcW w:w="690" w:type="dxa"/>
            <w:vAlign w:val="bottom"/>
          </w:tcPr>
          <w:p>
            <w:pPr>
              <w:spacing w:after="0"/>
              <w:rPr>
                <w:sz w:val="19"/>
                <w:szCs w:val="19"/>
                <w:color w:val="auto"/>
              </w:rPr>
            </w:pPr>
          </w:p>
        </w:tc>
        <w:tc>
          <w:tcPr>
            <w:tcW w:w="1430" w:type="dxa"/>
            <w:vAlign w:val="bottom"/>
          </w:tcPr>
          <w:p>
            <w:pPr>
              <w:jc w:val="right"/>
              <w:ind w:right="812"/>
              <w:spacing w:after="0"/>
              <w:rPr>
                <w:sz w:val="20"/>
                <w:szCs w:val="20"/>
                <w:color w:val="auto"/>
              </w:rPr>
            </w:pPr>
            <w:r>
              <w:rPr>
                <w:rFonts w:ascii="Arial" w:cs="Arial" w:eastAsia="Arial" w:hAnsi="Arial"/>
                <w:sz w:val="18"/>
                <w:szCs w:val="18"/>
                <w:color w:val="auto"/>
              </w:rPr>
              <w:t>(2.8)</w:t>
            </w:r>
          </w:p>
        </w:tc>
        <w:tc>
          <w:tcPr>
            <w:tcW w:w="950" w:type="dxa"/>
            <w:vAlign w:val="bottom"/>
          </w:tcPr>
          <w:p>
            <w:pPr>
              <w:spacing w:after="0"/>
              <w:rPr>
                <w:sz w:val="19"/>
                <w:szCs w:val="19"/>
                <w:color w:val="auto"/>
              </w:rPr>
            </w:pPr>
          </w:p>
        </w:tc>
        <w:tc>
          <w:tcPr>
            <w:tcW w:w="1350" w:type="dxa"/>
            <w:vAlign w:val="bottom"/>
          </w:tcPr>
          <w:p>
            <w:pPr>
              <w:jc w:val="right"/>
              <w:ind w:right="732"/>
              <w:spacing w:after="0"/>
              <w:rPr>
                <w:sz w:val="20"/>
                <w:szCs w:val="20"/>
                <w:color w:val="auto"/>
              </w:rPr>
            </w:pPr>
            <w:r>
              <w:rPr>
                <w:rFonts w:ascii="Arial" w:cs="Arial" w:eastAsia="Arial" w:hAnsi="Arial"/>
                <w:sz w:val="18"/>
                <w:szCs w:val="18"/>
                <w:color w:val="auto"/>
              </w:rPr>
              <w:t>(8.2)</w:t>
            </w:r>
          </w:p>
        </w:tc>
        <w:tc>
          <w:tcPr>
            <w:tcW w:w="810" w:type="dxa"/>
            <w:vAlign w:val="bottom"/>
          </w:tcPr>
          <w:p>
            <w:pPr>
              <w:spacing w:after="0"/>
              <w:rPr>
                <w:sz w:val="19"/>
                <w:szCs w:val="19"/>
                <w:color w:val="auto"/>
              </w:rPr>
            </w:pPr>
          </w:p>
        </w:tc>
        <w:tc>
          <w:tcPr>
            <w:tcW w:w="1150" w:type="dxa"/>
            <w:vAlign w:val="bottom"/>
          </w:tcPr>
          <w:p>
            <w:pPr>
              <w:jc w:val="right"/>
              <w:ind w:right="632"/>
              <w:spacing w:after="0"/>
              <w:rPr>
                <w:sz w:val="20"/>
                <w:szCs w:val="20"/>
                <w:color w:val="auto"/>
              </w:rPr>
            </w:pPr>
            <w:r>
              <w:rPr>
                <w:rFonts w:ascii="Arial" w:cs="Arial" w:eastAsia="Arial" w:hAnsi="Arial"/>
                <w:sz w:val="18"/>
                <w:szCs w:val="18"/>
                <w:color w:val="auto"/>
              </w:rPr>
              <w:t>(3.8)</w:t>
            </w:r>
          </w:p>
        </w:tc>
      </w:tr>
      <w:tr>
        <w:trPr>
          <w:trHeight w:val="110"/>
        </w:trPr>
        <w:tc>
          <w:tcPr>
            <w:tcW w:w="3920" w:type="dxa"/>
            <w:vAlign w:val="bottom"/>
            <w:tcBorders>
              <w:bottom w:val="single" w:sz="8" w:color="808080"/>
            </w:tcBorders>
          </w:tcPr>
          <w:p>
            <w:pPr>
              <w:spacing w:after="0"/>
              <w:rPr>
                <w:sz w:val="9"/>
                <w:szCs w:val="9"/>
                <w:color w:val="auto"/>
              </w:rPr>
            </w:pPr>
          </w:p>
        </w:tc>
        <w:tc>
          <w:tcPr>
            <w:tcW w:w="690" w:type="dxa"/>
            <w:vAlign w:val="bottom"/>
            <w:tcBorders>
              <w:bottom w:val="single" w:sz="8" w:color="808080"/>
            </w:tcBorders>
          </w:tcPr>
          <w:p>
            <w:pPr>
              <w:spacing w:after="0"/>
              <w:rPr>
                <w:sz w:val="9"/>
                <w:szCs w:val="9"/>
                <w:color w:val="auto"/>
              </w:rPr>
            </w:pPr>
          </w:p>
        </w:tc>
        <w:tc>
          <w:tcPr>
            <w:tcW w:w="1430" w:type="dxa"/>
            <w:vAlign w:val="bottom"/>
            <w:tcBorders>
              <w:bottom w:val="single" w:sz="8" w:color="808080"/>
            </w:tcBorders>
          </w:tcPr>
          <w:p>
            <w:pPr>
              <w:spacing w:after="0"/>
              <w:rPr>
                <w:sz w:val="9"/>
                <w:szCs w:val="9"/>
                <w:color w:val="auto"/>
              </w:rPr>
            </w:pPr>
          </w:p>
        </w:tc>
        <w:tc>
          <w:tcPr>
            <w:tcW w:w="950" w:type="dxa"/>
            <w:vAlign w:val="bottom"/>
            <w:tcBorders>
              <w:bottom w:val="single" w:sz="8" w:color="808080"/>
            </w:tcBorders>
          </w:tcPr>
          <w:p>
            <w:pPr>
              <w:spacing w:after="0"/>
              <w:rPr>
                <w:sz w:val="9"/>
                <w:szCs w:val="9"/>
                <w:color w:val="auto"/>
              </w:rPr>
            </w:pPr>
          </w:p>
        </w:tc>
        <w:tc>
          <w:tcPr>
            <w:tcW w:w="1350" w:type="dxa"/>
            <w:vAlign w:val="bottom"/>
            <w:tcBorders>
              <w:bottom w:val="single" w:sz="8" w:color="808080"/>
            </w:tcBorders>
          </w:tcPr>
          <w:p>
            <w:pPr>
              <w:spacing w:after="0"/>
              <w:rPr>
                <w:sz w:val="9"/>
                <w:szCs w:val="9"/>
                <w:color w:val="auto"/>
              </w:rPr>
            </w:pPr>
          </w:p>
        </w:tc>
        <w:tc>
          <w:tcPr>
            <w:tcW w:w="810" w:type="dxa"/>
            <w:vAlign w:val="bottom"/>
            <w:tcBorders>
              <w:bottom w:val="single" w:sz="8" w:color="808080"/>
            </w:tcBorders>
          </w:tcPr>
          <w:p>
            <w:pPr>
              <w:spacing w:after="0"/>
              <w:rPr>
                <w:sz w:val="9"/>
                <w:szCs w:val="9"/>
                <w:color w:val="auto"/>
              </w:rPr>
            </w:pPr>
          </w:p>
        </w:tc>
        <w:tc>
          <w:tcPr>
            <w:tcW w:w="1150" w:type="dxa"/>
            <w:vAlign w:val="bottom"/>
            <w:tcBorders>
              <w:bottom w:val="single" w:sz="8" w:color="808080"/>
            </w:tcBorders>
          </w:tcPr>
          <w:p>
            <w:pPr>
              <w:spacing w:after="0"/>
              <w:rPr>
                <w:sz w:val="9"/>
                <w:szCs w:val="9"/>
                <w:color w:val="auto"/>
              </w:rPr>
            </w:pPr>
          </w:p>
        </w:tc>
      </w:tr>
      <w:tr>
        <w:trPr>
          <w:trHeight w:val="316"/>
        </w:trPr>
        <w:tc>
          <w:tcPr>
            <w:tcW w:w="392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69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30" w:type="dxa"/>
            <w:vAlign w:val="bottom"/>
          </w:tcPr>
          <w:p>
            <w:pPr>
              <w:jc w:val="right"/>
              <w:ind w:right="872"/>
              <w:spacing w:after="0"/>
              <w:rPr>
                <w:sz w:val="20"/>
                <w:szCs w:val="20"/>
                <w:color w:val="auto"/>
              </w:rPr>
            </w:pPr>
            <w:r>
              <w:rPr>
                <w:rFonts w:ascii="Arial" w:cs="Arial" w:eastAsia="Arial" w:hAnsi="Arial"/>
                <w:sz w:val="18"/>
                <w:szCs w:val="18"/>
                <w:b w:val="1"/>
                <w:bCs w:val="1"/>
                <w:color w:val="auto"/>
              </w:rPr>
              <w:t>2.4</w:t>
            </w:r>
          </w:p>
        </w:tc>
        <w:tc>
          <w:tcPr>
            <w:tcW w:w="95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50" w:type="dxa"/>
            <w:vAlign w:val="bottom"/>
          </w:tcPr>
          <w:p>
            <w:pPr>
              <w:jc w:val="right"/>
              <w:ind w:right="792"/>
              <w:spacing w:after="0"/>
              <w:rPr>
                <w:sz w:val="20"/>
                <w:szCs w:val="20"/>
                <w:color w:val="auto"/>
              </w:rPr>
            </w:pPr>
            <w:r>
              <w:rPr>
                <w:rFonts w:ascii="Arial" w:cs="Arial" w:eastAsia="Arial" w:hAnsi="Arial"/>
                <w:sz w:val="18"/>
                <w:szCs w:val="18"/>
                <w:b w:val="1"/>
                <w:bCs w:val="1"/>
                <w:color w:val="auto"/>
              </w:rPr>
              <w:t>1.9</w:t>
            </w: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50" w:type="dxa"/>
            <w:vAlign w:val="bottom"/>
          </w:tcPr>
          <w:p>
            <w:pPr>
              <w:jc w:val="right"/>
              <w:ind w:right="692"/>
              <w:spacing w:after="0"/>
              <w:rPr>
                <w:sz w:val="20"/>
                <w:szCs w:val="20"/>
                <w:color w:val="auto"/>
              </w:rPr>
            </w:pPr>
            <w:r>
              <w:rPr>
                <w:rFonts w:ascii="Arial" w:cs="Arial" w:eastAsia="Arial" w:hAnsi="Arial"/>
                <w:sz w:val="18"/>
                <w:szCs w:val="18"/>
                <w:b w:val="1"/>
                <w:bCs w:val="1"/>
                <w:color w:val="auto"/>
              </w:rPr>
              <w:t>1.7</w:t>
            </w:r>
          </w:p>
        </w:tc>
      </w:tr>
      <w:tr>
        <w:trPr>
          <w:trHeight w:val="134"/>
        </w:trPr>
        <w:tc>
          <w:tcPr>
            <w:tcW w:w="3920" w:type="dxa"/>
            <w:vAlign w:val="bottom"/>
            <w:tcBorders>
              <w:bottom w:val="single" w:sz="8" w:color="808080"/>
            </w:tcBorders>
          </w:tcPr>
          <w:p>
            <w:pPr>
              <w:spacing w:after="0"/>
              <w:rPr>
                <w:sz w:val="11"/>
                <w:szCs w:val="11"/>
                <w:color w:val="auto"/>
              </w:rPr>
            </w:pPr>
          </w:p>
        </w:tc>
        <w:tc>
          <w:tcPr>
            <w:tcW w:w="690" w:type="dxa"/>
            <w:vAlign w:val="bottom"/>
            <w:tcBorders>
              <w:bottom w:val="single" w:sz="8" w:color="808080"/>
            </w:tcBorders>
          </w:tcPr>
          <w:p>
            <w:pPr>
              <w:spacing w:after="0"/>
              <w:rPr>
                <w:sz w:val="11"/>
                <w:szCs w:val="11"/>
                <w:color w:val="auto"/>
              </w:rPr>
            </w:pPr>
          </w:p>
        </w:tc>
        <w:tc>
          <w:tcPr>
            <w:tcW w:w="1430" w:type="dxa"/>
            <w:vAlign w:val="bottom"/>
            <w:tcBorders>
              <w:bottom w:val="single" w:sz="8" w:color="808080"/>
            </w:tcBorders>
          </w:tcPr>
          <w:p>
            <w:pPr>
              <w:spacing w:after="0"/>
              <w:rPr>
                <w:sz w:val="11"/>
                <w:szCs w:val="11"/>
                <w:color w:val="auto"/>
              </w:rPr>
            </w:pPr>
          </w:p>
        </w:tc>
        <w:tc>
          <w:tcPr>
            <w:tcW w:w="950" w:type="dxa"/>
            <w:vAlign w:val="bottom"/>
            <w:tcBorders>
              <w:bottom w:val="single" w:sz="8" w:color="808080"/>
            </w:tcBorders>
          </w:tcPr>
          <w:p>
            <w:pPr>
              <w:spacing w:after="0"/>
              <w:rPr>
                <w:sz w:val="11"/>
                <w:szCs w:val="11"/>
                <w:color w:val="auto"/>
              </w:rPr>
            </w:pPr>
          </w:p>
        </w:tc>
        <w:tc>
          <w:tcPr>
            <w:tcW w:w="1350" w:type="dxa"/>
            <w:vAlign w:val="bottom"/>
            <w:tcBorders>
              <w:bottom w:val="single" w:sz="8" w:color="808080"/>
            </w:tcBorders>
          </w:tcPr>
          <w:p>
            <w:pPr>
              <w:spacing w:after="0"/>
              <w:rPr>
                <w:sz w:val="11"/>
                <w:szCs w:val="11"/>
                <w:color w:val="auto"/>
              </w:rPr>
            </w:pPr>
          </w:p>
        </w:tc>
        <w:tc>
          <w:tcPr>
            <w:tcW w:w="810" w:type="dxa"/>
            <w:vAlign w:val="bottom"/>
            <w:tcBorders>
              <w:bottom w:val="single" w:sz="8" w:color="808080"/>
            </w:tcBorders>
          </w:tcPr>
          <w:p>
            <w:pPr>
              <w:spacing w:after="0"/>
              <w:rPr>
                <w:sz w:val="11"/>
                <w:szCs w:val="11"/>
                <w:color w:val="auto"/>
              </w:rPr>
            </w:pPr>
          </w:p>
        </w:tc>
        <w:tc>
          <w:tcPr>
            <w:tcW w:w="115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June 1, 2007, the Corporation entered into an agreement with a financial institution to repurchase $200.0 of its outstanding Common Stock under an Accelerated Share Repurchase Agreement (the “ASR”). The entire $200.0 repurchase was executed under a “collared” transaction whereby a price range for the shares was established. Under the ASR, the Corporation initially received 5.1 million shares on June 28, 2007 (the “Initial Execution Date”), representing the minimum number of shares to be received based on a calculation using the “cap” or high-end of the price range collar. On October 29, 2007 (the “Settlement Date” ), the Corporation received an additional 0.7 million shares at no additional cost, bringing the total number of shares repurchased under the ASR to 5.8 million shares, which is reflected in the Treasury Stock component of Stockholders’ Equity. The total number of shares received under the ASR was determined based on the adjusted volume weighted average price of the Common Stock, as defined in the ASR, during the four month period from the Initial Execution Date through the Settlement Date, which was $34.64 per share.</w:t>
      </w:r>
    </w:p>
    <w:p>
      <w:pPr>
        <w:spacing w:after="0" w:line="17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December 20, 2007, the Company announced that its Board of Directors had authorized a program to repurchase up to $20.0 of Common Stock, from time to time as conditions allow, on the open market or through negotiated private transactions. During the five months ended May 31, 2008, the Corporation purchased approximately 0.7 million shares on the open market for approximately $20.0 at an average cost of $30.09 per share. On May 28, 2008, the Company announced that its Board of Directors had authorized a new program to repurchase up to $20.0 of Common Stock as conditions allow, on the open market or through negotiated private transactions. On November 20, 2008, the Board of Directors authorized a further program to repurchase up to an additional $10.0 of Common Stock and, on February 4, 2009, the Board of Directors authorized an additional program to repurchase up to another $5.0 of Common Stock, in each case, from time to time as conditions allow, on the open market. On December 16, 2009, the Company announced that its Board of Directors had authorized a further program to repurchase up to $20.0 of Common Stock, from time to time as conditions allow, on the open market or in negotiated private transactions. During the twelve months ended May 31, 2011, the Company repurchased approximately 0.4 million shares on the open market for approximately $9.7 at an average cost of $24.98 per share.</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pursuant to a subsequent Board of Directors authorization, on November 3, 2010 the Company completed a modified Dutch auction tender offer. The Company accepted for purchase 5,199,699 Common shares at a price of $30.00 per share for a total cost of $156.0, excluding related fees and expenses. The Common shares purchased pursuant to the tender offer represented approximately 15.1% of the Common shares outstanding as of October 27, 2010. The Company funded the purchase of the shares in the tender offer using cash on hand and short term borrowings under its existing credit facility, which borrowings were repaid prior to November 30, 2010. Fees for the modified Dutch auction tender offer were $1.2.</w:t>
      </w:r>
    </w:p>
    <w:p>
      <w:pPr>
        <w:spacing w:after="0" w:line="1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As of August 31, 2011, $44.5 remained available for future purchases under the current Board of Directors authorization, which purchases may be made from time to time as conditions allow, on the open market or in negotiated private transactions. The repurchase program may be suspended at any time without prior notice.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accounting standard regarding fair value measurements requires that the Company determine the appropriate level in the fair value hierarchy for each fair value measurement. The fair value hierarchy prioritizes the inputs, which refer to assumptions that market participants would use in pricing an asset or liability, based upon the highest and best use, into three levels as follows:</w:t>
      </w:r>
    </w:p>
    <w:p>
      <w:pPr>
        <w:spacing w:after="0" w:line="202" w:lineRule="exact"/>
        <w:rPr>
          <w:sz w:val="20"/>
          <w:szCs w:val="20"/>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unadjusted quoted prices in active markets for identical assets or liabilities such as</w:t>
      </w:r>
    </w:p>
    <w:p>
      <w:pPr>
        <w:spacing w:after="0" w:line="164" w:lineRule="exact"/>
        <w:rPr>
          <w:sz w:val="20"/>
          <w:szCs w:val="20"/>
          <w:color w:val="auto"/>
        </w:rPr>
      </w:pPr>
    </w:p>
    <w:p>
      <w:pPr>
        <w:ind w:left="1840" w:hanging="454"/>
        <w:spacing w:after="0"/>
        <w:tabs>
          <w:tab w:leader="none" w:pos="1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5" w:lineRule="exact"/>
        <w:rPr>
          <w:rFonts w:ascii="Arial" w:cs="Arial" w:eastAsia="Arial" w:hAnsi="Arial"/>
          <w:sz w:val="18"/>
          <w:szCs w:val="18"/>
          <w:color w:val="auto"/>
        </w:rPr>
      </w:pPr>
    </w:p>
    <w:p>
      <w:pPr>
        <w:ind w:left="1840" w:hanging="454"/>
        <w:spacing w:after="0"/>
        <w:tabs>
          <w:tab w:leader="none" w:pos="1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840" w:hanging="454"/>
        <w:spacing w:after="0"/>
        <w:tabs>
          <w:tab w:leader="none" w:pos="1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840" w:hanging="454"/>
        <w:spacing w:after="0"/>
        <w:tabs>
          <w:tab w:leader="none" w:pos="1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45" w:lineRule="exact"/>
        <w:rPr>
          <w:rFonts w:ascii="Arial" w:cs="Arial" w:eastAsia="Arial" w:hAnsi="Arial"/>
          <w:sz w:val="18"/>
          <w:szCs w:val="18"/>
          <w:color w:val="auto"/>
        </w:rPr>
      </w:pPr>
    </w:p>
    <w:p>
      <w:pPr>
        <w:ind w:left="920" w:right="120" w:hanging="453"/>
        <w:spacing w:after="0" w:line="275"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develop its own assumptions.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financial assets and liabilities measured at fair value consisted of cash and cash equivalents, debt and foreign currency forward contracts, which were not material as of the reporting date.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5% Notes and its various lines of credit. See Note 4, “Debt,” for a more complete description of fair value measurements employed. The fair values of foreign currency forward contracts, used by the Company to manage the impact of foreign exchange rate changes to the financial statements, are based on quotations from financial institutions, a Level 2 fair value measure. See Note 15, “Derivatives and Hedging,” for a more complete description of fair value measurements employed.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 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goodwill and indefinite-lived intangible assets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Level 2 and Level 3 inputs are employed by the Company in the fair value measurement of these assets and liabilities. In fiscal 2011, the Company recognized a loss related to an other-than-temporary impairment of $3.6 for a UK-based cost method investment. The Company utilized Level 3 measurements in the fair value assessment (see Note 8, “Investments”). In fiscal 2011, the Company recognized a loss of $3.4 related to an impairment of goodwill. See Note 7, “Goodwill and Other Intangibles,” for a discussion of the fair value measures employed in these asset impairment analyses.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calculating the provision for income taxes on an interim basis, the Company uses an estimate of the annual effective tax rate based upon the facts and circumstances known and applies that rate to its ordinary year to 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20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Company’s annual effective tax rate for the fiscal year ending May 31, 2012 is currently expected to be approximately 45%. The Company’s expected full year effective tax rate exceeds statutory rates primarily as a result of net operating losses in foreign jurisdictions, mainly in the United Kingdom, where the Company does not expect to realize future tax benefits. As a result, valuation allowances are provided for the net operating loss carry forwards in these jurisdictions.</w:t>
      </w:r>
    </w:p>
    <w:p>
      <w:pPr>
        <w:spacing w:after="0" w:line="19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Company recognizes tax benefits of uncertain tax positions in accordance with the current accounting guidance pertaining to uncertainty in income taxes. The Company does not currently anticipate a material change to its unrecognized tax benefits within twelve months of August 31, 2011. However, actual developments can change these expectations, including the final terms of settlement of current audits.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is currently under audit by the Internal Revenue Service for its fiscal years ended May 31, 2007, 2008 and 2009. The Company is also currently under audit by New York State for its fiscal years ended May 31, 2002, 2003 and 2004 and New York City for its fiscal years ended May 31, 2005, 2006 and 2007. If any of these tax examinations are concluded within the next twelve months, the Company will make any necessary adjustments to its unrecognized tax benefits.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Derivatives and Hedging</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enters into foreign currency derivative contracts to economically hedge the exposure to foreign currency fluctuations associated with the forecasted purchase of inventory and the foreign exchange risk associated with certain receivables denominated in foreign currencies. These derivative contracts are economic hedges and are not designated as cash flow hedges. The Company marks-to-market these instruments and records the changes in the fair value of these items in current earnings, and it recognizes the unrealized gain or loss in other current assets or liabilities. Unrealized gains of $0.1 and $1.0 were recognized at August 31, 2011 and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23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On September 21, 2011, the Company announced that the Board of Directors declared a cash dividend of $0.10 per Class A and Common share in respect of the second quarter of fiscal 2012. The dividend is payable on December 15, 2011 to shareholders of record on October 31, 2011.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first quarter is generally its smallest revenue period as most schools are not in session, resulting in a seasonal loss.</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Revenues in the first quarter of the current fiscal year rose $27.6 million, or 9.5%, to $318.0 million, compared to $290.4 million in the prior year period. Increased technology product and service sales in the </w:t>
      </w:r>
      <w:r>
        <w:rPr>
          <w:rFonts w:ascii="Arial" w:cs="Arial" w:eastAsia="Arial" w:hAnsi="Arial"/>
          <w:sz w:val="16"/>
          <w:szCs w:val="16"/>
          <w:i w:val="1"/>
          <w:iCs w:val="1"/>
          <w:color w:val="auto"/>
        </w:rPr>
        <w:t>Educational Technology and Services</w:t>
      </w:r>
      <w:r>
        <w:rPr>
          <w:rFonts w:ascii="Arial" w:cs="Arial" w:eastAsia="Arial" w:hAnsi="Arial"/>
          <w:sz w:val="16"/>
          <w:szCs w:val="16"/>
          <w:color w:val="auto"/>
        </w:rPr>
        <w:t xml:space="preserve"> segment were driven by sales of the Company’s technology-based reading intervention program </w:t>
      </w:r>
      <w:r>
        <w:rPr>
          <w:rFonts w:ascii="Arial" w:cs="Arial" w:eastAsia="Arial" w:hAnsi="Arial"/>
          <w:sz w:val="16"/>
          <w:szCs w:val="16"/>
          <w:i w:val="1"/>
          <w:iCs w:val="1"/>
          <w:color w:val="auto"/>
        </w:rPr>
        <w:t>READ 180® Next Generation.</w:t>
      </w:r>
      <w:r>
        <w:rPr>
          <w:rFonts w:ascii="Arial" w:cs="Arial" w:eastAsia="Arial" w:hAnsi="Arial"/>
          <w:sz w:val="16"/>
          <w:szCs w:val="16"/>
          <w:color w:val="auto"/>
        </w:rPr>
        <w:t xml:space="preserve"> Revenues also increased in the </w:t>
      </w:r>
      <w:r>
        <w:rPr>
          <w:rFonts w:ascii="Arial" w:cs="Arial" w:eastAsia="Arial" w:hAnsi="Arial"/>
          <w:sz w:val="16"/>
          <w:szCs w:val="16"/>
          <w:i w:val="1"/>
          <w:iCs w:val="1"/>
          <w:color w:val="auto"/>
        </w:rPr>
        <w:t>Classroom and Supplemental Materials Publishing</w:t>
      </w:r>
      <w:r>
        <w:rPr>
          <w:rFonts w:ascii="Arial" w:cs="Arial" w:eastAsia="Arial" w:hAnsi="Arial"/>
          <w:sz w:val="16"/>
          <w:szCs w:val="16"/>
          <w:color w:val="auto"/>
        </w:rPr>
        <w:t xml:space="preserve"> segment as a result of increased sales of literacy initiative materials. In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trade revenues increased driven by continued strong sales of the </w:t>
      </w:r>
      <w:r>
        <w:rPr>
          <w:rFonts w:ascii="Arial" w:cs="Arial" w:eastAsia="Arial" w:hAnsi="Arial"/>
          <w:sz w:val="16"/>
          <w:szCs w:val="16"/>
          <w:i w:val="1"/>
          <w:iCs w:val="1"/>
          <w:color w:val="auto"/>
        </w:rPr>
        <w:t>Hunger Games</w:t>
      </w:r>
      <w:r>
        <w:rPr>
          <w:rFonts w:ascii="Arial" w:cs="Arial" w:eastAsia="Arial" w:hAnsi="Arial"/>
          <w:sz w:val="16"/>
          <w:szCs w:val="16"/>
          <w:color w:val="auto"/>
        </w:rPr>
        <w:t xml:space="preserve"> trilogy, in both print and ebook formats, and of </w:t>
      </w:r>
      <w:r>
        <w:rPr>
          <w:rFonts w:ascii="Arial" w:cs="Arial" w:eastAsia="Arial" w:hAnsi="Arial"/>
          <w:sz w:val="16"/>
          <w:szCs w:val="16"/>
          <w:i w:val="1"/>
          <w:iCs w:val="1"/>
          <w:color w:val="auto"/>
        </w:rPr>
        <w:t>Harry Potter</w:t>
      </w:r>
      <w:r>
        <w:rPr>
          <w:rFonts w:ascii="Arial" w:cs="Arial" w:eastAsia="Arial" w:hAnsi="Arial"/>
          <w:sz w:val="16"/>
          <w:szCs w:val="16"/>
          <w:color w:val="auto"/>
        </w:rPr>
        <w:t xml:space="preserve"> titles.</w:t>
      </w:r>
    </w:p>
    <w:p>
      <w:pPr>
        <w:spacing w:after="0" w:line="17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For the quarter ended August 31, 2011 net loss was $27.1 million, compared to a net loss of $35.2 million in the prior fiscal year quarter. Stronger results reflected higher sales of educational products and services to schools, as well as higher sales of children’s books in retail trade channels. The Company typically records a loss in its fiscal first quarter, when most schools are not in session and its School Book Clubs and Fairs generate minimal revenue.</w:t>
      </w:r>
    </w:p>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fiscal 2012, the Company will continue to move forward with digital growth initiatives in the Children’s Book Publishing and Distribution segment and it remains on schedule to roll out the children’s e-reading app and online store later this fiscal year. To help fund this strategic spending, the Company is reducing costs in non-digital areas, including the implementation of a voluntary retirement program. The Company continues to anticipate total revenue of approximately $1.9 billion and earnings per diluted share from continuing operations in the range of $1.75 to $2.10, before the impact of any one-time items associated with cost reductions or non-cash, non-operating items.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 and Discontinued Operations</w:t>
      </w:r>
    </w:p>
    <w:p>
      <w:pPr>
        <w:spacing w:after="0" w:line="23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 xml:space="preserve">Revenues for the quarter ended August 31, 2011 increased by $27.6 million, or 9.5%, to $318.0 million, compared to $290.4 million in the prior fiscal year quarter. This was due to higher revenues in the </w:t>
      </w:r>
      <w:r>
        <w:rPr>
          <w:rFonts w:ascii="Arial" w:cs="Arial" w:eastAsia="Arial" w:hAnsi="Arial"/>
          <w:sz w:val="18"/>
          <w:szCs w:val="18"/>
          <w:i w:val="1"/>
          <w:iCs w:val="1"/>
          <w:color w:val="auto"/>
        </w:rPr>
        <w:t>Educational Technology and Services, Classroom and Supplemental Materials Publishing, International</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segments of $14.5 million, $9.2 million, $5.8 million and $4.5 million, respectively, partially offset by lower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of $6.4 million.</w:t>
      </w:r>
    </w:p>
    <w:p>
      <w:pPr>
        <w:spacing w:after="0" w:line="197"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 xml:space="preserve">Cost of goods sold as a percentage of revenue for the quarter ended August 31, 2011 decreased slightly to 50.4%, compared to 50.7% in the prior fiscal year quarter, primarily due to product mix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and higher revenues compared to relatively consistent prepublication and production amortization costs. Components of Cost of goods sold for the three months ended August 31, 2011 and 2010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637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4"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0" w:type="dxa"/>
            <w:vAlign w:val="bottom"/>
          </w:tcPr>
          <w:p>
            <w:pPr>
              <w:spacing w:after="0"/>
              <w:rPr>
                <w:sz w:val="19"/>
                <w:szCs w:val="19"/>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2011</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color w:val="auto"/>
              </w:rPr>
              <w:t>2010</w:t>
            </w:r>
          </w:p>
        </w:tc>
      </w:tr>
      <w:tr>
        <w:trPr>
          <w:trHeight w:val="110"/>
        </w:trPr>
        <w:tc>
          <w:tcPr>
            <w:tcW w:w="620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09"/>
        </w:trPr>
        <w:tc>
          <w:tcPr>
            <w:tcW w:w="6200" w:type="dxa"/>
            <w:vAlign w:val="bottom"/>
          </w:tcPr>
          <w:p>
            <w:pPr>
              <w:spacing w:after="0"/>
              <w:rPr>
                <w:sz w:val="20"/>
                <w:szCs w:val="20"/>
                <w:color w:val="auto"/>
              </w:rPr>
            </w:pPr>
            <w:r>
              <w:rPr>
                <w:rFonts w:ascii="Arial" w:cs="Arial" w:eastAsia="Arial" w:hAnsi="Arial"/>
                <w:sz w:val="18"/>
                <w:szCs w:val="18"/>
                <w:color w:val="auto"/>
              </w:rPr>
              <w:t>Product, service and production costs</w:t>
            </w:r>
          </w:p>
        </w:tc>
        <w:tc>
          <w:tcPr>
            <w:tcW w:w="30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79.5</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77.1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Royalty costs</w:t>
            </w:r>
          </w:p>
        </w:tc>
        <w:tc>
          <w:tcPr>
            <w:tcW w:w="30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22.9</w:t>
            </w:r>
          </w:p>
        </w:tc>
        <w:tc>
          <w:tcPr>
            <w:tcW w:w="44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19.2</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Prepublication and production amortization</w:t>
            </w:r>
          </w:p>
        </w:tc>
        <w:tc>
          <w:tcPr>
            <w:tcW w:w="30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12.1</w:t>
            </w: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Postage, freight, shipping, fulfillment and all other costs</w:t>
            </w:r>
          </w:p>
        </w:tc>
        <w:tc>
          <w:tcPr>
            <w:tcW w:w="306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46.2</w:t>
            </w:r>
          </w:p>
        </w:tc>
        <w:tc>
          <w:tcPr>
            <w:tcW w:w="4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38.9</w:t>
            </w:r>
          </w:p>
        </w:tc>
      </w:tr>
      <w:tr>
        <w:trPr>
          <w:trHeight w:val="110"/>
        </w:trPr>
        <w:tc>
          <w:tcPr>
            <w:tcW w:w="620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16"/>
        </w:trPr>
        <w:tc>
          <w:tcPr>
            <w:tcW w:w="6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160.4</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147.3</w:t>
            </w:r>
          </w:p>
        </w:tc>
      </w:tr>
      <w:tr>
        <w:trPr>
          <w:trHeight w:val="110"/>
        </w:trPr>
        <w:tc>
          <w:tcPr>
            <w:tcW w:w="620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 xml:space="preserve">Selling, general and administrative expenses increased slightly to $171.0 million in the quarter, or 53.8% of revenue, compared to $170.0 million, or 58.5% of revenue, in the prior fiscal year quarter, due to higher commissions in the </w:t>
      </w:r>
      <w:r>
        <w:rPr>
          <w:rFonts w:ascii="Arial" w:cs="Arial" w:eastAsia="Arial" w:hAnsi="Arial"/>
          <w:sz w:val="16"/>
          <w:szCs w:val="16"/>
          <w:i w:val="1"/>
          <w:iCs w:val="1"/>
          <w:color w:val="auto"/>
        </w:rPr>
        <w:t>Educational Technology and Services</w:t>
      </w:r>
      <w:r>
        <w:rPr>
          <w:rFonts w:ascii="Arial" w:cs="Arial" w:eastAsia="Arial" w:hAnsi="Arial"/>
          <w:sz w:val="16"/>
          <w:szCs w:val="16"/>
          <w:color w:val="auto"/>
        </w:rPr>
        <w:t xml:space="preserve"> segment.</w:t>
      </w:r>
    </w:p>
    <w:p>
      <w:pPr>
        <w:spacing w:after="0" w:line="13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Bad debt expense decreased to $1.4 million for the quarter ended August 31, 2011, compared to $2.9 million in the prior fiscal year quarter, primarily in the </w:t>
      </w: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segment.</w:t>
      </w:r>
    </w:p>
    <w:p>
      <w:pPr>
        <w:spacing w:after="0" w:line="18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Severance expense increased to $3.3 million for the quarter ended August 31, 2011, compared to $2.1 million in the prior fiscal year quarter, as the Company implemented new cost reduction initiatives, notably a voluntary retirement program, in the current fiscal year and incurred severance expense of $2.1 million related to this program. The Company expects additional severance costs of approximately $8 million to $13 million during the balance of fiscal 2012 related to this and other programs.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Net interest expense increased slightly to $3.9 million in the quarter ended August 31, 2011, compared to $3.8 million in the prior fiscal year quarter.</w:t>
      </w:r>
    </w:p>
    <w:p>
      <w:pPr>
        <w:sectPr>
          <w:pgSz w:w="11900" w:h="16838" w:orient="portrait"/>
          <w:cols w:equalWidth="0" w:num="1">
            <w:col w:w="11440"/>
          </w:cols>
          <w:pgMar w:left="240" w:top="382" w:right="219"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loss from discontinued operations, net of tax, was $2.0 million, or $0.06 per share, for the quarter ended August 31, 2011, compared to $1.3 million, or $0.04 per share, in the prior fiscal year quarter. The increase in such loss reflects asset impairments recorded in the quarter ended August 31, 2011.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tcPr>
          <w:p>
            <w:pPr>
              <w:spacing w:after="0"/>
              <w:rPr>
                <w:sz w:val="20"/>
                <w:szCs w:val="20"/>
                <w:color w:val="auto"/>
              </w:rPr>
            </w:pPr>
            <w:r>
              <w:rPr>
                <w:rFonts w:ascii="Arial" w:cs="Arial" w:eastAsia="Arial" w:hAnsi="Arial"/>
                <w:sz w:val="18"/>
                <w:szCs w:val="18"/>
                <w:b w:val="1"/>
                <w:bCs w:val="1"/>
                <w:color w:val="auto"/>
              </w:rPr>
              <w:t>Results of Continuing Operations</w:t>
            </w:r>
          </w:p>
        </w:tc>
        <w:tc>
          <w:tcPr>
            <w:tcW w:w="3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5840" w:type="dxa"/>
            <w:vAlign w:val="bottom"/>
          </w:tcPr>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tc>
        <w:tc>
          <w:tcPr>
            <w:tcW w:w="3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3"/>
        </w:trPr>
        <w:tc>
          <w:tcPr>
            <w:tcW w:w="5840" w:type="dxa"/>
            <w:vAlign w:val="bottom"/>
          </w:tcPr>
          <w:p>
            <w:pPr>
              <w:spacing w:after="0"/>
              <w:rPr>
                <w:sz w:val="24"/>
                <w:szCs w:val="24"/>
                <w:color w:val="auto"/>
              </w:rPr>
            </w:pPr>
          </w:p>
        </w:tc>
        <w:tc>
          <w:tcPr>
            <w:tcW w:w="5080" w:type="dxa"/>
            <w:vAlign w:val="bottom"/>
            <w:gridSpan w:val="3"/>
          </w:tcPr>
          <w:p>
            <w:pPr>
              <w:jc w:val="center"/>
              <w:ind w:left="2892"/>
              <w:spacing w:after="0"/>
              <w:rPr>
                <w:sz w:val="20"/>
                <w:szCs w:val="20"/>
                <w:color w:val="auto"/>
              </w:rPr>
            </w:pPr>
            <w:r>
              <w:rPr>
                <w:rFonts w:ascii="Arial" w:cs="Arial" w:eastAsia="Arial" w:hAnsi="Arial"/>
                <w:sz w:val="18"/>
                <w:szCs w:val="18"/>
                <w:b w:val="1"/>
                <w:bCs w:val="1"/>
                <w:color w:val="auto"/>
                <w:w w:val="86"/>
              </w:rPr>
              <w:t>Three months ended</w:t>
            </w:r>
          </w:p>
        </w:tc>
        <w:tc>
          <w:tcPr>
            <w:tcW w:w="520" w:type="dxa"/>
            <w:vAlign w:val="bottom"/>
          </w:tcPr>
          <w:p>
            <w:pPr>
              <w:spacing w:after="0"/>
              <w:rPr>
                <w:sz w:val="24"/>
                <w:szCs w:val="24"/>
                <w:color w:val="auto"/>
              </w:rPr>
            </w:pPr>
          </w:p>
        </w:tc>
      </w:tr>
      <w:tr>
        <w:trPr>
          <w:trHeight w:val="228"/>
        </w:trPr>
        <w:tc>
          <w:tcPr>
            <w:tcW w:w="584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3440" w:type="dxa"/>
            <w:vAlign w:val="bottom"/>
          </w:tcPr>
          <w:p>
            <w:pPr>
              <w:spacing w:after="0"/>
              <w:rPr>
                <w:sz w:val="19"/>
                <w:szCs w:val="19"/>
                <w:color w:val="auto"/>
              </w:rPr>
            </w:pPr>
          </w:p>
        </w:tc>
        <w:tc>
          <w:tcPr>
            <w:tcW w:w="1640" w:type="dxa"/>
            <w:vAlign w:val="bottom"/>
            <w:gridSpan w:val="2"/>
          </w:tcPr>
          <w:p>
            <w:pPr>
              <w:jc w:val="center"/>
              <w:ind w:right="392"/>
              <w:spacing w:after="0"/>
              <w:rPr>
                <w:sz w:val="20"/>
                <w:szCs w:val="20"/>
                <w:color w:val="auto"/>
              </w:rPr>
            </w:pPr>
            <w:r>
              <w:rPr>
                <w:rFonts w:ascii="Arial" w:cs="Arial" w:eastAsia="Arial" w:hAnsi="Arial"/>
                <w:sz w:val="18"/>
                <w:szCs w:val="18"/>
                <w:b w:val="1"/>
                <w:bCs w:val="1"/>
                <w:color w:val="auto"/>
                <w:w w:val="86"/>
              </w:rPr>
              <w:t>August 31,</w:t>
            </w:r>
          </w:p>
        </w:tc>
        <w:tc>
          <w:tcPr>
            <w:tcW w:w="520" w:type="dxa"/>
            <w:vAlign w:val="bottom"/>
          </w:tcPr>
          <w:p>
            <w:pPr>
              <w:spacing w:after="0"/>
              <w:rPr>
                <w:sz w:val="19"/>
                <w:szCs w:val="19"/>
                <w:color w:val="auto"/>
              </w:rPr>
            </w:pPr>
          </w:p>
        </w:tc>
      </w:tr>
      <w:tr>
        <w:trPr>
          <w:trHeight w:val="110"/>
        </w:trPr>
        <w:tc>
          <w:tcPr>
            <w:tcW w:w="584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316"/>
        </w:trPr>
        <w:tc>
          <w:tcPr>
            <w:tcW w:w="5840" w:type="dxa"/>
            <w:vAlign w:val="bottom"/>
          </w:tcPr>
          <w:p>
            <w:pPr>
              <w:spacing w:after="0"/>
              <w:rPr>
                <w:sz w:val="24"/>
                <w:szCs w:val="24"/>
                <w:color w:val="auto"/>
              </w:rPr>
            </w:pP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4"/>
                <w:szCs w:val="24"/>
                <w:color w:val="auto"/>
              </w:rPr>
            </w:pPr>
          </w:p>
        </w:tc>
      </w:tr>
      <w:tr>
        <w:trPr>
          <w:trHeight w:val="110"/>
        </w:trPr>
        <w:tc>
          <w:tcPr>
            <w:tcW w:w="584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464"/>
        </w:trPr>
        <w:tc>
          <w:tcPr>
            <w:tcW w:w="5840" w:type="dxa"/>
            <w:vAlign w:val="bottom"/>
          </w:tcPr>
          <w:p>
            <w:pPr>
              <w:spacing w:after="0"/>
              <w:rPr>
                <w:sz w:val="20"/>
                <w:szCs w:val="20"/>
                <w:color w:val="auto"/>
              </w:rPr>
            </w:pPr>
            <w:r>
              <w:rPr>
                <w:rFonts w:ascii="Arial" w:cs="Arial" w:eastAsia="Arial" w:hAnsi="Arial"/>
                <w:sz w:val="18"/>
                <w:szCs w:val="18"/>
                <w:color w:val="auto"/>
              </w:rPr>
              <w:t>Revenues</w:t>
            </w:r>
          </w:p>
        </w:tc>
        <w:tc>
          <w:tcPr>
            <w:tcW w:w="344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77.3</w:t>
            </w:r>
          </w:p>
        </w:tc>
        <w:tc>
          <w:tcPr>
            <w:tcW w:w="104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72.8</w:t>
            </w:r>
          </w:p>
        </w:tc>
      </w:tr>
      <w:tr>
        <w:trPr>
          <w:trHeight w:val="365"/>
        </w:trPr>
        <w:tc>
          <w:tcPr>
            <w:tcW w:w="5840" w:type="dxa"/>
            <w:vAlign w:val="bottom"/>
          </w:tcPr>
          <w:p>
            <w:pPr>
              <w:spacing w:after="0"/>
              <w:rPr>
                <w:sz w:val="20"/>
                <w:szCs w:val="20"/>
                <w:color w:val="auto"/>
              </w:rPr>
            </w:pPr>
            <w:r>
              <w:rPr>
                <w:rFonts w:ascii="Arial" w:cs="Arial" w:eastAsia="Arial" w:hAnsi="Arial"/>
                <w:sz w:val="18"/>
                <w:szCs w:val="18"/>
                <w:color w:val="auto"/>
              </w:rPr>
              <w:t>Operating loss</w:t>
            </w:r>
          </w:p>
        </w:tc>
        <w:tc>
          <w:tcPr>
            <w:tcW w:w="3440" w:type="dxa"/>
            <w:vAlign w:val="bottom"/>
          </w:tcPr>
          <w:p>
            <w:pPr>
              <w:spacing w:after="0"/>
              <w:rPr>
                <w:sz w:val="24"/>
                <w:szCs w:val="24"/>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3"/>
              </w:rPr>
              <w:t>(49.8)</w:t>
            </w:r>
          </w:p>
        </w:tc>
        <w:tc>
          <w:tcPr>
            <w:tcW w:w="10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9"/>
              </w:rPr>
              <w:t>(51.6)</w:t>
            </w:r>
          </w:p>
        </w:tc>
      </w:tr>
      <w:tr>
        <w:trPr>
          <w:trHeight w:val="110"/>
        </w:trPr>
        <w:tc>
          <w:tcPr>
            <w:tcW w:w="584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464"/>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44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432"/>
        </w:trPr>
        <w:tc>
          <w:tcPr>
            <w:tcW w:w="5840" w:type="dxa"/>
            <w:vAlign w:val="bottom"/>
          </w:tcPr>
          <w:p>
            <w:pPr>
              <w:ind w:left="440"/>
              <w:spacing w:after="0"/>
              <w:rPr>
                <w:sz w:val="20"/>
                <w:szCs w:val="20"/>
                <w:color w:val="auto"/>
              </w:rPr>
            </w:pPr>
            <w:r>
              <w:rPr>
                <w:rFonts w:ascii="Arial" w:cs="Arial" w:eastAsia="Arial" w:hAnsi="Arial"/>
                <w:sz w:val="18"/>
                <w:szCs w:val="18"/>
                <w:color w:val="auto"/>
              </w:rPr>
              <w:t>* Not meaningful</w:t>
            </w:r>
          </w:p>
        </w:tc>
        <w:tc>
          <w:tcPr>
            <w:tcW w:w="3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1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for the quarter ended August 31, 2011 increased by $4.5 million, or 6.2%, to $77.3 million, compared to $72.8 million in the prior fiscal year quarter. This increase was primarily related to higher revenue in the Company’s trade business, which was driven by strong sales of the </w:t>
      </w:r>
      <w:r>
        <w:rPr>
          <w:rFonts w:ascii="Arial" w:cs="Arial" w:eastAsia="Arial" w:hAnsi="Arial"/>
          <w:sz w:val="18"/>
          <w:szCs w:val="18"/>
          <w:i w:val="1"/>
          <w:iCs w:val="1"/>
          <w:color w:val="auto"/>
        </w:rPr>
        <w:t>Hunger Games</w:t>
      </w:r>
      <w:r>
        <w:rPr>
          <w:rFonts w:ascii="Arial" w:cs="Arial" w:eastAsia="Arial" w:hAnsi="Arial"/>
          <w:sz w:val="18"/>
          <w:szCs w:val="18"/>
          <w:color w:val="auto"/>
        </w:rPr>
        <w:t xml:space="preserve"> trilogy, in both print and ebook formats, and of </w:t>
      </w:r>
      <w:r>
        <w:rPr>
          <w:rFonts w:ascii="Arial" w:cs="Arial" w:eastAsia="Arial" w:hAnsi="Arial"/>
          <w:sz w:val="18"/>
          <w:szCs w:val="18"/>
          <w:i w:val="1"/>
          <w:iCs w:val="1"/>
          <w:color w:val="auto"/>
        </w:rPr>
        <w:t>Harry Potter</w:t>
      </w:r>
      <w:r>
        <w:rPr>
          <w:rFonts w:ascii="Arial" w:cs="Arial" w:eastAsia="Arial" w:hAnsi="Arial"/>
          <w:sz w:val="18"/>
          <w:szCs w:val="18"/>
          <w:color w:val="auto"/>
        </w:rPr>
        <w:t xml:space="preserve"> titles. School book clubs and book fairs have minimal activity in the Company’s first fiscal quarter, as most schools are not in session.</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Segment operating loss for the quarter ended August 31, 2011 decreased by $1.8 million, or 3.5%, to a loss of $49.8 million, compared to a loss of $51.6 million in the prior fiscal year quarter, principally due to the increased revenue in the Company’s trade business. The improved results were also partially offset by the Company’s continued investment in its digital initiatives.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60" w:type="dxa"/>
            <w:vAlign w:val="bottom"/>
          </w:tcPr>
          <w:p>
            <w:pPr>
              <w:spacing w:after="0"/>
              <w:rPr>
                <w:sz w:val="20"/>
                <w:szCs w:val="20"/>
                <w:color w:val="auto"/>
              </w:rPr>
            </w:pPr>
            <w:r>
              <w:rPr>
                <w:rFonts w:ascii="Arial" w:cs="Arial" w:eastAsia="Arial" w:hAnsi="Arial"/>
                <w:sz w:val="18"/>
                <w:szCs w:val="18"/>
                <w:b w:val="1"/>
                <w:bCs w:val="1"/>
                <w:i w:val="1"/>
                <w:iCs w:val="1"/>
                <w:color w:val="auto"/>
              </w:rPr>
              <w:t>Educational Technology and Services</w:t>
            </w:r>
          </w:p>
        </w:tc>
        <w:tc>
          <w:tcPr>
            <w:tcW w:w="3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3"/>
        </w:trPr>
        <w:tc>
          <w:tcPr>
            <w:tcW w:w="5560" w:type="dxa"/>
            <w:vAlign w:val="bottom"/>
          </w:tcPr>
          <w:p>
            <w:pPr>
              <w:spacing w:after="0"/>
              <w:rPr>
                <w:sz w:val="24"/>
                <w:szCs w:val="24"/>
                <w:color w:val="auto"/>
              </w:rPr>
            </w:pPr>
          </w:p>
        </w:tc>
        <w:tc>
          <w:tcPr>
            <w:tcW w:w="5300" w:type="dxa"/>
            <w:vAlign w:val="bottom"/>
            <w:gridSpan w:val="3"/>
          </w:tcPr>
          <w:p>
            <w:pPr>
              <w:jc w:val="center"/>
              <w:ind w:left="3112"/>
              <w:spacing w:after="0"/>
              <w:rPr>
                <w:sz w:val="20"/>
                <w:szCs w:val="20"/>
                <w:color w:val="auto"/>
              </w:rPr>
            </w:pPr>
            <w:r>
              <w:rPr>
                <w:rFonts w:ascii="Arial" w:cs="Arial" w:eastAsia="Arial" w:hAnsi="Arial"/>
                <w:sz w:val="18"/>
                <w:szCs w:val="18"/>
                <w:b w:val="1"/>
                <w:bCs w:val="1"/>
                <w:color w:val="auto"/>
                <w:w w:val="86"/>
              </w:rPr>
              <w:t>Three months ended</w:t>
            </w:r>
          </w:p>
        </w:tc>
        <w:tc>
          <w:tcPr>
            <w:tcW w:w="580" w:type="dxa"/>
            <w:vAlign w:val="bottom"/>
          </w:tcPr>
          <w:p>
            <w:pPr>
              <w:spacing w:after="0"/>
              <w:rPr>
                <w:sz w:val="24"/>
                <w:szCs w:val="24"/>
                <w:color w:val="auto"/>
              </w:rPr>
            </w:pPr>
          </w:p>
        </w:tc>
      </w:tr>
      <w:tr>
        <w:trPr>
          <w:trHeight w:val="228"/>
        </w:trPr>
        <w:tc>
          <w:tcPr>
            <w:tcW w:w="55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3700" w:type="dxa"/>
            <w:vAlign w:val="bottom"/>
          </w:tcPr>
          <w:p>
            <w:pPr>
              <w:spacing w:after="0"/>
              <w:rPr>
                <w:sz w:val="19"/>
                <w:szCs w:val="19"/>
                <w:color w:val="auto"/>
              </w:rPr>
            </w:pPr>
          </w:p>
        </w:tc>
        <w:tc>
          <w:tcPr>
            <w:tcW w:w="1600" w:type="dxa"/>
            <w:vAlign w:val="bottom"/>
            <w:gridSpan w:val="2"/>
          </w:tcPr>
          <w:p>
            <w:pPr>
              <w:jc w:val="center"/>
              <w:ind w:right="432"/>
              <w:spacing w:after="0"/>
              <w:rPr>
                <w:sz w:val="20"/>
                <w:szCs w:val="20"/>
                <w:color w:val="auto"/>
              </w:rPr>
            </w:pPr>
            <w:r>
              <w:rPr>
                <w:rFonts w:ascii="Arial" w:cs="Arial" w:eastAsia="Arial" w:hAnsi="Arial"/>
                <w:sz w:val="18"/>
                <w:szCs w:val="18"/>
                <w:b w:val="1"/>
                <w:bCs w:val="1"/>
                <w:color w:val="auto"/>
                <w:w w:val="86"/>
              </w:rPr>
              <w:t>August 31,</w:t>
            </w:r>
          </w:p>
        </w:tc>
        <w:tc>
          <w:tcPr>
            <w:tcW w:w="580" w:type="dxa"/>
            <w:vAlign w:val="bottom"/>
          </w:tcPr>
          <w:p>
            <w:pPr>
              <w:spacing w:after="0"/>
              <w:rPr>
                <w:sz w:val="19"/>
                <w:szCs w:val="19"/>
                <w:color w:val="auto"/>
              </w:rPr>
            </w:pPr>
          </w:p>
        </w:tc>
      </w:tr>
      <w:tr>
        <w:trPr>
          <w:trHeight w:val="110"/>
        </w:trPr>
        <w:tc>
          <w:tcPr>
            <w:tcW w:w="5560" w:type="dxa"/>
            <w:vAlign w:val="bottom"/>
            <w:tcBorders>
              <w:bottom w:val="single" w:sz="8" w:color="808080"/>
            </w:tcBorders>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316"/>
        </w:trPr>
        <w:tc>
          <w:tcPr>
            <w:tcW w:w="5560" w:type="dxa"/>
            <w:vAlign w:val="bottom"/>
          </w:tcPr>
          <w:p>
            <w:pPr>
              <w:spacing w:after="0"/>
              <w:rPr>
                <w:sz w:val="24"/>
                <w:szCs w:val="24"/>
                <w:color w:val="auto"/>
              </w:rPr>
            </w:pPr>
          </w:p>
        </w:tc>
        <w:tc>
          <w:tcPr>
            <w:tcW w:w="37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24"/>
                <w:szCs w:val="24"/>
                <w:color w:val="auto"/>
              </w:rPr>
            </w:pPr>
          </w:p>
        </w:tc>
      </w:tr>
      <w:tr>
        <w:trPr>
          <w:trHeight w:val="110"/>
        </w:trPr>
        <w:tc>
          <w:tcPr>
            <w:tcW w:w="5560" w:type="dxa"/>
            <w:vAlign w:val="bottom"/>
            <w:tcBorders>
              <w:bottom w:val="single" w:sz="8" w:color="808080"/>
            </w:tcBorders>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464"/>
        </w:trPr>
        <w:tc>
          <w:tcPr>
            <w:tcW w:w="5560" w:type="dxa"/>
            <w:vAlign w:val="bottom"/>
          </w:tcPr>
          <w:p>
            <w:pPr>
              <w:spacing w:after="0"/>
              <w:rPr>
                <w:sz w:val="20"/>
                <w:szCs w:val="20"/>
                <w:color w:val="auto"/>
              </w:rPr>
            </w:pPr>
            <w:r>
              <w:rPr>
                <w:rFonts w:ascii="Arial" w:cs="Arial" w:eastAsia="Arial" w:hAnsi="Arial"/>
                <w:sz w:val="18"/>
                <w:szCs w:val="18"/>
                <w:color w:val="auto"/>
              </w:rPr>
              <w:t>Revenues</w:t>
            </w:r>
          </w:p>
        </w:tc>
        <w:tc>
          <w:tcPr>
            <w:tcW w:w="370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640" w:type="dxa"/>
            <w:vAlign w:val="bottom"/>
          </w:tcPr>
          <w:p>
            <w:pPr>
              <w:ind w:left="80"/>
              <w:spacing w:after="0"/>
              <w:rPr>
                <w:sz w:val="20"/>
                <w:szCs w:val="20"/>
                <w:color w:val="auto"/>
              </w:rPr>
            </w:pPr>
            <w:r>
              <w:rPr>
                <w:rFonts w:ascii="Arial" w:cs="Arial" w:eastAsia="Arial" w:hAnsi="Arial"/>
                <w:sz w:val="18"/>
                <w:szCs w:val="18"/>
                <w:color w:val="auto"/>
              </w:rPr>
              <w:t>96.6</w:t>
            </w:r>
          </w:p>
        </w:tc>
        <w:tc>
          <w:tcPr>
            <w:tcW w:w="96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580" w:type="dxa"/>
            <w:vAlign w:val="bottom"/>
          </w:tcPr>
          <w:p>
            <w:pPr>
              <w:ind w:left="60"/>
              <w:spacing w:after="0"/>
              <w:rPr>
                <w:sz w:val="20"/>
                <w:szCs w:val="20"/>
                <w:color w:val="auto"/>
              </w:rPr>
            </w:pPr>
            <w:r>
              <w:rPr>
                <w:rFonts w:ascii="Arial" w:cs="Arial" w:eastAsia="Arial" w:hAnsi="Arial"/>
                <w:sz w:val="18"/>
                <w:szCs w:val="18"/>
                <w:color w:val="auto"/>
              </w:rPr>
              <w:t>82.1</w:t>
            </w:r>
          </w:p>
        </w:tc>
      </w:tr>
      <w:tr>
        <w:trPr>
          <w:trHeight w:val="365"/>
        </w:trPr>
        <w:tc>
          <w:tcPr>
            <w:tcW w:w="5560" w:type="dxa"/>
            <w:vAlign w:val="bottom"/>
          </w:tcPr>
          <w:p>
            <w:pPr>
              <w:spacing w:after="0"/>
              <w:rPr>
                <w:sz w:val="20"/>
                <w:szCs w:val="20"/>
                <w:color w:val="auto"/>
              </w:rPr>
            </w:pPr>
            <w:r>
              <w:rPr>
                <w:rFonts w:ascii="Arial" w:cs="Arial" w:eastAsia="Arial" w:hAnsi="Arial"/>
                <w:sz w:val="18"/>
                <w:szCs w:val="18"/>
                <w:color w:val="auto"/>
              </w:rPr>
              <w:t>Operating income</w:t>
            </w:r>
          </w:p>
        </w:tc>
        <w:tc>
          <w:tcPr>
            <w:tcW w:w="37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38.8</w:t>
            </w:r>
          </w:p>
        </w:tc>
        <w:tc>
          <w:tcPr>
            <w:tcW w:w="9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30.2</w:t>
            </w:r>
          </w:p>
        </w:tc>
      </w:tr>
      <w:tr>
        <w:trPr>
          <w:trHeight w:val="110"/>
        </w:trPr>
        <w:tc>
          <w:tcPr>
            <w:tcW w:w="5560" w:type="dxa"/>
            <w:vAlign w:val="bottom"/>
            <w:tcBorders>
              <w:bottom w:val="single" w:sz="8" w:color="808080"/>
            </w:tcBorders>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464"/>
        </w:trPr>
        <w:tc>
          <w:tcPr>
            <w:tcW w:w="556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7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b w:val="1"/>
                <w:bCs w:val="1"/>
                <w:color w:val="auto"/>
              </w:rPr>
              <w:t>40.2%</w:t>
            </w:r>
          </w:p>
        </w:tc>
        <w:tc>
          <w:tcPr>
            <w:tcW w:w="9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8"/>
                <w:szCs w:val="18"/>
                <w:b w:val="1"/>
                <w:bCs w:val="1"/>
                <w:color w:val="auto"/>
                <w:w w:val="97"/>
              </w:rPr>
              <w:t>36.8%</w:t>
            </w:r>
          </w:p>
        </w:tc>
      </w:tr>
    </w:tbl>
    <w:p>
      <w:pPr>
        <w:spacing w:after="0" w:line="210" w:lineRule="exact"/>
        <w:rPr>
          <w:sz w:val="20"/>
          <w:szCs w:val="20"/>
          <w:color w:val="auto"/>
        </w:rPr>
      </w:pPr>
    </w:p>
    <w:p>
      <w:pPr>
        <w:jc w:val="both"/>
        <w:ind w:right="380"/>
        <w:spacing w:after="0" w:line="223"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Educational Technology and Services</w:t>
      </w:r>
      <w:r>
        <w:rPr>
          <w:rFonts w:ascii="Arial" w:cs="Arial" w:eastAsia="Arial" w:hAnsi="Arial"/>
          <w:sz w:val="18"/>
          <w:szCs w:val="18"/>
          <w:color w:val="auto"/>
        </w:rPr>
        <w:t xml:space="preserve"> segment for the quarter ended August 31, 2011 increased by $14.5 million, or 17.7%, to $96.6 million, compared to $82.1 million in the prior fiscal year quarter. This increase was primarily due to strong sales of educational technology, led by </w:t>
      </w:r>
      <w:r>
        <w:rPr>
          <w:rFonts w:ascii="Arial" w:cs="Arial" w:eastAsia="Arial" w:hAnsi="Arial"/>
          <w:sz w:val="18"/>
          <w:szCs w:val="18"/>
          <w:i w:val="1"/>
          <w:iCs w:val="1"/>
          <w:color w:val="auto"/>
        </w:rPr>
        <w:t>READ 180</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Next</w:t>
      </w:r>
      <w:r>
        <w:rPr>
          <w:rFonts w:ascii="Arial" w:cs="Arial" w:eastAsia="Arial" w:hAnsi="Arial"/>
          <w:sz w:val="18"/>
          <w:szCs w:val="18"/>
          <w:color w:val="auto"/>
        </w:rPr>
        <w:t xml:space="preserve"> </w:t>
      </w:r>
      <w:r>
        <w:rPr>
          <w:rFonts w:ascii="Arial" w:cs="Arial" w:eastAsia="Arial" w:hAnsi="Arial"/>
          <w:sz w:val="18"/>
          <w:szCs w:val="18"/>
          <w:i w:val="1"/>
          <w:iCs w:val="1"/>
          <w:color w:val="auto"/>
        </w:rPr>
        <w:t>Generation</w:t>
      </w:r>
      <w:r>
        <w:rPr>
          <w:rFonts w:ascii="Arial" w:cs="Arial" w:eastAsia="Arial" w:hAnsi="Arial"/>
          <w:sz w:val="18"/>
          <w:szCs w:val="18"/>
          <w:color w:val="auto"/>
        </w:rPr>
        <w:t>, and continued strength in math, early learning and services.</w:t>
      </w:r>
    </w:p>
    <w:p>
      <w:pPr>
        <w:spacing w:after="0" w:line="2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Segment operating income for the quarter ended August 31, 2011 increased by $8.6 million to $38.8 million, compared to $30.2 million in the prior fiscal year quarter, principally driven by the increase in revenues described above.</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80" w:type="dxa"/>
            <w:vAlign w:val="bottom"/>
          </w:tcPr>
          <w:p>
            <w:pPr>
              <w:spacing w:after="0"/>
              <w:rPr>
                <w:sz w:val="20"/>
                <w:szCs w:val="20"/>
                <w:color w:val="auto"/>
              </w:rPr>
            </w:pPr>
            <w:r>
              <w:rPr>
                <w:rFonts w:ascii="Arial" w:cs="Arial" w:eastAsia="Arial" w:hAnsi="Arial"/>
                <w:sz w:val="18"/>
                <w:szCs w:val="18"/>
                <w:b w:val="1"/>
                <w:bCs w:val="1"/>
                <w:i w:val="1"/>
                <w:iCs w:val="1"/>
                <w:color w:val="auto"/>
              </w:rPr>
              <w:t>Classroom and Supplemental Materials Publishing</w:t>
            </w:r>
          </w:p>
        </w:tc>
        <w:tc>
          <w:tcPr>
            <w:tcW w:w="3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3"/>
        </w:trPr>
        <w:tc>
          <w:tcPr>
            <w:tcW w:w="6080" w:type="dxa"/>
            <w:vAlign w:val="bottom"/>
          </w:tcPr>
          <w:p>
            <w:pPr>
              <w:spacing w:after="0"/>
              <w:rPr>
                <w:sz w:val="24"/>
                <w:szCs w:val="24"/>
                <w:color w:val="auto"/>
              </w:rPr>
            </w:pPr>
          </w:p>
        </w:tc>
        <w:tc>
          <w:tcPr>
            <w:tcW w:w="4840" w:type="dxa"/>
            <w:vAlign w:val="bottom"/>
            <w:gridSpan w:val="3"/>
          </w:tcPr>
          <w:p>
            <w:pPr>
              <w:jc w:val="center"/>
              <w:ind w:left="2652"/>
              <w:spacing w:after="0"/>
              <w:rPr>
                <w:sz w:val="20"/>
                <w:szCs w:val="20"/>
                <w:color w:val="auto"/>
              </w:rPr>
            </w:pPr>
            <w:r>
              <w:rPr>
                <w:rFonts w:ascii="Arial" w:cs="Arial" w:eastAsia="Arial" w:hAnsi="Arial"/>
                <w:sz w:val="18"/>
                <w:szCs w:val="18"/>
                <w:b w:val="1"/>
                <w:bCs w:val="1"/>
                <w:color w:val="auto"/>
                <w:w w:val="86"/>
              </w:rPr>
              <w:t>Three months ended</w:t>
            </w:r>
          </w:p>
        </w:tc>
        <w:tc>
          <w:tcPr>
            <w:tcW w:w="520" w:type="dxa"/>
            <w:vAlign w:val="bottom"/>
          </w:tcPr>
          <w:p>
            <w:pPr>
              <w:spacing w:after="0"/>
              <w:rPr>
                <w:sz w:val="24"/>
                <w:szCs w:val="24"/>
                <w:color w:val="auto"/>
              </w:rPr>
            </w:pPr>
          </w:p>
        </w:tc>
      </w:tr>
      <w:tr>
        <w:trPr>
          <w:trHeight w:val="228"/>
        </w:trPr>
        <w:tc>
          <w:tcPr>
            <w:tcW w:w="608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3220" w:type="dxa"/>
            <w:vAlign w:val="bottom"/>
          </w:tcPr>
          <w:p>
            <w:pPr>
              <w:spacing w:after="0"/>
              <w:rPr>
                <w:sz w:val="19"/>
                <w:szCs w:val="19"/>
                <w:color w:val="auto"/>
              </w:rPr>
            </w:pPr>
          </w:p>
        </w:tc>
        <w:tc>
          <w:tcPr>
            <w:tcW w:w="1620" w:type="dxa"/>
            <w:vAlign w:val="bottom"/>
            <w:gridSpan w:val="2"/>
          </w:tcPr>
          <w:p>
            <w:pPr>
              <w:jc w:val="center"/>
              <w:ind w:right="412"/>
              <w:spacing w:after="0"/>
              <w:rPr>
                <w:sz w:val="20"/>
                <w:szCs w:val="20"/>
                <w:color w:val="auto"/>
              </w:rPr>
            </w:pPr>
            <w:r>
              <w:rPr>
                <w:rFonts w:ascii="Arial" w:cs="Arial" w:eastAsia="Arial" w:hAnsi="Arial"/>
                <w:sz w:val="18"/>
                <w:szCs w:val="18"/>
                <w:b w:val="1"/>
                <w:bCs w:val="1"/>
                <w:color w:val="auto"/>
                <w:w w:val="86"/>
              </w:rPr>
              <w:t>August 31,</w:t>
            </w:r>
          </w:p>
        </w:tc>
        <w:tc>
          <w:tcPr>
            <w:tcW w:w="520" w:type="dxa"/>
            <w:vAlign w:val="bottom"/>
          </w:tcPr>
          <w:p>
            <w:pPr>
              <w:spacing w:after="0"/>
              <w:rPr>
                <w:sz w:val="19"/>
                <w:szCs w:val="19"/>
                <w:color w:val="auto"/>
              </w:rPr>
            </w:pPr>
          </w:p>
        </w:tc>
      </w:tr>
      <w:tr>
        <w:trPr>
          <w:trHeight w:val="110"/>
        </w:trPr>
        <w:tc>
          <w:tcPr>
            <w:tcW w:w="608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316"/>
        </w:trPr>
        <w:tc>
          <w:tcPr>
            <w:tcW w:w="608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4"/>
                <w:szCs w:val="24"/>
                <w:color w:val="auto"/>
              </w:rPr>
            </w:pPr>
          </w:p>
        </w:tc>
      </w:tr>
      <w:tr>
        <w:trPr>
          <w:trHeight w:val="110"/>
        </w:trPr>
        <w:tc>
          <w:tcPr>
            <w:tcW w:w="608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464"/>
        </w:trPr>
        <w:tc>
          <w:tcPr>
            <w:tcW w:w="6080" w:type="dxa"/>
            <w:vAlign w:val="bottom"/>
          </w:tcPr>
          <w:p>
            <w:pPr>
              <w:spacing w:after="0"/>
              <w:rPr>
                <w:sz w:val="20"/>
                <w:szCs w:val="20"/>
                <w:color w:val="auto"/>
              </w:rPr>
            </w:pPr>
            <w:r>
              <w:rPr>
                <w:rFonts w:ascii="Arial" w:cs="Arial" w:eastAsia="Arial" w:hAnsi="Arial"/>
                <w:sz w:val="18"/>
                <w:szCs w:val="18"/>
                <w:color w:val="auto"/>
              </w:rPr>
              <w:t>Revenues</w:t>
            </w:r>
          </w:p>
        </w:tc>
        <w:tc>
          <w:tcPr>
            <w:tcW w:w="322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45.7</w:t>
            </w:r>
          </w:p>
        </w:tc>
        <w:tc>
          <w:tcPr>
            <w:tcW w:w="98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36.5</w:t>
            </w:r>
          </w:p>
        </w:tc>
      </w:tr>
      <w:tr>
        <w:trPr>
          <w:trHeight w:val="365"/>
        </w:trPr>
        <w:tc>
          <w:tcPr>
            <w:tcW w:w="608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20" w:type="dxa"/>
            <w:vAlign w:val="bottom"/>
          </w:tcPr>
          <w:p>
            <w:pPr>
              <w:spacing w:after="0"/>
              <w:rPr>
                <w:sz w:val="24"/>
                <w:szCs w:val="24"/>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9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10"/>
        </w:trPr>
        <w:tc>
          <w:tcPr>
            <w:tcW w:w="608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464"/>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98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432"/>
        </w:trPr>
        <w:tc>
          <w:tcPr>
            <w:tcW w:w="6080" w:type="dxa"/>
            <w:vAlign w:val="bottom"/>
          </w:tcPr>
          <w:p>
            <w:pPr>
              <w:ind w:left="440"/>
              <w:spacing w:after="0"/>
              <w:rPr>
                <w:sz w:val="20"/>
                <w:szCs w:val="20"/>
                <w:color w:val="auto"/>
              </w:rPr>
            </w:pPr>
            <w:r>
              <w:rPr>
                <w:rFonts w:ascii="Arial" w:cs="Arial" w:eastAsia="Arial" w:hAnsi="Arial"/>
                <w:sz w:val="18"/>
                <w:szCs w:val="18"/>
                <w:color w:val="auto"/>
              </w:rPr>
              <w:t>* Not meaningful</w:t>
            </w:r>
          </w:p>
        </w:tc>
        <w:tc>
          <w:tcPr>
            <w:tcW w:w="3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1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Classroom and Supplemental Materials Publishing</w:t>
      </w:r>
      <w:r>
        <w:rPr>
          <w:rFonts w:ascii="Arial" w:cs="Arial" w:eastAsia="Arial" w:hAnsi="Arial"/>
          <w:sz w:val="18"/>
          <w:szCs w:val="18"/>
          <w:color w:val="auto"/>
        </w:rPr>
        <w:t xml:space="preserve"> segment for the quarter ended August 31, 2011 increased by $9.2 million, or 25.2%, to $45.7 million, compared to $36.5 million in the prior fiscal year quarter. This increase was primarily due to increased sales of classroom books, driven by contracts for summer reading and custom book collections.</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Segment operating income for the quarter ended August 31, 2011 was $2.1 million which was a $3.8 million improvement over the prior fiscal year quarter loss of $1.7 million. This was principally driven by the increase in revenues described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6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4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3"/>
        </w:trPr>
        <w:tc>
          <w:tcPr>
            <w:tcW w:w="5060" w:type="dxa"/>
            <w:vAlign w:val="bottom"/>
          </w:tcPr>
          <w:p>
            <w:pPr>
              <w:spacing w:after="0"/>
              <w:rPr>
                <w:sz w:val="24"/>
                <w:szCs w:val="24"/>
                <w:color w:val="auto"/>
              </w:rPr>
            </w:pPr>
          </w:p>
        </w:tc>
        <w:tc>
          <w:tcPr>
            <w:tcW w:w="5860" w:type="dxa"/>
            <w:vAlign w:val="bottom"/>
            <w:gridSpan w:val="3"/>
          </w:tcPr>
          <w:p>
            <w:pPr>
              <w:jc w:val="center"/>
              <w:ind w:left="3672"/>
              <w:spacing w:after="0"/>
              <w:rPr>
                <w:sz w:val="20"/>
                <w:szCs w:val="20"/>
                <w:color w:val="auto"/>
              </w:rPr>
            </w:pPr>
            <w:r>
              <w:rPr>
                <w:rFonts w:ascii="Arial" w:cs="Arial" w:eastAsia="Arial" w:hAnsi="Arial"/>
                <w:sz w:val="18"/>
                <w:szCs w:val="18"/>
                <w:b w:val="1"/>
                <w:bCs w:val="1"/>
                <w:color w:val="auto"/>
                <w:w w:val="86"/>
              </w:rPr>
              <w:t>Three months ended</w:t>
            </w:r>
          </w:p>
        </w:tc>
        <w:tc>
          <w:tcPr>
            <w:tcW w:w="520" w:type="dxa"/>
            <w:vAlign w:val="bottom"/>
          </w:tcPr>
          <w:p>
            <w:pPr>
              <w:spacing w:after="0"/>
              <w:rPr>
                <w:sz w:val="24"/>
                <w:szCs w:val="24"/>
                <w:color w:val="auto"/>
              </w:rPr>
            </w:pPr>
          </w:p>
        </w:tc>
      </w:tr>
      <w:tr>
        <w:trPr>
          <w:trHeight w:val="228"/>
        </w:trPr>
        <w:tc>
          <w:tcPr>
            <w:tcW w:w="50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4240" w:type="dxa"/>
            <w:vAlign w:val="bottom"/>
          </w:tcPr>
          <w:p>
            <w:pPr>
              <w:spacing w:after="0"/>
              <w:rPr>
                <w:sz w:val="19"/>
                <w:szCs w:val="19"/>
                <w:color w:val="auto"/>
              </w:rPr>
            </w:pPr>
          </w:p>
        </w:tc>
        <w:tc>
          <w:tcPr>
            <w:tcW w:w="1620" w:type="dxa"/>
            <w:vAlign w:val="bottom"/>
            <w:gridSpan w:val="2"/>
          </w:tcPr>
          <w:p>
            <w:pPr>
              <w:jc w:val="center"/>
              <w:ind w:right="412"/>
              <w:spacing w:after="0"/>
              <w:rPr>
                <w:sz w:val="20"/>
                <w:szCs w:val="20"/>
                <w:color w:val="auto"/>
              </w:rPr>
            </w:pPr>
            <w:r>
              <w:rPr>
                <w:rFonts w:ascii="Arial" w:cs="Arial" w:eastAsia="Arial" w:hAnsi="Arial"/>
                <w:sz w:val="18"/>
                <w:szCs w:val="18"/>
                <w:b w:val="1"/>
                <w:bCs w:val="1"/>
                <w:color w:val="auto"/>
                <w:w w:val="86"/>
              </w:rPr>
              <w:t>August 31,</w:t>
            </w:r>
          </w:p>
        </w:tc>
        <w:tc>
          <w:tcPr>
            <w:tcW w:w="520" w:type="dxa"/>
            <w:vAlign w:val="bottom"/>
          </w:tcPr>
          <w:p>
            <w:pPr>
              <w:spacing w:after="0"/>
              <w:rPr>
                <w:sz w:val="19"/>
                <w:szCs w:val="19"/>
                <w:color w:val="auto"/>
              </w:rPr>
            </w:pPr>
          </w:p>
        </w:tc>
      </w:tr>
      <w:tr>
        <w:trPr>
          <w:trHeight w:val="110"/>
        </w:trPr>
        <w:tc>
          <w:tcPr>
            <w:tcW w:w="5060" w:type="dxa"/>
            <w:vAlign w:val="bottom"/>
            <w:tcBorders>
              <w:bottom w:val="single" w:sz="8" w:color="808080"/>
            </w:tcBorders>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316"/>
        </w:trPr>
        <w:tc>
          <w:tcPr>
            <w:tcW w:w="506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4"/>
                <w:szCs w:val="24"/>
                <w:color w:val="auto"/>
              </w:rPr>
            </w:pPr>
          </w:p>
        </w:tc>
      </w:tr>
      <w:tr>
        <w:trPr>
          <w:trHeight w:val="110"/>
        </w:trPr>
        <w:tc>
          <w:tcPr>
            <w:tcW w:w="5060" w:type="dxa"/>
            <w:vAlign w:val="bottom"/>
            <w:tcBorders>
              <w:bottom w:val="single" w:sz="8" w:color="808080"/>
            </w:tcBorders>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464"/>
        </w:trPr>
        <w:tc>
          <w:tcPr>
            <w:tcW w:w="5060" w:type="dxa"/>
            <w:vAlign w:val="bottom"/>
          </w:tcPr>
          <w:p>
            <w:pPr>
              <w:spacing w:after="0"/>
              <w:rPr>
                <w:sz w:val="20"/>
                <w:szCs w:val="20"/>
                <w:color w:val="auto"/>
              </w:rPr>
            </w:pPr>
            <w:r>
              <w:rPr>
                <w:rFonts w:ascii="Arial" w:cs="Arial" w:eastAsia="Arial" w:hAnsi="Arial"/>
                <w:sz w:val="18"/>
                <w:szCs w:val="18"/>
                <w:color w:val="auto"/>
              </w:rPr>
              <w:t>Revenues</w:t>
            </w:r>
          </w:p>
        </w:tc>
        <w:tc>
          <w:tcPr>
            <w:tcW w:w="424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87.7</w:t>
            </w:r>
          </w:p>
        </w:tc>
        <w:tc>
          <w:tcPr>
            <w:tcW w:w="104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81.9</w:t>
            </w:r>
          </w:p>
        </w:tc>
      </w:tr>
      <w:tr>
        <w:trPr>
          <w:trHeight w:val="365"/>
        </w:trPr>
        <w:tc>
          <w:tcPr>
            <w:tcW w:w="5060" w:type="dxa"/>
            <w:vAlign w:val="bottom"/>
          </w:tcPr>
          <w:p>
            <w:pPr>
              <w:spacing w:after="0"/>
              <w:rPr>
                <w:sz w:val="20"/>
                <w:szCs w:val="20"/>
                <w:color w:val="auto"/>
              </w:rPr>
            </w:pPr>
            <w:r>
              <w:rPr>
                <w:rFonts w:ascii="Arial" w:cs="Arial" w:eastAsia="Arial" w:hAnsi="Arial"/>
                <w:sz w:val="18"/>
                <w:szCs w:val="18"/>
                <w:color w:val="auto"/>
              </w:rPr>
              <w:t>Operating loss</w:t>
            </w:r>
          </w:p>
        </w:tc>
        <w:tc>
          <w:tcPr>
            <w:tcW w:w="4240" w:type="dxa"/>
            <w:vAlign w:val="bottom"/>
          </w:tcPr>
          <w:p>
            <w:pPr>
              <w:spacing w:after="0"/>
              <w:rPr>
                <w:sz w:val="24"/>
                <w:szCs w:val="24"/>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10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10"/>
        </w:trPr>
        <w:tc>
          <w:tcPr>
            <w:tcW w:w="5060" w:type="dxa"/>
            <w:vAlign w:val="bottom"/>
            <w:tcBorders>
              <w:bottom w:val="single" w:sz="8" w:color="808080"/>
            </w:tcBorders>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464"/>
        </w:trPr>
        <w:tc>
          <w:tcPr>
            <w:tcW w:w="506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424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432"/>
        </w:trPr>
        <w:tc>
          <w:tcPr>
            <w:tcW w:w="5060" w:type="dxa"/>
            <w:vAlign w:val="bottom"/>
          </w:tcPr>
          <w:p>
            <w:pPr>
              <w:ind w:left="440"/>
              <w:spacing w:after="0"/>
              <w:rPr>
                <w:sz w:val="20"/>
                <w:szCs w:val="20"/>
                <w:color w:val="auto"/>
              </w:rPr>
            </w:pPr>
            <w:r>
              <w:rPr>
                <w:rFonts w:ascii="Arial" w:cs="Arial" w:eastAsia="Arial" w:hAnsi="Arial"/>
                <w:sz w:val="18"/>
                <w:szCs w:val="18"/>
                <w:color w:val="auto"/>
              </w:rPr>
              <w:t>* Not meaningful</w:t>
            </w:r>
          </w:p>
        </w:tc>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1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for the quarter ended August 31, 2011 increased by $5.8 million, or 7.1%, to $87.7 million, compared to $81.9 million in the prior fiscal year quarter, primarily due to the favorable impact of foreign currency exchange rates of $9.8 million, as well as higher revenues in the Company’s Asia operations, partially offset by lower revenues in the Company’s Australian, New Zealand and Canadian operations.</w:t>
      </w:r>
    </w:p>
    <w:p>
      <w:pPr>
        <w:spacing w:after="0" w:line="16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Segment operating loss for the quarter ended August 31, 2011 decreased by $2.1 million to a loss of $0.1 million, compared to a loss of $2.2 million in the prior fiscal year quarter, primarily due to the favorable foreign exchange rates.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40" w:type="dxa"/>
            <w:vAlign w:val="bottom"/>
          </w:tcPr>
          <w:p>
            <w:pPr>
              <w:spacing w:after="0"/>
              <w:rPr>
                <w:sz w:val="20"/>
                <w:szCs w:val="20"/>
                <w:color w:val="auto"/>
              </w:rPr>
            </w:pPr>
            <w:r>
              <w:rPr>
                <w:rFonts w:ascii="Arial" w:cs="Arial" w:eastAsia="Arial" w:hAnsi="Arial"/>
                <w:sz w:val="18"/>
                <w:szCs w:val="18"/>
                <w:b w:val="1"/>
                <w:bCs w:val="1"/>
                <w:i w:val="1"/>
                <w:iCs w:val="1"/>
                <w:color w:val="auto"/>
              </w:rPr>
              <w:t>Media, Licensing and Advertising</w:t>
            </w:r>
          </w:p>
        </w:tc>
        <w:tc>
          <w:tcPr>
            <w:tcW w:w="3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3"/>
        </w:trPr>
        <w:tc>
          <w:tcPr>
            <w:tcW w:w="5440" w:type="dxa"/>
            <w:vAlign w:val="bottom"/>
          </w:tcPr>
          <w:p>
            <w:pPr>
              <w:spacing w:after="0"/>
              <w:rPr>
                <w:sz w:val="24"/>
                <w:szCs w:val="24"/>
                <w:color w:val="auto"/>
              </w:rPr>
            </w:pPr>
          </w:p>
        </w:tc>
        <w:tc>
          <w:tcPr>
            <w:tcW w:w="5480" w:type="dxa"/>
            <w:vAlign w:val="bottom"/>
            <w:gridSpan w:val="3"/>
          </w:tcPr>
          <w:p>
            <w:pPr>
              <w:jc w:val="center"/>
              <w:ind w:left="3292"/>
              <w:spacing w:after="0"/>
              <w:rPr>
                <w:sz w:val="20"/>
                <w:szCs w:val="20"/>
                <w:color w:val="auto"/>
              </w:rPr>
            </w:pPr>
            <w:r>
              <w:rPr>
                <w:rFonts w:ascii="Arial" w:cs="Arial" w:eastAsia="Arial" w:hAnsi="Arial"/>
                <w:sz w:val="18"/>
                <w:szCs w:val="18"/>
                <w:b w:val="1"/>
                <w:bCs w:val="1"/>
                <w:color w:val="auto"/>
                <w:w w:val="86"/>
              </w:rPr>
              <w:t>Three months ended</w:t>
            </w:r>
          </w:p>
        </w:tc>
        <w:tc>
          <w:tcPr>
            <w:tcW w:w="520" w:type="dxa"/>
            <w:vAlign w:val="bottom"/>
          </w:tcPr>
          <w:p>
            <w:pPr>
              <w:spacing w:after="0"/>
              <w:rPr>
                <w:sz w:val="24"/>
                <w:szCs w:val="24"/>
                <w:color w:val="auto"/>
              </w:rPr>
            </w:pPr>
          </w:p>
        </w:tc>
      </w:tr>
      <w:tr>
        <w:trPr>
          <w:trHeight w:val="228"/>
        </w:trPr>
        <w:tc>
          <w:tcPr>
            <w:tcW w:w="544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3860" w:type="dxa"/>
            <w:vAlign w:val="bottom"/>
          </w:tcPr>
          <w:p>
            <w:pPr>
              <w:spacing w:after="0"/>
              <w:rPr>
                <w:sz w:val="19"/>
                <w:szCs w:val="19"/>
                <w:color w:val="auto"/>
              </w:rPr>
            </w:pPr>
          </w:p>
        </w:tc>
        <w:tc>
          <w:tcPr>
            <w:tcW w:w="1620" w:type="dxa"/>
            <w:vAlign w:val="bottom"/>
            <w:gridSpan w:val="2"/>
          </w:tcPr>
          <w:p>
            <w:pPr>
              <w:jc w:val="center"/>
              <w:ind w:right="412"/>
              <w:spacing w:after="0"/>
              <w:rPr>
                <w:sz w:val="20"/>
                <w:szCs w:val="20"/>
                <w:color w:val="auto"/>
              </w:rPr>
            </w:pPr>
            <w:r>
              <w:rPr>
                <w:rFonts w:ascii="Arial" w:cs="Arial" w:eastAsia="Arial" w:hAnsi="Arial"/>
                <w:sz w:val="18"/>
                <w:szCs w:val="18"/>
                <w:b w:val="1"/>
                <w:bCs w:val="1"/>
                <w:color w:val="auto"/>
                <w:w w:val="86"/>
              </w:rPr>
              <w:t>August 31,</w:t>
            </w:r>
          </w:p>
        </w:tc>
        <w:tc>
          <w:tcPr>
            <w:tcW w:w="520" w:type="dxa"/>
            <w:vAlign w:val="bottom"/>
          </w:tcPr>
          <w:p>
            <w:pPr>
              <w:spacing w:after="0"/>
              <w:rPr>
                <w:sz w:val="19"/>
                <w:szCs w:val="19"/>
                <w:color w:val="auto"/>
              </w:rPr>
            </w:pPr>
          </w:p>
        </w:tc>
      </w:tr>
      <w:tr>
        <w:trPr>
          <w:trHeight w:val="110"/>
        </w:trPr>
        <w:tc>
          <w:tcPr>
            <w:tcW w:w="544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316"/>
        </w:trPr>
        <w:tc>
          <w:tcPr>
            <w:tcW w:w="5440" w:type="dxa"/>
            <w:vAlign w:val="bottom"/>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4"/>
                <w:szCs w:val="24"/>
                <w:color w:val="auto"/>
              </w:rPr>
            </w:pPr>
          </w:p>
        </w:tc>
      </w:tr>
      <w:tr>
        <w:trPr>
          <w:trHeight w:val="110"/>
        </w:trPr>
        <w:tc>
          <w:tcPr>
            <w:tcW w:w="544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464"/>
        </w:trPr>
        <w:tc>
          <w:tcPr>
            <w:tcW w:w="5440" w:type="dxa"/>
            <w:vAlign w:val="bottom"/>
          </w:tcPr>
          <w:p>
            <w:pPr>
              <w:spacing w:after="0"/>
              <w:rPr>
                <w:sz w:val="20"/>
                <w:szCs w:val="20"/>
                <w:color w:val="auto"/>
              </w:rPr>
            </w:pPr>
            <w:r>
              <w:rPr>
                <w:rFonts w:ascii="Arial" w:cs="Arial" w:eastAsia="Arial" w:hAnsi="Arial"/>
                <w:sz w:val="18"/>
                <w:szCs w:val="18"/>
                <w:color w:val="auto"/>
              </w:rPr>
              <w:t>Revenues</w:t>
            </w:r>
          </w:p>
        </w:tc>
        <w:tc>
          <w:tcPr>
            <w:tcW w:w="386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10.7</w:t>
            </w:r>
          </w:p>
        </w:tc>
        <w:tc>
          <w:tcPr>
            <w:tcW w:w="104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17.1</w:t>
            </w:r>
          </w:p>
        </w:tc>
      </w:tr>
      <w:tr>
        <w:trPr>
          <w:trHeight w:val="365"/>
        </w:trPr>
        <w:tc>
          <w:tcPr>
            <w:tcW w:w="5440" w:type="dxa"/>
            <w:vAlign w:val="bottom"/>
          </w:tcPr>
          <w:p>
            <w:pPr>
              <w:spacing w:after="0"/>
              <w:rPr>
                <w:sz w:val="20"/>
                <w:szCs w:val="20"/>
                <w:color w:val="auto"/>
              </w:rPr>
            </w:pPr>
            <w:r>
              <w:rPr>
                <w:rFonts w:ascii="Arial" w:cs="Arial" w:eastAsia="Arial" w:hAnsi="Arial"/>
                <w:sz w:val="18"/>
                <w:szCs w:val="18"/>
                <w:color w:val="auto"/>
              </w:rPr>
              <w:t>Operating loss</w:t>
            </w:r>
          </w:p>
        </w:tc>
        <w:tc>
          <w:tcPr>
            <w:tcW w:w="3860" w:type="dxa"/>
            <w:vAlign w:val="bottom"/>
          </w:tcPr>
          <w:p>
            <w:pPr>
              <w:spacing w:after="0"/>
              <w:rPr>
                <w:sz w:val="24"/>
                <w:szCs w:val="24"/>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10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10"/>
        </w:trPr>
        <w:tc>
          <w:tcPr>
            <w:tcW w:w="544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r>
      <w:tr>
        <w:trPr>
          <w:trHeight w:val="464"/>
        </w:trPr>
        <w:tc>
          <w:tcPr>
            <w:tcW w:w="544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86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432"/>
        </w:trPr>
        <w:tc>
          <w:tcPr>
            <w:tcW w:w="5440" w:type="dxa"/>
            <w:vAlign w:val="bottom"/>
          </w:tcPr>
          <w:p>
            <w:pPr>
              <w:ind w:left="440"/>
              <w:spacing w:after="0"/>
              <w:rPr>
                <w:sz w:val="20"/>
                <w:szCs w:val="20"/>
                <w:color w:val="auto"/>
              </w:rPr>
            </w:pPr>
            <w:r>
              <w:rPr>
                <w:rFonts w:ascii="Arial" w:cs="Arial" w:eastAsia="Arial" w:hAnsi="Arial"/>
                <w:sz w:val="18"/>
                <w:szCs w:val="18"/>
                <w:color w:val="auto"/>
              </w:rPr>
              <w:t>* Not meaningful</w:t>
            </w:r>
          </w:p>
        </w:tc>
        <w:tc>
          <w:tcPr>
            <w:tcW w:w="3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for the quarter ended August 31, 2011 decreased by $6.4 million, or 37.4%, to $10.7 million, compared to $17.1 million in the prior fiscal year quarter, as a result of a planned decrease in custom marketing programs for third party sponsors in the current period, as well as higher, non-recurring production revenue in the prior year period.</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Segment operating loss for the quarter ended August 31, 2011 increased to a loss of $5.0 million, compared to a loss of $2.2 million in the prior fiscal year quarter, primarily related to the factors discussed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Company’s cash and cash equivalents totaled $33.7 million at August 31, 2011, compared to $105.3 million at May 31, 2011 and $124.2 million at August 31, 2010.</w:t>
      </w:r>
    </w:p>
    <w:p>
      <w:pPr>
        <w:spacing w:after="0" w:line="18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Cash used in operating activities improved by $23.8 million to $49.3 million for the three months ended August 31, 2011, compared to $73.1 million in the prior fiscal year period. Primary drivers of the improvement include the higher sales and earnings of </w:t>
      </w:r>
      <w:r>
        <w:rPr>
          <w:rFonts w:ascii="Arial" w:cs="Arial" w:eastAsia="Arial" w:hAnsi="Arial"/>
          <w:sz w:val="18"/>
          <w:szCs w:val="18"/>
          <w:i w:val="1"/>
          <w:iCs w:val="1"/>
          <w:color w:val="auto"/>
        </w:rPr>
        <w:t>READ 180</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Next Generation</w:t>
      </w:r>
      <w:r>
        <w:rPr>
          <w:rFonts w:ascii="Arial" w:cs="Arial" w:eastAsia="Arial" w:hAnsi="Arial"/>
          <w:sz w:val="18"/>
          <w:szCs w:val="18"/>
          <w:color w:val="auto"/>
        </w:rPr>
        <w:t xml:space="preserve"> from the </w:t>
      </w:r>
      <w:r>
        <w:rPr>
          <w:rFonts w:ascii="Arial" w:cs="Arial" w:eastAsia="Arial" w:hAnsi="Arial"/>
          <w:sz w:val="18"/>
          <w:szCs w:val="18"/>
          <w:i w:val="1"/>
          <w:iCs w:val="1"/>
          <w:color w:val="auto"/>
        </w:rPr>
        <w:t>Educational Technology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Services </w:t>
      </w:r>
      <w:r>
        <w:rPr>
          <w:rFonts w:ascii="Arial" w:cs="Arial" w:eastAsia="Arial" w:hAnsi="Arial"/>
          <w:sz w:val="18"/>
          <w:szCs w:val="18"/>
          <w:color w:val="auto"/>
        </w:rPr>
        <w:t>segment and increased deferred revenue from this segment. The</w:t>
      </w:r>
      <w:r>
        <w:rPr>
          <w:rFonts w:ascii="Arial" w:cs="Arial" w:eastAsia="Arial" w:hAnsi="Arial"/>
          <w:sz w:val="18"/>
          <w:szCs w:val="18"/>
          <w:i w:val="1"/>
          <w:iCs w:val="1"/>
          <w:color w:val="auto"/>
        </w:rPr>
        <w:t xml:space="preserve"> Educational Technology and Services </w:t>
      </w:r>
      <w:r>
        <w:rPr>
          <w:rFonts w:ascii="Arial" w:cs="Arial" w:eastAsia="Arial" w:hAnsi="Arial"/>
          <w:sz w:val="18"/>
          <w:szCs w:val="18"/>
          <w:color w:val="auto"/>
        </w:rPr>
        <w:t>segment defers revenue related to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services are rendered to the customer, even if payment for these services has been received by the Company. The Company continues to manage its required inventory levels and monitors its trade receivables and payables closely. Working capital levels generally build in the first quarter, as the Company builds inventory for the upcoming school year.</w:t>
      </w:r>
    </w:p>
    <w:p>
      <w:pPr>
        <w:spacing w:after="0" w:line="21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Cash used in investing activities decreased by $6.1 million to $18.7 million for the three months ended August 31, 2011, compared to $24.8 million in the prior fiscal year period. Spending decreased for property plant and equipment costs. The Company continues to invest in its ongoing digital initiatives.</w:t>
      </w:r>
    </w:p>
    <w:p>
      <w:pPr>
        <w:spacing w:after="0" w:line="13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used in financing activities was $4.0 million for the three months ended August 31, 2011, compared to $23.4 million for the prior fiscal year period. The change was primarily due to repurchases of Common Stock of $9.7 million in the prior period and the timing of borrowings under the Company’s foreign credit lines.</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9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and funds available under its current credit facilities will be sufficient to finance its short-and long-term capital requirements for the foreseeable future.</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has maintained sufficient liquidity to fund ongoing operations, dividends, authorized common share repurchases, debt service, planned capital expenditures and other investments. As of August 31, 2011, the Company’s primary sources of liquidity consisted of cash and cash equivalents of $33.7 million, cash from operations, and borrowings remaining available under the Revolving Loan (as described under “Financing” below) totaling $325.0 million. 76% of the Company’s outstanding debt is not due until fiscal 2013. The Company may at any time, but in any event not more than once in any calendar year, request that the aggregate availability of credit under the Revolving Loan be increased by an amount of $10.0 million or an integral multiple of $10.0 million (but not to exceed $150.0 million). The Company’s credit rating from Standard &amp; Poor’s Rating Services is “BB-” and its credit rating from Moody’s Investors Service is “Ba2.” Moody’s Investors Service has rated the outlook for the Company as “Positive,” and Standard and Poor’s Rating Services has rated the outlook for the Company as “Stable.” The Company believes that existing committed credit lines and the ability to obtain similar financing credit upon expiration of current commitments, cash from operations and other sources of cash are sufficient to meet the Company’s liquidity needs for the near term. The Company is currently compliant with its debt covenants and expects to remain compliant for the foreseeable future. The Company’s interest rates for the Loan Agreement are associated with certain leverage ratios, and, accordingly, a change in the Company’s credit rating does not result in an increase in interest costs under the Company’s Loan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As of August 31, 2011, the Company’s credit lines available under unsecured money market bid rate credit lines totaled $20.0 million. There were no outstanding borrowings under these credit lines at August 31, 2011, May 31, 2011 and August 31, 2010. All loans made under these credit lines are at the sole discretion of the lender and at an interest rate and term, not to exceed 365 days, agreed to at the time each loan is made.</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August 31, 2011, the Company had various local currency credit lines, with maximum available borrowings in amounts equivalent to $30.1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$7.9 million at August 31, 2011 at a weighted average interest rate of 4.0%; $0.7 million at May 31, 2011 at a weighted average interest rate of 6.7%; and $7.7 million at August 31, 2010 at a weighted average interest rate of 3.9%.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Term Loan, which may be prepaid at any time without penalty, requires quarterly principal payments of $10.7 million, with the first payment on December 31, 2007, and a final payment of $7.4 million due on June 1, 2012.</w:t>
      </w:r>
    </w:p>
    <w:p>
      <w:pPr>
        <w:spacing w:after="0" w:line="19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August 16, 2010, the Borrowers entered into an amendment to the Loan Agreement, which added certain provisions related to covenants and interest. 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as amended, is based on (1) a rate equal to the higher of (i) the prime rate, (ii) the prevailing Federal Funds rate plus 0.500% or (iii) the Eurodollar Rate for a one month interest period plus 1%; or (2) an adjusted LIBOR rate plus an applicable margin, ranging from 0.500% to 1.250% based upon the Company’s prevailing consolidated debt to total capital ratio. As of August 31, 2011, there were no borrowings outstanding under the Revolving Loan.</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August 31, 2011, the applicable margin of the Term Loan was 0.750% and the applicable margin on the Revolving Loan was 0.600%. The Loan Agreement also provides for the payment of a facility fee ranging from 0.125% to 0.250% per annum on the Revolving Loan only, which at August 31, 2011, was 0.150%. As of August 31, 2011, $39.5 million was outstanding under the Term Loan at an interest rate of 1.0%.</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August 31, 2011, there was $1.4 million of outstanding standby letters of credit issued under the Loan Agreement. The Loan Agreement contains certain covenants, including interest coverage and leverage ratio tests and certain limitations on the amount of dividends and other distributions, and at August 31, 2011, the Company was in compliance with these covenants. See Note 4 of Notes to condensed consolidated financial statements – unaudited in Item 1, “Financial Statements,” for outstanding balances and interest rates for these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The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Company’s total debt obligations were $200.0 million at August 31, 2011, $203.4 million at May 31, 2011 and $242.3 million at August 31, 2010. The lower level of debt at August 31, 2011 and May 31, 2011 compared to August 31, 2010 was primarily due to repayments made on the Term Loan.</w:t>
      </w:r>
    </w:p>
    <w:p>
      <w:pPr>
        <w:spacing w:after="0" w:line="13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4 of Notes to condensed consolidated financial statements – unaudited in Item 1,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Reference is made to Note 1 of Notes to condensed consolidated financial statements- unaudited in Item 1, “Financial Statements,” for information concerning recent accounting pronouncements since the filing of the Company’s Annual Report.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382" w:right="4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Quarterly Report on Form 10-Q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plans, conditions in the children’s book and educational material markets and acceptance of the Company’s products in those markets, e-commerce and digital initiatives, strategies, goals, revenues, improved efficiencies, general costs, manufacturing costs, medical costs, severance costs, merit pay, operating margins, working capital, liquidity, capital needs, expected investing activity, interest costs and income, are subject to risks and uncertainties that could cause actual results to differ materially from those indicated in the forward-looking statements, due to factors including those noted in the Annual Report and other risks and factors identified from time to time in the Company’s filings with the SEC.</w:t>
      </w:r>
    </w:p>
    <w:p>
      <w:pPr>
        <w:spacing w:after="0" w:line="17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disclaims any intention or obligation to update or revise forward-looking statements, whether as a result of new information, future events or otherwise.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right="480"/>
        <w:spacing w:after="0" w:line="298"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The Company manages its exposures to this market risk through internally established procedures and, when deemed appropriate, through the use of short-term forward exchange contracts. As of August 31, 2011, these transactions were not significant. The Company does not enter into derivative transactions or use other financial instruments for trading or speculative purposes.</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25% of the Company’s debt at August 31, 2011 and May 31, 2011 bore interest at a variable rate and was sensitive to changes in interest rates, compared to approximately 40% at August 31, 2010. The decrease in variable-rate debt as of August 31, 2011 and May 31, 2011, compared to August 31, 2010, was primarily due to repayments made on the Term Loan. The Company is subject to the risk that market interest rates and its cost of borrowing will increase and thereby increase the interest charged under its variable-rate debt.</w:t>
      </w:r>
    </w:p>
    <w:p>
      <w:pPr>
        <w:spacing w:after="0" w:line="19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August 31, 2011 (see Note 4 of Notes to condensed consolidated financial statements - unaudited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00" w:type="dxa"/>
            <w:vAlign w:val="bottom"/>
          </w:tcPr>
          <w:p>
            <w:pPr>
              <w:spacing w:after="0"/>
              <w:rPr>
                <w:sz w:val="20"/>
                <w:szCs w:val="20"/>
                <w:color w:val="auto"/>
              </w:rPr>
            </w:pPr>
            <w:r>
              <w:rPr>
                <w:rFonts w:ascii="Arial" w:cs="Arial" w:eastAsia="Arial" w:hAnsi="Arial"/>
                <w:sz w:val="18"/>
                <w:szCs w:val="18"/>
                <w:b w:val="1"/>
                <w:bCs w:val="1"/>
                <w:i w:val="1"/>
                <w:iCs w:val="1"/>
                <w:color w:val="auto"/>
              </w:rPr>
              <w:t>($ amounts in millions)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3"/>
          </w:tcPr>
          <w:p>
            <w:pPr>
              <w:ind w:left="140"/>
              <w:spacing w:after="0"/>
              <w:rPr>
                <w:sz w:val="20"/>
                <w:szCs w:val="20"/>
                <w:color w:val="auto"/>
              </w:rPr>
            </w:pPr>
            <w:r>
              <w:rPr>
                <w:rFonts w:ascii="Arial" w:cs="Arial" w:eastAsia="Arial" w:hAnsi="Arial"/>
                <w:sz w:val="18"/>
                <w:szCs w:val="18"/>
                <w:b w:val="1"/>
                <w:bCs w:val="1"/>
                <w:color w:val="auto"/>
                <w:w w:val="95"/>
              </w:rPr>
              <w:t>Fiscal Year Maturity</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5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w w:val="81"/>
              </w:rPr>
              <w:t>2012</w:t>
            </w:r>
            <w:r>
              <w:rPr>
                <w:rFonts w:ascii="Arial" w:cs="Arial" w:eastAsia="Arial" w:hAnsi="Arial"/>
                <w:sz w:val="29"/>
                <w:szCs w:val="29"/>
                <w:b w:val="1"/>
                <w:bCs w:val="1"/>
                <w:color w:val="auto"/>
                <w:w w:val="81"/>
                <w:vertAlign w:val="superscript"/>
              </w:rPr>
              <w:t>(1)</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192"/>
              <w:spacing w:after="0"/>
              <w:rPr>
                <w:sz w:val="20"/>
                <w:szCs w:val="20"/>
                <w:color w:val="auto"/>
              </w:rPr>
            </w:pPr>
            <w:r>
              <w:rPr>
                <w:rFonts w:ascii="Arial" w:cs="Arial" w:eastAsia="Arial" w:hAnsi="Arial"/>
                <w:sz w:val="18"/>
                <w:szCs w:val="18"/>
                <w:b w:val="1"/>
                <w:bCs w:val="1"/>
                <w:color w:val="auto"/>
                <w:w w:val="93"/>
              </w:rPr>
              <w:t>Fair Value at</w:t>
            </w:r>
          </w:p>
        </w:tc>
        <w:tc>
          <w:tcPr>
            <w:tcW w:w="0" w:type="dxa"/>
            <w:vAlign w:val="bottom"/>
          </w:tcPr>
          <w:p>
            <w:pPr>
              <w:spacing w:after="0"/>
              <w:rPr>
                <w:sz w:val="1"/>
                <w:szCs w:val="1"/>
                <w:color w:val="auto"/>
              </w:rPr>
            </w:pPr>
          </w:p>
        </w:tc>
      </w:tr>
      <w:tr>
        <w:trPr>
          <w:trHeight w:val="338"/>
        </w:trPr>
        <w:tc>
          <w:tcPr>
            <w:tcW w:w="25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vMerge w:val="continue"/>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392"/>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232"/>
              <w:spacing w:after="0"/>
              <w:rPr>
                <w:sz w:val="20"/>
                <w:szCs w:val="20"/>
                <w:color w:val="auto"/>
              </w:rPr>
            </w:pPr>
            <w:r>
              <w:rPr>
                <w:rFonts w:ascii="Arial" w:cs="Arial" w:eastAsia="Arial" w:hAnsi="Arial"/>
                <w:sz w:val="18"/>
                <w:szCs w:val="18"/>
                <w:b w:val="1"/>
                <w:bCs w:val="1"/>
                <w:color w:val="auto"/>
                <w:w w:val="99"/>
              </w:rPr>
              <w:t>2014</w:t>
            </w:r>
          </w:p>
        </w:tc>
        <w:tc>
          <w:tcPr>
            <w:tcW w:w="2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w w:val="94"/>
              </w:rPr>
              <w:t>2016</w:t>
            </w:r>
          </w:p>
        </w:tc>
        <w:tc>
          <w:tcPr>
            <w:tcW w:w="1080" w:type="dxa"/>
            <w:vAlign w:val="bottom"/>
            <w:tcBorders>
              <w:bottom w:val="single" w:sz="8" w:color="808080"/>
            </w:tcBorders>
            <w:gridSpan w:val="2"/>
          </w:tcPr>
          <w:p>
            <w:pPr>
              <w:ind w:left="120"/>
              <w:spacing w:after="0"/>
              <w:rPr>
                <w:sz w:val="20"/>
                <w:szCs w:val="20"/>
                <w:color w:val="auto"/>
              </w:rPr>
            </w:pPr>
            <w:r>
              <w:rPr>
                <w:rFonts w:ascii="Arial" w:cs="Arial" w:eastAsia="Arial" w:hAnsi="Arial"/>
                <w:sz w:val="18"/>
                <w:szCs w:val="18"/>
                <w:b w:val="1"/>
                <w:bCs w:val="1"/>
                <w:color w:val="auto"/>
              </w:rPr>
              <w:t>Thereafter</w:t>
            </w:r>
          </w:p>
        </w:tc>
        <w:tc>
          <w:tcPr>
            <w:tcW w:w="2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212"/>
              <w:spacing w:after="0"/>
              <w:rPr>
                <w:sz w:val="20"/>
                <w:szCs w:val="20"/>
                <w:color w:val="auto"/>
              </w:rPr>
            </w:pPr>
            <w:r>
              <w:rPr>
                <w:rFonts w:ascii="Arial" w:cs="Arial" w:eastAsia="Arial" w:hAnsi="Arial"/>
                <w:sz w:val="18"/>
                <w:szCs w:val="18"/>
                <w:b w:val="1"/>
                <w:bCs w:val="1"/>
                <w:color w:val="auto"/>
                <w:w w:val="97"/>
              </w:rPr>
              <w:t>Total</w:t>
            </w:r>
          </w:p>
        </w:tc>
        <w:tc>
          <w:tcPr>
            <w:tcW w:w="1540" w:type="dxa"/>
            <w:vAlign w:val="bottom"/>
            <w:tcBorders>
              <w:bottom w:val="single" w:sz="8" w:color="808080"/>
            </w:tcBorders>
            <w:gridSpan w:val="2"/>
          </w:tcPr>
          <w:p>
            <w:pPr>
              <w:jc w:val="right"/>
              <w:ind w:right="92"/>
              <w:spacing w:after="0"/>
              <w:rPr>
                <w:sz w:val="20"/>
                <w:szCs w:val="20"/>
                <w:color w:val="auto"/>
              </w:rPr>
            </w:pPr>
            <w:r>
              <w:rPr>
                <w:rFonts w:ascii="Arial" w:cs="Arial" w:eastAsia="Arial" w:hAnsi="Arial"/>
                <w:sz w:val="18"/>
                <w:szCs w:val="18"/>
                <w:b w:val="1"/>
                <w:bCs w:val="1"/>
                <w:color w:val="auto"/>
                <w:w w:val="97"/>
              </w:rPr>
              <w:t>August 31, 2011</w:t>
            </w:r>
          </w:p>
        </w:tc>
        <w:tc>
          <w:tcPr>
            <w:tcW w:w="0" w:type="dxa"/>
            <w:vAlign w:val="bottom"/>
          </w:tcPr>
          <w:p>
            <w:pPr>
              <w:spacing w:after="0"/>
              <w:rPr>
                <w:sz w:val="1"/>
                <w:szCs w:val="1"/>
                <w:color w:val="auto"/>
              </w:rPr>
            </w:pPr>
          </w:p>
        </w:tc>
      </w:tr>
      <w:tr>
        <w:trPr>
          <w:trHeight w:val="458"/>
        </w:trPr>
        <w:tc>
          <w:tcPr>
            <w:tcW w:w="250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Lines of Credit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500" w:type="dxa"/>
            <w:vAlign w:val="bottom"/>
          </w:tcPr>
          <w:p>
            <w:pPr>
              <w:spacing w:after="0"/>
              <w:rPr>
                <w:sz w:val="20"/>
                <w:szCs w:val="20"/>
                <w:color w:val="auto"/>
              </w:rPr>
            </w:pPr>
            <w:r>
              <w:rPr>
                <w:rFonts w:ascii="Arial" w:cs="Arial" w:eastAsia="Arial" w:hAnsi="Arial"/>
                <w:sz w:val="18"/>
                <w:szCs w:val="18"/>
                <w:color w:val="auto"/>
                <w:w w:val="95"/>
              </w:rPr>
              <w:t>Long-term debt including current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480"/>
              <w:spacing w:after="0"/>
              <w:rPr>
                <w:sz w:val="20"/>
                <w:szCs w:val="20"/>
                <w:color w:val="auto"/>
              </w:rPr>
            </w:pPr>
            <w:r>
              <w:rPr>
                <w:rFonts w:ascii="Arial" w:cs="Arial" w:eastAsia="Arial" w:hAnsi="Arial"/>
                <w:sz w:val="18"/>
                <w:szCs w:val="18"/>
                <w:color w:val="auto"/>
              </w:rPr>
              <w:t>Fixed-rate debt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153.0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153.0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22"/>
        </w:trPr>
        <w:tc>
          <w:tcPr>
            <w:tcW w:w="2500" w:type="dxa"/>
            <w:vAlign w:val="bottom"/>
          </w:tcPr>
          <w:p>
            <w:pPr>
              <w:ind w:left="4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2500" w:type="dxa"/>
            <w:vAlign w:val="bottom"/>
          </w:tcPr>
          <w:p>
            <w:pPr>
              <w:ind w:left="480"/>
              <w:spacing w:after="0"/>
              <w:rPr>
                <w:sz w:val="20"/>
                <w:szCs w:val="20"/>
                <w:color w:val="auto"/>
              </w:rPr>
            </w:pPr>
            <w:r>
              <w:rPr>
                <w:rFonts w:ascii="Arial" w:cs="Arial" w:eastAsia="Arial" w:hAnsi="Arial"/>
                <w:sz w:val="18"/>
                <w:szCs w:val="18"/>
                <w:color w:val="auto"/>
              </w:rPr>
              <w:t>Variable-rate debt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32.1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7.4</w:t>
            </w:r>
            <w:r>
              <w:rPr>
                <w:rFonts w:ascii="Arial" w:cs="Arial" w:eastAsia="Arial" w:hAnsi="Arial"/>
                <w:sz w:val="14"/>
                <w:szCs w:val="14"/>
                <w:color w:val="auto"/>
              </w:rPr>
              <w:t>(3)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372"/>
        </w:trPr>
        <w:tc>
          <w:tcPr>
            <w:tcW w:w="250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auto"/>
              </w:rPr>
              <w:t xml:space="preserve">Interest rate </w:t>
            </w:r>
            <w:r>
              <w:rPr>
                <w:rFonts w:ascii="Arial" w:cs="Arial" w:eastAsia="Arial" w:hAnsi="Arial"/>
                <w:sz w:val="29"/>
                <w:szCs w:val="29"/>
                <w:color w:val="auto"/>
                <w:vertAlign w:val="superscript"/>
              </w:rPr>
              <w:t>(2)</w:t>
            </w: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52"/>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2012 includes the remaining nine months of the current fiscal year.</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interest rate under the Term Loan at August 31, 2011; the interest rate is subject to change over the life of the Term Loan.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final payment under the Term Loan, which has a final maturity of June 1, 2012 but may be repaid at any time.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August 31, 2011,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August 31, 2011 that has materially affected, or is reasonably likely to materially affect, the Corporation’s internal control over financial reporting.</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previously reported, the Company was party to certain actions filed by each of Alaska Laborers Employee Retirement Fund and Paul Baicu, which were consolidated on November 8, 2007. On September 26, 2008, the plaintiff sought leave of the Court to file a second amended class action complaint, in order to add allegations relating to the Company’s restatement announced in the Company’s Annual Report on Form 10-K filed on July 30, 2008. The Court thereafter dismissed the Company’s pending motion to dismiss as moot. On October 20, 2008, the plaintiff filed the second amended complaint, and on October 31, 2008, the Company filed a motion to dismiss the second amended complaint. On September 30, 2010, the Court granted the Company’s motion to dismiss the second amended complaint for failure to state a cause of action, while also granting leave to the plaintiff to move to file a new proposed amended complaint. On December 1, 2010, the plaintiff filed a motion for leave to file a proposed third amended class action complaint, as well as a motion to replace Alaska Laborer Employers Retirement Fund with City of Sterling Heights Police and Fire Retirement System as lead plaintiff, and, on January 14, 2011, the Company filed an opposition to plaintiff’s motions for leave to file a third amended class action complaint and to substitute lead plaintiff, which was argued on March 3, 2011. The proposed third amended class action complaint shortened the original class action period to end on December 16, 2005 rather than on March 23, 2006, but otherwise continued to allege securities fraud relating to statements made by the Company concerning its operations and financial results, now for the period between March 18, 2005 and December 16, 2005, and sought unspecified compensatory damages. On August 3, 2011, the Court denied plaintiff’s motions for leave to file a proposed third amended class action complaint and to substitute a new lead plaintiff and dismissed the lawsuit. Accordingly, with the time for appeal having expired on September 2, 2011 with no appeal being filed, the action has now been terminated in favor of the Company.</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382"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Exhibits:</w:t>
            </w:r>
          </w:p>
        </w:tc>
        <w:tc>
          <w:tcPr>
            <w:tcW w:w="9780" w:type="dxa"/>
            <w:vAlign w:val="bottom"/>
          </w:tcPr>
          <w:p>
            <w:pPr>
              <w:spacing w:after="0"/>
              <w:rPr>
                <w:sz w:val="19"/>
                <w:szCs w:val="19"/>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9780" w:type="dxa"/>
            <w:vAlign w:val="bottom"/>
          </w:tcPr>
          <w:p>
            <w:pPr>
              <w:ind w:left="260"/>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780" w:type="dxa"/>
            <w:vAlign w:val="bottom"/>
          </w:tcPr>
          <w:p>
            <w:pPr>
              <w:ind w:left="26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210" w:lineRule="exact"/>
        <w:rPr>
          <w:sz w:val="20"/>
          <w:szCs w:val="20"/>
          <w:color w:val="auto"/>
        </w:rPr>
      </w:pPr>
    </w:p>
    <w:p>
      <w:pPr>
        <w:ind w:left="1160" w:hanging="1152"/>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39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tcPr>
          <w:p>
            <w:pPr>
              <w:ind w:left="240"/>
              <w:spacing w:after="0"/>
              <w:rPr>
                <w:sz w:val="20"/>
                <w:szCs w:val="20"/>
                <w:color w:val="auto"/>
              </w:rPr>
            </w:pPr>
            <w:r>
              <w:rPr>
                <w:rFonts w:ascii="Arial" w:cs="Arial" w:eastAsia="Arial" w:hAnsi="Arial"/>
                <w:sz w:val="18"/>
                <w:szCs w:val="18"/>
                <w:color w:val="auto"/>
                <w:w w:val="96"/>
              </w:rPr>
              <w:t>XBRL Taxonomy Extension Schema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tcPr>
          <w:p>
            <w:pPr>
              <w:ind w:left="240"/>
              <w:spacing w:after="0"/>
              <w:rPr>
                <w:sz w:val="20"/>
                <w:szCs w:val="20"/>
                <w:color w:val="auto"/>
              </w:rPr>
            </w:pPr>
            <w:r>
              <w:rPr>
                <w:rFonts w:ascii="Arial" w:cs="Arial" w:eastAsia="Arial" w:hAnsi="Arial"/>
                <w:sz w:val="18"/>
                <w:szCs w:val="18"/>
                <w:color w:val="auto"/>
                <w:w w:val="92"/>
              </w:rPr>
              <w:t>XBRL Taxonomy Extension Definitions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tcPr>
          <w:p>
            <w:pPr>
              <w:ind w:left="240"/>
              <w:spacing w:after="0"/>
              <w:rPr>
                <w:sz w:val="20"/>
                <w:szCs w:val="20"/>
                <w:color w:val="auto"/>
              </w:rPr>
            </w:pPr>
            <w:r>
              <w:rPr>
                <w:rFonts w:ascii="Arial" w:cs="Arial" w:eastAsia="Arial" w:hAnsi="Arial"/>
                <w:sz w:val="18"/>
                <w:szCs w:val="18"/>
                <w:color w:val="auto"/>
              </w:rPr>
              <w:t>XBRL Taxonomy Extension Labels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tcPr>
          <w:p>
            <w:pPr>
              <w:ind w:left="240"/>
              <w:spacing w:after="0"/>
              <w:rPr>
                <w:sz w:val="20"/>
                <w:szCs w:val="20"/>
                <w:color w:val="auto"/>
              </w:rPr>
            </w:pPr>
            <w:r>
              <w:rPr>
                <w:rFonts w:ascii="Arial" w:cs="Arial" w:eastAsia="Arial" w:hAnsi="Arial"/>
                <w:sz w:val="18"/>
                <w:szCs w:val="18"/>
                <w:color w:val="auto"/>
                <w:w w:val="88"/>
              </w:rPr>
              <w:t>XBRL Taxonomy Extension Presentation Document</w:t>
            </w:r>
          </w:p>
        </w:tc>
      </w:tr>
    </w:tbl>
    <w:p>
      <w:pPr>
        <w:spacing w:after="0" w:line="2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240" w:top="382" w:right="6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October 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445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6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248"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October 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445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6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accounting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382" w:right="6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AUGUST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20" w:type="dxa"/>
            <w:vAlign w:val="bottom"/>
          </w:tcPr>
          <w:p>
            <w:pPr>
              <w:ind w:left="80"/>
              <w:spacing w:after="0"/>
              <w:rPr>
                <w:sz w:val="20"/>
                <w:szCs w:val="20"/>
                <w:color w:val="auto"/>
              </w:rPr>
            </w:pPr>
            <w:r>
              <w:rPr>
                <w:rFonts w:ascii="Arial" w:cs="Arial" w:eastAsia="Arial" w:hAnsi="Arial"/>
                <w:sz w:val="18"/>
                <w:szCs w:val="18"/>
                <w:b w:val="1"/>
                <w:bCs w:val="1"/>
                <w:color w:val="auto"/>
                <w:w w:val="99"/>
              </w:rPr>
              <w:t>Exhibit Number</w:t>
            </w:r>
          </w:p>
        </w:tc>
        <w:tc>
          <w:tcPr>
            <w:tcW w:w="54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14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7440" w:type="dxa"/>
            <w:vAlign w:val="bottom"/>
          </w:tcPr>
          <w:p>
            <w:pPr>
              <w:spacing w:after="0"/>
              <w:rPr>
                <w:sz w:val="9"/>
                <w:szCs w:val="9"/>
                <w:color w:val="auto"/>
              </w:rPr>
            </w:pPr>
          </w:p>
        </w:tc>
      </w:tr>
      <w:tr>
        <w:trPr>
          <w:trHeight w:val="458"/>
        </w:trPr>
        <w:tc>
          <w:tcPr>
            <w:tcW w:w="142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2"/>
              </w:rPr>
              <w:t>Certification of the Chief Executive Officer of Scholastic Corporation filed pursuant to Section 302 of the Sarbanes-Oxley Act of</w:t>
            </w:r>
          </w:p>
        </w:tc>
      </w:tr>
      <w:tr>
        <w:trPr>
          <w:trHeight w:val="222"/>
        </w:trPr>
        <w:tc>
          <w:tcPr>
            <w:tcW w:w="1420" w:type="dxa"/>
            <w:vAlign w:val="bottom"/>
          </w:tcPr>
          <w:p>
            <w:pPr>
              <w:spacing w:after="0"/>
              <w:rPr>
                <w:sz w:val="19"/>
                <w:szCs w:val="19"/>
                <w:color w:val="auto"/>
              </w:rPr>
            </w:pPr>
          </w:p>
        </w:tc>
        <w:tc>
          <w:tcPr>
            <w:tcW w:w="2460" w:type="dxa"/>
            <w:vAlign w:val="bottom"/>
            <w:gridSpan w:val="2"/>
          </w:tcPr>
          <w:p>
            <w:pPr>
              <w:ind w:left="540"/>
              <w:spacing w:after="0"/>
              <w:rPr>
                <w:sz w:val="20"/>
                <w:szCs w:val="20"/>
                <w:color w:val="auto"/>
              </w:rPr>
            </w:pPr>
            <w:r>
              <w:rPr>
                <w:rFonts w:ascii="Arial" w:cs="Arial" w:eastAsia="Arial" w:hAnsi="Arial"/>
                <w:sz w:val="18"/>
                <w:szCs w:val="18"/>
                <w:color w:val="auto"/>
              </w:rPr>
              <w:t>2002.</w:t>
            </w:r>
          </w:p>
        </w:tc>
        <w:tc>
          <w:tcPr>
            <w:tcW w:w="7440" w:type="dxa"/>
            <w:vAlign w:val="bottom"/>
          </w:tcPr>
          <w:p>
            <w:pPr>
              <w:spacing w:after="0"/>
              <w:rPr>
                <w:sz w:val="19"/>
                <w:szCs w:val="19"/>
                <w:color w:val="auto"/>
              </w:rPr>
            </w:pPr>
          </w:p>
        </w:tc>
      </w:tr>
      <w:tr>
        <w:trPr>
          <w:trHeight w:val="358"/>
        </w:trPr>
        <w:tc>
          <w:tcPr>
            <w:tcW w:w="142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3"/>
              </w:rPr>
              <w:t>Certification of the Chief Financial Officer of Scholastic Corporation filed pursuant to Section 302 of the Sarbanes-Oxley Act of</w:t>
            </w:r>
          </w:p>
        </w:tc>
      </w:tr>
      <w:tr>
        <w:trPr>
          <w:trHeight w:val="222"/>
        </w:trPr>
        <w:tc>
          <w:tcPr>
            <w:tcW w:w="1420" w:type="dxa"/>
            <w:vAlign w:val="bottom"/>
          </w:tcPr>
          <w:p>
            <w:pPr>
              <w:spacing w:after="0"/>
              <w:rPr>
                <w:sz w:val="19"/>
                <w:szCs w:val="19"/>
                <w:color w:val="auto"/>
              </w:rPr>
            </w:pPr>
          </w:p>
        </w:tc>
        <w:tc>
          <w:tcPr>
            <w:tcW w:w="2460" w:type="dxa"/>
            <w:vAlign w:val="bottom"/>
            <w:gridSpan w:val="2"/>
          </w:tcPr>
          <w:p>
            <w:pPr>
              <w:ind w:left="540"/>
              <w:spacing w:after="0"/>
              <w:rPr>
                <w:sz w:val="20"/>
                <w:szCs w:val="20"/>
                <w:color w:val="auto"/>
              </w:rPr>
            </w:pPr>
            <w:r>
              <w:rPr>
                <w:rFonts w:ascii="Arial" w:cs="Arial" w:eastAsia="Arial" w:hAnsi="Arial"/>
                <w:sz w:val="18"/>
                <w:szCs w:val="18"/>
                <w:color w:val="auto"/>
              </w:rPr>
              <w:t>2002.</w:t>
            </w:r>
          </w:p>
        </w:tc>
        <w:tc>
          <w:tcPr>
            <w:tcW w:w="7440" w:type="dxa"/>
            <w:vAlign w:val="bottom"/>
          </w:tcPr>
          <w:p>
            <w:pPr>
              <w:spacing w:after="0"/>
              <w:rPr>
                <w:sz w:val="19"/>
                <w:szCs w:val="19"/>
                <w:color w:val="auto"/>
              </w:rPr>
            </w:pPr>
          </w:p>
        </w:tc>
      </w:tr>
      <w:tr>
        <w:trPr>
          <w:trHeight w:val="358"/>
        </w:trPr>
        <w:tc>
          <w:tcPr>
            <w:tcW w:w="142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89"/>
              </w:rPr>
              <w:t>Certifications of the Chief Executive Officer and Chief Financial Officer of Scholastic Corporation furnished pursuant to Section 906</w:t>
            </w:r>
          </w:p>
        </w:tc>
      </w:tr>
      <w:tr>
        <w:trPr>
          <w:trHeight w:val="222"/>
        </w:trPr>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of the Sarbanes-Oxley Act of 2002.</w:t>
            </w:r>
          </w:p>
        </w:tc>
      </w:tr>
      <w:tr>
        <w:trPr>
          <w:trHeight w:val="365"/>
        </w:trPr>
        <w:tc>
          <w:tcPr>
            <w:tcW w:w="1420" w:type="dxa"/>
            <w:vAlign w:val="bottom"/>
          </w:tcPr>
          <w:p>
            <w:pPr>
              <w:spacing w:after="0"/>
              <w:rPr>
                <w:sz w:val="20"/>
                <w:szCs w:val="20"/>
                <w:color w:val="auto"/>
              </w:rPr>
            </w:pPr>
            <w:r>
              <w:rPr>
                <w:rFonts w:ascii="Arial" w:cs="Arial" w:eastAsia="Arial" w:hAnsi="Arial"/>
                <w:sz w:val="18"/>
                <w:szCs w:val="18"/>
                <w:color w:val="auto"/>
              </w:rPr>
              <w:t>101.INS</w:t>
            </w:r>
          </w:p>
        </w:tc>
        <w:tc>
          <w:tcPr>
            <w:tcW w:w="54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XBRL Instance Document *</w:t>
            </w:r>
          </w:p>
        </w:tc>
      </w:tr>
      <w:tr>
        <w:trPr>
          <w:trHeight w:val="365"/>
        </w:trPr>
        <w:tc>
          <w:tcPr>
            <w:tcW w:w="1420" w:type="dxa"/>
            <w:vAlign w:val="bottom"/>
          </w:tcPr>
          <w:p>
            <w:pPr>
              <w:spacing w:after="0"/>
              <w:rPr>
                <w:sz w:val="20"/>
                <w:szCs w:val="20"/>
                <w:color w:val="auto"/>
              </w:rPr>
            </w:pPr>
            <w:r>
              <w:rPr>
                <w:rFonts w:ascii="Arial" w:cs="Arial" w:eastAsia="Arial" w:hAnsi="Arial"/>
                <w:sz w:val="18"/>
                <w:szCs w:val="18"/>
                <w:color w:val="auto"/>
              </w:rPr>
              <w:t>101.SCH</w:t>
            </w:r>
          </w:p>
        </w:tc>
        <w:tc>
          <w:tcPr>
            <w:tcW w:w="54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 *</w:t>
            </w:r>
          </w:p>
        </w:tc>
      </w:tr>
      <w:tr>
        <w:trPr>
          <w:trHeight w:val="365"/>
        </w:trPr>
        <w:tc>
          <w:tcPr>
            <w:tcW w:w="1420" w:type="dxa"/>
            <w:vAlign w:val="bottom"/>
          </w:tcPr>
          <w:p>
            <w:pPr>
              <w:spacing w:after="0"/>
              <w:rPr>
                <w:sz w:val="20"/>
                <w:szCs w:val="20"/>
                <w:color w:val="auto"/>
              </w:rPr>
            </w:pPr>
            <w:r>
              <w:rPr>
                <w:rFonts w:ascii="Arial" w:cs="Arial" w:eastAsia="Arial" w:hAnsi="Arial"/>
                <w:sz w:val="18"/>
                <w:szCs w:val="18"/>
                <w:color w:val="auto"/>
              </w:rPr>
              <w:t>101.CAL</w:t>
            </w:r>
          </w:p>
        </w:tc>
        <w:tc>
          <w:tcPr>
            <w:tcW w:w="54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Document *</w:t>
            </w:r>
          </w:p>
        </w:tc>
      </w:tr>
      <w:tr>
        <w:trPr>
          <w:trHeight w:val="365"/>
        </w:trPr>
        <w:tc>
          <w:tcPr>
            <w:tcW w:w="1420" w:type="dxa"/>
            <w:vAlign w:val="bottom"/>
          </w:tcPr>
          <w:p>
            <w:pPr>
              <w:spacing w:after="0"/>
              <w:rPr>
                <w:sz w:val="20"/>
                <w:szCs w:val="20"/>
                <w:color w:val="auto"/>
              </w:rPr>
            </w:pPr>
            <w:r>
              <w:rPr>
                <w:rFonts w:ascii="Arial" w:cs="Arial" w:eastAsia="Arial" w:hAnsi="Arial"/>
                <w:sz w:val="18"/>
                <w:szCs w:val="18"/>
                <w:color w:val="auto"/>
              </w:rPr>
              <w:t>101.DEF</w:t>
            </w:r>
          </w:p>
        </w:tc>
        <w:tc>
          <w:tcPr>
            <w:tcW w:w="54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XBRL Taxonomy Extension Definitions Document *</w:t>
            </w:r>
          </w:p>
        </w:tc>
      </w:tr>
      <w:tr>
        <w:trPr>
          <w:trHeight w:val="365"/>
        </w:trPr>
        <w:tc>
          <w:tcPr>
            <w:tcW w:w="1420" w:type="dxa"/>
            <w:vAlign w:val="bottom"/>
          </w:tcPr>
          <w:p>
            <w:pPr>
              <w:spacing w:after="0"/>
              <w:rPr>
                <w:sz w:val="20"/>
                <w:szCs w:val="20"/>
                <w:color w:val="auto"/>
              </w:rPr>
            </w:pPr>
            <w:r>
              <w:rPr>
                <w:rFonts w:ascii="Arial" w:cs="Arial" w:eastAsia="Arial" w:hAnsi="Arial"/>
                <w:sz w:val="18"/>
                <w:szCs w:val="18"/>
                <w:color w:val="auto"/>
              </w:rPr>
              <w:t>101.LAB</w:t>
            </w:r>
          </w:p>
        </w:tc>
        <w:tc>
          <w:tcPr>
            <w:tcW w:w="54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XBRL Taxonomy Extension Labels Document *</w:t>
            </w:r>
          </w:p>
        </w:tc>
      </w:tr>
      <w:tr>
        <w:trPr>
          <w:trHeight w:val="365"/>
        </w:trPr>
        <w:tc>
          <w:tcPr>
            <w:tcW w:w="1420" w:type="dxa"/>
            <w:vAlign w:val="bottom"/>
          </w:tcPr>
          <w:p>
            <w:pPr>
              <w:spacing w:after="0"/>
              <w:rPr>
                <w:sz w:val="20"/>
                <w:szCs w:val="20"/>
                <w:color w:val="auto"/>
              </w:rPr>
            </w:pPr>
            <w:r>
              <w:rPr>
                <w:rFonts w:ascii="Arial" w:cs="Arial" w:eastAsia="Arial" w:hAnsi="Arial"/>
                <w:sz w:val="18"/>
                <w:szCs w:val="18"/>
                <w:color w:val="auto"/>
              </w:rPr>
              <w:t>101.PRE</w:t>
            </w:r>
          </w:p>
        </w:tc>
        <w:tc>
          <w:tcPr>
            <w:tcW w:w="54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Document *</w:t>
            </w:r>
          </w:p>
        </w:tc>
      </w:tr>
    </w:tbl>
    <w:p>
      <w:pPr>
        <w:spacing w:after="0" w:line="210" w:lineRule="exact"/>
        <w:rPr>
          <w:sz w:val="20"/>
          <w:szCs w:val="20"/>
          <w:color w:val="auto"/>
        </w:rPr>
      </w:pPr>
    </w:p>
    <w:p>
      <w:pPr>
        <w:ind w:firstLine="8"/>
        <w:spacing w:after="0" w:line="268" w:lineRule="auto"/>
        <w:tabs>
          <w:tab w:leader="none" w:pos="1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accordance with Regulation S-T, the XBRL-related information in Exhibit 101 to this Quarterly Report on Form 10-Q shall be deemed to be “furnished” and not “filed.”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280" w:hanging="453"/>
        <w:spacing w:after="0" w:line="259"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2011</w:t>
      </w:r>
    </w:p>
    <w:p>
      <w:pPr>
        <w:spacing w:after="0" w:line="23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173990</wp:posOffset>
            </wp:positionV>
            <wp:extent cx="25730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656590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20" w:hanging="453"/>
        <w:spacing w:after="0" w:line="259"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2011</w:t>
      </w:r>
    </w:p>
    <w:p>
      <w:pPr>
        <w:spacing w:after="0" w:line="23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173990</wp:posOffset>
            </wp:positionV>
            <wp:extent cx="25730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2637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656590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August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1160" w:right="160" w:hanging="463"/>
        <w:spacing w:after="0" w:line="268"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August 31, 2011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1160" w:hanging="463"/>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Date: October 5, 2011</w:t>
            </w:r>
          </w:p>
        </w:tc>
        <w:tc>
          <w:tcPr>
            <w:tcW w:w="3120" w:type="dxa"/>
            <w:vAlign w:val="bottom"/>
          </w:tcPr>
          <w:p>
            <w:pPr>
              <w:spacing w:after="0"/>
              <w:rPr>
                <w:sz w:val="20"/>
                <w:szCs w:val="20"/>
                <w:color w:val="auto"/>
              </w:rPr>
            </w:pPr>
            <w:r>
              <w:rPr>
                <w:rFonts w:ascii="Arial" w:cs="Arial" w:eastAsia="Arial" w:hAnsi="Arial"/>
                <w:sz w:val="18"/>
                <w:szCs w:val="18"/>
                <w:color w:val="auto"/>
              </w:rPr>
              <w:t>/s/Richard Robinson</w:t>
            </w:r>
          </w:p>
        </w:tc>
      </w:tr>
      <w:tr>
        <w:trPr>
          <w:trHeight w:val="259"/>
        </w:trPr>
        <w:tc>
          <w:tcPr>
            <w:tcW w:w="6860" w:type="dxa"/>
            <w:vAlign w:val="bottom"/>
          </w:tcPr>
          <w:p>
            <w:pPr>
              <w:spacing w:after="0"/>
              <w:rPr>
                <w:sz w:val="22"/>
                <w:szCs w:val="22"/>
                <w:color w:val="auto"/>
              </w:rPr>
            </w:pPr>
          </w:p>
        </w:tc>
        <w:tc>
          <w:tcPr>
            <w:tcW w:w="3120" w:type="dxa"/>
            <w:vAlign w:val="bottom"/>
            <w:tcBorders>
              <w:bottom w:val="single" w:sz="8" w:color="808080"/>
            </w:tcBorders>
          </w:tcPr>
          <w:p>
            <w:pPr>
              <w:spacing w:after="0"/>
              <w:rPr>
                <w:sz w:val="22"/>
                <w:szCs w:val="22"/>
                <w:color w:val="auto"/>
              </w:rPr>
            </w:pPr>
          </w:p>
        </w:tc>
      </w:tr>
      <w:tr>
        <w:trPr>
          <w:trHeight w:val="309"/>
        </w:trPr>
        <w:tc>
          <w:tcPr>
            <w:tcW w:w="68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6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65"/>
        </w:trPr>
        <w:tc>
          <w:tcPr>
            <w:tcW w:w="6860" w:type="dxa"/>
            <w:vAlign w:val="bottom"/>
          </w:tcPr>
          <w:p>
            <w:pPr>
              <w:spacing w:after="0"/>
              <w:rPr>
                <w:sz w:val="20"/>
                <w:szCs w:val="20"/>
                <w:color w:val="auto"/>
              </w:rPr>
            </w:pPr>
            <w:r>
              <w:rPr>
                <w:rFonts w:ascii="Arial" w:cs="Arial" w:eastAsia="Arial" w:hAnsi="Arial"/>
                <w:sz w:val="18"/>
                <w:szCs w:val="18"/>
                <w:color w:val="auto"/>
              </w:rPr>
              <w:t>Date: October 5, 2011</w:t>
            </w:r>
          </w:p>
        </w:tc>
        <w:tc>
          <w:tcPr>
            <w:tcW w:w="3120" w:type="dxa"/>
            <w:vAlign w:val="bottom"/>
          </w:tcPr>
          <w:p>
            <w:pPr>
              <w:spacing w:after="0"/>
              <w:rPr>
                <w:sz w:val="20"/>
                <w:szCs w:val="20"/>
                <w:color w:val="auto"/>
              </w:rPr>
            </w:pPr>
            <w:r>
              <w:rPr>
                <w:rFonts w:ascii="Arial" w:cs="Arial" w:eastAsia="Arial" w:hAnsi="Arial"/>
                <w:sz w:val="18"/>
                <w:szCs w:val="18"/>
                <w:color w:val="auto"/>
              </w:rPr>
              <w:t>/s/Maureen O’Connell</w:t>
            </w:r>
          </w:p>
        </w:tc>
      </w:tr>
      <w:tr>
        <w:trPr>
          <w:trHeight w:val="259"/>
        </w:trPr>
        <w:tc>
          <w:tcPr>
            <w:tcW w:w="6860" w:type="dxa"/>
            <w:vAlign w:val="bottom"/>
          </w:tcPr>
          <w:p>
            <w:pPr>
              <w:spacing w:after="0"/>
              <w:rPr>
                <w:sz w:val="22"/>
                <w:szCs w:val="22"/>
                <w:color w:val="auto"/>
              </w:rPr>
            </w:pPr>
          </w:p>
        </w:tc>
        <w:tc>
          <w:tcPr>
            <w:tcW w:w="3120" w:type="dxa"/>
            <w:vAlign w:val="bottom"/>
            <w:tcBorders>
              <w:bottom w:val="single" w:sz="8" w:color="808080"/>
            </w:tcBorders>
          </w:tcPr>
          <w:p>
            <w:pPr>
              <w:spacing w:after="0"/>
              <w:rPr>
                <w:sz w:val="22"/>
                <w:szCs w:val="22"/>
                <w:color w:val="auto"/>
              </w:rPr>
            </w:pPr>
          </w:p>
        </w:tc>
      </w:tr>
      <w:tr>
        <w:trPr>
          <w:trHeight w:val="309"/>
        </w:trPr>
        <w:tc>
          <w:tcPr>
            <w:tcW w:w="68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Maureen O’Connell</w:t>
            </w:r>
          </w:p>
        </w:tc>
      </w:tr>
      <w:tr>
        <w:trPr>
          <w:trHeight w:val="222"/>
        </w:trPr>
        <w:tc>
          <w:tcPr>
            <w:tcW w:w="6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421640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7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lvl w:ilvl="1">
      <w:lvlJc w:val="left"/>
      <w:lvlText w:val="o"/>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2019-12-10T10:27:14Z</dcterms:created>
  <dcterms:modified xsi:type="dcterms:W3CDTF">2019-12-10T10:27:14Z</dcterms:modified>
</cp:coreProperties>
</file>