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40"/>
        <w:spacing w:after="0"/>
        <w:tabs>
          <w:tab w:leader="none" w:pos="2780" w:val="left"/>
          <w:tab w:leader="none" w:pos="8080" w:val="left"/>
          <w:tab w:leader="none" w:pos="9840" w:val="left"/>
        </w:tabs>
        <w:rPr>
          <w:sz w:val="20"/>
          <w:szCs w:val="20"/>
          <w:color w:val="auto"/>
        </w:rPr>
      </w:pPr>
      <w:r>
        <w:rPr>
          <w:rFonts w:ascii="Arial" w:cs="Arial" w:eastAsia="Arial" w:hAnsi="Arial"/>
          <w:sz w:val="16"/>
          <w:szCs w:val="16"/>
          <w:color w:val="auto"/>
        </w:rPr>
        <w:t>For the quarterly period ended</w:t>
      </w:r>
      <w:r>
        <w:rPr>
          <w:sz w:val="20"/>
          <w:szCs w:val="20"/>
          <w:color w:val="auto"/>
        </w:rPr>
        <w:tab/>
      </w:r>
      <w:r>
        <w:rPr>
          <w:rFonts w:ascii="Arial" w:cs="Arial" w:eastAsia="Arial" w:hAnsi="Arial"/>
          <w:sz w:val="16"/>
          <w:szCs w:val="16"/>
          <w:color w:val="auto"/>
        </w:rPr>
        <w:t>February 29, 2020</w:t>
      </w:r>
      <w:r>
        <w:rPr>
          <w:sz w:val="20"/>
          <w:szCs w:val="20"/>
          <w:color w:val="auto"/>
        </w:rPr>
        <w:tab/>
      </w:r>
      <w:r>
        <w:rPr>
          <w:rFonts w:ascii="Arial" w:cs="Arial" w:eastAsia="Arial" w:hAnsi="Arial"/>
          <w:sz w:val="16"/>
          <w:szCs w:val="16"/>
          <w:color w:val="auto"/>
        </w:rPr>
        <w:t>Commission File No.</w:t>
      </w:r>
      <w:r>
        <w:rPr>
          <w:sz w:val="20"/>
          <w:szCs w:val="20"/>
          <w:color w:val="auto"/>
        </w:rPr>
        <w:tab/>
      </w:r>
      <w:r>
        <w:rPr>
          <w:rFonts w:ascii="Arial" w:cs="Arial" w:eastAsia="Arial" w:hAnsi="Arial"/>
          <w:sz w:val="14"/>
          <w:szCs w:val="14"/>
          <w:color w:val="auto"/>
        </w:rPr>
        <w:t>000-19860</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140" w:type="dxa"/>
            <w:vAlign w:val="bottom"/>
          </w:tcPr>
          <w:p>
            <w:pPr>
              <w:jc w:val="center"/>
              <w:ind w:left="35"/>
              <w:spacing w:after="0"/>
              <w:rPr>
                <w:sz w:val="20"/>
                <w:szCs w:val="20"/>
                <w:color w:val="auto"/>
              </w:rPr>
            </w:pPr>
            <w:r>
              <w:rPr>
                <w:rFonts w:ascii="Arial" w:cs="Arial" w:eastAsia="Arial" w:hAnsi="Arial"/>
                <w:sz w:val="18"/>
                <w:szCs w:val="18"/>
                <w:b w:val="1"/>
                <w:bCs w:val="1"/>
                <w:color w:val="auto"/>
              </w:rPr>
              <w:t>SCHOLASTIC CORPORATION</w:t>
            </w:r>
          </w:p>
        </w:tc>
        <w:tc>
          <w:tcPr>
            <w:tcW w:w="35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140" w:type="dxa"/>
            <w:vAlign w:val="bottom"/>
          </w:tcPr>
          <w:p>
            <w:pPr>
              <w:jc w:val="center"/>
              <w:ind w:left="35"/>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372"/>
        </w:trPr>
        <w:tc>
          <w:tcPr>
            <w:tcW w:w="40" w:type="dxa"/>
            <w:vAlign w:val="bottom"/>
          </w:tcPr>
          <w:p>
            <w:pPr>
              <w:spacing w:after="0"/>
              <w:rPr>
                <w:sz w:val="24"/>
                <w:szCs w:val="24"/>
                <w:color w:val="auto"/>
              </w:rPr>
            </w:pPr>
          </w:p>
        </w:tc>
        <w:tc>
          <w:tcPr>
            <w:tcW w:w="3460" w:type="dxa"/>
            <w:vAlign w:val="bottom"/>
          </w:tcPr>
          <w:p>
            <w:pPr>
              <w:jc w:val="center"/>
              <w:ind w:left="339"/>
              <w:spacing w:after="0"/>
              <w:rPr>
                <w:sz w:val="20"/>
                <w:szCs w:val="20"/>
                <w:color w:val="auto"/>
              </w:rPr>
            </w:pPr>
            <w:r>
              <w:rPr>
                <w:rFonts w:ascii="Arial" w:cs="Arial" w:eastAsia="Arial" w:hAnsi="Arial"/>
                <w:sz w:val="16"/>
                <w:szCs w:val="16"/>
                <w:b w:val="1"/>
                <w:bCs w:val="1"/>
                <w:color w:val="auto"/>
                <w:w w:val="91"/>
              </w:rPr>
              <w:t>Delaware</w:t>
            </w:r>
          </w:p>
        </w:tc>
        <w:tc>
          <w:tcPr>
            <w:tcW w:w="4140" w:type="dxa"/>
            <w:vAlign w:val="bottom"/>
          </w:tcPr>
          <w:p>
            <w:pPr>
              <w:spacing w:after="0"/>
              <w:rPr>
                <w:sz w:val="24"/>
                <w:szCs w:val="24"/>
                <w:color w:val="auto"/>
              </w:rPr>
            </w:pPr>
          </w:p>
        </w:tc>
        <w:tc>
          <w:tcPr>
            <w:tcW w:w="3580" w:type="dxa"/>
            <w:vAlign w:val="bottom"/>
          </w:tcPr>
          <w:p>
            <w:pPr>
              <w:jc w:val="right"/>
              <w:ind w:right="579"/>
              <w:spacing w:after="0"/>
              <w:rPr>
                <w:sz w:val="20"/>
                <w:szCs w:val="20"/>
                <w:color w:val="auto"/>
              </w:rPr>
            </w:pPr>
            <w:r>
              <w:rPr>
                <w:rFonts w:ascii="Arial" w:cs="Arial" w:eastAsia="Arial" w:hAnsi="Arial"/>
                <w:sz w:val="16"/>
                <w:szCs w:val="16"/>
                <w:b w:val="1"/>
                <w:bCs w:val="1"/>
                <w:color w:val="auto"/>
              </w:rPr>
              <w:t>13-3385513</w:t>
            </w:r>
          </w:p>
        </w:tc>
      </w:tr>
      <w:tr>
        <w:trPr>
          <w:trHeight w:val="253"/>
        </w:trPr>
        <w:tc>
          <w:tcPr>
            <w:tcW w:w="40" w:type="dxa"/>
            <w:vAlign w:val="bottom"/>
          </w:tcPr>
          <w:p>
            <w:pPr>
              <w:spacing w:after="0"/>
              <w:rPr>
                <w:sz w:val="21"/>
                <w:szCs w:val="21"/>
                <w:color w:val="auto"/>
              </w:rPr>
            </w:pPr>
          </w:p>
        </w:tc>
        <w:tc>
          <w:tcPr>
            <w:tcW w:w="3460" w:type="dxa"/>
            <w:vAlign w:val="bottom"/>
          </w:tcPr>
          <w:p>
            <w:pPr>
              <w:jc w:val="center"/>
              <w:ind w:left="339"/>
              <w:spacing w:after="0"/>
              <w:rPr>
                <w:sz w:val="20"/>
                <w:szCs w:val="20"/>
                <w:color w:val="auto"/>
              </w:rPr>
            </w:pPr>
            <w:r>
              <w:rPr>
                <w:rFonts w:ascii="Arial" w:cs="Arial" w:eastAsia="Arial" w:hAnsi="Arial"/>
                <w:sz w:val="16"/>
                <w:szCs w:val="16"/>
                <w:color w:val="auto"/>
                <w:w w:val="93"/>
              </w:rPr>
              <w:t>(State or other jurisdiction of</w:t>
            </w:r>
          </w:p>
        </w:tc>
        <w:tc>
          <w:tcPr>
            <w:tcW w:w="4140" w:type="dxa"/>
            <w:vAlign w:val="bottom"/>
          </w:tcPr>
          <w:p>
            <w:pPr>
              <w:spacing w:after="0"/>
              <w:rPr>
                <w:sz w:val="21"/>
                <w:szCs w:val="21"/>
                <w:color w:val="auto"/>
              </w:rPr>
            </w:pPr>
          </w:p>
        </w:tc>
        <w:tc>
          <w:tcPr>
            <w:tcW w:w="3580" w:type="dxa"/>
            <w:vAlign w:val="bottom"/>
          </w:tcPr>
          <w:p>
            <w:pPr>
              <w:jc w:val="center"/>
              <w:ind w:left="1399"/>
              <w:spacing w:after="0"/>
              <w:rPr>
                <w:sz w:val="20"/>
                <w:szCs w:val="20"/>
                <w:color w:val="auto"/>
              </w:rPr>
            </w:pPr>
            <w:r>
              <w:rPr>
                <w:rFonts w:ascii="Arial" w:cs="Arial" w:eastAsia="Arial" w:hAnsi="Arial"/>
                <w:sz w:val="16"/>
                <w:szCs w:val="16"/>
                <w:color w:val="auto"/>
                <w:w w:val="95"/>
              </w:rPr>
              <w:t>(IRS Employer Identification</w:t>
            </w:r>
          </w:p>
        </w:tc>
      </w:tr>
      <w:tr>
        <w:trPr>
          <w:trHeight w:val="206"/>
        </w:trPr>
        <w:tc>
          <w:tcPr>
            <w:tcW w:w="40" w:type="dxa"/>
            <w:vAlign w:val="bottom"/>
          </w:tcPr>
          <w:p>
            <w:pPr>
              <w:spacing w:after="0"/>
              <w:rPr>
                <w:sz w:val="17"/>
                <w:szCs w:val="17"/>
                <w:color w:val="auto"/>
              </w:rPr>
            </w:pPr>
          </w:p>
        </w:tc>
        <w:tc>
          <w:tcPr>
            <w:tcW w:w="3460" w:type="dxa"/>
            <w:vAlign w:val="bottom"/>
          </w:tcPr>
          <w:p>
            <w:pPr>
              <w:jc w:val="center"/>
              <w:ind w:left="339"/>
              <w:spacing w:after="0"/>
              <w:rPr>
                <w:sz w:val="20"/>
                <w:szCs w:val="20"/>
                <w:color w:val="auto"/>
              </w:rPr>
            </w:pPr>
            <w:r>
              <w:rPr>
                <w:rFonts w:ascii="Arial" w:cs="Arial" w:eastAsia="Arial" w:hAnsi="Arial"/>
                <w:sz w:val="16"/>
                <w:szCs w:val="16"/>
                <w:color w:val="auto"/>
                <w:w w:val="94"/>
              </w:rPr>
              <w:t>incorporation or organization)</w:t>
            </w:r>
          </w:p>
        </w:tc>
        <w:tc>
          <w:tcPr>
            <w:tcW w:w="4140" w:type="dxa"/>
            <w:vAlign w:val="bottom"/>
          </w:tcPr>
          <w:p>
            <w:pPr>
              <w:spacing w:after="0"/>
              <w:rPr>
                <w:sz w:val="17"/>
                <w:szCs w:val="17"/>
                <w:color w:val="auto"/>
              </w:rPr>
            </w:pPr>
          </w:p>
        </w:tc>
        <w:tc>
          <w:tcPr>
            <w:tcW w:w="3580" w:type="dxa"/>
            <w:vAlign w:val="bottom"/>
          </w:tcPr>
          <w:p>
            <w:pPr>
              <w:jc w:val="center"/>
              <w:ind w:left="1399"/>
              <w:spacing w:after="0"/>
              <w:rPr>
                <w:sz w:val="20"/>
                <w:szCs w:val="20"/>
                <w:color w:val="auto"/>
              </w:rPr>
            </w:pPr>
            <w:r>
              <w:rPr>
                <w:rFonts w:ascii="Arial" w:cs="Arial" w:eastAsia="Arial" w:hAnsi="Arial"/>
                <w:sz w:val="16"/>
                <w:szCs w:val="16"/>
                <w:color w:val="auto"/>
                <w:w w:val="99"/>
              </w:rPr>
              <w:t>No.)</w:t>
            </w:r>
          </w:p>
        </w:tc>
      </w:tr>
      <w:tr>
        <w:trPr>
          <w:trHeight w:val="270"/>
        </w:trPr>
        <w:tc>
          <w:tcPr>
            <w:tcW w:w="40" w:type="dxa"/>
            <w:vAlign w:val="bottom"/>
          </w:tcPr>
          <w:p>
            <w:pPr>
              <w:spacing w:after="0"/>
              <w:rPr>
                <w:sz w:val="23"/>
                <w:szCs w:val="23"/>
                <w:color w:val="auto"/>
              </w:rPr>
            </w:pPr>
          </w:p>
        </w:tc>
        <w:tc>
          <w:tcPr>
            <w:tcW w:w="346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557 Broadway,</w:t>
            </w:r>
          </w:p>
        </w:tc>
        <w:tc>
          <w:tcPr>
            <w:tcW w:w="414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460" w:type="dxa"/>
            <w:vAlign w:val="bottom"/>
          </w:tcPr>
          <w:p>
            <w:pPr>
              <w:ind w:left="1120"/>
              <w:spacing w:after="0"/>
              <w:rPr>
                <w:sz w:val="20"/>
                <w:szCs w:val="20"/>
                <w:color w:val="auto"/>
              </w:rPr>
            </w:pPr>
            <w:r>
              <w:rPr>
                <w:rFonts w:ascii="Arial" w:cs="Arial" w:eastAsia="Arial" w:hAnsi="Arial"/>
                <w:sz w:val="16"/>
                <w:szCs w:val="16"/>
                <w:b w:val="1"/>
                <w:bCs w:val="1"/>
                <w:color w:val="auto"/>
              </w:rPr>
              <w:t>New York, New York</w:t>
            </w:r>
          </w:p>
        </w:tc>
        <w:tc>
          <w:tcPr>
            <w:tcW w:w="4140" w:type="dxa"/>
            <w:vAlign w:val="bottom"/>
          </w:tcPr>
          <w:p>
            <w:pPr>
              <w:spacing w:after="0"/>
              <w:rPr>
                <w:sz w:val="23"/>
                <w:szCs w:val="23"/>
                <w:color w:val="auto"/>
              </w:rPr>
            </w:pPr>
          </w:p>
        </w:tc>
        <w:tc>
          <w:tcPr>
            <w:tcW w:w="3580" w:type="dxa"/>
            <w:vAlign w:val="bottom"/>
          </w:tcPr>
          <w:p>
            <w:pPr>
              <w:jc w:val="right"/>
              <w:ind w:right="759"/>
              <w:spacing w:after="0"/>
              <w:rPr>
                <w:sz w:val="20"/>
                <w:szCs w:val="20"/>
                <w:color w:val="auto"/>
              </w:rPr>
            </w:pPr>
            <w:r>
              <w:rPr>
                <w:rFonts w:ascii="Arial" w:cs="Arial" w:eastAsia="Arial" w:hAnsi="Arial"/>
                <w:sz w:val="16"/>
                <w:szCs w:val="16"/>
                <w:b w:val="1"/>
                <w:bCs w:val="1"/>
                <w:color w:val="auto"/>
              </w:rPr>
              <w:t>10012</w:t>
            </w:r>
          </w:p>
        </w:tc>
      </w:tr>
      <w:tr>
        <w:trPr>
          <w:trHeight w:val="270"/>
        </w:trPr>
        <w:tc>
          <w:tcPr>
            <w:tcW w:w="40" w:type="dxa"/>
            <w:vAlign w:val="bottom"/>
          </w:tcPr>
          <w:p>
            <w:pPr>
              <w:spacing w:after="0"/>
              <w:rPr>
                <w:sz w:val="23"/>
                <w:szCs w:val="23"/>
                <w:color w:val="auto"/>
              </w:rPr>
            </w:pPr>
          </w:p>
        </w:tc>
        <w:tc>
          <w:tcPr>
            <w:tcW w:w="3460" w:type="dxa"/>
            <w:vAlign w:val="bottom"/>
          </w:tcPr>
          <w:p>
            <w:pPr>
              <w:jc w:val="center"/>
              <w:ind w:left="339"/>
              <w:spacing w:after="0"/>
              <w:rPr>
                <w:sz w:val="20"/>
                <w:szCs w:val="20"/>
                <w:color w:val="auto"/>
              </w:rPr>
            </w:pPr>
            <w:r>
              <w:rPr>
                <w:rFonts w:ascii="Arial" w:cs="Arial" w:eastAsia="Arial" w:hAnsi="Arial"/>
                <w:sz w:val="16"/>
                <w:szCs w:val="16"/>
                <w:color w:val="auto"/>
                <w:w w:val="93"/>
              </w:rPr>
              <w:t>(Address of principal executive offices)</w:t>
            </w:r>
          </w:p>
        </w:tc>
        <w:tc>
          <w:tcPr>
            <w:tcW w:w="4140" w:type="dxa"/>
            <w:vAlign w:val="bottom"/>
          </w:tcPr>
          <w:p>
            <w:pPr>
              <w:spacing w:after="0"/>
              <w:rPr>
                <w:sz w:val="23"/>
                <w:szCs w:val="23"/>
                <w:color w:val="auto"/>
              </w:rPr>
            </w:pPr>
          </w:p>
        </w:tc>
        <w:tc>
          <w:tcPr>
            <w:tcW w:w="3580" w:type="dxa"/>
            <w:vAlign w:val="bottom"/>
          </w:tcPr>
          <w:p>
            <w:pPr>
              <w:jc w:val="center"/>
              <w:ind w:left="1419"/>
              <w:spacing w:after="0"/>
              <w:rPr>
                <w:sz w:val="20"/>
                <w:szCs w:val="20"/>
                <w:color w:val="auto"/>
              </w:rPr>
            </w:pPr>
            <w:r>
              <w:rPr>
                <w:rFonts w:ascii="Arial" w:cs="Arial" w:eastAsia="Arial" w:hAnsi="Arial"/>
                <w:sz w:val="16"/>
                <w:szCs w:val="16"/>
                <w:color w:val="auto"/>
                <w:w w:val="95"/>
              </w:rPr>
              <w:t>(Zip Code)</w:t>
            </w:r>
          </w:p>
        </w:tc>
      </w:tr>
      <w:tr>
        <w:trPr>
          <w:trHeight w:val="465"/>
        </w:trPr>
        <w:tc>
          <w:tcPr>
            <w:tcW w:w="764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(212) 343-6100</w:t>
            </w:r>
          </w:p>
        </w:tc>
        <w:tc>
          <w:tcPr>
            <w:tcW w:w="358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r>
      <w:tr>
        <w:trPr>
          <w:trHeight w:val="217"/>
        </w:trPr>
        <w:tc>
          <w:tcPr>
            <w:tcW w:w="40" w:type="dxa"/>
            <w:vAlign w:val="bottom"/>
          </w:tcPr>
          <w:p>
            <w:pPr>
              <w:spacing w:after="0"/>
              <w:rPr>
                <w:sz w:val="18"/>
                <w:szCs w:val="18"/>
                <w:color w:val="auto"/>
              </w:rPr>
            </w:pPr>
          </w:p>
        </w:tc>
        <w:tc>
          <w:tcPr>
            <w:tcW w:w="3460" w:type="dxa"/>
            <w:vAlign w:val="bottom"/>
          </w:tcPr>
          <w:p>
            <w:pPr>
              <w:jc w:val="center"/>
              <w:ind w:left="379"/>
              <w:spacing w:after="0"/>
              <w:rPr>
                <w:sz w:val="20"/>
                <w:szCs w:val="20"/>
                <w:color w:val="auto"/>
              </w:rPr>
            </w:pPr>
            <w:r>
              <w:rPr>
                <w:rFonts w:ascii="Arial" w:cs="Arial" w:eastAsia="Arial" w:hAnsi="Arial"/>
                <w:sz w:val="16"/>
                <w:szCs w:val="16"/>
                <w:b w:val="1"/>
                <w:bCs w:val="1"/>
                <w:color w:val="auto"/>
                <w:w w:val="92"/>
              </w:rPr>
              <w:t>Title of Class</w:t>
            </w:r>
          </w:p>
        </w:tc>
        <w:tc>
          <w:tcPr>
            <w:tcW w:w="4140" w:type="dxa"/>
            <w:vAlign w:val="bottom"/>
          </w:tcPr>
          <w:p>
            <w:pPr>
              <w:jc w:val="center"/>
              <w:ind w:left="255"/>
              <w:spacing w:after="0"/>
              <w:rPr>
                <w:sz w:val="20"/>
                <w:szCs w:val="20"/>
                <w:color w:val="auto"/>
              </w:rPr>
            </w:pPr>
            <w:r>
              <w:rPr>
                <w:rFonts w:ascii="Arial" w:cs="Arial" w:eastAsia="Arial" w:hAnsi="Arial"/>
                <w:sz w:val="16"/>
                <w:szCs w:val="16"/>
                <w:b w:val="1"/>
                <w:bCs w:val="1"/>
                <w:color w:val="auto"/>
                <w:w w:val="92"/>
              </w:rPr>
              <w:t>Trading Symbol</w:t>
            </w:r>
          </w:p>
        </w:tc>
        <w:tc>
          <w:tcPr>
            <w:tcW w:w="3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0"/>
              </w:rPr>
              <w:t>Common Stock, $0.01 par value</w:t>
            </w:r>
          </w:p>
        </w:tc>
        <w:tc>
          <w:tcPr>
            <w:tcW w:w="4140" w:type="dxa"/>
            <w:vAlign w:val="bottom"/>
          </w:tcPr>
          <w:p>
            <w:pPr>
              <w:jc w:val="center"/>
              <w:ind w:left="275"/>
              <w:spacing w:after="0"/>
              <w:rPr>
                <w:sz w:val="20"/>
                <w:szCs w:val="20"/>
                <w:color w:val="auto"/>
              </w:rPr>
            </w:pPr>
            <w:r>
              <w:rPr>
                <w:rFonts w:ascii="Arial" w:cs="Arial" w:eastAsia="Arial" w:hAnsi="Arial"/>
                <w:sz w:val="16"/>
                <w:szCs w:val="16"/>
                <w:color w:val="auto"/>
                <w:w w:val="98"/>
              </w:rPr>
              <w:t>SCHL</w:t>
            </w:r>
          </w:p>
        </w:tc>
        <w:tc>
          <w:tcPr>
            <w:tcW w:w="3580" w:type="dxa"/>
            <w:vAlign w:val="bottom"/>
          </w:tcPr>
          <w:p>
            <w:pPr>
              <w:jc w:val="center"/>
              <w:ind w:right="39"/>
              <w:spacing w:after="0"/>
              <w:rPr>
                <w:sz w:val="20"/>
                <w:szCs w:val="20"/>
                <w:color w:val="auto"/>
              </w:rPr>
            </w:pPr>
            <w:r>
              <w:rPr>
                <w:rFonts w:ascii="Arial" w:cs="Arial" w:eastAsia="Arial" w:hAnsi="Arial"/>
                <w:sz w:val="16"/>
                <w:szCs w:val="16"/>
                <w:color w:val="auto"/>
                <w:w w:val="96"/>
              </w:rPr>
              <w:t>The NASDAQ Stock Market LLC</w:t>
            </w:r>
          </w:p>
        </w:tc>
      </w:tr>
      <w:tr>
        <w:trPr>
          <w:trHeight w:val="33"/>
        </w:trPr>
        <w:tc>
          <w:tcPr>
            <w:tcW w:w="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6" w:lineRule="exact"/>
        <w:rPr>
          <w:sz w:val="24"/>
          <w:szCs w:val="24"/>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4" w:lineRule="exact"/>
        <w:rPr>
          <w:sz w:val="24"/>
          <w:szCs w:val="24"/>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w:t>
      </w:r>
    </w:p>
    <w:p>
      <w:pPr>
        <w:spacing w:after="0" w:line="13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4" w:lineRule="exact"/>
        <w:rPr>
          <w:sz w:val="24"/>
          <w:szCs w:val="24"/>
          <w:color w:val="auto"/>
        </w:rPr>
      </w:pPr>
    </w:p>
    <w:p>
      <w:pPr>
        <w:ind w:right="24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40"/>
        <w:spacing w:after="0" w:line="161" w:lineRule="exact"/>
        <w:tabs>
          <w:tab w:leader="none" w:pos="2020" w:val="left"/>
          <w:tab w:leader="none" w:pos="3680" w:val="left"/>
          <w:tab w:leader="none" w:pos="5800" w:val="left"/>
          <w:tab w:leader="none" w:pos="8340" w:val="left"/>
          <w:tab w:leader="none" w:pos="108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80" w:lineRule="exact"/>
        <w:rPr>
          <w:sz w:val="24"/>
          <w:szCs w:val="24"/>
          <w:color w:val="auto"/>
        </w:rPr>
      </w:pPr>
    </w:p>
    <w:p>
      <w:pPr>
        <w:ind w:right="46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84"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5360" w:type="dxa"/>
            <w:vAlign w:val="bottom"/>
            <w:tcBorders>
              <w:top w:val="single" w:sz="8" w:color="auto"/>
              <w:left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8"/>
              </w:rPr>
              <w:t>Title of each class</w:t>
            </w:r>
          </w:p>
        </w:tc>
        <w:tc>
          <w:tcPr>
            <w:tcW w:w="59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6"/>
                <w:szCs w:val="16"/>
                <w:b w:val="1"/>
                <w:bCs w:val="1"/>
                <w:color w:val="auto"/>
                <w:w w:val="96"/>
              </w:rPr>
              <w:t>Number of shares outstanding as of February 29, 2020</w:t>
            </w:r>
          </w:p>
        </w:tc>
      </w:tr>
      <w:tr>
        <w:trPr>
          <w:trHeight w:val="256"/>
        </w:trPr>
        <w:tc>
          <w:tcPr>
            <w:tcW w:w="5360" w:type="dxa"/>
            <w:vAlign w:val="bottom"/>
            <w:tcBorders>
              <w:left w:val="single" w:sz="8" w:color="auto"/>
            </w:tcBorders>
          </w:tcPr>
          <w:p>
            <w:pPr>
              <w:jc w:val="center"/>
              <w:ind w:right="299"/>
              <w:spacing w:after="0"/>
              <w:rPr>
                <w:sz w:val="20"/>
                <w:szCs w:val="20"/>
                <w:color w:val="auto"/>
              </w:rPr>
            </w:pPr>
            <w:r>
              <w:rPr>
                <w:rFonts w:ascii="Arial" w:cs="Arial" w:eastAsia="Arial" w:hAnsi="Arial"/>
                <w:sz w:val="16"/>
                <w:szCs w:val="16"/>
                <w:color w:val="auto"/>
                <w:w w:val="91"/>
              </w:rPr>
              <w:t>Common Stock, $.01 par value</w:t>
            </w:r>
          </w:p>
        </w:tc>
        <w:tc>
          <w:tcPr>
            <w:tcW w:w="5900" w:type="dxa"/>
            <w:vAlign w:val="bottom"/>
            <w:tcBorders>
              <w:right w:val="single" w:sz="8" w:color="auto"/>
            </w:tcBorders>
          </w:tcPr>
          <w:p>
            <w:pPr>
              <w:jc w:val="right"/>
              <w:ind w:right="1699"/>
              <w:spacing w:after="0"/>
              <w:rPr>
                <w:sz w:val="20"/>
                <w:szCs w:val="20"/>
                <w:color w:val="auto"/>
              </w:rPr>
            </w:pPr>
            <w:r>
              <w:rPr>
                <w:rFonts w:ascii="Arial" w:cs="Arial" w:eastAsia="Arial" w:hAnsi="Arial"/>
                <w:sz w:val="16"/>
                <w:szCs w:val="16"/>
                <w:color w:val="auto"/>
              </w:rPr>
              <w:t>32,614,515</w:t>
            </w:r>
          </w:p>
        </w:tc>
      </w:tr>
      <w:tr>
        <w:trPr>
          <w:trHeight w:val="256"/>
        </w:trPr>
        <w:tc>
          <w:tcPr>
            <w:tcW w:w="5360" w:type="dxa"/>
            <w:vAlign w:val="bottom"/>
            <w:tcBorders>
              <w:left w:val="single" w:sz="8" w:color="auto"/>
            </w:tcBorders>
          </w:tcPr>
          <w:p>
            <w:pPr>
              <w:jc w:val="center"/>
              <w:ind w:right="279"/>
              <w:spacing w:after="0"/>
              <w:rPr>
                <w:sz w:val="20"/>
                <w:szCs w:val="20"/>
                <w:color w:val="auto"/>
              </w:rPr>
            </w:pPr>
            <w:r>
              <w:rPr>
                <w:rFonts w:ascii="Arial" w:cs="Arial" w:eastAsia="Arial" w:hAnsi="Arial"/>
                <w:sz w:val="16"/>
                <w:szCs w:val="16"/>
                <w:color w:val="auto"/>
                <w:w w:val="91"/>
              </w:rPr>
              <w:t>Class A Stock, $.01 par value</w:t>
            </w:r>
          </w:p>
        </w:tc>
        <w:tc>
          <w:tcPr>
            <w:tcW w:w="5900" w:type="dxa"/>
            <w:vAlign w:val="bottom"/>
            <w:tcBorders>
              <w:right w:val="single" w:sz="8" w:color="auto"/>
            </w:tcBorders>
          </w:tcPr>
          <w:p>
            <w:pPr>
              <w:jc w:val="right"/>
              <w:ind w:right="1739"/>
              <w:spacing w:after="0"/>
              <w:rPr>
                <w:sz w:val="20"/>
                <w:szCs w:val="20"/>
                <w:color w:val="auto"/>
              </w:rPr>
            </w:pPr>
            <w:r>
              <w:rPr>
                <w:rFonts w:ascii="Arial" w:cs="Arial" w:eastAsia="Arial" w:hAnsi="Arial"/>
                <w:sz w:val="16"/>
                <w:szCs w:val="16"/>
                <w:color w:val="auto"/>
              </w:rPr>
              <w:t>1,656,200</w:t>
            </w:r>
          </w:p>
        </w:tc>
      </w:tr>
      <w:tr>
        <w:trPr>
          <w:trHeight w:val="33"/>
        </w:trPr>
        <w:tc>
          <w:tcPr>
            <w:tcW w:w="5360" w:type="dxa"/>
            <w:vAlign w:val="bottom"/>
            <w:tcBorders>
              <w:left w:val="single" w:sz="8" w:color="auto"/>
              <w:bottom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0</wp:posOffset>
            </wp:positionV>
            <wp:extent cx="164592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8859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66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30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620" w:type="dxa"/>
            <w:vAlign w:val="bottom"/>
            <w:gridSpan w:val="3"/>
          </w:tcPr>
          <w:p>
            <w:pPr>
              <w:ind w:left="1280"/>
              <w:spacing w:after="0"/>
              <w:rPr>
                <w:sz w:val="20"/>
                <w:szCs w:val="20"/>
                <w:color w:val="auto"/>
              </w:rPr>
            </w:pPr>
            <w:r>
              <w:rPr>
                <w:rFonts w:ascii="Arial" w:cs="Arial" w:eastAsia="Arial" w:hAnsi="Arial"/>
                <w:sz w:val="16"/>
                <w:szCs w:val="16"/>
                <w:b w:val="1"/>
                <w:bCs w:val="1"/>
                <w:color w:val="auto"/>
                <w:w w:val="83"/>
              </w:rPr>
              <w:t>Page</w:t>
            </w:r>
          </w:p>
        </w:tc>
      </w:tr>
      <w:tr>
        <w:trPr>
          <w:trHeight w:val="486"/>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6"/>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1500" w:type="dxa"/>
            <w:vAlign w:val="bottom"/>
            <w:gridSpan w:val="2"/>
          </w:tcPr>
          <w:p>
            <w:pPr>
              <w:jc w:val="center"/>
              <w:ind w:left="131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(Unaudited)</w:t>
              </w:r>
            </w:hyperlink>
          </w:p>
        </w:tc>
        <w:tc>
          <w:tcPr>
            <w:tcW w:w="172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506"/>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w:t>
              </w:r>
            </w:hyperlink>
          </w:p>
        </w:tc>
        <w:tc>
          <w:tcPr>
            <w:tcW w:w="1500" w:type="dxa"/>
            <w:vAlign w:val="bottom"/>
            <w:gridSpan w:val="2"/>
          </w:tcPr>
          <w:p>
            <w:pPr>
              <w:jc w:val="center"/>
              <w:ind w:left="131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Stockholders' Equity (Unaudited)</w:t>
              </w:r>
            </w:hyperlink>
          </w:p>
        </w:tc>
        <w:tc>
          <w:tcPr>
            <w:tcW w:w="1500" w:type="dxa"/>
            <w:vAlign w:val="bottom"/>
            <w:gridSpan w:val="2"/>
          </w:tcPr>
          <w:p>
            <w:pPr>
              <w:jc w:val="center"/>
              <w:ind w:left="1311"/>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4"/>
                <w:szCs w:val="24"/>
                <w:color w:val="auto"/>
              </w:rPr>
            </w:pPr>
          </w:p>
        </w:tc>
      </w:tr>
      <w:tr>
        <w:trPr>
          <w:trHeight w:val="547"/>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00" w:type="dxa"/>
            <w:vAlign w:val="bottom"/>
            <w:tcBorders>
              <w:top w:val="single" w:sz="8" w:color="0000EE"/>
            </w:tcBorders>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160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6"/>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500" w:type="dxa"/>
            <w:vAlign w:val="bottom"/>
            <w:gridSpan w:val="2"/>
          </w:tcPr>
          <w:p>
            <w:pPr>
              <w:jc w:val="center"/>
              <w:ind w:left="1311"/>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1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2.</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r>
      <w:tr>
        <w:trPr>
          <w:trHeight w:val="20"/>
        </w:trPr>
        <w:tc>
          <w:tcPr>
            <w:tcW w:w="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07"/>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3.</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06"/>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Item 4.</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47"/>
        </w:trPr>
        <w:tc>
          <w:tcPr>
            <w:tcW w:w="9300" w:type="dxa"/>
            <w:vAlign w:val="bottom"/>
            <w:gridSpan w:val="1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6"/>
        </w:trPr>
        <w:tc>
          <w:tcPr>
            <w:tcW w:w="380" w:type="dxa"/>
            <w:vAlign w:val="bottom"/>
          </w:tcPr>
          <w:p>
            <w:pPr>
              <w:spacing w:after="0"/>
              <w:rPr>
                <w:sz w:val="24"/>
                <w:szCs w:val="24"/>
                <w:color w:val="auto"/>
              </w:rPr>
            </w:pPr>
          </w:p>
        </w:tc>
        <w:tc>
          <w:tcPr>
            <w:tcW w:w="122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70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47"/>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Item 2.</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47"/>
        </w:trPr>
        <w:tc>
          <w:tcPr>
            <w:tcW w:w="38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1">
              <w:r>
                <w:rPr>
                  <w:rFonts w:ascii="Arial" w:cs="Arial" w:eastAsia="Arial" w:hAnsi="Arial"/>
                  <w:sz w:val="18"/>
                  <w:szCs w:val="18"/>
                  <w:color w:val="0000EE"/>
                  <w:w w:val="83"/>
                </w:rPr>
                <w:t>Item 6.</w:t>
              </w:r>
            </w:hyperlink>
          </w:p>
        </w:tc>
        <w:tc>
          <w:tcPr>
            <w:tcW w:w="720" w:type="dxa"/>
            <w:vAlign w:val="bottom"/>
          </w:tcPr>
          <w:p>
            <w:pPr>
              <w:spacing w:after="0"/>
              <w:rPr>
                <w:sz w:val="24"/>
                <w:szCs w:val="24"/>
                <w:color w:val="auto"/>
              </w:rPr>
            </w:pPr>
          </w:p>
        </w:tc>
        <w:tc>
          <w:tcPr>
            <w:tcW w:w="770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r>
      <w:tr>
        <w:trPr>
          <w:trHeight w:val="20"/>
        </w:trPr>
        <w:tc>
          <w:tcPr>
            <w:tcW w:w="3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506"/>
        </w:trPr>
        <w:tc>
          <w:tcPr>
            <w:tcW w:w="1600" w:type="dxa"/>
            <w:vAlign w:val="bottom"/>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3"/>
          </w:tcPr>
          <w:p>
            <w:pPr>
              <w:jc w:val="center"/>
              <w:ind w:left="119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r>
      <w:tr>
        <w:trPr>
          <w:trHeight w:val="696"/>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80" w:type="dxa"/>
            <w:vAlign w:val="bottom"/>
            <w:gridSpan w:val="6"/>
          </w:tcPr>
          <w:p>
            <w:pPr>
              <w:jc w:val="right"/>
              <w:ind w:right="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553"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ind w:left="40" w:right="4580"/>
        <w:spacing w:after="0" w:line="260" w:lineRule="auto"/>
        <w:rPr>
          <w:sz w:val="20"/>
          <w:szCs w:val="20"/>
          <w:color w:val="auto"/>
        </w:rPr>
      </w:pPr>
      <w:r>
        <w:rPr>
          <w:rFonts w:ascii="Arial" w:cs="Arial" w:eastAsia="Arial" w:hAnsi="Arial"/>
          <w:sz w:val="18"/>
          <w:szCs w:val="18"/>
          <w:b w:val="1"/>
          <w:bCs w:val="1"/>
          <w:color w:val="auto"/>
        </w:rPr>
        <w:t>CONDENSED CONSOLIDATED STATEMENTS OF OPERATIONS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7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4620" w:type="dxa"/>
            <w:vAlign w:val="bottom"/>
          </w:tcPr>
          <w:p>
            <w:pPr>
              <w:spacing w:after="0"/>
              <w:rPr>
                <w:sz w:val="23"/>
                <w:szCs w:val="23"/>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February 29,</w:t>
            </w: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February 28,</w:t>
            </w: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29,</w:t>
            </w: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4620" w:type="dxa"/>
            <w:vAlign w:val="bottom"/>
          </w:tcPr>
          <w:p>
            <w:pPr>
              <w:spacing w:after="0"/>
              <w:rPr>
                <w:sz w:val="23"/>
                <w:szCs w:val="23"/>
                <w:color w:val="auto"/>
              </w:rPr>
            </w:pPr>
          </w:p>
        </w:tc>
        <w:tc>
          <w:tcPr>
            <w:tcW w:w="2120" w:type="dxa"/>
            <w:vAlign w:val="bottom"/>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580" w:type="dxa"/>
            <w:vAlign w:val="bottom"/>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54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3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$373.3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$360.1</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$1,203.1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$1,183.2</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 of goods sold</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183.0</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176.9</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584.4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r>
      <w:tr>
        <w:trPr>
          <w:trHeight w:val="237"/>
        </w:trPr>
        <w:tc>
          <w:tcPr>
            <w:tcW w:w="4620" w:type="dxa"/>
            <w:vAlign w:val="bottom"/>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2120" w:type="dxa"/>
            <w:vAlign w:val="bottom"/>
          </w:tcPr>
          <w:p>
            <w:pPr>
              <w:jc w:val="right"/>
              <w:ind w:right="139"/>
              <w:spacing w:after="0"/>
              <w:rPr>
                <w:sz w:val="20"/>
                <w:szCs w:val="20"/>
                <w:color w:val="auto"/>
              </w:rPr>
            </w:pPr>
            <w:r>
              <w:rPr>
                <w:rFonts w:ascii="Arial" w:cs="Arial" w:eastAsia="Arial" w:hAnsi="Arial"/>
                <w:sz w:val="16"/>
                <w:szCs w:val="16"/>
                <w:color w:val="auto"/>
              </w:rPr>
              <w:t>194.9</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190.9</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574.8</w:t>
            </w:r>
          </w:p>
        </w:tc>
        <w:tc>
          <w:tcPr>
            <w:tcW w:w="1380" w:type="dxa"/>
            <w:vAlign w:val="bottom"/>
          </w:tcPr>
          <w:p>
            <w:pPr>
              <w:jc w:val="right"/>
              <w:spacing w:after="0"/>
              <w:rPr>
                <w:sz w:val="20"/>
                <w:szCs w:val="20"/>
                <w:color w:val="auto"/>
              </w:rPr>
            </w:pPr>
            <w:r>
              <w:rPr>
                <w:rFonts w:ascii="Arial" w:cs="Arial" w:eastAsia="Arial" w:hAnsi="Arial"/>
                <w:sz w:val="16"/>
                <w:szCs w:val="16"/>
                <w:color w:val="auto"/>
              </w:rPr>
              <w:t>584.3</w:t>
            </w:r>
          </w:p>
        </w:tc>
      </w:tr>
      <w:tr>
        <w:trPr>
          <w:trHeight w:val="33"/>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13.7</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37"/>
        </w:trPr>
        <w:tc>
          <w:tcPr>
            <w:tcW w:w="4620" w:type="dxa"/>
            <w:vAlign w:val="bottom"/>
          </w:tcPr>
          <w:p>
            <w:pPr>
              <w:ind w:left="100"/>
              <w:spacing w:after="0"/>
              <w:rPr>
                <w:sz w:val="20"/>
                <w:szCs w:val="20"/>
                <w:color w:val="auto"/>
              </w:rPr>
            </w:pPr>
            <w:r>
              <w:rPr>
                <w:rFonts w:ascii="Arial" w:cs="Arial" w:eastAsia="Arial" w:hAnsi="Arial"/>
                <w:sz w:val="16"/>
                <w:szCs w:val="16"/>
                <w:color w:val="auto"/>
              </w:rPr>
              <w:t>Asset impairments and write downs</w:t>
            </w:r>
          </w:p>
        </w:tc>
        <w:tc>
          <w:tcPr>
            <w:tcW w:w="2120" w:type="dxa"/>
            <w:vAlign w:val="bottom"/>
          </w:tcPr>
          <w:p>
            <w:pPr>
              <w:jc w:val="right"/>
              <w:ind w:right="139"/>
              <w:spacing w:after="0"/>
              <w:rPr>
                <w:sz w:val="20"/>
                <w:szCs w:val="20"/>
                <w:color w:val="auto"/>
              </w:rPr>
            </w:pPr>
            <w:r>
              <w:rPr>
                <w:rFonts w:ascii="Arial" w:cs="Arial" w:eastAsia="Arial" w:hAnsi="Arial"/>
                <w:sz w:val="16"/>
                <w:szCs w:val="16"/>
                <w:color w:val="auto"/>
              </w:rPr>
              <w:t>40.0</w:t>
            </w:r>
          </w:p>
        </w:tc>
        <w:tc>
          <w:tcPr>
            <w:tcW w:w="1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40.0</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costs and expenses</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433.3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381.5</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1,245.4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1,190.2</w:t>
            </w:r>
          </w:p>
        </w:tc>
      </w:tr>
      <w:tr>
        <w:trPr>
          <w:trHeight w:val="231"/>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(60.0)</w:t>
            </w:r>
          </w:p>
        </w:tc>
        <w:tc>
          <w:tcPr>
            <w:tcW w:w="15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(21.4)</w:t>
            </w: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(42.3)</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r>
      <w:tr>
        <w:trPr>
          <w:trHeight w:val="33"/>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(expense), net</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components of net periodic benefit (cost)</w:t>
            </w:r>
          </w:p>
        </w:tc>
        <w:tc>
          <w:tcPr>
            <w:tcW w:w="212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before income taxes</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(60.1)</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(20.8)</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2120" w:type="dxa"/>
            <w:vAlign w:val="bottom"/>
          </w:tcPr>
          <w:p>
            <w:pPr>
              <w:jc w:val="right"/>
              <w:ind w:right="139"/>
              <w:spacing w:after="0"/>
              <w:rPr>
                <w:sz w:val="20"/>
                <w:szCs w:val="20"/>
                <w:color w:val="auto"/>
              </w:rPr>
            </w:pPr>
            <w:r>
              <w:rPr>
                <w:rFonts w:ascii="Arial" w:cs="Arial" w:eastAsia="Arial" w:hAnsi="Arial"/>
                <w:sz w:val="16"/>
                <w:szCs w:val="16"/>
                <w:color w:val="auto"/>
              </w:rPr>
              <w:t>(16.8)</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(12.6)</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r>
      <w:tr>
        <w:trPr>
          <w:trHeight w:val="230"/>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2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0.0</w:t>
            </w:r>
          </w:p>
        </w:tc>
        <w:tc>
          <w:tcPr>
            <w:tcW w:w="15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0.1</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Scholastic Corporation</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$(12.6)</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r>
      <w:tr>
        <w:trPr>
          <w:trHeight w:val="209"/>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Basic and diluted earnings (loss) per Share of Class A</w:t>
            </w:r>
          </w:p>
        </w:tc>
        <w:tc>
          <w:tcPr>
            <w:tcW w:w="2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and Common Stock</w:t>
            </w: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$(0.36)</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Diluted</w:t>
            </w:r>
          </w:p>
        </w:tc>
        <w:tc>
          <w:tcPr>
            <w:tcW w:w="212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$(0.36)</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$(0.89)</w:t>
            </w:r>
          </w:p>
        </w:tc>
        <w:tc>
          <w:tcPr>
            <w:tcW w:w="138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33"/>
        </w:trPr>
        <w:tc>
          <w:tcPr>
            <w:tcW w:w="4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ind w:left="40" w:right="2700"/>
        <w:spacing w:after="0" w:line="260" w:lineRule="auto"/>
        <w:rPr>
          <w:sz w:val="20"/>
          <w:szCs w:val="20"/>
          <w:color w:val="auto"/>
        </w:rPr>
      </w:pPr>
      <w:r>
        <w:rPr>
          <w:rFonts w:ascii="Arial" w:cs="Arial" w:eastAsia="Arial" w:hAnsi="Arial"/>
          <w:sz w:val="18"/>
          <w:szCs w:val="18"/>
          <w:b w:val="1"/>
          <w:bCs w:val="1"/>
          <w:color w:val="auto"/>
        </w:rPr>
        <w:t>CONDENSED CONSOLIDATED STATEMENTS OF COMPREHENSIVE INCOME (LOSS)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28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040" w:type="dxa"/>
            <w:vAlign w:val="bottom"/>
          </w:tcPr>
          <w:p>
            <w:pPr>
              <w:spacing w:after="0"/>
              <w:rPr>
                <w:sz w:val="23"/>
                <w:szCs w:val="23"/>
                <w:color w:val="auto"/>
              </w:rPr>
            </w:pP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February 29,</w:t>
            </w: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February 28,</w:t>
            </w: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29,</w:t>
            </w: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5040" w:type="dxa"/>
            <w:vAlign w:val="bottom"/>
          </w:tcPr>
          <w:p>
            <w:pPr>
              <w:spacing w:after="0"/>
              <w:rPr>
                <w:sz w:val="23"/>
                <w:szCs w:val="23"/>
                <w:color w:val="auto"/>
              </w:rPr>
            </w:pPr>
          </w:p>
        </w:tc>
        <w:tc>
          <w:tcPr>
            <w:tcW w:w="1700" w:type="dxa"/>
            <w:vAlign w:val="bottom"/>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580" w:type="dxa"/>
            <w:vAlign w:val="bottom"/>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54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3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$(12.6)</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$(30.7)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income (loss), net:</w:t>
            </w: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5040" w:type="dxa"/>
            <w:vAlign w:val="bottom"/>
          </w:tcPr>
          <w:p>
            <w:pPr>
              <w:ind w:left="160"/>
              <w:spacing w:after="0"/>
              <w:rPr>
                <w:sz w:val="20"/>
                <w:szCs w:val="20"/>
                <w:color w:val="auto"/>
              </w:rPr>
            </w:pPr>
            <w:r>
              <w:rPr>
                <w:rFonts w:ascii="Arial" w:cs="Arial" w:eastAsia="Arial" w:hAnsi="Arial"/>
                <w:sz w:val="16"/>
                <w:szCs w:val="16"/>
                <w:color w:val="auto"/>
              </w:rPr>
              <w:t>Pension and postretirement adjustments (net of tax)</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3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5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w:t>
            </w: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$(45.3)</w:t>
            </w:r>
          </w:p>
        </w:tc>
        <w:tc>
          <w:tcPr>
            <w:tcW w:w="15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$(10.7)</w:t>
            </w: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$(30.4)</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33"/>
        </w:trPr>
        <w:tc>
          <w:tcPr>
            <w:tcW w:w="5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0.0</w:t>
            </w:r>
          </w:p>
        </w:tc>
        <w:tc>
          <w:tcPr>
            <w:tcW w:w="15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5"/>
              </w:rPr>
              <w:t>Comprehensive income (loss) attributable to Scholastic Corporation</w:t>
            </w:r>
          </w:p>
        </w:tc>
        <w:tc>
          <w:tcPr>
            <w:tcW w:w="1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$(45.3)</w:t>
            </w:r>
          </w:p>
        </w:tc>
        <w:tc>
          <w:tcPr>
            <w:tcW w:w="15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$(10.7)</w:t>
            </w: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$(30.5)</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33"/>
        </w:trPr>
        <w:tc>
          <w:tcPr>
            <w:tcW w:w="5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29"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5400"/>
        <w:spacing w:after="0" w:line="260" w:lineRule="auto"/>
        <w:rPr>
          <w:sz w:val="20"/>
          <w:szCs w:val="20"/>
          <w:color w:val="auto"/>
        </w:rPr>
      </w:pPr>
      <w:r>
        <w:rPr>
          <w:rFonts w:ascii="Arial" w:cs="Arial" w:eastAsia="Arial" w:hAnsi="Arial"/>
          <w:sz w:val="18"/>
          <w:szCs w:val="18"/>
          <w:b w:val="1"/>
          <w:bCs w:val="1"/>
          <w:color w:val="auto"/>
        </w:rPr>
        <w:t>CONDENSED CONSOLIDATED BALANCE SHEETS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jc w:val="right"/>
              <w:ind w:right="468"/>
              <w:spacing w:after="0"/>
              <w:rPr>
                <w:sz w:val="20"/>
                <w:szCs w:val="20"/>
                <w:color w:val="auto"/>
              </w:rPr>
            </w:pPr>
            <w:r>
              <w:rPr>
                <w:rFonts w:ascii="Arial" w:cs="Arial" w:eastAsia="Arial" w:hAnsi="Arial"/>
                <w:sz w:val="14"/>
                <w:szCs w:val="14"/>
                <w:b w:val="1"/>
                <w:bCs w:val="1"/>
                <w:color w:val="auto"/>
              </w:rPr>
              <w:t>February 29, 2020</w:t>
            </w:r>
          </w:p>
        </w:tc>
        <w:tc>
          <w:tcPr>
            <w:tcW w:w="2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May 31, 2019 (audited)</w:t>
            </w: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February 28, 2019</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(unaudited)</w:t>
            </w:r>
          </w:p>
        </w:tc>
        <w:tc>
          <w:tcPr>
            <w:tcW w:w="20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63"/>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Assets:</w:t>
            </w:r>
          </w:p>
        </w:tc>
        <w:tc>
          <w:tcPr>
            <w:tcW w:w="19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$263.8</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$334.1</w:t>
            </w:r>
          </w:p>
        </w:tc>
        <w:tc>
          <w:tcPr>
            <w:tcW w:w="1720" w:type="dxa"/>
            <w:vAlign w:val="bottom"/>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281.2</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250.1</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Inventories, net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307.7</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323.7</w:t>
            </w:r>
          </w:p>
        </w:tc>
        <w:tc>
          <w:tcPr>
            <w:tcW w:w="1720" w:type="dxa"/>
            <w:vAlign w:val="bottom"/>
          </w:tcPr>
          <w:p>
            <w:pPr>
              <w:jc w:val="right"/>
              <w:spacing w:after="0"/>
              <w:rPr>
                <w:sz w:val="20"/>
                <w:szCs w:val="20"/>
                <w:color w:val="auto"/>
              </w:rPr>
            </w:pPr>
            <w:r>
              <w:rPr>
                <w:rFonts w:ascii="Arial" w:cs="Arial" w:eastAsia="Arial" w:hAnsi="Arial"/>
                <w:sz w:val="14"/>
                <w:szCs w:val="14"/>
                <w:color w:val="auto"/>
              </w:rPr>
              <w:t>356.8</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88.5</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52.7</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current assets</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941.2</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960.6</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1,097.0</w:t>
            </w:r>
          </w:p>
        </w:tc>
        <w:tc>
          <w:tcPr>
            <w:tcW w:w="0" w:type="dxa"/>
            <w:vAlign w:val="bottom"/>
          </w:tcPr>
          <w:p>
            <w:pPr>
              <w:spacing w:after="0"/>
              <w:rPr>
                <w:sz w:val="1"/>
                <w:szCs w:val="1"/>
                <w:color w:val="auto"/>
              </w:rPr>
            </w:pPr>
          </w:p>
        </w:tc>
      </w:tr>
      <w:tr>
        <w:trPr>
          <w:trHeight w:val="269"/>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Assets:</w:t>
            </w:r>
          </w:p>
        </w:tc>
        <w:tc>
          <w:tcPr>
            <w:tcW w:w="19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579.1</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577.7</w:t>
            </w:r>
          </w:p>
        </w:tc>
        <w:tc>
          <w:tcPr>
            <w:tcW w:w="1720" w:type="dxa"/>
            <w:vAlign w:val="bottom"/>
          </w:tcPr>
          <w:p>
            <w:pPr>
              <w:jc w:val="right"/>
              <w:spacing w:after="0"/>
              <w:rPr>
                <w:sz w:val="20"/>
                <w:szCs w:val="20"/>
                <w:color w:val="auto"/>
              </w:rPr>
            </w:pPr>
            <w:r>
              <w:rPr>
                <w:rFonts w:ascii="Arial" w:cs="Arial" w:eastAsia="Arial" w:hAnsi="Arial"/>
                <w:sz w:val="14"/>
                <w:szCs w:val="14"/>
                <w:color w:val="auto"/>
              </w:rPr>
              <w:t>574.9</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Prepublication costs, net</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70.8</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70.2</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Operating lease right-of-use assets, net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71.7</w:t>
            </w:r>
          </w:p>
        </w:tc>
        <w:tc>
          <w:tcPr>
            <w:tcW w:w="20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Royalty advances, net</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51.1</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47.5</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125.3</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125.2</w:t>
            </w:r>
          </w:p>
        </w:tc>
        <w:tc>
          <w:tcPr>
            <w:tcW w:w="1720" w:type="dxa"/>
            <w:vAlign w:val="bottom"/>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deferred income taxes</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37.1</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37.0</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assets and deferred charges</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72.1</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60.3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noncurrent assets</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1,007.2</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917.9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926.1</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$1,948.4</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$1,878.5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$2,023.1</w:t>
            </w:r>
          </w:p>
        </w:tc>
        <w:tc>
          <w:tcPr>
            <w:tcW w:w="0" w:type="dxa"/>
            <w:vAlign w:val="bottom"/>
          </w:tcPr>
          <w:p>
            <w:pPr>
              <w:spacing w:after="0"/>
              <w:rPr>
                <w:sz w:val="1"/>
                <w:szCs w:val="1"/>
                <w:color w:val="auto"/>
              </w:rPr>
            </w:pPr>
          </w:p>
        </w:tc>
      </w:tr>
      <w:tr>
        <w:trPr>
          <w:trHeight w:val="283"/>
        </w:trPr>
        <w:tc>
          <w:tcPr>
            <w:tcW w:w="53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9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Lines of credit and current portion of long-term debt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$7.3</w:t>
            </w:r>
          </w:p>
        </w:tc>
        <w:tc>
          <w:tcPr>
            <w:tcW w:w="172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187.9</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195.3</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Accrued royalties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77.3</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41.9</w:t>
            </w:r>
          </w:p>
        </w:tc>
        <w:tc>
          <w:tcPr>
            <w:tcW w:w="1720" w:type="dxa"/>
            <w:vAlign w:val="bottom"/>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158.1</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130.8</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Other accrued expenses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170.9</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164.8</w:t>
            </w:r>
          </w:p>
        </w:tc>
        <w:tc>
          <w:tcPr>
            <w:tcW w:w="1720" w:type="dxa"/>
            <w:vAlign w:val="bottom"/>
          </w:tcPr>
          <w:p>
            <w:pPr>
              <w:jc w:val="right"/>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income taxes</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lease liabilities</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22.7</w:t>
            </w:r>
          </w:p>
        </w:tc>
        <w:tc>
          <w:tcPr>
            <w:tcW w:w="2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current liabilities</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630.3</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541.5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696.1</w:t>
            </w:r>
          </w:p>
        </w:tc>
        <w:tc>
          <w:tcPr>
            <w:tcW w:w="0" w:type="dxa"/>
            <w:vAlign w:val="bottom"/>
          </w:tcPr>
          <w:p>
            <w:pPr>
              <w:spacing w:after="0"/>
              <w:rPr>
                <w:sz w:val="1"/>
                <w:szCs w:val="1"/>
                <w:color w:val="auto"/>
              </w:rPr>
            </w:pPr>
          </w:p>
        </w:tc>
      </w:tr>
      <w:tr>
        <w:trPr>
          <w:trHeight w:val="263"/>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c>
          <w:tcPr>
            <w:tcW w:w="20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Operating lease liabilities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52.0</w:t>
            </w:r>
          </w:p>
        </w:tc>
        <w:tc>
          <w:tcPr>
            <w:tcW w:w="20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60.4</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64.2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noncurrent liabilities</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118.8</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64.2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w:t>
            </w:r>
          </w:p>
        </w:tc>
        <w:tc>
          <w:tcPr>
            <w:tcW w:w="0" w:type="dxa"/>
            <w:vAlign w:val="bottom"/>
          </w:tcPr>
          <w:p>
            <w:pPr>
              <w:spacing w:after="0"/>
              <w:rPr>
                <w:sz w:val="1"/>
                <w:szCs w:val="1"/>
                <w:color w:val="auto"/>
              </w:rPr>
            </w:pPr>
          </w:p>
        </w:tc>
      </w:tr>
      <w:tr>
        <w:trPr>
          <w:trHeight w:val="269"/>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 (see Note 6)</w:t>
            </w:r>
          </w:p>
        </w:tc>
        <w:tc>
          <w:tcPr>
            <w:tcW w:w="19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0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Preferred Stock, $1.00 par value: Authorized, 2.0 shares; Issued and Outstanding, none</w:t>
            </w:r>
          </w:p>
        </w:tc>
        <w:tc>
          <w:tcPr>
            <w:tcW w:w="1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300" w:type="dxa"/>
            <w:vAlign w:val="bottom"/>
          </w:tcPr>
          <w:p>
            <w:pPr>
              <w:ind w:left="40"/>
              <w:spacing w:after="0" w:line="157" w:lineRule="exact"/>
              <w:rPr>
                <w:sz w:val="20"/>
                <w:szCs w:val="20"/>
                <w:color w:val="auto"/>
              </w:rPr>
            </w:pPr>
            <w:r>
              <w:rPr>
                <w:rFonts w:ascii="Arial" w:cs="Arial" w:eastAsia="Arial" w:hAnsi="Arial"/>
                <w:sz w:val="14"/>
                <w:szCs w:val="14"/>
                <w:color w:val="auto"/>
              </w:rPr>
              <w:t>Class A Stock, $0.01 par value: Authorized, 4.0 shares; Issued and Outstanding, 1.7</w:t>
            </w:r>
          </w:p>
        </w:tc>
        <w:tc>
          <w:tcPr>
            <w:tcW w:w="19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40"/>
              <w:spacing w:after="0"/>
              <w:rPr>
                <w:sz w:val="20"/>
                <w:szCs w:val="20"/>
                <w:color w:val="auto"/>
              </w:rPr>
            </w:pPr>
            <w:r>
              <w:rPr>
                <w:rFonts w:ascii="Arial" w:cs="Arial" w:eastAsia="Arial" w:hAnsi="Arial"/>
                <w:sz w:val="14"/>
                <w:szCs w:val="14"/>
                <w:color w:val="auto"/>
              </w:rPr>
              <w:t>shares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0.0</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0.0</w:t>
            </w:r>
          </w:p>
        </w:tc>
        <w:tc>
          <w:tcPr>
            <w:tcW w:w="172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$0.01 par value: Authorized, 70.0 shares; Issued, 42.9 shares;</w:t>
            </w:r>
          </w:p>
        </w:tc>
        <w:tc>
          <w:tcPr>
            <w:tcW w:w="19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32.6, 33.4 and 33.6 shares, respectively</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0.4</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621.9</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620.8</w:t>
            </w:r>
          </w:p>
        </w:tc>
        <w:tc>
          <w:tcPr>
            <w:tcW w:w="1720" w:type="dxa"/>
            <w:vAlign w:val="bottom"/>
          </w:tcPr>
          <w:p>
            <w:pPr>
              <w:jc w:val="right"/>
              <w:spacing w:after="0"/>
              <w:rPr>
                <w:sz w:val="20"/>
                <w:szCs w:val="20"/>
                <w:color w:val="auto"/>
              </w:rPr>
            </w:pPr>
            <w:r>
              <w:rPr>
                <w:rFonts w:ascii="Arial" w:cs="Arial" w:eastAsia="Arial" w:hAnsi="Arial"/>
                <w:sz w:val="14"/>
                <w:szCs w:val="14"/>
                <w:color w:val="auto"/>
              </w:rPr>
              <w:t>619.4</w:t>
            </w:r>
          </w:p>
        </w:tc>
        <w:tc>
          <w:tcPr>
            <w:tcW w:w="0" w:type="dxa"/>
            <w:vAlign w:val="bottom"/>
          </w:tcPr>
          <w:p>
            <w:pPr>
              <w:spacing w:after="0"/>
              <w:rPr>
                <w:sz w:val="1"/>
                <w:szCs w:val="1"/>
                <w:color w:val="auto"/>
              </w:rPr>
            </w:pPr>
          </w:p>
        </w:tc>
      </w:tr>
      <w:tr>
        <w:trPr>
          <w:trHeight w:val="2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(59.4)</w:t>
            </w:r>
          </w:p>
        </w:tc>
        <w:tc>
          <w:tcPr>
            <w:tcW w:w="2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(59.7)</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966.2</w:t>
            </w:r>
          </w:p>
        </w:tc>
        <w:tc>
          <w:tcPr>
            <w:tcW w:w="2040" w:type="dxa"/>
            <w:vAlign w:val="bottom"/>
          </w:tcPr>
          <w:p>
            <w:pPr>
              <w:jc w:val="right"/>
              <w:ind w:right="188"/>
              <w:spacing w:after="0"/>
              <w:rPr>
                <w:sz w:val="20"/>
                <w:szCs w:val="20"/>
                <w:color w:val="auto"/>
              </w:rPr>
            </w:pPr>
            <w:r>
              <w:rPr>
                <w:rFonts w:ascii="Arial" w:cs="Arial" w:eastAsia="Arial" w:hAnsi="Arial"/>
                <w:sz w:val="14"/>
                <w:szCs w:val="14"/>
                <w:color w:val="auto"/>
              </w:rPr>
              <w:t>1,012.6</w:t>
            </w:r>
          </w:p>
        </w:tc>
        <w:tc>
          <w:tcPr>
            <w:tcW w:w="1720" w:type="dxa"/>
            <w:vAlign w:val="bottom"/>
          </w:tcPr>
          <w:p>
            <w:pPr>
              <w:jc w:val="right"/>
              <w:spacing w:after="0"/>
              <w:rPr>
                <w:sz w:val="20"/>
                <w:szCs w:val="20"/>
                <w:color w:val="auto"/>
              </w:rPr>
            </w:pPr>
            <w:r>
              <w:rPr>
                <w:rFonts w:ascii="Arial" w:cs="Arial" w:eastAsia="Arial" w:hAnsi="Arial"/>
                <w:sz w:val="14"/>
                <w:szCs w:val="14"/>
                <w:color w:val="auto"/>
              </w:rPr>
              <w:t>1,000.5</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Treasury stock, at cost: 10.3, 9.5 and 9.3 shares, respectively</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(331.2)</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stockholders’ equity of Scholastic Corporation</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1,197.9</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1,271.5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1,269.1</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Noncontrolling interest</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1.3</w:t>
            </w:r>
          </w:p>
        </w:tc>
        <w:tc>
          <w:tcPr>
            <w:tcW w:w="1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1,199.3</w:t>
            </w:r>
          </w:p>
        </w:tc>
        <w:tc>
          <w:tcPr>
            <w:tcW w:w="2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1,272.8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1,269.1</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stockholders’ equity</w:t>
            </w:r>
          </w:p>
        </w:tc>
        <w:tc>
          <w:tcPr>
            <w:tcW w:w="1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$1,948.4</w:t>
            </w:r>
          </w:p>
        </w:tc>
        <w:tc>
          <w:tcPr>
            <w:tcW w:w="2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$1,878.5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960"/>
          </w:cols>
          <w:pgMar w:left="320" w:top="729" w:right="619" w:bottom="771" w:gutter="0" w:footer="0" w:header="0"/>
        </w:sect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60"/>
          </w:cols>
          <w:pgMar w:left="320" w:top="729" w:right="619" w:bottom="771" w:gutter="0" w:footer="0" w:header="0"/>
          <w:type w:val="continuous"/>
        </w:sectPr>
      </w:pPr>
    </w:p>
    <w:bookmarkStart w:id="5" w:name="page6"/>
    <w:bookmarkEnd w:id="5"/>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2260"/>
        <w:spacing w:after="0" w:line="260" w:lineRule="auto"/>
        <w:rPr>
          <w:sz w:val="20"/>
          <w:szCs w:val="20"/>
          <w:color w:val="auto"/>
        </w:rPr>
      </w:pPr>
      <w:r>
        <w:rPr>
          <w:rFonts w:ascii="Arial" w:cs="Arial" w:eastAsia="Arial" w:hAnsi="Arial"/>
          <w:sz w:val="18"/>
          <w:szCs w:val="18"/>
          <w:b w:val="1"/>
          <w:bCs w:val="1"/>
          <w:color w:val="auto"/>
        </w:rPr>
        <w:t>CONDENSED CONSOLIDATED STATEMENTS OF CHANGES IN STOCKHOLDERS' EQUITY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140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Class A Stock</w:t>
            </w:r>
          </w:p>
        </w:tc>
        <w:tc>
          <w:tcPr>
            <w:tcW w:w="124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Common Stock</w:t>
            </w: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tcPr>
          <w:p>
            <w:pPr>
              <w:jc w:val="center"/>
              <w:ind w:right="58"/>
              <w:spacing w:after="0"/>
              <w:rPr>
                <w:sz w:val="20"/>
                <w:szCs w:val="20"/>
                <w:color w:val="auto"/>
              </w:rPr>
            </w:pPr>
            <w:r>
              <w:rPr>
                <w:rFonts w:ascii="Arial" w:cs="Arial" w:eastAsia="Arial" w:hAnsi="Arial"/>
                <w:sz w:val="11"/>
                <w:szCs w:val="11"/>
                <w:b w:val="1"/>
                <w:bCs w:val="1"/>
                <w:color w:val="auto"/>
                <w:w w:val="91"/>
              </w:rPr>
              <w:t>Total</w:t>
            </w: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64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180" w:type="dxa"/>
            <w:vAlign w:val="bottom"/>
            <w:vMerge w:val="restart"/>
          </w:tcPr>
          <w:p>
            <w:pPr>
              <w:jc w:val="center"/>
              <w:ind w:right="18"/>
              <w:spacing w:after="0" w:line="122" w:lineRule="exact"/>
              <w:rPr>
                <w:sz w:val="20"/>
                <w:szCs w:val="20"/>
                <w:color w:val="auto"/>
              </w:rPr>
            </w:pPr>
            <w:r>
              <w:rPr>
                <w:rFonts w:ascii="Arial" w:cs="Arial" w:eastAsia="Arial" w:hAnsi="Arial"/>
                <w:sz w:val="11"/>
                <w:szCs w:val="11"/>
                <w:b w:val="1"/>
                <w:bCs w:val="1"/>
                <w:color w:val="auto"/>
                <w:w w:val="89"/>
              </w:rPr>
              <w:t>Accumulated</w:t>
            </w: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vMerge w:val="restart"/>
          </w:tcPr>
          <w:p>
            <w:pPr>
              <w:jc w:val="center"/>
              <w:ind w:right="78"/>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110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49"/>
        </w:trPr>
        <w:tc>
          <w:tcPr>
            <w:tcW w:w="1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jc w:val="right"/>
              <w:ind w:right="18"/>
              <w:spacing w:after="0" w:line="122" w:lineRule="exact"/>
              <w:rPr>
                <w:sz w:val="20"/>
                <w:szCs w:val="20"/>
                <w:color w:val="auto"/>
              </w:rPr>
            </w:pPr>
            <w:r>
              <w:rPr>
                <w:rFonts w:ascii="Arial" w:cs="Arial" w:eastAsia="Arial" w:hAnsi="Arial"/>
                <w:sz w:val="11"/>
                <w:szCs w:val="11"/>
                <w:b w:val="1"/>
                <w:bCs w:val="1"/>
                <w:color w:val="auto"/>
                <w:w w:val="94"/>
              </w:rPr>
              <w:t>Additional Paid-in</w:t>
            </w:r>
          </w:p>
        </w:tc>
        <w:tc>
          <w:tcPr>
            <w:tcW w:w="1180" w:type="dxa"/>
            <w:vAlign w:val="bottom"/>
          </w:tcPr>
          <w:p>
            <w:pPr>
              <w:jc w:val="center"/>
              <w:ind w:right="18"/>
              <w:spacing w:after="0" w:line="122" w:lineRule="exact"/>
              <w:rPr>
                <w:sz w:val="20"/>
                <w:szCs w:val="20"/>
                <w:color w:val="auto"/>
              </w:rPr>
            </w:pPr>
            <w:r>
              <w:rPr>
                <w:rFonts w:ascii="Arial" w:cs="Arial" w:eastAsia="Arial" w:hAnsi="Arial"/>
                <w:sz w:val="11"/>
                <w:szCs w:val="11"/>
                <w:b w:val="1"/>
                <w:bCs w:val="1"/>
                <w:color w:val="auto"/>
                <w:w w:val="88"/>
              </w:rPr>
              <w:t>Other Comprehensive</w:t>
            </w:r>
          </w:p>
        </w:tc>
        <w:tc>
          <w:tcPr>
            <w:tcW w:w="760" w:type="dxa"/>
            <w:vAlign w:val="bottom"/>
          </w:tcPr>
          <w:p>
            <w:pPr>
              <w:jc w:val="right"/>
              <w:ind w:right="178"/>
              <w:spacing w:after="0" w:line="122" w:lineRule="exact"/>
              <w:rPr>
                <w:sz w:val="20"/>
                <w:szCs w:val="20"/>
                <w:color w:val="auto"/>
              </w:rPr>
            </w:pPr>
            <w:r>
              <w:rPr>
                <w:rFonts w:ascii="Arial" w:cs="Arial" w:eastAsia="Arial" w:hAnsi="Arial"/>
                <w:sz w:val="11"/>
                <w:szCs w:val="11"/>
                <w:b w:val="1"/>
                <w:bCs w:val="1"/>
                <w:color w:val="auto"/>
              </w:rPr>
              <w:t>Retained</w:t>
            </w:r>
          </w:p>
        </w:tc>
        <w:tc>
          <w:tcPr>
            <w:tcW w:w="940" w:type="dxa"/>
            <w:vAlign w:val="bottom"/>
          </w:tcPr>
          <w:p>
            <w:pPr>
              <w:jc w:val="right"/>
              <w:ind w:right="98"/>
              <w:spacing w:after="0" w:line="122" w:lineRule="exact"/>
              <w:rPr>
                <w:sz w:val="20"/>
                <w:szCs w:val="20"/>
                <w:color w:val="auto"/>
              </w:rPr>
            </w:pPr>
            <w:r>
              <w:rPr>
                <w:rFonts w:ascii="Arial" w:cs="Arial" w:eastAsia="Arial" w:hAnsi="Arial"/>
                <w:sz w:val="11"/>
                <w:szCs w:val="11"/>
                <w:b w:val="1"/>
                <w:bCs w:val="1"/>
                <w:color w:val="auto"/>
                <w:w w:val="95"/>
              </w:rPr>
              <w:t>Treasury Stock</w:t>
            </w:r>
          </w:p>
        </w:tc>
        <w:tc>
          <w:tcPr>
            <w:tcW w:w="11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7"/>
              </w:rPr>
              <w:t>Equity of Scholastic</w:t>
            </w:r>
          </w:p>
        </w:tc>
        <w:tc>
          <w:tcPr>
            <w:tcW w:w="1100" w:type="dxa"/>
            <w:vAlign w:val="bottom"/>
          </w:tcPr>
          <w:p>
            <w:pPr>
              <w:ind w:left="160"/>
              <w:spacing w:after="0"/>
              <w:rPr>
                <w:sz w:val="20"/>
                <w:szCs w:val="20"/>
                <w:color w:val="auto"/>
              </w:rPr>
            </w:pPr>
            <w:r>
              <w:rPr>
                <w:rFonts w:ascii="Arial" w:cs="Arial" w:eastAsia="Arial" w:hAnsi="Arial"/>
                <w:sz w:val="10"/>
                <w:szCs w:val="10"/>
                <w:b w:val="1"/>
                <w:bCs w:val="1"/>
                <w:color w:val="auto"/>
              </w:rPr>
              <w:t>Noncontrolling</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Stockholders'</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178"/>
              <w:spacing w:after="0"/>
              <w:rPr>
                <w:sz w:val="20"/>
                <w:szCs w:val="20"/>
                <w:color w:val="auto"/>
              </w:rPr>
            </w:pPr>
            <w:r>
              <w:rPr>
                <w:rFonts w:ascii="Arial" w:cs="Arial" w:eastAsia="Arial" w:hAnsi="Arial"/>
                <w:sz w:val="11"/>
                <w:szCs w:val="11"/>
                <w:b w:val="1"/>
                <w:bCs w:val="1"/>
                <w:color w:val="auto"/>
                <w:w w:val="9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980" w:type="dxa"/>
            <w:vAlign w:val="bottom"/>
          </w:tcPr>
          <w:p>
            <w:pPr>
              <w:jc w:val="right"/>
              <w:ind w:right="258"/>
              <w:spacing w:after="0"/>
              <w:rPr>
                <w:sz w:val="20"/>
                <w:szCs w:val="20"/>
                <w:color w:val="auto"/>
              </w:rPr>
            </w:pPr>
            <w:r>
              <w:rPr>
                <w:rFonts w:ascii="Arial" w:cs="Arial" w:eastAsia="Arial" w:hAnsi="Arial"/>
                <w:sz w:val="11"/>
                <w:szCs w:val="11"/>
                <w:b w:val="1"/>
                <w:bCs w:val="1"/>
                <w:color w:val="auto"/>
              </w:rPr>
              <w:t>Capital</w:t>
            </w:r>
          </w:p>
        </w:tc>
        <w:tc>
          <w:tcPr>
            <w:tcW w:w="1180" w:type="dxa"/>
            <w:vAlign w:val="bottom"/>
          </w:tcPr>
          <w:p>
            <w:pPr>
              <w:jc w:val="center"/>
              <w:ind w:right="18"/>
              <w:spacing w:after="0"/>
              <w:rPr>
                <w:sz w:val="20"/>
                <w:szCs w:val="20"/>
                <w:color w:val="auto"/>
              </w:rPr>
            </w:pPr>
            <w:r>
              <w:rPr>
                <w:rFonts w:ascii="Arial" w:cs="Arial" w:eastAsia="Arial" w:hAnsi="Arial"/>
                <w:sz w:val="11"/>
                <w:szCs w:val="11"/>
                <w:b w:val="1"/>
                <w:bCs w:val="1"/>
                <w:color w:val="auto"/>
                <w:w w:val="88"/>
              </w:rPr>
              <w:t>Income (Loss)</w:t>
            </w:r>
          </w:p>
        </w:tc>
        <w:tc>
          <w:tcPr>
            <w:tcW w:w="760" w:type="dxa"/>
            <w:vAlign w:val="bottom"/>
          </w:tcPr>
          <w:p>
            <w:pPr>
              <w:jc w:val="right"/>
              <w:ind w:right="178"/>
              <w:spacing w:after="0"/>
              <w:rPr>
                <w:sz w:val="20"/>
                <w:szCs w:val="20"/>
                <w:color w:val="auto"/>
              </w:rPr>
            </w:pPr>
            <w:r>
              <w:rPr>
                <w:rFonts w:ascii="Arial" w:cs="Arial" w:eastAsia="Arial" w:hAnsi="Arial"/>
                <w:sz w:val="11"/>
                <w:szCs w:val="11"/>
                <w:b w:val="1"/>
                <w:bCs w:val="1"/>
                <w:color w:val="auto"/>
              </w:rPr>
              <w:t>Earnings</w:t>
            </w:r>
          </w:p>
        </w:tc>
        <w:tc>
          <w:tcPr>
            <w:tcW w:w="940" w:type="dxa"/>
            <w:vAlign w:val="bottom"/>
          </w:tcPr>
          <w:p>
            <w:pPr>
              <w:jc w:val="right"/>
              <w:ind w:right="258"/>
              <w:spacing w:after="0"/>
              <w:rPr>
                <w:sz w:val="20"/>
                <w:szCs w:val="20"/>
                <w:color w:val="auto"/>
              </w:rPr>
            </w:pPr>
            <w:r>
              <w:rPr>
                <w:rFonts w:ascii="Arial" w:cs="Arial" w:eastAsia="Arial" w:hAnsi="Arial"/>
                <w:sz w:val="11"/>
                <w:szCs w:val="11"/>
                <w:b w:val="1"/>
                <w:bCs w:val="1"/>
                <w:color w:val="auto"/>
              </w:rPr>
              <w:t>At Cost</w:t>
            </w:r>
          </w:p>
        </w:tc>
        <w:tc>
          <w:tcPr>
            <w:tcW w:w="1120" w:type="dxa"/>
            <w:vAlign w:val="bottom"/>
          </w:tcPr>
          <w:p>
            <w:pPr>
              <w:jc w:val="center"/>
              <w:ind w:right="78"/>
              <w:spacing w:after="0"/>
              <w:rPr>
                <w:sz w:val="20"/>
                <w:szCs w:val="20"/>
                <w:color w:val="auto"/>
              </w:rPr>
            </w:pPr>
            <w:r>
              <w:rPr>
                <w:rFonts w:ascii="Arial" w:cs="Arial" w:eastAsia="Arial" w:hAnsi="Arial"/>
                <w:sz w:val="11"/>
                <w:szCs w:val="11"/>
                <w:b w:val="1"/>
                <w:bCs w:val="1"/>
                <w:color w:val="auto"/>
                <w:w w:val="92"/>
              </w:rPr>
              <w:t>Corporation</w:t>
            </w:r>
          </w:p>
        </w:tc>
        <w:tc>
          <w:tcPr>
            <w:tcW w:w="1100" w:type="dxa"/>
            <w:vAlign w:val="bottom"/>
          </w:tcPr>
          <w:p>
            <w:pPr>
              <w:ind w:left="320"/>
              <w:spacing w:after="0"/>
              <w:rPr>
                <w:sz w:val="20"/>
                <w:szCs w:val="20"/>
                <w:color w:val="auto"/>
              </w:rPr>
            </w:pPr>
            <w:r>
              <w:rPr>
                <w:rFonts w:ascii="Arial" w:cs="Arial" w:eastAsia="Arial" w:hAnsi="Arial"/>
                <w:sz w:val="10"/>
                <w:szCs w:val="10"/>
                <w:b w:val="1"/>
                <w:bCs w:val="1"/>
                <w:color w:val="auto"/>
              </w:rPr>
              <w:t>interest</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at June 1, 2018</w:t>
            </w: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1.7</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$0.0</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33.3</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94"/>
              </w:rPr>
              <w:t>$0.4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$614.4</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$(55.7)</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$1,065.2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$(303.5)</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$1,320.8</w:t>
            </w: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$1,320.8</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(61.3)</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(61.3)</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5"/>
              </w:rPr>
              <w:t>Adoption of ASC 606 ( net of</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tax of $16.0)</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(46.5)</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8"/>
              <w:spacing w:after="0"/>
              <w:rPr>
                <w:sz w:val="20"/>
                <w:szCs w:val="20"/>
                <w:color w:val="auto"/>
              </w:rPr>
            </w:pPr>
            <w:r>
              <w:rPr>
                <w:rFonts w:ascii="Arial" w:cs="Arial" w:eastAsia="Arial" w:hAnsi="Arial"/>
                <w:sz w:val="13"/>
                <w:szCs w:val="13"/>
                <w:color w:val="auto"/>
              </w:rPr>
              <w:t>(46.5)</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Foreign currency translation</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(3.1)</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(3.1)</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6"/>
              </w:rPr>
              <w:t>Pension and post-retirement</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40"/>
              <w:spacing w:after="0" w:line="135" w:lineRule="exact"/>
              <w:rPr>
                <w:sz w:val="20"/>
                <w:szCs w:val="20"/>
                <w:color w:val="auto"/>
              </w:rPr>
            </w:pPr>
            <w:r>
              <w:rPr>
                <w:rFonts w:ascii="Arial" w:cs="Arial" w:eastAsia="Arial" w:hAnsi="Arial"/>
                <w:sz w:val="13"/>
                <w:szCs w:val="13"/>
                <w:color w:val="auto"/>
              </w:rPr>
              <w:t>adjustments (net of tax of</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$0.0)</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0.2</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0.2</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6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1.5</w:t>
            </w:r>
          </w:p>
        </w:tc>
        <w:tc>
          <w:tcPr>
            <w:tcW w:w="11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3"/>
                <w:szCs w:val="13"/>
                <w:color w:val="auto"/>
              </w:rPr>
              <w:t>1.5</w:t>
            </w:r>
          </w:p>
        </w:tc>
        <w:tc>
          <w:tcPr>
            <w:tcW w:w="11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7"/>
              </w:rPr>
              <w:t>Proceeds pursuant to stock-</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based compensation plans</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2.8</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2.8</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issued</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pursuant to equity-based</w:t>
            </w: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0.1</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3.5</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0.3</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98"/>
              </w:rPr>
              <w:t>Dividends ($0.15 per share)</w:t>
            </w: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(5.3)</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(5.3)</w:t>
            </w: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4"/>
              </w:rPr>
              <w:t>Balance at August 31, 2018</w:t>
            </w:r>
          </w:p>
        </w:tc>
        <w:tc>
          <w:tcPr>
            <w:tcW w:w="6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1.7</w:t>
            </w:r>
          </w:p>
        </w:tc>
        <w:tc>
          <w:tcPr>
            <w:tcW w:w="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b w:val="1"/>
                <w:bCs w:val="1"/>
                <w:color w:val="auto"/>
              </w:rPr>
              <w:t>33.4</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b w:val="1"/>
                <w:bCs w:val="1"/>
                <w:color w:val="auto"/>
                <w:w w:val="94"/>
              </w:rPr>
              <w:t>$0.4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$615.5</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$(58.6)</w:t>
            </w:r>
          </w:p>
        </w:tc>
        <w:tc>
          <w:tcPr>
            <w:tcW w:w="7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$952.1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$(300.0)</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$1,209.4</w:t>
            </w: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b w:val="1"/>
                <w:bCs w:val="1"/>
                <w:color w:val="auto"/>
              </w:rPr>
              <w:t>$0.0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$1,209.4</w:t>
            </w:r>
          </w:p>
        </w:tc>
        <w:tc>
          <w:tcPr>
            <w:tcW w:w="0" w:type="dxa"/>
            <w:vAlign w:val="bottom"/>
          </w:tcPr>
          <w:p>
            <w:pPr>
              <w:spacing w:after="0"/>
              <w:rPr>
                <w:sz w:val="1"/>
                <w:szCs w:val="1"/>
                <w:color w:val="auto"/>
              </w:rPr>
            </w:pPr>
          </w:p>
        </w:tc>
      </w:tr>
      <w:tr>
        <w:trPr>
          <w:trHeight w:val="262"/>
        </w:trPr>
        <w:tc>
          <w:tcPr>
            <w:tcW w:w="1640" w:type="dxa"/>
            <w:vAlign w:val="bottom"/>
          </w:tcPr>
          <w:p>
            <w:pPr>
              <w:ind w:left="40"/>
              <w:spacing w:after="0"/>
              <w:rPr>
                <w:sz w:val="20"/>
                <w:szCs w:val="20"/>
                <w:color w:val="auto"/>
              </w:rPr>
            </w:pPr>
            <w:r>
              <w:rPr>
                <w:rFonts w:ascii="Arial" w:cs="Arial" w:eastAsia="Arial" w:hAnsi="Arial"/>
                <w:sz w:val="13"/>
                <w:szCs w:val="13"/>
                <w:b w:val="1"/>
                <w:bCs w:val="1"/>
                <w:color w:val="auto"/>
              </w:rPr>
              <w:t>Net Income (loss)</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71.6</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71.6</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Foreign currency translation</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(0.6)</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(0.6)</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6"/>
              </w:rPr>
              <w:t>Pension and post-retirement</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40"/>
              <w:spacing w:after="0" w:line="135" w:lineRule="exact"/>
              <w:rPr>
                <w:sz w:val="20"/>
                <w:szCs w:val="20"/>
                <w:color w:val="auto"/>
              </w:rPr>
            </w:pPr>
            <w:r>
              <w:rPr>
                <w:rFonts w:ascii="Arial" w:cs="Arial" w:eastAsia="Arial" w:hAnsi="Arial"/>
                <w:sz w:val="13"/>
                <w:szCs w:val="13"/>
                <w:color w:val="auto"/>
              </w:rPr>
              <w:t>adjustments (net of tax of</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$0.8)</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2.7</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2.7</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6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3.7</w:t>
            </w:r>
          </w:p>
        </w:tc>
        <w:tc>
          <w:tcPr>
            <w:tcW w:w="11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3"/>
                <w:szCs w:val="13"/>
                <w:color w:val="auto"/>
              </w:rPr>
              <w:t>3.7</w:t>
            </w:r>
          </w:p>
        </w:tc>
        <w:tc>
          <w:tcPr>
            <w:tcW w:w="11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7"/>
              </w:rPr>
              <w:t>Proceeds pursuant to stock-</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based compensation plans</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2.5</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2.5</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Purchases of treasury stock at</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rPr>
              <w:t>Treasury stock issued</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40"/>
              <w:spacing w:after="0" w:line="135" w:lineRule="exact"/>
              <w:rPr>
                <w:sz w:val="20"/>
                <w:szCs w:val="20"/>
                <w:color w:val="auto"/>
              </w:rPr>
            </w:pPr>
            <w:r>
              <w:rPr>
                <w:rFonts w:ascii="Arial" w:cs="Arial" w:eastAsia="Arial" w:hAnsi="Arial"/>
                <w:sz w:val="13"/>
                <w:szCs w:val="13"/>
                <w:color w:val="auto"/>
              </w:rPr>
              <w:t>pursuant to equity-based</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plans</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0.2</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(3.8)</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4.4</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0.6</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7"/>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8"/>
              </w:rPr>
              <w:t>Dividends ($0.15 per share)</w:t>
            </w:r>
          </w:p>
        </w:tc>
        <w:tc>
          <w:tcPr>
            <w:tcW w:w="66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(5.3)</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3"/>
                <w:szCs w:val="13"/>
                <w:color w:val="auto"/>
              </w:rPr>
              <w:t>(5.3)</w:t>
            </w:r>
          </w:p>
        </w:tc>
        <w:tc>
          <w:tcPr>
            <w:tcW w:w="11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4"/>
        </w:trPr>
        <w:tc>
          <w:tcPr>
            <w:tcW w:w="1640" w:type="dxa"/>
            <w:vAlign w:val="bottom"/>
            <w:tcBorders>
              <w:top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Balance at November 30,</w:t>
            </w:r>
          </w:p>
        </w:tc>
        <w:tc>
          <w:tcPr>
            <w:tcW w:w="6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2018</w:t>
            </w: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1.7</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33.6</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w w:val="94"/>
              </w:rPr>
              <w:t>$0.4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$617.9</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$(56.5)</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$1,018.4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$(295.6)</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$1,284.6</w:t>
            </w: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$1,284.6</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Income (loss)</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(12.6)</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(12.6)</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8"/>
              </w:rPr>
              <w:t>Foreign currency translation</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adjustment</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1.7</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1.7</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Pension and post-retirement</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adjustments (net of tax of</w:t>
            </w: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$0.0)</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0.2</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0.2</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13"/>
        </w:trPr>
        <w:tc>
          <w:tcPr>
            <w:tcW w:w="1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660" w:type="dxa"/>
            <w:vAlign w:val="bottom"/>
            <w:vMerge w:val="restart"/>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8"/>
              <w:spacing w:after="0"/>
              <w:rPr>
                <w:sz w:val="20"/>
                <w:szCs w:val="20"/>
                <w:color w:val="auto"/>
              </w:rPr>
            </w:pPr>
            <w:r>
              <w:rPr>
                <w:rFonts w:ascii="Arial" w:cs="Arial" w:eastAsia="Arial" w:hAnsi="Arial"/>
                <w:sz w:val="13"/>
                <w:szCs w:val="13"/>
                <w:color w:val="auto"/>
              </w:rPr>
              <w:t>1.6</w:t>
            </w:r>
          </w:p>
        </w:tc>
        <w:tc>
          <w:tcPr>
            <w:tcW w:w="1180" w:type="dxa"/>
            <w:vAlign w:val="bottom"/>
            <w:vMerge w:val="restart"/>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auto"/>
              </w:rPr>
              <w:t>1.6</w:t>
            </w:r>
          </w:p>
        </w:tc>
        <w:tc>
          <w:tcPr>
            <w:tcW w:w="110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49"/>
        </w:trPr>
        <w:tc>
          <w:tcPr>
            <w:tcW w:w="1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Proceeds pursuant to stock-</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based compensation plans</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0.5</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0.5</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8"/>
        </w:trPr>
        <w:tc>
          <w:tcPr>
            <w:tcW w:w="1640" w:type="dxa"/>
            <w:vAlign w:val="bottom"/>
          </w:tcPr>
          <w:p>
            <w:pPr>
              <w:ind w:left="40"/>
              <w:spacing w:after="0" w:line="148" w:lineRule="exact"/>
              <w:rPr>
                <w:sz w:val="20"/>
                <w:szCs w:val="20"/>
                <w:color w:val="auto"/>
              </w:rPr>
            </w:pPr>
            <w:r>
              <w:rPr>
                <w:rFonts w:ascii="Arial" w:cs="Arial" w:eastAsia="Arial" w:hAnsi="Arial"/>
                <w:sz w:val="13"/>
                <w:szCs w:val="13"/>
                <w:color w:val="auto"/>
                <w:w w:val="90"/>
              </w:rPr>
              <w:t>Purchases of treasury stock at</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40"/>
              <w:spacing w:after="0"/>
              <w:rPr>
                <w:sz w:val="20"/>
                <w:szCs w:val="20"/>
                <w:color w:val="auto"/>
              </w:rPr>
            </w:pPr>
            <w:r>
              <w:rPr>
                <w:rFonts w:ascii="Arial" w:cs="Arial" w:eastAsia="Arial" w:hAnsi="Arial"/>
                <w:sz w:val="13"/>
                <w:szCs w:val="13"/>
                <w:color w:val="auto"/>
              </w:rPr>
              <w:t>cost</w:t>
            </w:r>
          </w:p>
        </w:tc>
        <w:tc>
          <w:tcPr>
            <w:tcW w:w="6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8"/>
              <w:spacing w:after="0"/>
              <w:rPr>
                <w:sz w:val="20"/>
                <w:szCs w:val="20"/>
                <w:color w:val="auto"/>
              </w:rPr>
            </w:pPr>
            <w:r>
              <w:rPr>
                <w:rFonts w:ascii="Arial" w:cs="Arial" w:eastAsia="Arial" w:hAnsi="Arial"/>
                <w:sz w:val="13"/>
                <w:szCs w:val="13"/>
                <w:color w:val="auto"/>
              </w:rPr>
              <w:t>(0.1)</w:t>
            </w:r>
          </w:p>
        </w:tc>
        <w:tc>
          <w:tcPr>
            <w:tcW w:w="620" w:type="dxa"/>
            <w:vAlign w:val="bottom"/>
          </w:tcPr>
          <w:p>
            <w:pPr>
              <w:ind w:left="3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(2.0)</w:t>
            </w:r>
          </w:p>
        </w:tc>
        <w:tc>
          <w:tcPr>
            <w:tcW w:w="1120" w:type="dxa"/>
            <w:vAlign w:val="bottom"/>
          </w:tcPr>
          <w:p>
            <w:pPr>
              <w:jc w:val="right"/>
              <w:ind w:right="138"/>
              <w:spacing w:after="0"/>
              <w:rPr>
                <w:sz w:val="20"/>
                <w:szCs w:val="20"/>
                <w:color w:val="auto"/>
              </w:rPr>
            </w:pPr>
            <w:r>
              <w:rPr>
                <w:rFonts w:ascii="Arial" w:cs="Arial" w:eastAsia="Arial" w:hAnsi="Arial"/>
                <w:sz w:val="13"/>
                <w:szCs w:val="13"/>
                <w:color w:val="auto"/>
              </w:rPr>
              <w:t>(2.0)</w:t>
            </w:r>
          </w:p>
        </w:tc>
        <w:tc>
          <w:tcPr>
            <w:tcW w:w="1100" w:type="dxa"/>
            <w:vAlign w:val="bottom"/>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issued</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pursuant to equity-based</w:t>
            </w: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0.1</w:t>
            </w:r>
          </w:p>
        </w:tc>
        <w:tc>
          <w:tcPr>
            <w:tcW w:w="6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0.4</w:t>
            </w:r>
          </w:p>
        </w:tc>
        <w:tc>
          <w:tcPr>
            <w:tcW w:w="11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13"/>
        </w:trPr>
        <w:tc>
          <w:tcPr>
            <w:tcW w:w="1640" w:type="dxa"/>
            <w:vAlign w:val="bottom"/>
          </w:tcPr>
          <w:p>
            <w:pPr>
              <w:ind w:left="40"/>
              <w:spacing w:after="0"/>
              <w:rPr>
                <w:sz w:val="20"/>
                <w:szCs w:val="20"/>
                <w:color w:val="auto"/>
              </w:rPr>
            </w:pPr>
            <w:r>
              <w:rPr>
                <w:rFonts w:ascii="Arial" w:cs="Arial" w:eastAsia="Arial" w:hAnsi="Arial"/>
                <w:sz w:val="13"/>
                <w:szCs w:val="13"/>
                <w:color w:val="auto"/>
                <w:w w:val="98"/>
              </w:rPr>
              <w:t>Dividends ($0.15 per share)</w:t>
            </w:r>
          </w:p>
        </w:tc>
        <w:tc>
          <w:tcPr>
            <w:tcW w:w="660" w:type="dxa"/>
            <w:vAlign w:val="bottom"/>
            <w:vMerge w:val="restart"/>
          </w:tcPr>
          <w:p>
            <w:pPr>
              <w:jc w:val="right"/>
              <w:ind w:right="198"/>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58"/>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218"/>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8"/>
              <w:spacing w:after="0"/>
              <w:rPr>
                <w:sz w:val="20"/>
                <w:szCs w:val="20"/>
                <w:color w:val="auto"/>
              </w:rPr>
            </w:pPr>
            <w:r>
              <w:rPr>
                <w:rFonts w:ascii="Arial" w:cs="Arial" w:eastAsia="Arial" w:hAnsi="Arial"/>
                <w:sz w:val="13"/>
                <w:szCs w:val="13"/>
                <w:color w:val="auto"/>
              </w:rPr>
              <w:t>(5.3)</w:t>
            </w:r>
          </w:p>
        </w:tc>
        <w:tc>
          <w:tcPr>
            <w:tcW w:w="94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38"/>
              <w:spacing w:after="0"/>
              <w:rPr>
                <w:sz w:val="20"/>
                <w:szCs w:val="20"/>
                <w:color w:val="auto"/>
              </w:rPr>
            </w:pPr>
            <w:r>
              <w:rPr>
                <w:rFonts w:ascii="Arial" w:cs="Arial" w:eastAsia="Arial" w:hAnsi="Arial"/>
                <w:sz w:val="13"/>
                <w:szCs w:val="13"/>
                <w:color w:val="auto"/>
              </w:rPr>
              <w:t>(5.3)</w:t>
            </w:r>
          </w:p>
        </w:tc>
        <w:tc>
          <w:tcPr>
            <w:tcW w:w="110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50"/>
        </w:trPr>
        <w:tc>
          <w:tcPr>
            <w:tcW w:w="1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2"/>
              </w:rPr>
              <w:t>Balance at February 28, 2019</w:t>
            </w:r>
          </w:p>
        </w:tc>
        <w:tc>
          <w:tcPr>
            <w:tcW w:w="6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1.7</w:t>
            </w:r>
          </w:p>
        </w:tc>
        <w:tc>
          <w:tcPr>
            <w:tcW w:w="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b w:val="1"/>
                <w:bCs w:val="1"/>
                <w:color w:val="auto"/>
              </w:rPr>
              <w:t>33.6</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b w:val="1"/>
                <w:bCs w:val="1"/>
                <w:color w:val="auto"/>
                <w:w w:val="94"/>
              </w:rPr>
              <w:t>$0.4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$619.4</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$(54.6)</w:t>
            </w:r>
          </w:p>
        </w:tc>
        <w:tc>
          <w:tcPr>
            <w:tcW w:w="7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$1,000.5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$(296.6)</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$1,269.1</w:t>
            </w: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b w:val="1"/>
                <w:bCs w:val="1"/>
                <w:color w:val="auto"/>
              </w:rPr>
              <w:t>$0.0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7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729" w:right="3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2260"/>
        <w:spacing w:after="0" w:line="260" w:lineRule="auto"/>
        <w:rPr>
          <w:sz w:val="20"/>
          <w:szCs w:val="20"/>
          <w:color w:val="auto"/>
        </w:rPr>
      </w:pPr>
      <w:r>
        <w:rPr>
          <w:rFonts w:ascii="Arial" w:cs="Arial" w:eastAsia="Arial" w:hAnsi="Arial"/>
          <w:sz w:val="18"/>
          <w:szCs w:val="18"/>
          <w:b w:val="1"/>
          <w:bCs w:val="1"/>
          <w:color w:val="auto"/>
        </w:rPr>
        <w:t>CONDENSED CONSOLIDATED STATEMENTS OF CHANGES IN STOCKHOLDERS' EQUITY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0"/>
                <w:szCs w:val="10"/>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Class A Stock</w:t>
            </w:r>
          </w:p>
        </w:tc>
        <w:tc>
          <w:tcPr>
            <w:tcW w:w="13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Common Stock</w:t>
            </w:r>
          </w:p>
        </w:tc>
        <w:tc>
          <w:tcPr>
            <w:tcW w:w="8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jc w:val="center"/>
              <w:ind w:right="58"/>
              <w:spacing w:after="0"/>
              <w:rPr>
                <w:sz w:val="20"/>
                <w:szCs w:val="20"/>
                <w:color w:val="auto"/>
              </w:rPr>
            </w:pPr>
            <w:r>
              <w:rPr>
                <w:rFonts w:ascii="Arial" w:cs="Arial" w:eastAsia="Arial" w:hAnsi="Arial"/>
                <w:sz w:val="11"/>
                <w:szCs w:val="11"/>
                <w:b w:val="1"/>
                <w:bCs w:val="1"/>
                <w:color w:val="auto"/>
                <w:w w:val="91"/>
              </w:rPr>
              <w:t>Total</w:t>
            </w: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8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180" w:type="dxa"/>
            <w:vAlign w:val="bottom"/>
            <w:vMerge w:val="restart"/>
          </w:tcPr>
          <w:p>
            <w:pPr>
              <w:jc w:val="center"/>
              <w:ind w:right="18"/>
              <w:spacing w:after="0" w:line="122" w:lineRule="exact"/>
              <w:rPr>
                <w:sz w:val="20"/>
                <w:szCs w:val="20"/>
                <w:color w:val="auto"/>
              </w:rPr>
            </w:pPr>
            <w:r>
              <w:rPr>
                <w:rFonts w:ascii="Arial" w:cs="Arial" w:eastAsia="Arial" w:hAnsi="Arial"/>
                <w:sz w:val="11"/>
                <w:szCs w:val="11"/>
                <w:b w:val="1"/>
                <w:bCs w:val="1"/>
                <w:color w:val="auto"/>
                <w:w w:val="89"/>
              </w:rPr>
              <w:t>Accumulated</w:t>
            </w: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vMerge w:val="restart"/>
          </w:tcPr>
          <w:p>
            <w:pPr>
              <w:jc w:val="center"/>
              <w:ind w:right="78"/>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110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49"/>
        </w:trPr>
        <w:tc>
          <w:tcPr>
            <w:tcW w:w="1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5"/>
              </w:rPr>
              <w:t>Additional Paid-</w:t>
            </w:r>
          </w:p>
        </w:tc>
        <w:tc>
          <w:tcPr>
            <w:tcW w:w="1180" w:type="dxa"/>
            <w:vAlign w:val="bottom"/>
          </w:tcPr>
          <w:p>
            <w:pPr>
              <w:jc w:val="center"/>
              <w:ind w:right="18"/>
              <w:spacing w:after="0" w:line="122" w:lineRule="exact"/>
              <w:rPr>
                <w:sz w:val="20"/>
                <w:szCs w:val="20"/>
                <w:color w:val="auto"/>
              </w:rPr>
            </w:pPr>
            <w:r>
              <w:rPr>
                <w:rFonts w:ascii="Arial" w:cs="Arial" w:eastAsia="Arial" w:hAnsi="Arial"/>
                <w:sz w:val="11"/>
                <w:szCs w:val="11"/>
                <w:b w:val="1"/>
                <w:bCs w:val="1"/>
                <w:color w:val="auto"/>
                <w:w w:val="88"/>
              </w:rPr>
              <w:t>Other Comprehensive</w:t>
            </w:r>
          </w:p>
        </w:tc>
        <w:tc>
          <w:tcPr>
            <w:tcW w:w="720" w:type="dxa"/>
            <w:vAlign w:val="bottom"/>
          </w:tcPr>
          <w:p>
            <w:pPr>
              <w:jc w:val="right"/>
              <w:ind w:right="138"/>
              <w:spacing w:after="0" w:line="122" w:lineRule="exact"/>
              <w:rPr>
                <w:sz w:val="20"/>
                <w:szCs w:val="20"/>
                <w:color w:val="auto"/>
              </w:rPr>
            </w:pPr>
            <w:r>
              <w:rPr>
                <w:rFonts w:ascii="Arial" w:cs="Arial" w:eastAsia="Arial" w:hAnsi="Arial"/>
                <w:sz w:val="11"/>
                <w:szCs w:val="11"/>
                <w:b w:val="1"/>
                <w:bCs w:val="1"/>
                <w:color w:val="auto"/>
              </w:rPr>
              <w:t>Retained</w:t>
            </w:r>
          </w:p>
        </w:tc>
        <w:tc>
          <w:tcPr>
            <w:tcW w:w="860" w:type="dxa"/>
            <w:vAlign w:val="bottom"/>
          </w:tcPr>
          <w:p>
            <w:pPr>
              <w:jc w:val="right"/>
              <w:ind w:right="38"/>
              <w:spacing w:after="0" w:line="122" w:lineRule="exact"/>
              <w:rPr>
                <w:sz w:val="20"/>
                <w:szCs w:val="20"/>
                <w:color w:val="auto"/>
              </w:rPr>
            </w:pPr>
            <w:r>
              <w:rPr>
                <w:rFonts w:ascii="Arial" w:cs="Arial" w:eastAsia="Arial" w:hAnsi="Arial"/>
                <w:sz w:val="11"/>
                <w:szCs w:val="11"/>
                <w:b w:val="1"/>
                <w:bCs w:val="1"/>
                <w:color w:val="auto"/>
                <w:w w:val="93"/>
              </w:rPr>
              <w:t>Treasury Stock</w:t>
            </w:r>
          </w:p>
        </w:tc>
        <w:tc>
          <w:tcPr>
            <w:tcW w:w="11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7"/>
              </w:rPr>
              <w:t>Equity of Scholastic</w:t>
            </w:r>
          </w:p>
        </w:tc>
        <w:tc>
          <w:tcPr>
            <w:tcW w:w="1100" w:type="dxa"/>
            <w:vAlign w:val="bottom"/>
          </w:tcPr>
          <w:p>
            <w:pPr>
              <w:jc w:val="right"/>
              <w:ind w:right="238"/>
              <w:spacing w:after="0"/>
              <w:rPr>
                <w:sz w:val="20"/>
                <w:szCs w:val="20"/>
                <w:color w:val="auto"/>
              </w:rPr>
            </w:pPr>
            <w:r>
              <w:rPr>
                <w:rFonts w:ascii="Arial" w:cs="Arial" w:eastAsia="Arial" w:hAnsi="Arial"/>
                <w:sz w:val="10"/>
                <w:szCs w:val="10"/>
                <w:b w:val="1"/>
                <w:bCs w:val="1"/>
                <w:color w:val="auto"/>
              </w:rPr>
              <w:t>Noncontrolling</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8"/>
              </w:rPr>
              <w:t>Stockholders'</w:t>
            </w: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580" w:type="dxa"/>
            <w:vAlign w:val="bottom"/>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178"/>
              <w:spacing w:after="0"/>
              <w:rPr>
                <w:sz w:val="20"/>
                <w:szCs w:val="20"/>
                <w:color w:val="auto"/>
              </w:rPr>
            </w:pPr>
            <w:r>
              <w:rPr>
                <w:rFonts w:ascii="Arial" w:cs="Arial" w:eastAsia="Arial" w:hAnsi="Arial"/>
                <w:sz w:val="11"/>
                <w:szCs w:val="11"/>
                <w:b w:val="1"/>
                <w:bCs w:val="1"/>
                <w:color w:val="auto"/>
                <w:w w:val="97"/>
              </w:rPr>
              <w:t>Shares</w:t>
            </w: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Amount</w:t>
            </w:r>
          </w:p>
        </w:tc>
        <w:tc>
          <w:tcPr>
            <w:tcW w:w="880" w:type="dxa"/>
            <w:vAlign w:val="bottom"/>
          </w:tcPr>
          <w:p>
            <w:pPr>
              <w:jc w:val="right"/>
              <w:ind w:right="158"/>
              <w:spacing w:after="0"/>
              <w:rPr>
                <w:sz w:val="20"/>
                <w:szCs w:val="20"/>
                <w:color w:val="auto"/>
              </w:rPr>
            </w:pPr>
            <w:r>
              <w:rPr>
                <w:rFonts w:ascii="Arial" w:cs="Arial" w:eastAsia="Arial" w:hAnsi="Arial"/>
                <w:sz w:val="11"/>
                <w:szCs w:val="11"/>
                <w:b w:val="1"/>
                <w:bCs w:val="1"/>
                <w:color w:val="auto"/>
              </w:rPr>
              <w:t>in Capital</w:t>
            </w:r>
          </w:p>
        </w:tc>
        <w:tc>
          <w:tcPr>
            <w:tcW w:w="1180" w:type="dxa"/>
            <w:vAlign w:val="bottom"/>
          </w:tcPr>
          <w:p>
            <w:pPr>
              <w:jc w:val="center"/>
              <w:ind w:right="18"/>
              <w:spacing w:after="0"/>
              <w:rPr>
                <w:sz w:val="20"/>
                <w:szCs w:val="20"/>
                <w:color w:val="auto"/>
              </w:rPr>
            </w:pPr>
            <w:r>
              <w:rPr>
                <w:rFonts w:ascii="Arial" w:cs="Arial" w:eastAsia="Arial" w:hAnsi="Arial"/>
                <w:sz w:val="11"/>
                <w:szCs w:val="11"/>
                <w:b w:val="1"/>
                <w:bCs w:val="1"/>
                <w:color w:val="auto"/>
                <w:w w:val="88"/>
              </w:rPr>
              <w:t>Income (Loss)</w:t>
            </w:r>
          </w:p>
        </w:tc>
        <w:tc>
          <w:tcPr>
            <w:tcW w:w="720" w:type="dxa"/>
            <w:vAlign w:val="bottom"/>
          </w:tcPr>
          <w:p>
            <w:pPr>
              <w:jc w:val="right"/>
              <w:ind w:right="138"/>
              <w:spacing w:after="0"/>
              <w:rPr>
                <w:sz w:val="20"/>
                <w:szCs w:val="20"/>
                <w:color w:val="auto"/>
              </w:rPr>
            </w:pPr>
            <w:r>
              <w:rPr>
                <w:rFonts w:ascii="Arial" w:cs="Arial" w:eastAsia="Arial" w:hAnsi="Arial"/>
                <w:sz w:val="11"/>
                <w:szCs w:val="11"/>
                <w:b w:val="1"/>
                <w:bCs w:val="1"/>
                <w:color w:val="auto"/>
              </w:rPr>
              <w:t>Earnings</w:t>
            </w:r>
          </w:p>
        </w:tc>
        <w:tc>
          <w:tcPr>
            <w:tcW w:w="860" w:type="dxa"/>
            <w:vAlign w:val="bottom"/>
          </w:tcPr>
          <w:p>
            <w:pPr>
              <w:jc w:val="right"/>
              <w:ind w:right="198"/>
              <w:spacing w:after="0"/>
              <w:rPr>
                <w:sz w:val="20"/>
                <w:szCs w:val="20"/>
                <w:color w:val="auto"/>
              </w:rPr>
            </w:pPr>
            <w:r>
              <w:rPr>
                <w:rFonts w:ascii="Arial" w:cs="Arial" w:eastAsia="Arial" w:hAnsi="Arial"/>
                <w:sz w:val="11"/>
                <w:szCs w:val="11"/>
                <w:b w:val="1"/>
                <w:bCs w:val="1"/>
                <w:color w:val="auto"/>
              </w:rPr>
              <w:t>At Cost</w:t>
            </w:r>
          </w:p>
        </w:tc>
        <w:tc>
          <w:tcPr>
            <w:tcW w:w="1120" w:type="dxa"/>
            <w:vAlign w:val="bottom"/>
          </w:tcPr>
          <w:p>
            <w:pPr>
              <w:jc w:val="center"/>
              <w:ind w:right="78"/>
              <w:spacing w:after="0"/>
              <w:rPr>
                <w:sz w:val="20"/>
                <w:szCs w:val="20"/>
                <w:color w:val="auto"/>
              </w:rPr>
            </w:pPr>
            <w:r>
              <w:rPr>
                <w:rFonts w:ascii="Arial" w:cs="Arial" w:eastAsia="Arial" w:hAnsi="Arial"/>
                <w:sz w:val="11"/>
                <w:szCs w:val="11"/>
                <w:b w:val="1"/>
                <w:bCs w:val="1"/>
                <w:color w:val="auto"/>
                <w:w w:val="92"/>
              </w:rPr>
              <w:t>Corporation</w:t>
            </w:r>
          </w:p>
        </w:tc>
        <w:tc>
          <w:tcPr>
            <w:tcW w:w="1100" w:type="dxa"/>
            <w:vAlign w:val="bottom"/>
          </w:tcPr>
          <w:p>
            <w:pPr>
              <w:jc w:val="right"/>
              <w:ind w:right="398"/>
              <w:spacing w:after="0"/>
              <w:rPr>
                <w:sz w:val="20"/>
                <w:szCs w:val="20"/>
                <w:color w:val="auto"/>
              </w:rPr>
            </w:pPr>
            <w:r>
              <w:rPr>
                <w:rFonts w:ascii="Arial" w:cs="Arial" w:eastAsia="Arial" w:hAnsi="Arial"/>
                <w:sz w:val="10"/>
                <w:szCs w:val="10"/>
                <w:b w:val="1"/>
                <w:bCs w:val="1"/>
                <w:color w:val="auto"/>
              </w:rPr>
              <w:t>interest</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22"/>
        </w:trPr>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at June 1, 2019</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1.7</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$0.0</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33.4</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w w:val="94"/>
              </w:rPr>
              <w:t>$0.4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$620.8</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$(59.7)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$(302.6)</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$1,271.5</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$1,272.8</w:t>
            </w: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(58.5)</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(58.5)</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Foreign currency translation</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adjustment</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8"/>
              <w:spacing w:after="0"/>
              <w:rPr>
                <w:sz w:val="20"/>
                <w:szCs w:val="20"/>
                <w:color w:val="auto"/>
              </w:rPr>
            </w:pPr>
            <w:r>
              <w:rPr>
                <w:rFonts w:ascii="Arial" w:cs="Arial" w:eastAsia="Arial" w:hAnsi="Arial"/>
                <w:sz w:val="13"/>
                <w:szCs w:val="13"/>
                <w:color w:val="auto"/>
              </w:rPr>
              <w:t>(2.0)</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8"/>
              <w:spacing w:after="0"/>
              <w:rPr>
                <w:sz w:val="20"/>
                <w:szCs w:val="20"/>
                <w:color w:val="auto"/>
              </w:rPr>
            </w:pPr>
            <w:r>
              <w:rPr>
                <w:rFonts w:ascii="Arial" w:cs="Arial" w:eastAsia="Arial" w:hAnsi="Arial"/>
                <w:sz w:val="13"/>
                <w:szCs w:val="13"/>
                <w:color w:val="auto"/>
              </w:rPr>
              <w:t>(2.0)</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Pension and post-retirement</w:t>
            </w:r>
          </w:p>
        </w:tc>
        <w:tc>
          <w:tcPr>
            <w:tcW w:w="5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(net of tax of $0.0)</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0.2</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0.2</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62"/>
        </w:trPr>
        <w:tc>
          <w:tcPr>
            <w:tcW w:w="18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1.5</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1.5</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Purchases of treasury stock at cost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(0.3)</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(12.6)</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(12.6)</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w w:val="92"/>
              </w:rPr>
              <w:t>Treasury stock issued pursuant to</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equity-based plans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0.0</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(0.1)</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0.6</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0.5</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($0.15 per share)</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(5.2)</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(5.2)</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Noncontrolling interest in Make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Believe Ideas</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(0.0)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August 31, 2019</w:t>
            </w: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1.7</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b w:val="1"/>
                <w:bCs w:val="1"/>
                <w:color w:val="auto"/>
              </w:rPr>
              <w:t>33.1</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b w:val="1"/>
                <w:bCs w:val="1"/>
                <w:color w:val="auto"/>
                <w:w w:val="94"/>
              </w:rPr>
              <w:t>$0.4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$622.2</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$(61.5)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$948.9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$(314.6)</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$1,195.4</w:t>
            </w: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$1,196.7</w:t>
            </w:r>
          </w:p>
        </w:tc>
        <w:tc>
          <w:tcPr>
            <w:tcW w:w="0" w:type="dxa"/>
            <w:vAlign w:val="bottom"/>
          </w:tcPr>
          <w:p>
            <w:pPr>
              <w:spacing w:after="0"/>
              <w:rPr>
                <w:sz w:val="1"/>
                <w:szCs w:val="1"/>
                <w:color w:val="auto"/>
              </w:rPr>
            </w:pPr>
          </w:p>
        </w:tc>
      </w:tr>
      <w:tr>
        <w:trPr>
          <w:trHeight w:val="262"/>
        </w:trPr>
        <w:tc>
          <w:tcPr>
            <w:tcW w:w="18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71.0</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71.0</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Foreign currency translation</w:t>
            </w:r>
          </w:p>
        </w:tc>
        <w:tc>
          <w:tcPr>
            <w:tcW w:w="5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3.9</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3.9</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Pension and post-retirement</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adjustments (net of tax of $0.0)</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0.2</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0.2</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0.9</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0.9</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w w:val="91"/>
              </w:rPr>
              <w:t>Proceeds pursuant to stock-based</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compensation plans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0.3</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Purchases of treasury stock at cost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(0.1)</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(7.1)</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(7.1)</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w w:val="92"/>
              </w:rPr>
              <w:t>Treasury stock issued pursuant to</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equity-based plans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2.7</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0.6</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($0.15 per share)</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(5.2)</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(5.2)</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Noncontrolling interest in Make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Believe Ideas</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0.0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6"/>
              </w:rPr>
              <w:t>Balance at November 30, 2019</w:t>
            </w: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1.7</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b w:val="1"/>
                <w:bCs w:val="1"/>
                <w:color w:val="auto"/>
              </w:rPr>
              <w:t>33.0</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b w:val="1"/>
                <w:bCs w:val="1"/>
                <w:color w:val="auto"/>
                <w:w w:val="94"/>
              </w:rPr>
              <w:t>$0.4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$621.3</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$(57.4)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$1,014.7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$(319.0)</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$1,260.0</w:t>
            </w: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$1,261.3</w:t>
            </w:r>
          </w:p>
        </w:tc>
        <w:tc>
          <w:tcPr>
            <w:tcW w:w="0" w:type="dxa"/>
            <w:vAlign w:val="bottom"/>
          </w:tcPr>
          <w:p>
            <w:pPr>
              <w:spacing w:after="0"/>
              <w:rPr>
                <w:sz w:val="1"/>
                <w:szCs w:val="1"/>
                <w:color w:val="auto"/>
              </w:rPr>
            </w:pPr>
          </w:p>
        </w:tc>
      </w:tr>
      <w:tr>
        <w:trPr>
          <w:trHeight w:val="262"/>
        </w:trPr>
        <w:tc>
          <w:tcPr>
            <w:tcW w:w="18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(43.3)</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38"/>
              <w:spacing w:after="0"/>
              <w:rPr>
                <w:sz w:val="20"/>
                <w:szCs w:val="20"/>
                <w:color w:val="auto"/>
              </w:rPr>
            </w:pPr>
            <w:r>
              <w:rPr>
                <w:rFonts w:ascii="Arial" w:cs="Arial" w:eastAsia="Arial" w:hAnsi="Arial"/>
                <w:sz w:val="13"/>
                <w:szCs w:val="13"/>
                <w:color w:val="auto"/>
              </w:rPr>
              <w:t>(43.3)</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5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Foreign currency translation</w:t>
            </w:r>
          </w:p>
        </w:tc>
        <w:tc>
          <w:tcPr>
            <w:tcW w:w="5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(2.3)</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(2.3)</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Pension and post-retirement</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adjustments (net of tax of $0.0)</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0.3</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0.3</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0.7</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0.7</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w w:val="91"/>
              </w:rPr>
              <w:t>Proceeds pursuant to stock-based</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compensation plans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0.4</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0.4</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Purchases of treasury stock at cost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(0.4)</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(13.0)</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(13.0)</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w w:val="92"/>
              </w:rPr>
              <w:t>Treasury stock issued pursuant to</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40"/>
              <w:spacing w:after="0"/>
              <w:rPr>
                <w:sz w:val="20"/>
                <w:szCs w:val="20"/>
                <w:color w:val="auto"/>
              </w:rPr>
            </w:pPr>
            <w:r>
              <w:rPr>
                <w:rFonts w:ascii="Arial" w:cs="Arial" w:eastAsia="Arial" w:hAnsi="Arial"/>
                <w:sz w:val="13"/>
                <w:szCs w:val="13"/>
                <w:color w:val="auto"/>
              </w:rPr>
              <w:t>equity-based plans</w:t>
            </w:r>
          </w:p>
        </w:tc>
        <w:tc>
          <w:tcPr>
            <w:tcW w:w="5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ind w:left="4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8"/>
              <w:spacing w:after="0"/>
              <w:rPr>
                <w:sz w:val="20"/>
                <w:szCs w:val="20"/>
                <w:color w:val="auto"/>
              </w:rPr>
            </w:pPr>
            <w:r>
              <w:rPr>
                <w:rFonts w:ascii="Arial" w:cs="Arial" w:eastAsia="Arial" w:hAnsi="Arial"/>
                <w:sz w:val="13"/>
                <w:szCs w:val="13"/>
                <w:color w:val="auto"/>
              </w:rPr>
              <w:t>0.0</w:t>
            </w:r>
          </w:p>
        </w:tc>
        <w:tc>
          <w:tcPr>
            <w:tcW w:w="720" w:type="dxa"/>
            <w:vAlign w:val="bottom"/>
          </w:tcPr>
          <w:p>
            <w:pPr>
              <w:ind w:left="4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w:t>
            </w:r>
          </w:p>
        </w:tc>
        <w:tc>
          <w:tcPr>
            <w:tcW w:w="118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0.8</w:t>
            </w:r>
          </w:p>
        </w:tc>
        <w:tc>
          <w:tcPr>
            <w:tcW w:w="1120" w:type="dxa"/>
            <w:vAlign w:val="bottom"/>
          </w:tcPr>
          <w:p>
            <w:pPr>
              <w:jc w:val="right"/>
              <w:ind w:right="178"/>
              <w:spacing w:after="0"/>
              <w:rPr>
                <w:sz w:val="20"/>
                <w:szCs w:val="20"/>
                <w:color w:val="auto"/>
              </w:rPr>
            </w:pPr>
            <w:r>
              <w:rPr>
                <w:rFonts w:ascii="Arial" w:cs="Arial" w:eastAsia="Arial" w:hAnsi="Arial"/>
                <w:sz w:val="13"/>
                <w:szCs w:val="13"/>
                <w:color w:val="auto"/>
              </w:rPr>
              <w:t>0.3</w:t>
            </w:r>
          </w:p>
        </w:tc>
        <w:tc>
          <w:tcPr>
            <w:tcW w:w="110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8"/>
        </w:trPr>
        <w:tc>
          <w:tcPr>
            <w:tcW w:w="1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($0.15 per share)</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(5.2)</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(5.2)</w:t>
            </w:r>
          </w:p>
        </w:tc>
        <w:tc>
          <w:tcPr>
            <w:tcW w:w="11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8"/>
        </w:trPr>
        <w:tc>
          <w:tcPr>
            <w:tcW w:w="1860" w:type="dxa"/>
            <w:vAlign w:val="bottom"/>
          </w:tcPr>
          <w:p>
            <w:pPr>
              <w:ind w:left="40"/>
              <w:spacing w:after="0" w:line="148" w:lineRule="exact"/>
              <w:rPr>
                <w:sz w:val="20"/>
                <w:szCs w:val="20"/>
                <w:color w:val="auto"/>
              </w:rPr>
            </w:pPr>
            <w:r>
              <w:rPr>
                <w:rFonts w:ascii="Arial" w:cs="Arial" w:eastAsia="Arial" w:hAnsi="Arial"/>
                <w:sz w:val="13"/>
                <w:szCs w:val="13"/>
                <w:color w:val="auto"/>
              </w:rPr>
              <w:t>Noncontrolling interest in Make</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Believe Ideas</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0.1</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63"/>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February 29, 2020</w:t>
            </w: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1.7</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b w:val="1"/>
                <w:bCs w:val="1"/>
                <w:color w:val="auto"/>
              </w:rPr>
              <w:t>$0.0</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b w:val="1"/>
                <w:bCs w:val="1"/>
                <w:color w:val="auto"/>
              </w:rPr>
              <w:t>32.6</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b w:val="1"/>
                <w:bCs w:val="1"/>
                <w:color w:val="auto"/>
                <w:w w:val="94"/>
              </w:rPr>
              <w:t>$0.4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$621.9</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b w:val="1"/>
                <w:bCs w:val="1"/>
                <w:color w:val="auto"/>
              </w:rPr>
              <w:t>$(59.4)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$966.2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$(331.2)</w:t>
            </w: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$1,197.9</w:t>
            </w: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$1.4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$1,199.3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29" w:right="3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ind w:left="40" w:right="3940"/>
        <w:spacing w:after="0" w:line="260" w:lineRule="auto"/>
        <w:rPr>
          <w:sz w:val="20"/>
          <w:szCs w:val="20"/>
          <w:color w:val="auto"/>
        </w:rPr>
      </w:pPr>
      <w:r>
        <w:rPr>
          <w:rFonts w:ascii="Arial" w:cs="Arial" w:eastAsia="Arial" w:hAnsi="Arial"/>
          <w:sz w:val="18"/>
          <w:szCs w:val="18"/>
          <w:b w:val="1"/>
          <w:bCs w:val="1"/>
          <w:color w:val="auto"/>
        </w:rPr>
        <w:t>CONDENSED CONSOLIDATED STATEMENTS OF CASH FLOWS – UNAUDITED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78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6860" w:type="dxa"/>
            <w:vAlign w:val="bottom"/>
          </w:tcPr>
          <w:p>
            <w:pPr>
              <w:spacing w:after="0"/>
              <w:rPr>
                <w:sz w:val="23"/>
                <w:szCs w:val="23"/>
                <w:color w:val="auto"/>
              </w:rPr>
            </w:pPr>
          </w:p>
        </w:tc>
        <w:tc>
          <w:tcPr>
            <w:tcW w:w="2140" w:type="dxa"/>
            <w:vAlign w:val="bottom"/>
          </w:tcPr>
          <w:p>
            <w:pPr>
              <w:jc w:val="right"/>
              <w:ind w:right="639"/>
              <w:spacing w:after="0"/>
              <w:rPr>
                <w:sz w:val="20"/>
                <w:szCs w:val="20"/>
                <w:color w:val="auto"/>
              </w:rPr>
            </w:pPr>
            <w:r>
              <w:rPr>
                <w:rFonts w:ascii="Arial" w:cs="Arial" w:eastAsia="Arial" w:hAnsi="Arial"/>
                <w:sz w:val="16"/>
                <w:szCs w:val="16"/>
                <w:b w:val="1"/>
                <w:bCs w:val="1"/>
                <w:color w:val="auto"/>
              </w:rPr>
              <w:t>February 29,</w:t>
            </w:r>
          </w:p>
        </w:tc>
        <w:tc>
          <w:tcPr>
            <w:tcW w:w="164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6860" w:type="dxa"/>
            <w:vAlign w:val="bottom"/>
          </w:tcPr>
          <w:p>
            <w:pPr>
              <w:spacing w:after="0"/>
              <w:rPr>
                <w:sz w:val="23"/>
                <w:szCs w:val="23"/>
                <w:color w:val="auto"/>
              </w:rPr>
            </w:pPr>
          </w:p>
        </w:tc>
        <w:tc>
          <w:tcPr>
            <w:tcW w:w="2140" w:type="dxa"/>
            <w:vAlign w:val="bottom"/>
          </w:tcPr>
          <w:p>
            <w:pPr>
              <w:jc w:val="right"/>
              <w:ind w:right="919"/>
              <w:spacing w:after="0"/>
              <w:rPr>
                <w:sz w:val="20"/>
                <w:szCs w:val="20"/>
                <w:color w:val="auto"/>
              </w:rPr>
            </w:pPr>
            <w:r>
              <w:rPr>
                <w:rFonts w:ascii="Arial" w:cs="Arial" w:eastAsia="Arial" w:hAnsi="Arial"/>
                <w:sz w:val="16"/>
                <w:szCs w:val="16"/>
                <w:b w:val="1"/>
                <w:bCs w:val="1"/>
                <w:color w:val="auto"/>
              </w:rPr>
              <w:t>2020</w:t>
            </w:r>
          </w:p>
        </w:tc>
        <w:tc>
          <w:tcPr>
            <w:tcW w:w="16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Cash flows -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Scholastic Corporation</w:t>
            </w:r>
          </w:p>
        </w:tc>
        <w:tc>
          <w:tcPr>
            <w:tcW w:w="2140" w:type="dxa"/>
            <w:vAlign w:val="bottom"/>
          </w:tcPr>
          <w:p>
            <w:pPr>
              <w:jc w:val="right"/>
              <w:ind w:right="199"/>
              <w:spacing w:after="0"/>
              <w:rPr>
                <w:sz w:val="20"/>
                <w:szCs w:val="20"/>
                <w:color w:val="auto"/>
              </w:rPr>
            </w:pPr>
            <w:r>
              <w:rPr>
                <w:rFonts w:ascii="Arial" w:cs="Arial" w:eastAsia="Arial" w:hAnsi="Arial"/>
                <w:sz w:val="16"/>
                <w:szCs w:val="16"/>
                <w:b w:val="1"/>
                <w:bCs w:val="1"/>
                <w:color w:val="auto"/>
              </w:rPr>
              <w:t>$(30.8)</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 (loss) to net cash provided by (used in)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Provision for losses on accounts receivable</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7.3</w:t>
            </w: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losses on inventory</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Provision for losses on royalty advances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3.8</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prepublication and production costs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48.1</w:t>
            </w:r>
          </w:p>
        </w:tc>
        <w:tc>
          <w:tcPr>
            <w:tcW w:w="164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pension and postretirement actuarial gains and losses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Income from equity investments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(3.6)</w:t>
            </w: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 cash write off related to asset impairments and write downs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40.0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amounts acquired:</w:t>
            </w:r>
          </w:p>
        </w:tc>
        <w:tc>
          <w:tcPr>
            <w:tcW w:w="2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(38.9)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(36.2)</w:t>
            </w:r>
          </w:p>
        </w:tc>
        <w:tc>
          <w:tcPr>
            <w:tcW w:w="164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(35.9)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Royalty advances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(9.1)</w:t>
            </w:r>
          </w:p>
        </w:tc>
        <w:tc>
          <w:tcPr>
            <w:tcW w:w="16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6860" w:type="dxa"/>
            <w:vAlign w:val="bottom"/>
          </w:tcPr>
          <w:p>
            <w:pPr>
              <w:ind w:left="140"/>
              <w:spacing w:after="0"/>
              <w:rPr>
                <w:sz w:val="20"/>
                <w:szCs w:val="20"/>
                <w:color w:val="auto"/>
              </w:rPr>
            </w:pPr>
            <w:r>
              <w:rPr>
                <w:rFonts w:ascii="Arial" w:cs="Arial" w:eastAsia="Arial" w:hAnsi="Arial"/>
                <w:sz w:val="16"/>
                <w:szCs w:val="16"/>
                <w:color w:val="auto"/>
              </w:rPr>
              <w:t>Accrued income taxes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royalties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35.6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27.5</w:t>
            </w:r>
          </w:p>
        </w:tc>
        <w:tc>
          <w:tcPr>
            <w:tcW w:w="164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assets and liabilities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0"/>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44.0</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5"/>
        </w:trPr>
        <w:tc>
          <w:tcPr>
            <w:tcW w:w="686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Cash flows - investing activities:</w:t>
            </w:r>
          </w:p>
        </w:tc>
        <w:tc>
          <w:tcPr>
            <w:tcW w:w="2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Prepublication and production expenditures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(48.4)</w:t>
            </w:r>
          </w:p>
        </w:tc>
        <w:tc>
          <w:tcPr>
            <w:tcW w:w="164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land</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(3.3)</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investment and acquisition-related payments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16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8"/>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(74.4)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155"/>
        </w:trPr>
        <w:tc>
          <w:tcPr>
            <w:tcW w:w="68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6.4</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Borrowings under lines of credit</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22.5</w:t>
            </w:r>
          </w:p>
        </w:tc>
        <w:tc>
          <w:tcPr>
            <w:tcW w:w="16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lines of credit</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Repayment of capital lease obligations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Reacquisition of common stock</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(32.2)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Proceeds pursuant to stock-based compensation plans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0.7</w:t>
            </w:r>
          </w:p>
        </w:tc>
        <w:tc>
          <w:tcPr>
            <w:tcW w:w="16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dividends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(39.7)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1"/>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(0.2)</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686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140" w:type="dxa"/>
            <w:vAlign w:val="bottom"/>
          </w:tcPr>
          <w:p>
            <w:pPr>
              <w:jc w:val="right"/>
              <w:ind w:right="199"/>
              <w:spacing w:after="0"/>
              <w:rPr>
                <w:sz w:val="20"/>
                <w:szCs w:val="20"/>
                <w:color w:val="auto"/>
              </w:rPr>
            </w:pPr>
            <w:r>
              <w:rPr>
                <w:rFonts w:ascii="Arial" w:cs="Arial" w:eastAsia="Arial" w:hAnsi="Arial"/>
                <w:sz w:val="16"/>
                <w:szCs w:val="16"/>
                <w:color w:val="auto"/>
              </w:rPr>
              <w:t>(70.3)</w:t>
            </w:r>
          </w:p>
        </w:tc>
        <w:tc>
          <w:tcPr>
            <w:tcW w:w="164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33"/>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334.1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391.9</w:t>
            </w:r>
          </w:p>
        </w:tc>
      </w:tr>
      <w:tr>
        <w:trPr>
          <w:trHeight w:val="231"/>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$263.8</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$338.1</w:t>
            </w:r>
          </w:p>
        </w:tc>
      </w:tr>
      <w:tr>
        <w:trPr>
          <w:trHeight w:val="33"/>
        </w:trPr>
        <w:tc>
          <w:tcPr>
            <w:tcW w:w="68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640"/>
          </w:cols>
          <w:pgMar w:left="320" w:top="729" w:right="939" w:bottom="136"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640"/>
          </w:cols>
          <w:pgMar w:left="320" w:top="729" w:right="939" w:bottom="136"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2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780" w:firstLine="8"/>
        <w:spacing w:after="0" w:line="532"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Principles of consolidation</w:t>
      </w:r>
    </w:p>
    <w:p>
      <w:pPr>
        <w:spacing w:after="0" w:line="1"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accompanying condensed consolidated interim financial statements (referred to as the “Financial Statements” herein) include the accounts of Scholastic Corporation (the “Corporation”) and all wholly-owned and majority-owned subsidiaries (collectively, “Scholastic” or the “Company”). Intercompany transactions are eliminated in consolidation.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fiscal year is not a calendar year. Accordingly, references in this document to fiscal 2020 relate to the twelve-month period ending May 31, 2020. Certain reclassifications have been made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(“U.S. GAAP”) and Article 10 of Regulation S-X of the U.S. Securities and Exchange Commission (“SEC”) for interim financial information, and should be read in conjunction with the Company’s Annual Report on Form 10-K for the fiscal year ended May 31, 2019.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school-based book club and book fair channels and most of its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Trade sales can vary throughout the year due to varying release dates of published titles. The Company generally experiences a loss from operations in the first and third quarters of each fiscal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preparation of these Financial Statements involves the use of estimates and assumptions by management, which affects the amounts reported in the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certain assets and liabilities. Actual results may differ from those estimates and assumptions. On an on-going basis, the Company evaluates the adequacy of its reserves and the estimates used in these calculations, including, but not limited to:</w:t>
      </w:r>
    </w:p>
    <w:p>
      <w:pPr>
        <w:spacing w:after="0" w:line="3" w:lineRule="exact"/>
        <w:rPr>
          <w:sz w:val="20"/>
          <w:szCs w:val="20"/>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Accounts receivable allowance for doubtful accounts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and postretirement benefit plans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amount of future income taxes and related deductions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goods sold from book fair operations during interim periods based on estimated gross profit rates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tax contingencies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Royalty advance reserves and royalty expense accruals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testing for goodwill, intangible and other long-lived assets and investments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Assets and liabilities acquired in business combinations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Variable consideration related to anticipated returns</w:t>
      </w:r>
    </w:p>
    <w:p>
      <w:pPr>
        <w:spacing w:after="0" w:line="9" w:lineRule="exact"/>
        <w:rPr>
          <w:rFonts w:ascii="Arial" w:cs="Arial" w:eastAsia="Arial" w:hAnsi="Arial"/>
          <w:sz w:val="18"/>
          <w:szCs w:val="18"/>
          <w:color w:val="auto"/>
        </w:rPr>
      </w:pPr>
    </w:p>
    <w:p>
      <w:pPr>
        <w:ind w:left="1800" w:hanging="982"/>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Allocation of transaction price to performance obligations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97" w:right="3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committed to a plan to sell the company-owned facility located in Danbury, Connecticut to relocate the book fairs warehousing and distribution operations conducted in Danbury to a warehouse in Allentown, Pennsylvania. This asset is included in the </w:t>
      </w:r>
      <w:r>
        <w:rPr>
          <w:rFonts w:ascii="Arial" w:cs="Arial" w:eastAsia="Arial" w:hAnsi="Arial"/>
          <w:sz w:val="17"/>
          <w:szCs w:val="17"/>
          <w:i w:val="1"/>
          <w:iCs w:val="1"/>
          <w:color w:val="auto"/>
        </w:rPr>
        <w:t>Overhead</w:t>
      </w:r>
      <w:r>
        <w:rPr>
          <w:rFonts w:ascii="Arial" w:cs="Arial" w:eastAsia="Arial" w:hAnsi="Arial"/>
          <w:sz w:val="17"/>
          <w:szCs w:val="17"/>
          <w:color w:val="auto"/>
        </w:rPr>
        <w:t xml:space="preserve"> segment. The Company also committed to a plan to sell the UK distribution centers located in Witney and Southam to consolidate the operations into a new facility in Warwickshire which is currently under construction. These assets are included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The Company expects the sale of these facilities to be completed within one year and to recognize a gain on sale. The long-lived assets which consist of land, building, and building improvements are classified as held for sale. These assets are carried at the lower of carrying value or fair value less costs to sell and no additional depreciation is being recognized. As of February 29, 2020, the carrying amounts totaled $8.8.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No. 2019-12, Income Taxes (Topic 740) - Simplifying the Accounting for Income Taxes. The updates in this guidance remove the following exceptions: 1. Exception to the incremental approach for intraperiod tax allocation when there is a loss from continuing operations and income or a gain from other items (for example, discontinued operations or other comprehensive income);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4. Exception to the general methodology for calculating income taxes in an interim period when a year-to-date loss exceeds the anticipated loss for the year.</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guidance also simplifies the accounting for income taxes by: 1. Requiring an entity recognize a franchise tax (or similar tax) that is partially based on income as an income-based tax and account for any incremental amount incurred as a non-income-based tax; 2. Requiring an entity evaluate when a step up in the tax basis of goodwill should be considered part of the business combination in which the book goodwill was originally recognized and when it should be considered a separate transaction; 3. Specifying an entity is not required to allocate the consolidated amount of current and deferred tax expense to a legal entity that is not subject to tax in its separate financial statements; 4. Requiring an entity reflect the effect of an enacted change in tax laws or rates in the annual effective tax rate computation in the interim period that includes the enactment date. The guidance further provides a policy election to not allocate consolidated income taxes when a member of a consolidated tax return is not subject to income tax and provides guidance to evaluate whether a step-up in tax basis of goodwill relates to a business combination or a separate transaction.</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ASU will be effective for the Company in the first quarter of fiscal 2022. Early adoption is permitted, including adoption in any interim period for which financial statements have not yet been issued. An entity that elects to early adopt in an interim period should reflect any adjustments as of the beginning of the annual period that includes that interim period and an entity that elects early adoption must adopt all the amendments in the same period. The Company is evaluating the impact of this ASU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Fiscal Year Adoptions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 842, Leases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Leases</w:t>
      </w:r>
      <w:r>
        <w:rPr>
          <w:rFonts w:ascii="Arial" w:cs="Arial" w:eastAsia="Arial" w:hAnsi="Arial"/>
          <w:sz w:val="18"/>
          <w:szCs w:val="18"/>
          <w:color w:val="auto"/>
        </w:rPr>
        <w:t>, for a discussion of the Company's lease accounting following the adoption of ASU No. 2016-02, Leases (Topic 842) in the first quarter of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 No. 2018-15</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August 2018, the FASB issued ASU No. 2018-15, Intangibles- Goodwill and Other-Internal-Use Software (Subtopic 350-40): Customer’s Accounting for Implementation Costs Incurred in a Cloud Computing Arrangement that is a Service Contract. The Company adopted ASU No. 2018-15 as of the beginning of the first quarter of fiscal 2020 using the prospective approach. In the third fiscal quarter, the Company capitalized approximately $9.5 of cloud computing costs which have not yet been placed into service. This amount is included within Other assets and deferred charges within the Company's Condensed Consolidated Balance Sheets and within the operating activities section of the Company's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97"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 No. 2018-02</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In February 2018, the FASB issued ASU No. 2018-02, Income Statement-Reporting Comprehensive Income (Topic 220)-Reclassification of Certain Tax Effects from Accumulated Other Comprehensive Income. The Company adopted ASU No. 2018-02 as of the beginning of the first quarter of fiscal 2020 which resulted in no impact to the Company's financial statements.</w:t>
      </w:r>
    </w:p>
    <w:p>
      <w:pPr>
        <w:spacing w:after="0" w:line="186" w:lineRule="exact"/>
        <w:rPr>
          <w:sz w:val="20"/>
          <w:szCs w:val="20"/>
          <w:color w:val="auto"/>
        </w:rPr>
      </w:pPr>
    </w:p>
    <w:p>
      <w:pPr>
        <w:ind w:right="9020" w:firstLine="8"/>
        <w:spacing w:after="0" w:line="566"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Disaggregated Revenue Data</w:t>
      </w:r>
    </w:p>
    <w:p>
      <w:pPr>
        <w:spacing w:after="0"/>
        <w:rPr>
          <w:sz w:val="20"/>
          <w:szCs w:val="20"/>
          <w:color w:val="auto"/>
        </w:rPr>
      </w:pPr>
      <w:r>
        <w:rPr>
          <w:rFonts w:ascii="Arial" w:cs="Arial" w:eastAsia="Arial" w:hAnsi="Arial"/>
          <w:sz w:val="18"/>
          <w:szCs w:val="18"/>
          <w:color w:val="auto"/>
        </w:rPr>
        <w:t>The following table presents the Company’s disaggregated revenues by region and domestic channel: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660" w:type="dxa"/>
            <w:vAlign w:val="bottom"/>
            <w:gridSpan w:val="2"/>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2960" w:type="dxa"/>
            <w:vAlign w:val="bottom"/>
            <w:gridSpan w:val="2"/>
          </w:tcPr>
          <w:p>
            <w:pPr>
              <w:jc w:val="right"/>
              <w:ind w:right="839"/>
              <w:spacing w:after="0"/>
              <w:rPr>
                <w:sz w:val="20"/>
                <w:szCs w:val="20"/>
                <w:color w:val="auto"/>
              </w:rPr>
            </w:pPr>
            <w:r>
              <w:rPr>
                <w:rFonts w:ascii="Arial" w:cs="Arial" w:eastAsia="Arial" w:hAnsi="Arial"/>
                <w:sz w:val="16"/>
                <w:szCs w:val="16"/>
                <w:color w:val="auto"/>
              </w:rPr>
              <w:t>Nine months ended</w:t>
            </w:r>
          </w:p>
        </w:tc>
      </w:tr>
      <w:tr>
        <w:trPr>
          <w:trHeight w:val="270"/>
        </w:trPr>
        <w:tc>
          <w:tcPr>
            <w:tcW w:w="3620" w:type="dxa"/>
            <w:vAlign w:val="bottom"/>
          </w:tcPr>
          <w:p>
            <w:pPr>
              <w:spacing w:after="0"/>
              <w:rPr>
                <w:sz w:val="23"/>
                <w:szCs w:val="23"/>
                <w:color w:val="auto"/>
              </w:rPr>
            </w:pPr>
          </w:p>
        </w:tc>
        <w:tc>
          <w:tcPr>
            <w:tcW w:w="3080" w:type="dxa"/>
            <w:vAlign w:val="bottom"/>
          </w:tcPr>
          <w:p>
            <w:pPr>
              <w:jc w:val="right"/>
              <w:ind w:right="459"/>
              <w:spacing w:after="0"/>
              <w:rPr>
                <w:sz w:val="20"/>
                <w:szCs w:val="20"/>
                <w:color w:val="auto"/>
              </w:rPr>
            </w:pPr>
            <w:r>
              <w:rPr>
                <w:rFonts w:ascii="Arial" w:cs="Arial" w:eastAsia="Arial" w:hAnsi="Arial"/>
                <w:sz w:val="16"/>
                <w:szCs w:val="16"/>
                <w:color w:val="auto"/>
              </w:rPr>
              <w:t>February 29,</w:t>
            </w: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February 28,</w:t>
            </w: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February 29,</w:t>
            </w: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28,</w:t>
            </w:r>
          </w:p>
        </w:tc>
      </w:tr>
      <w:tr>
        <w:trPr>
          <w:trHeight w:val="33"/>
        </w:trPr>
        <w:tc>
          <w:tcPr>
            <w:tcW w:w="3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3080" w:type="dxa"/>
            <w:vAlign w:val="bottom"/>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5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1540" w:type="dxa"/>
            <w:vAlign w:val="bottom"/>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36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U.S. Book Clubs</w:t>
            </w:r>
          </w:p>
        </w:tc>
        <w:tc>
          <w:tcPr>
            <w:tcW w:w="3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$43.4</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$55.0</w:t>
            </w: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$137.3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r>
      <w:tr>
        <w:trPr>
          <w:trHeight w:val="224"/>
        </w:trPr>
        <w:tc>
          <w:tcPr>
            <w:tcW w:w="3620" w:type="dxa"/>
            <w:vAlign w:val="bottom"/>
          </w:tcPr>
          <w:p>
            <w:pPr>
              <w:ind w:left="120"/>
              <w:spacing w:after="0"/>
              <w:rPr>
                <w:sz w:val="20"/>
                <w:szCs w:val="20"/>
                <w:color w:val="auto"/>
              </w:rPr>
            </w:pPr>
            <w:r>
              <w:rPr>
                <w:rFonts w:ascii="Arial" w:cs="Arial" w:eastAsia="Arial" w:hAnsi="Arial"/>
                <w:sz w:val="16"/>
                <w:szCs w:val="16"/>
                <w:color w:val="auto"/>
              </w:rPr>
              <w:t>U.S. Book Fairs</w:t>
            </w:r>
          </w:p>
        </w:tc>
        <w:tc>
          <w:tcPr>
            <w:tcW w:w="3080" w:type="dxa"/>
            <w:vAlign w:val="bottom"/>
          </w:tcPr>
          <w:p>
            <w:pPr>
              <w:jc w:val="right"/>
              <w:ind w:right="99"/>
              <w:spacing w:after="0"/>
              <w:rPr>
                <w:sz w:val="20"/>
                <w:szCs w:val="20"/>
                <w:color w:val="auto"/>
              </w:rPr>
            </w:pPr>
            <w:r>
              <w:rPr>
                <w:rFonts w:ascii="Arial" w:cs="Arial" w:eastAsia="Arial" w:hAnsi="Arial"/>
                <w:sz w:val="16"/>
                <w:szCs w:val="16"/>
                <w:color w:val="auto"/>
              </w:rPr>
              <w:t>100.1</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97.4</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351.7</w:t>
            </w:r>
          </w:p>
        </w:tc>
        <w:tc>
          <w:tcPr>
            <w:tcW w:w="142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33"/>
        </w:trPr>
        <w:tc>
          <w:tcPr>
            <w:tcW w:w="3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U.S. Trade</w:t>
            </w:r>
          </w:p>
        </w:tc>
        <w:tc>
          <w:tcPr>
            <w:tcW w:w="3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70.4</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65.6</w:t>
            </w: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23"/>
        </w:trPr>
        <w:tc>
          <w:tcPr>
            <w:tcW w:w="3620" w:type="dxa"/>
            <w:vAlign w:val="bottom"/>
          </w:tcPr>
          <w:p>
            <w:pPr>
              <w:ind w:left="120"/>
              <w:spacing w:after="0"/>
              <w:rPr>
                <w:sz w:val="20"/>
                <w:szCs w:val="20"/>
                <w:color w:val="auto"/>
              </w:rPr>
            </w:pPr>
            <w:r>
              <w:rPr>
                <w:rFonts w:ascii="Arial" w:cs="Arial" w:eastAsia="Arial" w:hAnsi="Arial"/>
                <w:sz w:val="16"/>
                <w:szCs w:val="16"/>
                <w:color w:val="auto"/>
              </w:rPr>
              <w:t>U.S. Education</w:t>
            </w:r>
          </w:p>
        </w:tc>
        <w:tc>
          <w:tcPr>
            <w:tcW w:w="3080" w:type="dxa"/>
            <w:vAlign w:val="bottom"/>
          </w:tcPr>
          <w:p>
            <w:pPr>
              <w:jc w:val="right"/>
              <w:ind w:right="99"/>
              <w:spacing w:after="0"/>
              <w:rPr>
                <w:sz w:val="20"/>
                <w:szCs w:val="20"/>
                <w:color w:val="auto"/>
              </w:rPr>
            </w:pPr>
            <w:r>
              <w:rPr>
                <w:rFonts w:ascii="Arial" w:cs="Arial" w:eastAsia="Arial" w:hAnsi="Arial"/>
                <w:sz w:val="16"/>
                <w:szCs w:val="16"/>
                <w:color w:val="auto"/>
              </w:rPr>
              <w:t>74.3</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60.3</w:t>
            </w:r>
          </w:p>
        </w:tc>
        <w:tc>
          <w:tcPr>
            <w:tcW w:w="1540" w:type="dxa"/>
            <w:vAlign w:val="bottom"/>
          </w:tcPr>
          <w:p>
            <w:pPr>
              <w:jc w:val="right"/>
              <w:ind w:right="179"/>
              <w:spacing w:after="0"/>
              <w:rPr>
                <w:sz w:val="20"/>
                <w:szCs w:val="20"/>
                <w:color w:val="auto"/>
              </w:rPr>
            </w:pPr>
            <w:r>
              <w:rPr>
                <w:rFonts w:ascii="Arial" w:cs="Arial" w:eastAsia="Arial" w:hAnsi="Arial"/>
                <w:sz w:val="16"/>
                <w:szCs w:val="16"/>
                <w:color w:val="auto"/>
              </w:rPr>
              <w:t>192.5</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179.7</w:t>
            </w:r>
          </w:p>
        </w:tc>
      </w:tr>
      <w:tr>
        <w:trPr>
          <w:trHeight w:val="33"/>
        </w:trPr>
        <w:tc>
          <w:tcPr>
            <w:tcW w:w="3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3620" w:type="dxa"/>
            <w:vAlign w:val="bottom"/>
            <w:shd w:val="clear" w:color="auto" w:fill="CCEEFF"/>
          </w:tcPr>
          <w:p>
            <w:pPr>
              <w:ind w:left="120"/>
              <w:spacing w:after="0" w:line="256" w:lineRule="exact"/>
              <w:rPr>
                <w:sz w:val="20"/>
                <w:szCs w:val="20"/>
                <w:color w:val="auto"/>
              </w:rPr>
            </w:pPr>
            <w:r>
              <w:rPr>
                <w:rFonts w:ascii="Arial" w:cs="Arial" w:eastAsia="Arial" w:hAnsi="Arial"/>
                <w:sz w:val="16"/>
                <w:szCs w:val="16"/>
                <w:color w:val="auto"/>
              </w:rPr>
              <w:t>Non-U.S. Major Markets</w:t>
            </w:r>
            <w:r>
              <w:rPr>
                <w:rFonts w:ascii="Arial" w:cs="Arial" w:eastAsia="Arial" w:hAnsi="Arial"/>
                <w:sz w:val="26"/>
                <w:szCs w:val="26"/>
                <w:color w:val="auto"/>
                <w:vertAlign w:val="superscript"/>
              </w:rPr>
              <w:t>(1)</w:t>
            </w:r>
          </w:p>
        </w:tc>
        <w:tc>
          <w:tcPr>
            <w:tcW w:w="3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59.2</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54.0</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r>
      <w:tr>
        <w:trPr>
          <w:trHeight w:val="257"/>
        </w:trPr>
        <w:tc>
          <w:tcPr>
            <w:tcW w:w="3620" w:type="dxa"/>
            <w:vAlign w:val="bottom"/>
            <w:tcBorders>
              <w:bottom w:val="single" w:sz="8" w:color="auto"/>
            </w:tcBorders>
          </w:tcPr>
          <w:p>
            <w:pPr>
              <w:ind w:left="120"/>
              <w:spacing w:after="0" w:line="256" w:lineRule="exact"/>
              <w:rPr>
                <w:sz w:val="20"/>
                <w:szCs w:val="20"/>
                <w:color w:val="auto"/>
              </w:rPr>
            </w:pPr>
            <w:r>
              <w:rPr>
                <w:rFonts w:ascii="Arial" w:cs="Arial" w:eastAsia="Arial" w:hAnsi="Arial"/>
                <w:sz w:val="16"/>
                <w:szCs w:val="16"/>
                <w:color w:val="auto"/>
              </w:rPr>
              <w:t>Non-U.S. Other Markets</w:t>
            </w:r>
            <w:r>
              <w:rPr>
                <w:rFonts w:ascii="Arial" w:cs="Arial" w:eastAsia="Arial" w:hAnsi="Arial"/>
                <w:sz w:val="26"/>
                <w:szCs w:val="26"/>
                <w:color w:val="auto"/>
                <w:vertAlign w:val="superscript"/>
              </w:rPr>
              <w:t>(2)</w:t>
            </w:r>
          </w:p>
        </w:tc>
        <w:tc>
          <w:tcPr>
            <w:tcW w:w="3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25.9</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27.8</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$373.3</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$360.1</w:t>
            </w: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$1,203.1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$1,183.2</w:t>
            </w:r>
          </w:p>
        </w:tc>
      </w:tr>
      <w:tr>
        <w:trPr>
          <w:trHeight w:val="20"/>
        </w:trPr>
        <w:tc>
          <w:tcPr>
            <w:tcW w:w="36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Includes Canada, UK, Australia and New Zealand.</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Primarily includes markets in Asia.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Returns</w:t>
      </w:r>
    </w:p>
    <w:p>
      <w:pPr>
        <w:spacing w:after="0" w:line="27"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A liability for expected returns of $40.6, $34.5, and $97.3 is recorded within Other accrued expenses as of February 29, 2020, May 31, 2019, and February 28, 2019, respectively. In addition, a return asset of $2.5, $1.6, and $13.2 is recorded within Prepaid expenses and other current assets as of February 29, 2020, May 31, 2019, and February 28, 2019, respectively, for the recoverable cost of product estimated to be returned by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7"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Company's contract liabilities consist of advance billings and payments received from customers in excess of revenue recognized and revenue allocated to outstanding book fairs incentive credits. These liabilities are recorded within Deferred revenue on the Company's Condensed Consolidated Balance Sheets and are classified as short term, as substantially all of the associated performance obligations are expected to be satisfied, and related revenue recognized, within one year. The Company recognized revenue which was included in the opening deferred revenue balance in the amount of $33.0 and $28.3 for the three months ended February 29, 2020 and February 28, 2019, respectively, and $107.0 and $91.0 for the nine months ended February 29, 2020 and February 28,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 Education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233" w:lineRule="exact"/>
        <w:rPr>
          <w:sz w:val="20"/>
          <w:szCs w:val="20"/>
          <w:color w:val="auto"/>
        </w:rPr>
      </w:pPr>
    </w:p>
    <w:p>
      <w:pPr>
        <w:ind w:left="540" w:hanging="316"/>
        <w:spacing w:after="0" w:line="26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w:t>
      </w:r>
      <w:r>
        <w:rPr>
          <w:rFonts w:ascii="Arial" w:cs="Arial" w:eastAsia="Arial" w:hAnsi="Arial"/>
          <w:sz w:val="18"/>
          <w:szCs w:val="18"/>
          <w:b w:val="1"/>
          <w:bCs w:val="1"/>
          <w:color w:val="auto"/>
        </w:rPr>
        <w:t xml:space="preserve"> </w:t>
      </w:r>
      <w:r>
        <w:rPr>
          <w:rFonts w:ascii="Arial" w:cs="Arial" w:eastAsia="Arial" w:hAnsi="Arial"/>
          <w:sz w:val="18"/>
          <w:szCs w:val="18"/>
          <w:color w:val="auto"/>
        </w:rPr>
        <w:t>books, ebooks, media and interactive products in the United States through its book clubs and book fairs in its school channels and through the trade channel. This segment is comprised of three operating segments.</w:t>
      </w:r>
    </w:p>
    <w:p>
      <w:pPr>
        <w:spacing w:after="0" w:line="175" w:lineRule="exact"/>
        <w:rPr>
          <w:rFonts w:ascii="Arial" w:cs="Arial" w:eastAsia="Arial" w:hAnsi="Arial"/>
          <w:sz w:val="18"/>
          <w:szCs w:val="18"/>
          <w:color w:val="auto"/>
        </w:rPr>
      </w:pPr>
    </w:p>
    <w:p>
      <w:pPr>
        <w:ind w:left="540" w:right="320" w:hanging="316"/>
        <w:spacing w:after="0" w:line="26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includes the publication and distribution to schools and libraries of children’s books, classroom magazines, print and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and core classroom materials and related support services, and print and on-line reference and non-fiction products for grades pre-kindergarten to 12 in the United States. This segment is comprised of three operating segments.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97"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540" w:right="800" w:hanging="316"/>
        <w:spacing w:after="0" w:line="312"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 </w:t>
      </w:r>
      <w:r>
        <w:rPr>
          <w:rFonts w:ascii="Arial" w:cs="Arial" w:eastAsia="Arial" w:hAnsi="Arial"/>
          <w:sz w:val="17"/>
          <w:szCs w:val="17"/>
          <w:color w:val="auto"/>
        </w:rPr>
        <w:t>includes the publication and distribution of products and services outside the United States by the Company’s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its export and foreign rights businesses. This segment is comprised of three operating segments.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for the Company's segments for the fiscal quarters ended February 29, 2020 and February 28,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Children’s</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Publishing &amp;</w:t>
            </w:r>
          </w:p>
        </w:tc>
        <w:tc>
          <w:tcPr>
            <w:tcW w:w="12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Education</w:t>
            </w:r>
          </w:p>
        </w:tc>
        <w:tc>
          <w:tcPr>
            <w:tcW w:w="14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 xml:space="preserve">Overhead </w:t>
            </w:r>
            <w:r>
              <w:rPr>
                <w:rFonts w:ascii="Arial" w:cs="Arial" w:eastAsia="Arial" w:hAnsi="Arial"/>
                <w:sz w:val="11"/>
                <w:szCs w:val="11"/>
                <w:b w:val="1"/>
                <w:bCs w:val="1"/>
                <w:color w:val="auto"/>
              </w:rPr>
              <w:t>(1)</w:t>
            </w:r>
          </w:p>
        </w:tc>
        <w:tc>
          <w:tcPr>
            <w:tcW w:w="1140" w:type="dxa"/>
            <w:vAlign w:val="bottom"/>
            <w:vMerge w:val="continue"/>
          </w:tcPr>
          <w:p>
            <w:pPr>
              <w:spacing w:after="0"/>
              <w:rPr>
                <w:sz w:val="12"/>
                <w:szCs w:val="12"/>
                <w:color w:val="auto"/>
              </w:rPr>
            </w:pPr>
          </w:p>
        </w:tc>
        <w:tc>
          <w:tcPr>
            <w:tcW w:w="14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International</w:t>
            </w:r>
          </w:p>
        </w:tc>
        <w:tc>
          <w:tcPr>
            <w:tcW w:w="9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2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Domestic</w:t>
            </w:r>
          </w:p>
        </w:tc>
        <w:tc>
          <w:tcPr>
            <w:tcW w:w="14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February 29, 2020</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$220.2</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$74.3</w:t>
            </w: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$294.5</w:t>
            </w:r>
          </w:p>
        </w:tc>
        <w:tc>
          <w:tcPr>
            <w:tcW w:w="14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$78.8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172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0.7</w:t>
            </w: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1.9</w:t>
            </w:r>
          </w:p>
        </w:tc>
        <w:tc>
          <w:tcPr>
            <w:tcW w:w="1480" w:type="dxa"/>
            <w:vAlign w:val="bottom"/>
          </w:tcPr>
          <w:p>
            <w:pPr>
              <w:jc w:val="right"/>
              <w:ind w:right="160"/>
              <w:spacing w:after="0"/>
              <w:rPr>
                <w:sz w:val="20"/>
                <w:szCs w:val="20"/>
                <w:color w:val="auto"/>
              </w:rPr>
            </w:pPr>
            <w:r>
              <w:rPr>
                <w:rFonts w:ascii="Arial" w:cs="Arial" w:eastAsia="Arial" w:hAnsi="Arial"/>
                <w:sz w:val="16"/>
                <w:szCs w:val="16"/>
                <w:color w:val="auto"/>
              </w:rPr>
              <w:t>1.1</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(2)</w:t>
            </w:r>
          </w:p>
        </w:tc>
        <w:tc>
          <w:tcPr>
            <w:tcW w:w="17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6.7</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20.8</w:t>
            </w:r>
          </w:p>
        </w:tc>
        <w:tc>
          <w:tcPr>
            <w:tcW w:w="14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Asset impairments and write downs</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40.0</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40.0</w:t>
            </w:r>
          </w:p>
        </w:tc>
        <w:tc>
          <w:tcPr>
            <w:tcW w:w="14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operating income (loss)</w:t>
            </w:r>
          </w:p>
        </w:tc>
        <w:tc>
          <w:tcPr>
            <w:tcW w:w="1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9.8</w:t>
            </w:r>
          </w:p>
        </w:tc>
        <w:tc>
          <w:tcPr>
            <w:tcW w:w="14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(68.3)</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(56.3)</w:t>
            </w:r>
          </w:p>
        </w:tc>
        <w:tc>
          <w:tcPr>
            <w:tcW w:w="14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69"/>
        </w:trPr>
        <w:tc>
          <w:tcPr>
            <w:tcW w:w="3300" w:type="dxa"/>
            <w:vAlign w:val="bottom"/>
          </w:tcPr>
          <w:p>
            <w:pPr>
              <w:ind w:left="40"/>
              <w:spacing w:after="0"/>
              <w:rPr>
                <w:sz w:val="20"/>
                <w:szCs w:val="20"/>
                <w:color w:val="auto"/>
              </w:rPr>
            </w:pPr>
            <w:r>
              <w:rPr>
                <w:rFonts w:ascii="Arial" w:cs="Arial" w:eastAsia="Arial" w:hAnsi="Arial"/>
                <w:sz w:val="16"/>
                <w:szCs w:val="16"/>
                <w:color w:val="auto"/>
              </w:rPr>
              <w:t xml:space="preserve">Expenditures for other noncurrent assets </w:t>
            </w:r>
            <w:r>
              <w:rPr>
                <w:rFonts w:ascii="Arial" w:cs="Arial" w:eastAsia="Arial" w:hAnsi="Arial"/>
                <w:sz w:val="26"/>
                <w:szCs w:val="26"/>
                <w:color w:val="auto"/>
                <w:vertAlign w:val="superscript"/>
              </w:rPr>
              <w:t>(3)</w:t>
            </w:r>
          </w:p>
        </w:tc>
        <w:tc>
          <w:tcPr>
            <w:tcW w:w="1720" w:type="dxa"/>
            <w:vAlign w:val="bottom"/>
            <w:vMerge w:val="restart"/>
          </w:tcPr>
          <w:p>
            <w:pPr>
              <w:jc w:val="right"/>
              <w:ind w:right="121"/>
              <w:spacing w:after="0"/>
              <w:rPr>
                <w:sz w:val="20"/>
                <w:szCs w:val="20"/>
                <w:color w:val="auto"/>
              </w:rPr>
            </w:pPr>
            <w:r>
              <w:rPr>
                <w:rFonts w:ascii="Arial" w:cs="Arial" w:eastAsia="Arial" w:hAnsi="Arial"/>
                <w:sz w:val="16"/>
                <w:szCs w:val="16"/>
                <w:color w:val="auto"/>
              </w:rPr>
              <w:t>11.5</w:t>
            </w:r>
          </w:p>
        </w:tc>
        <w:tc>
          <w:tcPr>
            <w:tcW w:w="1280" w:type="dxa"/>
            <w:vAlign w:val="bottom"/>
            <w:vMerge w:val="restart"/>
          </w:tcPr>
          <w:p>
            <w:pPr>
              <w:jc w:val="right"/>
              <w:ind w:right="140"/>
              <w:spacing w:after="0"/>
              <w:rPr>
                <w:sz w:val="20"/>
                <w:szCs w:val="20"/>
                <w:color w:val="auto"/>
              </w:rPr>
            </w:pPr>
            <w:r>
              <w:rPr>
                <w:rFonts w:ascii="Arial" w:cs="Arial" w:eastAsia="Arial" w:hAnsi="Arial"/>
                <w:sz w:val="16"/>
                <w:szCs w:val="16"/>
                <w:color w:val="auto"/>
              </w:rPr>
              <w:t>5.4</w:t>
            </w:r>
          </w:p>
        </w:tc>
        <w:tc>
          <w:tcPr>
            <w:tcW w:w="1420" w:type="dxa"/>
            <w:vAlign w:val="bottom"/>
            <w:vMerge w:val="restart"/>
          </w:tcPr>
          <w:p>
            <w:pPr>
              <w:jc w:val="right"/>
              <w:ind w:right="80"/>
              <w:spacing w:after="0"/>
              <w:rPr>
                <w:sz w:val="20"/>
                <w:szCs w:val="20"/>
                <w:color w:val="auto"/>
              </w:rPr>
            </w:pPr>
            <w:r>
              <w:rPr>
                <w:rFonts w:ascii="Arial" w:cs="Arial" w:eastAsia="Arial" w:hAnsi="Arial"/>
                <w:sz w:val="16"/>
                <w:szCs w:val="16"/>
                <w:color w:val="auto"/>
              </w:rPr>
              <w:t>19.4</w:t>
            </w:r>
          </w:p>
        </w:tc>
        <w:tc>
          <w:tcPr>
            <w:tcW w:w="1140" w:type="dxa"/>
            <w:vAlign w:val="bottom"/>
            <w:vMerge w:val="restart"/>
          </w:tcPr>
          <w:p>
            <w:pPr>
              <w:jc w:val="right"/>
              <w:ind w:right="120"/>
              <w:spacing w:after="0"/>
              <w:rPr>
                <w:sz w:val="20"/>
                <w:szCs w:val="20"/>
                <w:color w:val="auto"/>
              </w:rPr>
            </w:pPr>
            <w:r>
              <w:rPr>
                <w:rFonts w:ascii="Arial" w:cs="Arial" w:eastAsia="Arial" w:hAnsi="Arial"/>
                <w:sz w:val="16"/>
                <w:szCs w:val="16"/>
                <w:color w:val="auto"/>
              </w:rPr>
              <w:t>36.3</w:t>
            </w:r>
          </w:p>
        </w:tc>
        <w:tc>
          <w:tcPr>
            <w:tcW w:w="1480" w:type="dxa"/>
            <w:vAlign w:val="bottom"/>
            <w:vMerge w:val="restart"/>
          </w:tcPr>
          <w:p>
            <w:pPr>
              <w:jc w:val="right"/>
              <w:ind w:right="160"/>
              <w:spacing w:after="0"/>
              <w:rPr>
                <w:sz w:val="20"/>
                <w:szCs w:val="20"/>
                <w:color w:val="auto"/>
              </w:rPr>
            </w:pPr>
            <w:r>
              <w:rPr>
                <w:rFonts w:ascii="Arial" w:cs="Arial" w:eastAsia="Arial" w:hAnsi="Arial"/>
                <w:sz w:val="16"/>
                <w:szCs w:val="16"/>
                <w:color w:val="auto"/>
              </w:rPr>
              <w:t>5.4</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57"/>
        </w:trPr>
        <w:tc>
          <w:tcPr>
            <w:tcW w:w="33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February 28, 2019</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00" w:type="dxa"/>
            <w:vAlign w:val="bottom"/>
          </w:tcPr>
          <w:p>
            <w:pPr>
              <w:ind w:left="40"/>
              <w:spacing w:after="0"/>
              <w:rPr>
                <w:sz w:val="20"/>
                <w:szCs w:val="20"/>
                <w:color w:val="auto"/>
              </w:rPr>
            </w:pPr>
            <w:r>
              <w:rPr>
                <w:rFonts w:ascii="Arial" w:cs="Arial" w:eastAsia="Arial" w:hAnsi="Arial"/>
                <w:sz w:val="16"/>
                <w:szCs w:val="16"/>
                <w:color w:val="auto"/>
              </w:rPr>
              <w:t>Revenues</w:t>
            </w:r>
          </w:p>
        </w:tc>
        <w:tc>
          <w:tcPr>
            <w:tcW w:w="1720" w:type="dxa"/>
            <w:vAlign w:val="bottom"/>
          </w:tcPr>
          <w:p>
            <w:pPr>
              <w:jc w:val="right"/>
              <w:ind w:right="121"/>
              <w:spacing w:after="0"/>
              <w:rPr>
                <w:sz w:val="20"/>
                <w:szCs w:val="20"/>
                <w:color w:val="auto"/>
              </w:rPr>
            </w:pPr>
            <w:r>
              <w:rPr>
                <w:rFonts w:ascii="Arial" w:cs="Arial" w:eastAsia="Arial" w:hAnsi="Arial"/>
                <w:sz w:val="16"/>
                <w:szCs w:val="16"/>
                <w:color w:val="auto"/>
              </w:rPr>
              <w:t>$218.0</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$60.3</w:t>
            </w: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$278.3</w:t>
            </w:r>
          </w:p>
        </w:tc>
        <w:tc>
          <w:tcPr>
            <w:tcW w:w="1480" w:type="dxa"/>
            <w:vAlign w:val="bottom"/>
          </w:tcPr>
          <w:p>
            <w:pPr>
              <w:jc w:val="right"/>
              <w:ind w:right="160"/>
              <w:spacing w:after="0"/>
              <w:rPr>
                <w:sz w:val="20"/>
                <w:szCs w:val="20"/>
                <w:color w:val="auto"/>
              </w:rPr>
            </w:pPr>
            <w:r>
              <w:rPr>
                <w:rFonts w:ascii="Arial" w:cs="Arial" w:eastAsia="Arial" w:hAnsi="Arial"/>
                <w:sz w:val="16"/>
                <w:szCs w:val="16"/>
                <w:color w:val="auto"/>
              </w:rPr>
              <w:t>$81.8</w:t>
            </w:r>
          </w:p>
        </w:tc>
        <w:tc>
          <w:tcPr>
            <w:tcW w:w="900" w:type="dxa"/>
            <w:vAlign w:val="bottom"/>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1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0.8</w:t>
            </w:r>
          </w:p>
        </w:tc>
        <w:tc>
          <w:tcPr>
            <w:tcW w:w="1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0.5</w:t>
            </w: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4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0.3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(2)</w:t>
            </w:r>
          </w:p>
        </w:tc>
        <w:tc>
          <w:tcPr>
            <w:tcW w:w="1720" w:type="dxa"/>
            <w:vAlign w:val="bottom"/>
          </w:tcPr>
          <w:p>
            <w:pPr>
              <w:jc w:val="right"/>
              <w:ind w:right="121"/>
              <w:spacing w:after="0"/>
              <w:rPr>
                <w:sz w:val="20"/>
                <w:szCs w:val="20"/>
                <w:color w:val="auto"/>
              </w:rPr>
            </w:pPr>
            <w:r>
              <w:rPr>
                <w:rFonts w:ascii="Arial" w:cs="Arial" w:eastAsia="Arial" w:hAnsi="Arial"/>
                <w:sz w:val="16"/>
                <w:szCs w:val="16"/>
                <w:color w:val="auto"/>
              </w:rPr>
              <w:t>5.9</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18.9</w:t>
            </w:r>
          </w:p>
        </w:tc>
        <w:tc>
          <w:tcPr>
            <w:tcW w:w="1480" w:type="dxa"/>
            <w:vAlign w:val="bottom"/>
          </w:tcPr>
          <w:p>
            <w:pPr>
              <w:jc w:val="right"/>
              <w:ind w:right="160"/>
              <w:spacing w:after="0"/>
              <w:rPr>
                <w:sz w:val="20"/>
                <w:szCs w:val="20"/>
                <w:color w:val="auto"/>
              </w:rPr>
            </w:pPr>
            <w:r>
              <w:rPr>
                <w:rFonts w:ascii="Arial" w:cs="Arial" w:eastAsia="Arial" w:hAnsi="Arial"/>
                <w:sz w:val="16"/>
                <w:szCs w:val="16"/>
                <w:color w:val="auto"/>
              </w:rPr>
              <w:t>1.6</w:t>
            </w:r>
          </w:p>
        </w:tc>
        <w:tc>
          <w:tcPr>
            <w:tcW w:w="9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 and write downs</w:t>
            </w:r>
          </w:p>
        </w:tc>
        <w:tc>
          <w:tcPr>
            <w:tcW w:w="17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1720" w:type="dxa"/>
            <w:vAlign w:val="bottom"/>
          </w:tcPr>
          <w:p>
            <w:pPr>
              <w:jc w:val="right"/>
              <w:ind w:right="121"/>
              <w:spacing w:after="0"/>
              <w:rPr>
                <w:sz w:val="20"/>
                <w:szCs w:val="20"/>
                <w:color w:val="auto"/>
              </w:rPr>
            </w:pPr>
            <w:r>
              <w:rPr>
                <w:rFonts w:ascii="Arial" w:cs="Arial" w:eastAsia="Arial" w:hAnsi="Arial"/>
                <w:sz w:val="16"/>
                <w:szCs w:val="16"/>
                <w:color w:val="auto"/>
              </w:rPr>
              <w:t>4.4</w:t>
            </w:r>
          </w:p>
        </w:tc>
        <w:tc>
          <w:tcPr>
            <w:tcW w:w="1280" w:type="dxa"/>
            <w:vAlign w:val="bottom"/>
          </w:tcPr>
          <w:p>
            <w:pPr>
              <w:jc w:val="right"/>
              <w:ind w:right="140"/>
              <w:spacing w:after="0"/>
              <w:rPr>
                <w:sz w:val="20"/>
                <w:szCs w:val="20"/>
                <w:color w:val="auto"/>
              </w:rPr>
            </w:pPr>
            <w:r>
              <w:rPr>
                <w:rFonts w:ascii="Arial" w:cs="Arial" w:eastAsia="Arial" w:hAnsi="Arial"/>
                <w:sz w:val="16"/>
                <w:szCs w:val="16"/>
                <w:color w:val="auto"/>
              </w:rPr>
              <w:t>0.3</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(23.1)</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(18.4)</w:t>
            </w:r>
          </w:p>
        </w:tc>
        <w:tc>
          <w:tcPr>
            <w:tcW w:w="1480" w:type="dxa"/>
            <w:vAlign w:val="bottom"/>
          </w:tcPr>
          <w:p>
            <w:pPr>
              <w:jc w:val="right"/>
              <w:ind w:right="160"/>
              <w:spacing w:after="0"/>
              <w:rPr>
                <w:sz w:val="20"/>
                <w:szCs w:val="20"/>
                <w:color w:val="auto"/>
              </w:rPr>
            </w:pPr>
            <w:r>
              <w:rPr>
                <w:rFonts w:ascii="Arial" w:cs="Arial" w:eastAsia="Arial" w:hAnsi="Arial"/>
                <w:sz w:val="16"/>
                <w:szCs w:val="16"/>
                <w:color w:val="auto"/>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Expenditures for other noncurrent assets </w:t>
            </w:r>
            <w:r>
              <w:rPr>
                <w:rFonts w:ascii="Arial" w:cs="Arial" w:eastAsia="Arial" w:hAnsi="Arial"/>
                <w:sz w:val="26"/>
                <w:szCs w:val="26"/>
                <w:color w:val="auto"/>
                <w:vertAlign w:val="superscript"/>
              </w:rPr>
              <w:t>(3)</w:t>
            </w:r>
          </w:p>
        </w:tc>
        <w:tc>
          <w:tcPr>
            <w:tcW w:w="17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17.3</w:t>
            </w: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38.1</w:t>
            </w:r>
          </w:p>
        </w:tc>
        <w:tc>
          <w:tcPr>
            <w:tcW w:w="14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the Company's segments for the fiscal periods ended February 29, 2020 and February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97"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Children’s</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1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Publishing &amp;</w:t>
            </w:r>
          </w:p>
        </w:tc>
        <w:tc>
          <w:tcPr>
            <w:tcW w:w="12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Education</w:t>
            </w:r>
          </w:p>
        </w:tc>
        <w:tc>
          <w:tcPr>
            <w:tcW w:w="14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xml:space="preserve">Overhead </w:t>
            </w:r>
            <w:r>
              <w:rPr>
                <w:rFonts w:ascii="Arial" w:cs="Arial" w:eastAsia="Arial" w:hAnsi="Arial"/>
                <w:sz w:val="11"/>
                <w:szCs w:val="11"/>
                <w:b w:val="1"/>
                <w:bCs w:val="1"/>
                <w:color w:val="auto"/>
              </w:rPr>
              <w:t>(1)</w:t>
            </w:r>
          </w:p>
        </w:tc>
        <w:tc>
          <w:tcPr>
            <w:tcW w:w="1140" w:type="dxa"/>
            <w:vAlign w:val="bottom"/>
            <w:vMerge w:val="continue"/>
          </w:tcPr>
          <w:p>
            <w:pPr>
              <w:spacing w:after="0"/>
              <w:rPr>
                <w:sz w:val="12"/>
                <w:szCs w:val="12"/>
                <w:color w:val="auto"/>
              </w:rPr>
            </w:pPr>
          </w:p>
        </w:tc>
        <w:tc>
          <w:tcPr>
            <w:tcW w:w="14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International</w:t>
            </w:r>
          </w:p>
        </w:tc>
        <w:tc>
          <w:tcPr>
            <w:tcW w:w="9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2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Domestic</w:t>
            </w:r>
          </w:p>
        </w:tc>
        <w:tc>
          <w:tcPr>
            <w:tcW w:w="14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40"/>
              <w:spacing w:after="0"/>
              <w:rPr>
                <w:sz w:val="20"/>
                <w:szCs w:val="20"/>
                <w:color w:val="auto"/>
              </w:rPr>
            </w:pPr>
            <w:r>
              <w:rPr>
                <w:rFonts w:ascii="Arial" w:cs="Arial" w:eastAsia="Arial" w:hAnsi="Arial"/>
                <w:sz w:val="16"/>
                <w:szCs w:val="16"/>
                <w:b w:val="1"/>
                <w:bCs w:val="1"/>
                <w:color w:val="auto"/>
              </w:rPr>
              <w:t>Nine months ended</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February 29, 2020</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$743.4</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$192.6</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$936.0</w:t>
            </w:r>
          </w:p>
        </w:tc>
        <w:tc>
          <w:tcPr>
            <w:tcW w:w="1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$267.1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$1,203.1</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2.8</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4.3</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(2)</w:t>
            </w:r>
          </w:p>
        </w:tc>
        <w:tc>
          <w:tcPr>
            <w:tcW w:w="17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19.9</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9.8</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32.7</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62.4</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Asset impairments and write downs</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40.0</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40.0</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operating income (loss)</w:t>
            </w:r>
          </w:p>
        </w:tc>
        <w:tc>
          <w:tcPr>
            <w:tcW w:w="17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70.1</w:t>
            </w:r>
          </w:p>
        </w:tc>
        <w:tc>
          <w:tcPr>
            <w:tcW w:w="12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(119.3)</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(46.6)</w:t>
            </w:r>
          </w:p>
        </w:tc>
        <w:tc>
          <w:tcPr>
            <w:tcW w:w="1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Segment assets at February 29, 2020</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594.1</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208.5</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853.9</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1,656.5</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291.9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1,948.4</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at February 29, 2020</w:t>
            </w:r>
          </w:p>
        </w:tc>
        <w:tc>
          <w:tcPr>
            <w:tcW w:w="17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47.1</w:t>
            </w:r>
          </w:p>
        </w:tc>
        <w:tc>
          <w:tcPr>
            <w:tcW w:w="12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68.2</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115.3</w:t>
            </w:r>
          </w:p>
        </w:tc>
        <w:tc>
          <w:tcPr>
            <w:tcW w:w="1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10.0</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369"/>
        </w:trPr>
        <w:tc>
          <w:tcPr>
            <w:tcW w:w="3300" w:type="dxa"/>
            <w:vAlign w:val="bottom"/>
          </w:tcPr>
          <w:p>
            <w:pPr>
              <w:ind w:left="40"/>
              <w:spacing w:after="0"/>
              <w:rPr>
                <w:sz w:val="20"/>
                <w:szCs w:val="20"/>
                <w:color w:val="auto"/>
              </w:rPr>
            </w:pPr>
            <w:r>
              <w:rPr>
                <w:rFonts w:ascii="Arial" w:cs="Arial" w:eastAsia="Arial" w:hAnsi="Arial"/>
                <w:sz w:val="16"/>
                <w:szCs w:val="16"/>
                <w:color w:val="auto"/>
              </w:rPr>
              <w:t xml:space="preserve">Expenditures for other noncurrent assets </w:t>
            </w:r>
            <w:r>
              <w:rPr>
                <w:rFonts w:ascii="Arial" w:cs="Arial" w:eastAsia="Arial" w:hAnsi="Arial"/>
                <w:sz w:val="26"/>
                <w:szCs w:val="26"/>
                <w:color w:val="auto"/>
                <w:vertAlign w:val="superscript"/>
              </w:rPr>
              <w:t>(3)</w:t>
            </w:r>
          </w:p>
        </w:tc>
        <w:tc>
          <w:tcPr>
            <w:tcW w:w="1720" w:type="dxa"/>
            <w:vAlign w:val="bottom"/>
            <w:vMerge w:val="restart"/>
          </w:tcPr>
          <w:p>
            <w:pPr>
              <w:jc w:val="right"/>
              <w:ind w:right="201"/>
              <w:spacing w:after="0"/>
              <w:rPr>
                <w:sz w:val="20"/>
                <w:szCs w:val="20"/>
                <w:color w:val="auto"/>
              </w:rPr>
            </w:pPr>
            <w:r>
              <w:rPr>
                <w:rFonts w:ascii="Arial" w:cs="Arial" w:eastAsia="Arial" w:hAnsi="Arial"/>
                <w:sz w:val="16"/>
                <w:szCs w:val="16"/>
                <w:color w:val="auto"/>
              </w:rPr>
              <w:t>40.2</w:t>
            </w: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15.0</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37.6</w:t>
            </w:r>
          </w:p>
        </w:tc>
        <w:tc>
          <w:tcPr>
            <w:tcW w:w="1140" w:type="dxa"/>
            <w:vAlign w:val="bottom"/>
            <w:vMerge w:val="restart"/>
          </w:tcPr>
          <w:p>
            <w:pPr>
              <w:jc w:val="right"/>
              <w:ind w:right="200"/>
              <w:spacing w:after="0"/>
              <w:rPr>
                <w:sz w:val="20"/>
                <w:szCs w:val="20"/>
                <w:color w:val="auto"/>
              </w:rPr>
            </w:pPr>
            <w:r>
              <w:rPr>
                <w:rFonts w:ascii="Arial" w:cs="Arial" w:eastAsia="Arial" w:hAnsi="Arial"/>
                <w:sz w:val="16"/>
                <w:szCs w:val="16"/>
                <w:color w:val="auto"/>
              </w:rPr>
              <w:t>92.8</w:t>
            </w:r>
          </w:p>
        </w:tc>
        <w:tc>
          <w:tcPr>
            <w:tcW w:w="1480" w:type="dxa"/>
            <w:vAlign w:val="bottom"/>
            <w:vMerge w:val="restart"/>
          </w:tcPr>
          <w:p>
            <w:pPr>
              <w:jc w:val="right"/>
              <w:ind w:right="239"/>
              <w:spacing w:after="0"/>
              <w:rPr>
                <w:sz w:val="20"/>
                <w:szCs w:val="20"/>
                <w:color w:val="auto"/>
              </w:rPr>
            </w:pPr>
            <w:r>
              <w:rPr>
                <w:rFonts w:ascii="Arial" w:cs="Arial" w:eastAsia="Arial" w:hAnsi="Arial"/>
                <w:sz w:val="16"/>
                <w:szCs w:val="16"/>
                <w:color w:val="auto"/>
              </w:rPr>
              <w:t>18.1</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57"/>
        </w:trPr>
        <w:tc>
          <w:tcPr>
            <w:tcW w:w="33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at</w:t>
            </w:r>
          </w:p>
        </w:tc>
        <w:tc>
          <w:tcPr>
            <w:tcW w:w="1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00" w:type="dxa"/>
            <w:vAlign w:val="bottom"/>
            <w:tcBorders>
              <w:bottom w:val="single" w:sz="8" w:color="auto"/>
            </w:tcBorders>
            <w:shd w:val="clear" w:color="auto" w:fill="CCEEFF"/>
          </w:tcPr>
          <w:p>
            <w:pPr>
              <w:ind w:left="40"/>
              <w:spacing w:after="0" w:line="240" w:lineRule="exact"/>
              <w:rPr>
                <w:sz w:val="20"/>
                <w:szCs w:val="20"/>
                <w:color w:val="auto"/>
              </w:rPr>
            </w:pPr>
            <w:r>
              <w:rPr>
                <w:rFonts w:ascii="Arial" w:cs="Arial" w:eastAsia="Arial" w:hAnsi="Arial"/>
                <w:sz w:val="16"/>
                <w:szCs w:val="16"/>
                <w:color w:val="auto"/>
              </w:rPr>
              <w:t xml:space="preserve">February 29, 2020 </w:t>
            </w:r>
            <w:r>
              <w:rPr>
                <w:rFonts w:ascii="Arial" w:cs="Arial" w:eastAsia="Arial" w:hAnsi="Arial"/>
                <w:sz w:val="26"/>
                <w:szCs w:val="26"/>
                <w:color w:val="auto"/>
                <w:vertAlign w:val="superscript"/>
              </w:rPr>
              <w:t>(3)</w:t>
            </w:r>
          </w:p>
        </w:tc>
        <w:tc>
          <w:tcPr>
            <w:tcW w:w="17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$183.0</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$123.1</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$499.1</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$805.2</w:t>
            </w:r>
          </w:p>
        </w:tc>
        <w:tc>
          <w:tcPr>
            <w:tcW w:w="1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$76.6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$881.8</w:t>
            </w:r>
          </w:p>
        </w:tc>
        <w:tc>
          <w:tcPr>
            <w:tcW w:w="0" w:type="dxa"/>
            <w:vAlign w:val="bottom"/>
          </w:tcPr>
          <w:p>
            <w:pPr>
              <w:spacing w:after="0"/>
              <w:rPr>
                <w:sz w:val="1"/>
                <w:szCs w:val="1"/>
                <w:color w:val="auto"/>
              </w:rPr>
            </w:pPr>
          </w:p>
        </w:tc>
      </w:tr>
      <w:tr>
        <w:trPr>
          <w:trHeight w:val="209"/>
        </w:trPr>
        <w:tc>
          <w:tcPr>
            <w:tcW w:w="3300" w:type="dxa"/>
            <w:vAlign w:val="bottom"/>
          </w:tcPr>
          <w:p>
            <w:pPr>
              <w:ind w:left="40"/>
              <w:spacing w:after="0"/>
              <w:rPr>
                <w:sz w:val="20"/>
                <w:szCs w:val="20"/>
                <w:color w:val="auto"/>
              </w:rPr>
            </w:pPr>
            <w:r>
              <w:rPr>
                <w:rFonts w:ascii="Arial" w:cs="Arial" w:eastAsia="Arial" w:hAnsi="Arial"/>
                <w:sz w:val="16"/>
                <w:szCs w:val="16"/>
                <w:b w:val="1"/>
                <w:bCs w:val="1"/>
                <w:color w:val="auto"/>
              </w:rPr>
              <w:t>Nine months ended</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February 28, 2019</w:t>
            </w: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$731.6</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$179.7</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$911.3</w:t>
            </w:r>
          </w:p>
        </w:tc>
        <w:tc>
          <w:tcPr>
            <w:tcW w:w="1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$271.9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$1,183.2</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3.2</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1.2</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4.4</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6"/>
                <w:szCs w:val="26"/>
                <w:color w:val="auto"/>
                <w:vertAlign w:val="superscript"/>
              </w:rPr>
              <w:t>(2)</w:t>
            </w:r>
          </w:p>
        </w:tc>
        <w:tc>
          <w:tcPr>
            <w:tcW w:w="17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17.5</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6.7</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31.1</w:t>
            </w: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55.3</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Asset impairments and write downs</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operating income (loss)</w:t>
            </w:r>
          </w:p>
        </w:tc>
        <w:tc>
          <w:tcPr>
            <w:tcW w:w="17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64.7</w:t>
            </w:r>
          </w:p>
        </w:tc>
        <w:tc>
          <w:tcPr>
            <w:tcW w:w="12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(73.4)</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1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Segment assets at February 28, 2019</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585.2</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173.6</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977.9</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1,736.7</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286.4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2,023.1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at February 28, 2019</w:t>
            </w:r>
          </w:p>
        </w:tc>
        <w:tc>
          <w:tcPr>
            <w:tcW w:w="17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40.9</w:t>
            </w:r>
          </w:p>
        </w:tc>
        <w:tc>
          <w:tcPr>
            <w:tcW w:w="12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68.2</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109.1</w:t>
            </w:r>
          </w:p>
        </w:tc>
        <w:tc>
          <w:tcPr>
            <w:tcW w:w="1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10.0</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Expenditures for other noncurrent assets </w:t>
            </w:r>
            <w:r>
              <w:rPr>
                <w:rFonts w:ascii="Arial" w:cs="Arial" w:eastAsia="Arial" w:hAnsi="Arial"/>
                <w:sz w:val="26"/>
                <w:szCs w:val="26"/>
                <w:color w:val="auto"/>
                <w:vertAlign w:val="superscript"/>
              </w:rPr>
              <w:t>(3)</w:t>
            </w:r>
          </w:p>
        </w:tc>
        <w:tc>
          <w:tcPr>
            <w:tcW w:w="1720" w:type="dxa"/>
            <w:vAlign w:val="bottom"/>
          </w:tcPr>
          <w:p>
            <w:pPr>
              <w:jc w:val="right"/>
              <w:ind w:right="201"/>
              <w:spacing w:after="0"/>
              <w:rPr>
                <w:sz w:val="20"/>
                <w:szCs w:val="20"/>
                <w:color w:val="auto"/>
              </w:rPr>
            </w:pPr>
            <w:r>
              <w:rPr>
                <w:rFonts w:ascii="Arial" w:cs="Arial" w:eastAsia="Arial" w:hAnsi="Arial"/>
                <w:sz w:val="16"/>
                <w:szCs w:val="16"/>
                <w:color w:val="auto"/>
              </w:rPr>
              <w:t>48.3</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15.6</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55.9</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119.8</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10.1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at</w:t>
            </w:r>
          </w:p>
        </w:tc>
        <w:tc>
          <w:tcPr>
            <w:tcW w:w="1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00" w:type="dxa"/>
            <w:vAlign w:val="bottom"/>
            <w:tcBorders>
              <w:bottom w:val="single" w:sz="8" w:color="auto"/>
            </w:tcBorders>
            <w:shd w:val="clear" w:color="auto" w:fill="CCEEFF"/>
          </w:tcPr>
          <w:p>
            <w:pPr>
              <w:ind w:left="40"/>
              <w:spacing w:after="0" w:line="240" w:lineRule="exact"/>
              <w:rPr>
                <w:sz w:val="20"/>
                <w:szCs w:val="20"/>
                <w:color w:val="auto"/>
              </w:rPr>
            </w:pPr>
            <w:r>
              <w:rPr>
                <w:rFonts w:ascii="Arial" w:cs="Arial" w:eastAsia="Arial" w:hAnsi="Arial"/>
                <w:sz w:val="16"/>
                <w:szCs w:val="16"/>
                <w:color w:val="auto"/>
              </w:rPr>
              <w:t xml:space="preserve">February 28, 2019 </w:t>
            </w:r>
            <w:r>
              <w:rPr>
                <w:rFonts w:ascii="Arial" w:cs="Arial" w:eastAsia="Arial" w:hAnsi="Arial"/>
                <w:sz w:val="26"/>
                <w:szCs w:val="26"/>
                <w:color w:val="auto"/>
                <w:vertAlign w:val="superscript"/>
              </w:rPr>
              <w:t>(3)</w:t>
            </w:r>
          </w:p>
        </w:tc>
        <w:tc>
          <w:tcPr>
            <w:tcW w:w="17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$170.4</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$112.3</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$502.8</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$785.5</w:t>
            </w:r>
          </w:p>
        </w:tc>
        <w:tc>
          <w:tcPr>
            <w:tcW w:w="1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$80.3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660" w:hanging="652"/>
        <w:spacing w:after="0" w:line="269" w:lineRule="auto"/>
        <w:tabs>
          <w:tab w:leader="none" w:pos="66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its facility located in Connecticut and certain technology assets.</w:t>
      </w:r>
    </w:p>
    <w:p>
      <w:pPr>
        <w:spacing w:after="0" w:line="1" w:lineRule="exact"/>
        <w:rPr>
          <w:rFonts w:ascii="Arial" w:cs="Arial" w:eastAsia="Arial" w:hAnsi="Arial"/>
          <w:sz w:val="15"/>
          <w:szCs w:val="15"/>
          <w:i w:val="1"/>
          <w:iCs w:val="1"/>
          <w:color w:val="auto"/>
        </w:rPr>
      </w:pPr>
    </w:p>
    <w:p>
      <w:pPr>
        <w:ind w:left="660" w:hanging="652"/>
        <w:spacing w:after="0"/>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depreciation of property, plant and equipment and amortization of intangible assets and prepublication and production costs.</w:t>
      </w:r>
    </w:p>
    <w:p>
      <w:pPr>
        <w:spacing w:after="0" w:line="5" w:lineRule="exact"/>
        <w:rPr>
          <w:rFonts w:ascii="Arial" w:cs="Arial" w:eastAsia="Arial" w:hAnsi="Arial"/>
          <w:sz w:val="16"/>
          <w:szCs w:val="16"/>
          <w:i w:val="1"/>
          <w:iCs w:val="1"/>
          <w:color w:val="auto"/>
        </w:rPr>
      </w:pPr>
    </w:p>
    <w:p>
      <w:pPr>
        <w:ind w:left="660" w:right="160" w:hanging="652"/>
        <w:spacing w:after="0" w:line="249"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noncurrent assets include property, plant and equipment, prepublication assets, production assets, cloud computing costs, royalty advances, goodwill, intangible assets and investments. Expenditures for other noncurrent assets for the International segment include expenditures for long-lived assets of $4.3 and $1.5 for the three months ended February 29, 2020 and February 28, 2019, respectively, and $14.2 and $5.9 for the nine months ended February 29, 2020 and February 28, 2019, respectively. Other noncurrent assets for the International segment include long-lived assets of $44.1 and $36.3 as of February 29, 2020 and February 28,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WRITE DOWN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third quarter, the Company implemented new systems, processes and a centralized management structure to better coordinate demand planning and procurement activity across North America, and to optimize inventory utilization and management. As a result of the foregoing, the Company determined that substantial quantities of inventory will not be required to meet future profitable demand, and will be donated, liquidated or disposed. Accordingly, a $40.0 non cash write down was recognized in the current period for this excess inventory and associated costs. The inventory cost, net of reserves, was $37.6. In addition, $1.6 and $0.8 of author advances and prepublication costs, respectively, were written down as they were directly related to the inventory. The related impact was a loss per basic and diluted share of Class A and Common Stock of $0.84 in the three and nine month periods ended February 29,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97"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the Company's debt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180" w:type="dxa"/>
            <w:vAlign w:val="bottom"/>
          </w:tcPr>
          <w:p>
            <w:pPr>
              <w:jc w:val="right"/>
              <w:ind w:right="519"/>
              <w:spacing w:after="0"/>
              <w:rPr>
                <w:sz w:val="20"/>
                <w:szCs w:val="20"/>
                <w:color w:val="auto"/>
              </w:rPr>
            </w:pPr>
            <w:r>
              <w:rPr>
                <w:rFonts w:ascii="Arial" w:cs="Arial" w:eastAsia="Arial" w:hAnsi="Arial"/>
                <w:sz w:val="16"/>
                <w:szCs w:val="16"/>
                <w:b w:val="1"/>
                <w:bCs w:val="1"/>
                <w:color w:val="auto"/>
              </w:rPr>
              <w:t>February 29, 2020</w:t>
            </w:r>
          </w:p>
        </w:tc>
        <w:tc>
          <w:tcPr>
            <w:tcW w:w="1920" w:type="dxa"/>
            <w:vAlign w:val="bottom"/>
          </w:tcPr>
          <w:p>
            <w:pPr>
              <w:jc w:val="right"/>
              <w:ind w:right="599"/>
              <w:spacing w:after="0"/>
              <w:rPr>
                <w:sz w:val="20"/>
                <w:szCs w:val="20"/>
                <w:color w:val="auto"/>
              </w:rPr>
            </w:pPr>
            <w:r>
              <w:rPr>
                <w:rFonts w:ascii="Arial" w:cs="Arial" w:eastAsia="Arial" w:hAnsi="Arial"/>
                <w:sz w:val="16"/>
                <w:szCs w:val="16"/>
                <w:b w:val="1"/>
                <w:bCs w:val="1"/>
                <w:color w:val="auto"/>
              </w:rPr>
              <w:t>May 31, 2019</w:t>
            </w: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28, 2019</w:t>
            </w:r>
          </w:p>
        </w:tc>
      </w:tr>
      <w:tr>
        <w:trPr>
          <w:trHeight w:val="33"/>
        </w:trPr>
        <w:tc>
          <w:tcPr>
            <w:tcW w:w="5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Revolving Loan</w:t>
            </w:r>
          </w:p>
        </w:tc>
        <w:tc>
          <w:tcPr>
            <w:tcW w:w="21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5320" w:type="dxa"/>
            <w:vAlign w:val="bottom"/>
          </w:tcPr>
          <w:p>
            <w:pPr>
              <w:ind w:left="40"/>
              <w:spacing w:after="0"/>
              <w:rPr>
                <w:sz w:val="20"/>
                <w:szCs w:val="20"/>
                <w:color w:val="auto"/>
              </w:rPr>
            </w:pPr>
            <w:r>
              <w:rPr>
                <w:rFonts w:ascii="Arial" w:cs="Arial" w:eastAsia="Arial" w:hAnsi="Arial"/>
                <w:sz w:val="16"/>
                <w:szCs w:val="16"/>
                <w:color w:val="auto"/>
                <w:w w:val="96"/>
              </w:rPr>
              <w:t>Unsecured lines of credit (weighted average interest rates of 4.6%, 4.1% and</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5320" w:type="dxa"/>
            <w:vAlign w:val="bottom"/>
          </w:tcPr>
          <w:p>
            <w:pPr>
              <w:ind w:left="40"/>
              <w:spacing w:after="0"/>
              <w:rPr>
                <w:sz w:val="20"/>
                <w:szCs w:val="20"/>
                <w:color w:val="auto"/>
              </w:rPr>
            </w:pPr>
            <w:r>
              <w:rPr>
                <w:rFonts w:ascii="Arial" w:cs="Arial" w:eastAsia="Arial" w:hAnsi="Arial"/>
                <w:sz w:val="16"/>
                <w:szCs w:val="16"/>
                <w:color w:val="auto"/>
              </w:rPr>
              <w:t>4.3%, respectively)</w:t>
            </w:r>
          </w:p>
        </w:tc>
        <w:tc>
          <w:tcPr>
            <w:tcW w:w="2180" w:type="dxa"/>
            <w:vAlign w:val="bottom"/>
          </w:tcPr>
          <w:p>
            <w:pPr>
              <w:jc w:val="right"/>
              <w:ind w:right="219"/>
              <w:spacing w:after="0"/>
              <w:rPr>
                <w:sz w:val="20"/>
                <w:szCs w:val="20"/>
                <w:color w:val="auto"/>
              </w:rPr>
            </w:pPr>
            <w:r>
              <w:rPr>
                <w:rFonts w:ascii="Arial" w:cs="Arial" w:eastAsia="Arial" w:hAnsi="Arial"/>
                <w:sz w:val="16"/>
                <w:szCs w:val="16"/>
                <w:color w:val="auto"/>
              </w:rPr>
              <w:t>$9.7</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$7.3</w:t>
            </w:r>
          </w:p>
        </w:tc>
        <w:tc>
          <w:tcPr>
            <w:tcW w:w="18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UK long-term debt (average interest rate of 2.5%, n/a and n/a, respectively)</w:t>
            </w:r>
          </w:p>
        </w:tc>
        <w:tc>
          <w:tcPr>
            <w:tcW w:w="21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6.4</w:t>
            </w:r>
          </w:p>
        </w:tc>
        <w:tc>
          <w:tcPr>
            <w:tcW w:w="19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debt</w:t>
            </w:r>
          </w:p>
        </w:tc>
        <w:tc>
          <w:tcPr>
            <w:tcW w:w="21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$16.1</w:t>
            </w:r>
          </w:p>
        </w:tc>
        <w:tc>
          <w:tcPr>
            <w:tcW w:w="1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$7.3</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r>
      <w:tr>
        <w:trPr>
          <w:trHeight w:val="33"/>
        </w:trPr>
        <w:tc>
          <w:tcPr>
            <w:tcW w:w="5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lines of credit, short-term debt and current</w:t>
            </w:r>
          </w:p>
        </w:tc>
        <w:tc>
          <w:tcPr>
            <w:tcW w:w="2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4"/>
        </w:trPr>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portion of long-term debt</w:t>
            </w:r>
          </w:p>
        </w:tc>
        <w:tc>
          <w:tcPr>
            <w:tcW w:w="21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(9.7)</w:t>
            </w:r>
          </w:p>
        </w:tc>
        <w:tc>
          <w:tcPr>
            <w:tcW w:w="1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1"/>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1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$6.4</w:t>
            </w:r>
          </w:p>
        </w:tc>
        <w:tc>
          <w:tcPr>
            <w:tcW w:w="1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$0.0</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$0.0</w:t>
            </w:r>
          </w:p>
        </w:tc>
      </w:tr>
      <w:tr>
        <w:trPr>
          <w:trHeight w:val="33"/>
        </w:trPr>
        <w:tc>
          <w:tcPr>
            <w:tcW w:w="5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Loan Agreement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September 23, 2019, Scholastic Limited UK entered into a term loan agreement to borrow £2.0 to fund a land purchase in connection with the construction of a new UK facility. The loan has a maturity date of July 31, 2021. Under the agreement, the principal balance is due in full in a single payment on the last day of the term and interest on the amount borrowed is due and payable quarterly. The interest is charged at 1.77% per annum over the Base Rate. The Base Rate is currently equal to 0.75% per annum and is subject to change. As of February 29, 2020, the Company had $2.6 outstanding on the loan.</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24, 2020, Scholastic Limited UK entered into a term loan facility with a borrowing limit of £6.6 to fund the construction of the new UK facility. The loan has a maturity date of July 31, 2021. Under the agreement, the principal balance is due in full in a single payment on the last day of the term and interest on the amount borrowed is due and payable quarterly. The interest is charged at 1.77% per annum over the Base Rate. The Base Rate is currently equal to 0.75% per annum and is subject to change. As of February 29, 2020, the Company had $3.8 outstanding on the loan and the remaining available credit under this facility is $4.6.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Loan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2017, Scholastic Corporation and Scholastic Inc. (each, a “Borrower” and together, the “Borrowers”) entered into a 5-year credit facility with certain banks (the “Loan Agreement”). The Loan Agreement replaced the Company's then existing loan agreement and has substantially similar terms, except that:</w:t>
      </w:r>
    </w:p>
    <w:p>
      <w:pPr>
        <w:spacing w:after="0" w:line="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borrowing limit was reduced to $375.0 from $425.0;</w:t>
      </w:r>
    </w:p>
    <w:p>
      <w:pPr>
        <w:spacing w:after="0" w:line="9" w:lineRule="exact"/>
        <w:rPr>
          <w:rFonts w:ascii="Arial" w:cs="Arial" w:eastAsia="Arial" w:hAnsi="Arial"/>
          <w:sz w:val="18"/>
          <w:szCs w:val="18"/>
          <w:color w:val="auto"/>
        </w:rPr>
      </w:pPr>
    </w:p>
    <w:p>
      <w:pPr>
        <w:ind w:left="660" w:right="3140" w:hanging="328"/>
        <w:spacing w:after="0" w:line="250" w:lineRule="auto"/>
        <w:tabs>
          <w:tab w:leader="none" w:pos="7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“starter” basket for permitted payments of dividends and other payments in respect of capital stock was increased to $275.0 from $75.0; and</w:t>
      </w: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was extended to January 5, 2022.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prior loan agreement, which was originally entered into in 2007 and had a maturity date of December 5, 2017, was terminated on January 5, 2017 in connection with the entry into the new Loan Agreement and was treated as a debt modification.</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Loan Agreement allows the Company to borrow, repay or prepay and reborrow at any time prior to the January 5, 2022 maturity date. Under the Loan Agreement, interest on amounts borrowed thereunder is due and payable in arrears on the last day of the interest period (defined as the period commencing on the date of the advance and ending on the last day of the period selected by the Borrower at the time each advance is made). The interest pricing under the Loan Agreement is dependent upon the Borrower’s election of a rate that is either:</w:t>
      </w:r>
    </w:p>
    <w:p>
      <w:pPr>
        <w:spacing w:after="0" w:line="2" w:lineRule="exact"/>
        <w:rPr>
          <w:sz w:val="20"/>
          <w:szCs w:val="20"/>
          <w:color w:val="auto"/>
        </w:rPr>
      </w:pPr>
    </w:p>
    <w:p>
      <w:pPr>
        <w:ind w:left="840" w:right="440" w:hanging="333"/>
        <w:spacing w:after="0" w:line="25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 or (iii) the Eurodollar Rate for a one month interest period plus 1% plus, in each case, an applicable spread ranging from 0.175% to 0.60%, as determined by the Company’s prevailing consolidated debt to total capital ratio.</w:t>
      </w:r>
    </w:p>
    <w:p>
      <w:pPr>
        <w:spacing w:after="0" w:line="1" w:lineRule="exact"/>
        <w:rPr>
          <w:rFonts w:ascii="Arial" w:cs="Arial" w:eastAsia="Arial" w:hAnsi="Arial"/>
          <w:sz w:val="18"/>
          <w:szCs w:val="18"/>
          <w:color w:val="auto"/>
        </w:rPr>
      </w:pPr>
    </w:p>
    <w:p>
      <w:pPr>
        <w:ind w:left="5940" w:hanging="107"/>
        <w:spacing w:after="0"/>
        <w:tabs>
          <w:tab w:leader="none" w:pos="5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97"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t>SCHOLASTIC CORPORATION</w:t>
      </w:r>
    </w:p>
    <w:p>
      <w:pPr>
        <w:spacing w:after="0" w:line="27" w:lineRule="exact"/>
        <w:rPr>
          <w:sz w:val="20"/>
          <w:szCs w:val="20"/>
          <w:color w:val="auto"/>
        </w:rPr>
      </w:pPr>
    </w:p>
    <w:p>
      <w:pPr>
        <w:ind w:left="40" w:right="398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40" w:hanging="333"/>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1.175% to 1.60%, as determined by the Company’s prevailing consolidated debt to total capital ratio.</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February 29, 2020, the indicated spread on Base Rate Advances was 0.175% and the indicated spread on Eurodollar Advances was 1.175%, both based on the Company’s prevailing consolidated debt to total capital ratio.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Loan Agreement also provides for the payment of a facility fee in respect of the aggregate amount of revolving credit commitments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0.20% to 0.40% per annum based upon the Company’s prevailing consolidated debt to total capital ratio. At February 29, 2020, the facility fee rate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0.20%.</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portion of the revolving credit facility, up to a maximum of $50.0, is available for the issuance of letters of credit. In addition, a portion of the revolving credit facility, up to a maximum of $15.0, is available for swingline loans. The Loan Agreement has an accordion feature which permits the Company, provided certain conditions are satisfied, to increase the facility by up to an additional $150.0.</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February 29, 2020, the Company had no outstanding borrowings under the Loan Agreement. At February 29, 2020, the Company had open standby letters of credit totaling $5.3 issued under certain credit lines, including $0.4 under the Loan Agreement and $4.9 under the domestic credit lines discussed below. The Loan Agreement contains certain covenants, including interest coverage and leverage ratio tests and certain limitations on the amount of dividends and other distributions and the Company was in compliance with these covenants for all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February 29, 2020, the Company’s domestic credit lines available under unsecured money market bid rate credit lines totaled $25.0. There were no outstanding borrowings under these credit lines as of February 29, 2020, May 31, 2019 and February 28, 2019. As of February 29, 2020, availability under these unsecured money market bid rate credit lines totaled $20.1.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February 29, 2020, the Company had various local currency credit lines totaling $25.5 underwritten by banks primarily in the United States, Canada and the United Kingdom. Outstanding borrowings under these facilities were $9.7 at February 29, 2020 at a weighted average interest rate of 4.6%, $7.3 at May 31, 2019 at a weighted average interest rate of 4.1%, and $11.0 at February 28, 2019 at a weighted average interest rate of 4.3%. As of February 29, 2020, the amounts available under these facilities totaled $15.8. These credit lines are typically available for overdraft borrowings or loans up to 364 days and may be renewed, if requested by the Company, at the sole option of the lender.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Various claims and lawsuits arising in the normal course of business are pending against the Company. The Company accrues a liability for such matters when it is probable that a liability exists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third quarter, the Company entered into settlement agreements related to photo copyright infringement cases. The Company recognized $2.4 in total, of which $1.4 remained accrued as of February 29, 2020.</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320" w:top="297" w:right="399"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2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first quarter, based on the status of negotiations, an alleged patent infringement claim settlement became probable and estimable. As such, an accrual of $1.5 was recognized in the Financial Statements in the first quarter of fiscal 2020. The settlement was subsequently concluded in the second quarter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June 21, 2018, the U.S. Supreme Court issued its opinion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xml:space="preserve"> reversing prior precedent, in particular </w:t>
      </w:r>
      <w:r>
        <w:rPr>
          <w:rFonts w:ascii="Arial" w:cs="Arial" w:eastAsia="Arial" w:hAnsi="Arial"/>
          <w:sz w:val="16"/>
          <w:szCs w:val="16"/>
          <w:i w:val="1"/>
          <w:iCs w:val="1"/>
          <w:color w:val="auto"/>
        </w:rPr>
        <w:t>Quill Corp.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North Dakota </w:t>
      </w:r>
      <w:r>
        <w:rPr>
          <w:rFonts w:ascii="Arial" w:cs="Arial" w:eastAsia="Arial" w:hAnsi="Arial"/>
          <w:sz w:val="16"/>
          <w:szCs w:val="16"/>
          <w:color w:val="auto"/>
        </w:rPr>
        <w:t>(1992), which held that states could not constitutionally require retailers to collect and remit sales or use taxes in respect to mail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sales made to residents of a state in the absence of the retailer having a physical presence in the taxing state. As a result, the Company now has an obligation, at least on a go forward basis, based on each state's enforcement date, to collect and remit sales and use taxes, primarily in respect to sales made through its school book club channel, as well as certain sales made through its ecommerce internet sites, to residents in states that the Company had not previously remitted sales or use taxes based on having no physical presence in such states. In the majority opinion, several factors were discussed in support of the Court’s reasoning that the collection of sales and use taxes from out-of-state retailers did not constitute an undue burden on interstate commerce, including the fact that South Dakota did not require retroactive application of its statute. However, the question of retroactive application, as well as certain other factors noted in the opinion, are subject to how the states, on a state-by-state basis, interpret and apply the Court’s decision in their implementation of their respective state laws or regulations addressing the collection of sales and use taxes from out-of-state retailers. As a result, the effect of the decision on the Company depends on the positions taken by the states, on a state-by-state basis, relating to the retroactive application of the obligation to collect such taxes, as well as other factors noted in the opinion.</w:t>
      </w:r>
    </w:p>
    <w:p>
      <w:pPr>
        <w:spacing w:after="0" w:line="17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continues to monitor its compliance based on anticipated enforcement dates and an assumption as to each state's likely interpretation and application of the Court's decision. As the Company continues to monitor each state, the staggered enforcement dates, and the progress towards compliance, expenses will be incurred by the Company.</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As of February 29, 2020, the Company’s school book club channel remits sales taxes in 44 states and the District of Columbia compared to 38 states and the District of Columbia in the prior fiscal year quarter ended February 28, 2019. The Company remits sales tax to all required states. Any on-going or future litigation with states relating to sales and use taxes could be impacted favorably or unfavorably by legislative action in future fiscal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During and subsequent to the third quarter of the current fiscal year, the novel coronavirus strain, known as COVID-19, continues to spread across the globe at an increasing rate. Measures taken by governmental authorities and private actors to limit the spread of this virus may interfere with the ability of the Company's employees, suppliers, and other business providers to carry out their assigned tasks or supply materials at ordinary levels of performance relative to the conduct of the business which may cause a material curtailment to certain business operations. Moreover, as a large part of the Company's business involves sales of books and other products in schools and school facilities, as well as through school districts, if COVID-19 related measures result in widespread and lengthy school closings, the Company's consolidated results of operations and financial condition will be adversely impacted. In particular, in the context of the book fair channel, such closings may lead to cancellation of a significant number of book fairs which are not rebooked or cannot be held during the current school year and, in the context of the book clubs channel, such closings could result in a significant decrease in the participation by teacher sponsors in scheduled book club offerings. In the case of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the last quarter of the fiscal year, currently ending May 31, 2020, is normally a significant quarter as school administrators and other educational personnel, prior to breaking for the summer, order products for immediate shipment in preparation for the following academic school year. These orders could be significantly impacted by the absence from the schools of such administrators and other educational personnel resulting from school closings.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is also subject to the same risks, due to the temporary closing of English language learning centers in China, as well as disruption in the direct sales business in other parts of Southeast Asia, resulting from measures imposed to combat the spread of COVID-19.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currently aware of any loss contingencies related to this matter that would require recognition in the third quarter of fiscal 2020.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97" w:right="35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294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540" w:type="dxa"/>
            <w:vAlign w:val="bottom"/>
          </w:tcPr>
          <w:p>
            <w:pPr>
              <w:spacing w:after="0"/>
              <w:rPr>
                <w:sz w:val="23"/>
                <w:szCs w:val="23"/>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29,</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29,</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5540" w:type="dxa"/>
            <w:vAlign w:val="bottom"/>
          </w:tcPr>
          <w:p>
            <w:pPr>
              <w:spacing w:after="0"/>
              <w:rPr>
                <w:sz w:val="23"/>
                <w:szCs w:val="23"/>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Class A and Common Stockholders</w:t>
            </w: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$(43.3)</w:t>
            </w: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$(12.6)</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$(30.8)</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33"/>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Weighted average Shares of Class A Stock and Common Stock outstanding for</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(loss) per share (in millions)</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34.5</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20"/>
        </w:trPr>
        <w:tc>
          <w:tcPr>
            <w:tcW w:w="5540" w:type="dxa"/>
            <w:vAlign w:val="bottom"/>
          </w:tcPr>
          <w:p>
            <w:pPr>
              <w:ind w:left="40"/>
              <w:spacing w:after="0"/>
              <w:rPr>
                <w:sz w:val="20"/>
                <w:szCs w:val="20"/>
                <w:color w:val="auto"/>
              </w:rPr>
            </w:pPr>
            <w:r>
              <w:rPr>
                <w:rFonts w:ascii="Arial" w:cs="Arial" w:eastAsia="Arial" w:hAnsi="Arial"/>
                <w:sz w:val="16"/>
                <w:szCs w:val="16"/>
                <w:color w:val="auto"/>
                <w:w w:val="96"/>
              </w:rPr>
              <w:t>Dilutive effect of Class A Stock and Common Stock potentially issuable pursuant</w:t>
            </w: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540" w:type="dxa"/>
            <w:vAlign w:val="bottom"/>
          </w:tcPr>
          <w:p>
            <w:pPr>
              <w:ind w:left="40"/>
              <w:spacing w:after="0"/>
              <w:rPr>
                <w:sz w:val="20"/>
                <w:szCs w:val="20"/>
                <w:color w:val="auto"/>
              </w:rPr>
            </w:pPr>
            <w:r>
              <w:rPr>
                <w:rFonts w:ascii="Arial" w:cs="Arial" w:eastAsia="Arial" w:hAnsi="Arial"/>
                <w:sz w:val="16"/>
                <w:szCs w:val="16"/>
                <w:color w:val="auto"/>
              </w:rPr>
              <w:t>to stock-based compensation plans (in millions) *</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weighted average Shares of Class A Stock and Common Stock</w:t>
            </w: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for diluted earnings (loss) per share (in millions)</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34.5</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31"/>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(loss) per share of Class A Stock and Common Stock:</w:t>
            </w:r>
          </w:p>
        </w:tc>
        <w:tc>
          <w:tcPr>
            <w:tcW w:w="1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$(1.25)</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$(0.36)</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$(0.89)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Diluted</w:t>
            </w: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$(1.25)</w:t>
            </w: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$(0.36)</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$(0.89)</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$(0.07)</w:t>
            </w:r>
          </w:p>
        </w:tc>
      </w:tr>
      <w:tr>
        <w:trPr>
          <w:trHeight w:val="33"/>
        </w:trPr>
        <w:tc>
          <w:tcPr>
            <w:tcW w:w="5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The Company experienced a net loss for all periods presented and therefore did not report any dilutive share impact.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options outstanding pursuant to stock-based compensation plans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6080"/>
              <w:spacing w:after="0"/>
              <w:rPr>
                <w:sz w:val="20"/>
                <w:szCs w:val="20"/>
                <w:color w:val="auto"/>
              </w:rPr>
            </w:pPr>
            <w:r>
              <w:rPr>
                <w:rFonts w:ascii="Arial" w:cs="Arial" w:eastAsia="Arial" w:hAnsi="Arial"/>
                <w:sz w:val="16"/>
                <w:szCs w:val="16"/>
                <w:b w:val="1"/>
                <w:bCs w:val="1"/>
                <w:color w:val="auto"/>
                <w:w w:val="99"/>
              </w:rPr>
              <w:t>February 29, 2020</w:t>
            </w:r>
          </w:p>
        </w:tc>
        <w:tc>
          <w:tcPr>
            <w:tcW w:w="560" w:type="dxa"/>
            <w:vAlign w:val="bottom"/>
          </w:tcPr>
          <w:p>
            <w:pPr>
              <w:spacing w:after="0"/>
              <w:rPr>
                <w:sz w:val="18"/>
                <w:szCs w:val="18"/>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28, 2019</w:t>
            </w:r>
          </w:p>
        </w:tc>
      </w:tr>
      <w:tr>
        <w:trPr>
          <w:trHeight w:val="33"/>
        </w:trPr>
        <w:tc>
          <w:tcPr>
            <w:tcW w:w="7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pursuant to stock-based compensation plans (in millions)</w:t>
            </w:r>
          </w:p>
        </w:tc>
        <w:tc>
          <w:tcPr>
            <w:tcW w:w="5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7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 portion of the Company’s Restricted Stock Units ("RSUs") which are granted to employees participate in earnings through cumulative dividends which are payable and non-forfeitable to the employees upon vesting of the RSUs. Accordingly, the Company measures earnings per share based upon the lower of the Two-class method or the Treasury Stock method.</w:t>
      </w:r>
    </w:p>
    <w:p>
      <w:pPr>
        <w:spacing w:after="0" w:line="18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For the three and nine months ended February 29, 2020 and February 28, 2019, respectively, the Company experienced a net loss for all periods presented and did not allocate any losses to the participating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2.2 million of potentially anti-dilutive shares pursuant to stock-based compensation plans as of February 29, 2020.</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February 29, 2020, $20.1 remained available for future purchases of common shares under the repurchase authorization of the Board of Directors (the "Board") in effect on that date. See Note 13, Treasury Stock, for a more complete description of the Company’s share buy-back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2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97" w:right="3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3660" w:type="dxa"/>
            <w:vAlign w:val="bottom"/>
          </w:tcPr>
          <w:p>
            <w:pPr>
              <w:jc w:val="right"/>
              <w:ind w:right="699"/>
              <w:spacing w:after="0"/>
              <w:rPr>
                <w:sz w:val="20"/>
                <w:szCs w:val="20"/>
                <w:color w:val="auto"/>
              </w:rPr>
            </w:pPr>
            <w:r>
              <w:rPr>
                <w:rFonts w:ascii="Arial" w:cs="Arial" w:eastAsia="Arial" w:hAnsi="Arial"/>
                <w:sz w:val="16"/>
                <w:szCs w:val="16"/>
                <w:b w:val="1"/>
                <w:bCs w:val="1"/>
                <w:color w:val="auto"/>
              </w:rPr>
              <w:t>February 29, 2020</w:t>
            </w:r>
          </w:p>
        </w:tc>
        <w:tc>
          <w:tcPr>
            <w:tcW w:w="2140" w:type="dxa"/>
            <w:vAlign w:val="bottom"/>
          </w:tcPr>
          <w:p>
            <w:pPr>
              <w:jc w:val="right"/>
              <w:ind w:right="759"/>
              <w:spacing w:after="0"/>
              <w:rPr>
                <w:sz w:val="20"/>
                <w:szCs w:val="20"/>
                <w:color w:val="auto"/>
              </w:rPr>
            </w:pPr>
            <w:r>
              <w:rPr>
                <w:rFonts w:ascii="Arial" w:cs="Arial" w:eastAsia="Arial" w:hAnsi="Arial"/>
                <w:sz w:val="16"/>
                <w:szCs w:val="16"/>
                <w:b w:val="1"/>
                <w:bCs w:val="1"/>
                <w:color w:val="auto"/>
              </w:rPr>
              <w:t>May 31, 2019</w:t>
            </w: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28, 2019</w:t>
            </w:r>
          </w:p>
        </w:tc>
      </w:tr>
      <w:tr>
        <w:trPr>
          <w:trHeight w:val="33"/>
        </w:trPr>
        <w:tc>
          <w:tcPr>
            <w:tcW w:w="34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beginning balance</w:t>
            </w:r>
          </w:p>
        </w:tc>
        <w:tc>
          <w:tcPr>
            <w:tcW w:w="36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$164.8</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$158.8</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Accumulated impairment</w:t>
            </w:r>
          </w:p>
        </w:tc>
        <w:tc>
          <w:tcPr>
            <w:tcW w:w="3660" w:type="dxa"/>
            <w:vAlign w:val="bottom"/>
          </w:tcPr>
          <w:p>
            <w:pPr>
              <w:jc w:val="right"/>
              <w:ind w:right="339"/>
              <w:spacing w:after="0"/>
              <w:rPr>
                <w:sz w:val="20"/>
                <w:szCs w:val="20"/>
                <w:color w:val="auto"/>
              </w:rPr>
            </w:pPr>
            <w:r>
              <w:rPr>
                <w:rFonts w:ascii="Arial" w:cs="Arial" w:eastAsia="Arial" w:hAnsi="Arial"/>
                <w:sz w:val="16"/>
                <w:szCs w:val="16"/>
                <w:color w:val="auto"/>
              </w:rPr>
              <w:t>(39.6)</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(39.6)</w:t>
            </w:r>
          </w:p>
        </w:tc>
        <w:tc>
          <w:tcPr>
            <w:tcW w:w="198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34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36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$125.2</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$119.2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$119.2</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Additions</w:t>
            </w:r>
          </w:p>
        </w:tc>
        <w:tc>
          <w:tcPr>
            <w:tcW w:w="3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279"/>
              <w:spacing w:after="0"/>
              <w:rPr>
                <w:sz w:val="20"/>
                <w:szCs w:val="20"/>
                <w:color w:val="auto"/>
              </w:rPr>
            </w:pPr>
            <w:r>
              <w:rPr>
                <w:rFonts w:ascii="Arial" w:cs="Arial" w:eastAsia="Arial" w:hAnsi="Arial"/>
                <w:sz w:val="16"/>
                <w:szCs w:val="16"/>
                <w:color w:val="auto"/>
              </w:rPr>
              <w:t>6.3</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3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0.1</w:t>
            </w:r>
          </w:p>
        </w:tc>
        <w:tc>
          <w:tcPr>
            <w:tcW w:w="2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1"/>
        </w:trPr>
        <w:tc>
          <w:tcPr>
            <w:tcW w:w="3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Ending balance</w:t>
            </w:r>
          </w:p>
        </w:tc>
        <w:tc>
          <w:tcPr>
            <w:tcW w:w="36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$125.3</w:t>
            </w:r>
          </w:p>
        </w:tc>
        <w:tc>
          <w:tcPr>
            <w:tcW w:w="2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$125.2</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$119.1</w:t>
            </w:r>
          </w:p>
        </w:tc>
      </w:tr>
      <w:tr>
        <w:trPr>
          <w:trHeight w:val="33"/>
        </w:trPr>
        <w:tc>
          <w:tcPr>
            <w:tcW w:w="34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the fourth quarter of fiscal 2019, the Company completed the purchase of a majority-ownership position in Make Believe Ideas Limited, a UK-based children's book publishing business, resulting in the recognition of $6.3 of Goodwill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related to Goodwill in any of the periods presented.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activity in other intangibles included in Other assets and deferred charges on the Company’s Financial Statements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5060"/>
              <w:spacing w:after="0"/>
              <w:rPr>
                <w:sz w:val="20"/>
                <w:szCs w:val="20"/>
                <w:color w:val="auto"/>
              </w:rPr>
            </w:pPr>
            <w:r>
              <w:rPr>
                <w:rFonts w:ascii="Arial" w:cs="Arial" w:eastAsia="Arial" w:hAnsi="Arial"/>
                <w:sz w:val="16"/>
                <w:szCs w:val="16"/>
                <w:b w:val="1"/>
                <w:bCs w:val="1"/>
                <w:color w:val="auto"/>
                <w:w w:val="94"/>
              </w:rPr>
              <w:t>February 29, 2020</w:t>
            </w:r>
          </w:p>
        </w:tc>
        <w:tc>
          <w:tcPr>
            <w:tcW w:w="216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31, 2019</w:t>
            </w:r>
          </w:p>
        </w:tc>
        <w:tc>
          <w:tcPr>
            <w:tcW w:w="740" w:type="dxa"/>
            <w:vAlign w:val="bottom"/>
          </w:tcPr>
          <w:p>
            <w:pPr>
              <w:spacing w:after="0"/>
              <w:rPr>
                <w:sz w:val="18"/>
                <w:szCs w:val="18"/>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28, 2019</w:t>
            </w:r>
          </w:p>
        </w:tc>
      </w:tr>
      <w:tr>
        <w:trPr>
          <w:trHeight w:val="33"/>
        </w:trPr>
        <w:tc>
          <w:tcPr>
            <w:tcW w:w="6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other intangibles subject to amortization</w:t>
            </w:r>
          </w:p>
        </w:tc>
        <w:tc>
          <w:tcPr>
            <w:tcW w:w="2160" w:type="dxa"/>
            <w:vAlign w:val="bottom"/>
            <w:tcBorders>
              <w:bottom w:val="single" w:sz="8" w:color="CCEEFF"/>
            </w:tcBorders>
            <w:shd w:val="clear" w:color="auto" w:fill="CCEEFF"/>
          </w:tcPr>
          <w:p>
            <w:pPr>
              <w:jc w:val="right"/>
              <w:ind w:right="1699"/>
              <w:spacing w:after="0"/>
              <w:rPr>
                <w:sz w:val="20"/>
                <w:szCs w:val="20"/>
                <w:color w:val="auto"/>
              </w:rPr>
            </w:pPr>
            <w:r>
              <w:rPr>
                <w:rFonts w:ascii="Arial" w:cs="Arial" w:eastAsia="Arial" w:hAnsi="Arial"/>
                <w:sz w:val="16"/>
                <w:szCs w:val="16"/>
                <w:color w:val="auto"/>
                <w:w w:val="89"/>
              </w:rPr>
              <w:t>$12.2</w:t>
            </w:r>
          </w:p>
        </w:tc>
        <w:tc>
          <w:tcPr>
            <w:tcW w:w="74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$10.1</w:t>
            </w:r>
          </w:p>
        </w:tc>
        <w:tc>
          <w:tcPr>
            <w:tcW w:w="1980" w:type="dxa"/>
            <w:vAlign w:val="bottom"/>
            <w:tcBorders>
              <w:bottom w:val="single" w:sz="8" w:color="CCEEFF"/>
            </w:tcBorders>
            <w:shd w:val="clear" w:color="auto" w:fill="CCEEFF"/>
          </w:tcPr>
          <w:p>
            <w:pPr>
              <w:jc w:val="center"/>
              <w:ind w:left="1479"/>
              <w:spacing w:after="0"/>
              <w:rPr>
                <w:sz w:val="20"/>
                <w:szCs w:val="20"/>
                <w:color w:val="auto"/>
              </w:rPr>
            </w:pPr>
            <w:r>
              <w:rPr>
                <w:rFonts w:ascii="Arial" w:cs="Arial" w:eastAsia="Arial" w:hAnsi="Arial"/>
                <w:sz w:val="16"/>
                <w:szCs w:val="16"/>
                <w:color w:val="auto"/>
                <w:w w:val="94"/>
              </w:rPr>
              <w:t>$10.1</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Additions</w:t>
            </w:r>
          </w:p>
        </w:tc>
        <w:tc>
          <w:tcPr>
            <w:tcW w:w="2160" w:type="dxa"/>
            <w:vAlign w:val="bottom"/>
          </w:tcPr>
          <w:p>
            <w:pPr>
              <w:jc w:val="right"/>
              <w:ind w:right="1779"/>
              <w:spacing w:after="0"/>
              <w:rPr>
                <w:sz w:val="20"/>
                <w:szCs w:val="20"/>
                <w:color w:val="auto"/>
              </w:rPr>
            </w:pPr>
            <w:r>
              <w:rPr>
                <w:rFonts w:ascii="Arial" w:cs="Arial" w:eastAsia="Arial" w:hAnsi="Arial"/>
                <w:sz w:val="16"/>
                <w:szCs w:val="16"/>
                <w:color w:val="auto"/>
              </w:rPr>
              <w:t>1.6</w:t>
            </w:r>
          </w:p>
        </w:tc>
        <w:tc>
          <w:tcPr>
            <w:tcW w:w="740" w:type="dxa"/>
            <w:vAlign w:val="bottom"/>
          </w:tcPr>
          <w:p>
            <w:pPr>
              <w:jc w:val="center"/>
              <w:ind w:right="99"/>
              <w:spacing w:after="0"/>
              <w:rPr>
                <w:sz w:val="20"/>
                <w:szCs w:val="20"/>
                <w:color w:val="auto"/>
              </w:rPr>
            </w:pPr>
            <w:r>
              <w:rPr>
                <w:rFonts w:ascii="Arial" w:cs="Arial" w:eastAsia="Arial" w:hAnsi="Arial"/>
                <w:sz w:val="16"/>
                <w:szCs w:val="16"/>
                <w:color w:val="auto"/>
                <w:w w:val="89"/>
              </w:rPr>
              <w:t>4.5</w:t>
            </w:r>
          </w:p>
        </w:tc>
        <w:tc>
          <w:tcPr>
            <w:tcW w:w="1980" w:type="dxa"/>
            <w:vAlign w:val="bottom"/>
          </w:tcPr>
          <w:p>
            <w:pPr>
              <w:jc w:val="center"/>
              <w:ind w:left="1479"/>
              <w:spacing w:after="0"/>
              <w:rPr>
                <w:sz w:val="20"/>
                <w:szCs w:val="20"/>
                <w:color w:val="auto"/>
              </w:rPr>
            </w:pPr>
            <w:r>
              <w:rPr>
                <w:rFonts w:ascii="Arial" w:cs="Arial" w:eastAsia="Arial" w:hAnsi="Arial"/>
                <w:sz w:val="16"/>
                <w:szCs w:val="16"/>
                <w:color w:val="auto"/>
                <w:w w:val="98"/>
              </w:rPr>
              <w:t>0.6</w:t>
            </w:r>
          </w:p>
        </w:tc>
      </w:tr>
      <w:tr>
        <w:trPr>
          <w:trHeight w:val="33"/>
        </w:trPr>
        <w:tc>
          <w:tcPr>
            <w:tcW w:w="6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expense</w:t>
            </w:r>
          </w:p>
        </w:tc>
        <w:tc>
          <w:tcPr>
            <w:tcW w:w="2160" w:type="dxa"/>
            <w:vAlign w:val="bottom"/>
            <w:tcBorders>
              <w:bottom w:val="single" w:sz="8" w:color="CCEEFF"/>
            </w:tcBorders>
            <w:shd w:val="clear" w:color="auto" w:fill="CCEEFF"/>
          </w:tcPr>
          <w:p>
            <w:pPr>
              <w:jc w:val="right"/>
              <w:ind w:right="1739"/>
              <w:spacing w:after="0"/>
              <w:rPr>
                <w:sz w:val="20"/>
                <w:szCs w:val="20"/>
                <w:color w:val="auto"/>
              </w:rPr>
            </w:pPr>
            <w:r>
              <w:rPr>
                <w:rFonts w:ascii="Arial" w:cs="Arial" w:eastAsia="Arial" w:hAnsi="Arial"/>
                <w:sz w:val="16"/>
                <w:szCs w:val="16"/>
                <w:color w:val="auto"/>
                <w:w w:val="97"/>
              </w:rPr>
              <w:t>(2.4)</w:t>
            </w:r>
          </w:p>
        </w:tc>
        <w:tc>
          <w:tcPr>
            <w:tcW w:w="74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7"/>
              </w:rPr>
              <w:t>(2.8)</w:t>
            </w:r>
          </w:p>
        </w:tc>
        <w:tc>
          <w:tcPr>
            <w:tcW w:w="1980" w:type="dxa"/>
            <w:vAlign w:val="bottom"/>
            <w:tcBorders>
              <w:bottom w:val="single" w:sz="8" w:color="CCEEFF"/>
            </w:tcBorders>
            <w:shd w:val="clear" w:color="auto" w:fill="CCEEFF"/>
          </w:tcPr>
          <w:p>
            <w:pPr>
              <w:jc w:val="center"/>
              <w:ind w:left="1479"/>
              <w:spacing w:after="0"/>
              <w:rPr>
                <w:sz w:val="20"/>
                <w:szCs w:val="20"/>
                <w:color w:val="auto"/>
              </w:rPr>
            </w:pPr>
            <w:r>
              <w:rPr>
                <w:rFonts w:ascii="Arial" w:cs="Arial" w:eastAsia="Arial" w:hAnsi="Arial"/>
                <w:sz w:val="16"/>
                <w:szCs w:val="16"/>
                <w:color w:val="auto"/>
                <w:w w:val="91"/>
              </w:rPr>
              <w:t>(2.0)</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160" w:type="dxa"/>
            <w:vAlign w:val="bottom"/>
          </w:tcPr>
          <w:p>
            <w:pPr>
              <w:jc w:val="right"/>
              <w:ind w:right="1779"/>
              <w:spacing w:after="0"/>
              <w:rPr>
                <w:sz w:val="20"/>
                <w:szCs w:val="20"/>
                <w:color w:val="auto"/>
              </w:rPr>
            </w:pPr>
            <w:r>
              <w:rPr>
                <w:rFonts w:ascii="Arial" w:cs="Arial" w:eastAsia="Arial" w:hAnsi="Arial"/>
                <w:sz w:val="16"/>
                <w:szCs w:val="16"/>
                <w:color w:val="auto"/>
              </w:rPr>
              <w:t>0.1</w:t>
            </w:r>
          </w:p>
        </w:tc>
        <w:tc>
          <w:tcPr>
            <w:tcW w:w="740" w:type="dxa"/>
            <w:vAlign w:val="bottom"/>
          </w:tcPr>
          <w:p>
            <w:pPr>
              <w:jc w:val="center"/>
              <w:ind w:right="99"/>
              <w:spacing w:after="0"/>
              <w:rPr>
                <w:sz w:val="20"/>
                <w:szCs w:val="20"/>
                <w:color w:val="auto"/>
              </w:rPr>
            </w:pPr>
            <w:r>
              <w:rPr>
                <w:rFonts w:ascii="Arial" w:cs="Arial" w:eastAsia="Arial" w:hAnsi="Arial"/>
                <w:sz w:val="16"/>
                <w:szCs w:val="16"/>
                <w:color w:val="auto"/>
                <w:w w:val="97"/>
              </w:rPr>
              <w:t>(0.2)</w:t>
            </w:r>
          </w:p>
        </w:tc>
        <w:tc>
          <w:tcPr>
            <w:tcW w:w="1980" w:type="dxa"/>
            <w:vAlign w:val="bottom"/>
          </w:tcPr>
          <w:p>
            <w:pPr>
              <w:jc w:val="center"/>
              <w:ind w:left="1479"/>
              <w:spacing w:after="0"/>
              <w:rPr>
                <w:sz w:val="20"/>
                <w:szCs w:val="20"/>
                <w:color w:val="auto"/>
              </w:rPr>
            </w:pPr>
            <w:r>
              <w:rPr>
                <w:rFonts w:ascii="Arial" w:cs="Arial" w:eastAsia="Arial" w:hAnsi="Arial"/>
                <w:sz w:val="16"/>
                <w:szCs w:val="16"/>
                <w:color w:val="auto"/>
                <w:w w:val="98"/>
              </w:rPr>
              <w:t>0.0</w:t>
            </w:r>
          </w:p>
        </w:tc>
      </w:tr>
      <w:tr>
        <w:trPr>
          <w:trHeight w:val="33"/>
        </w:trPr>
        <w:tc>
          <w:tcPr>
            <w:tcW w:w="6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160" w:type="dxa"/>
            <w:vAlign w:val="bottom"/>
            <w:tcBorders>
              <w:bottom w:val="single" w:sz="8" w:color="CCEEFF"/>
            </w:tcBorders>
            <w:shd w:val="clear" w:color="auto" w:fill="CCEEFF"/>
          </w:tcPr>
          <w:p>
            <w:pPr>
              <w:jc w:val="right"/>
              <w:ind w:right="17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0.6</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intangibles subject to amortization, net of accumulated</w:t>
            </w:r>
          </w:p>
        </w:tc>
        <w:tc>
          <w:tcPr>
            <w:tcW w:w="2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r>
      <w:tr>
        <w:trPr>
          <w:trHeight w:val="206"/>
        </w:trPr>
        <w:tc>
          <w:tcPr>
            <w:tcW w:w="6360" w:type="dxa"/>
            <w:vAlign w:val="bottom"/>
          </w:tcPr>
          <w:p>
            <w:pPr>
              <w:ind w:left="40"/>
              <w:spacing w:after="0"/>
              <w:rPr>
                <w:sz w:val="20"/>
                <w:szCs w:val="20"/>
                <w:color w:val="auto"/>
              </w:rPr>
            </w:pPr>
            <w:r>
              <w:rPr>
                <w:rFonts w:ascii="Arial" w:cs="Arial" w:eastAsia="Arial" w:hAnsi="Arial"/>
                <w:sz w:val="16"/>
                <w:szCs w:val="16"/>
                <w:color w:val="auto"/>
              </w:rPr>
              <w:t>amortization of $29.3, $26.9 and $26.1, respectively</w:t>
            </w:r>
          </w:p>
        </w:tc>
        <w:tc>
          <w:tcPr>
            <w:tcW w:w="2160" w:type="dxa"/>
            <w:vAlign w:val="bottom"/>
          </w:tcPr>
          <w:p>
            <w:pPr>
              <w:jc w:val="right"/>
              <w:ind w:right="1699"/>
              <w:spacing w:after="0"/>
              <w:rPr>
                <w:sz w:val="20"/>
                <w:szCs w:val="20"/>
                <w:color w:val="auto"/>
              </w:rPr>
            </w:pPr>
            <w:r>
              <w:rPr>
                <w:rFonts w:ascii="Arial" w:cs="Arial" w:eastAsia="Arial" w:hAnsi="Arial"/>
                <w:sz w:val="16"/>
                <w:szCs w:val="16"/>
                <w:color w:val="auto"/>
              </w:rPr>
              <w:t>11.5</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12.2</w:t>
            </w:r>
          </w:p>
        </w:tc>
        <w:tc>
          <w:tcPr>
            <w:tcW w:w="19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6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8"/>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intangibles not subject to amortization</w:t>
            </w:r>
          </w:p>
        </w:tc>
        <w:tc>
          <w:tcPr>
            <w:tcW w:w="2160" w:type="dxa"/>
            <w:vAlign w:val="bottom"/>
            <w:tcBorders>
              <w:bottom w:val="single" w:sz="8" w:color="CCEEFF"/>
            </w:tcBorders>
            <w:shd w:val="clear" w:color="auto" w:fill="CCEEFF"/>
          </w:tcPr>
          <w:p>
            <w:pPr>
              <w:jc w:val="right"/>
              <w:ind w:right="1699"/>
              <w:spacing w:after="0"/>
              <w:rPr>
                <w:sz w:val="20"/>
                <w:szCs w:val="20"/>
                <w:color w:val="auto"/>
              </w:rPr>
            </w:pPr>
            <w:r>
              <w:rPr>
                <w:rFonts w:ascii="Arial" w:cs="Arial" w:eastAsia="Arial" w:hAnsi="Arial"/>
                <w:sz w:val="16"/>
                <w:szCs w:val="16"/>
                <w:b w:val="1"/>
                <w:bCs w:val="1"/>
                <w:color w:val="auto"/>
              </w:rPr>
              <w:t>2.1</w:t>
            </w:r>
          </w:p>
        </w:tc>
        <w:tc>
          <w:tcPr>
            <w:tcW w:w="7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2.1</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r>
      <w:tr>
        <w:trPr>
          <w:trHeight w:val="230"/>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intangibles</w:t>
            </w:r>
          </w:p>
        </w:tc>
        <w:tc>
          <w:tcPr>
            <w:tcW w:w="2160" w:type="dxa"/>
            <w:vAlign w:val="bottom"/>
            <w:tcBorders>
              <w:top w:val="single" w:sz="8" w:color="auto"/>
            </w:tcBorders>
          </w:tcPr>
          <w:p>
            <w:pPr>
              <w:jc w:val="right"/>
              <w:ind w:right="1699"/>
              <w:spacing w:after="0"/>
              <w:rPr>
                <w:sz w:val="20"/>
                <w:szCs w:val="20"/>
                <w:color w:val="auto"/>
              </w:rPr>
            </w:pPr>
            <w:r>
              <w:rPr>
                <w:rFonts w:ascii="Arial" w:cs="Arial" w:eastAsia="Arial" w:hAnsi="Arial"/>
                <w:sz w:val="16"/>
                <w:szCs w:val="16"/>
                <w:b w:val="1"/>
                <w:bCs w:val="1"/>
                <w:color w:val="auto"/>
                <w:w w:val="89"/>
              </w:rPr>
              <w:t>$13.6</w:t>
            </w:r>
          </w:p>
        </w:tc>
        <w:tc>
          <w:tcPr>
            <w:tcW w:w="74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$14.3</w:t>
            </w:r>
          </w:p>
        </w:tc>
        <w:tc>
          <w:tcPr>
            <w:tcW w:w="1980" w:type="dxa"/>
            <w:vAlign w:val="bottom"/>
            <w:tcBorders>
              <w:top w:val="single" w:sz="8" w:color="auto"/>
            </w:tcBorders>
          </w:tcPr>
          <w:p>
            <w:pPr>
              <w:jc w:val="center"/>
              <w:ind w:left="1479"/>
              <w:spacing w:after="0"/>
              <w:rPr>
                <w:sz w:val="20"/>
                <w:szCs w:val="20"/>
                <w:color w:val="auto"/>
              </w:rPr>
            </w:pPr>
            <w:r>
              <w:rPr>
                <w:rFonts w:ascii="Arial" w:cs="Arial" w:eastAsia="Arial" w:hAnsi="Arial"/>
                <w:sz w:val="16"/>
                <w:szCs w:val="16"/>
                <w:b w:val="1"/>
                <w:bCs w:val="1"/>
                <w:color w:val="auto"/>
                <w:w w:val="94"/>
              </w:rPr>
              <w:t>$10.8</w:t>
            </w:r>
          </w:p>
        </w:tc>
      </w:tr>
      <w:tr>
        <w:trPr>
          <w:trHeight w:val="33"/>
        </w:trPr>
        <w:tc>
          <w:tcPr>
            <w:tcW w:w="6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third quarter of fiscal 2020, the Company acquired a U.S.-based book fair business resulting in the recognition of $1.6 of amortizable intangible assets.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fourth quarter of fiscal 2019, the Company completed the purchase of a majority interest in Make Believe Ideas Limited, included within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 which resulted in $3.9 of amortizable intangible assets. In the first quarter of fiscal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also purchased a UK-based book club business and a U.S.-based book fair business resulting in the recognition of $0.6 of amortizable intangible assets.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Intangible assets with definite lives consist principally of customer lists and intellectual property rights. Intangible assets with definite lives are amortized over their estimated useful lives. The weighted-average remaining useful life of all definite-lived intangible assets is approximately 5.2 years. Intangible assets with indefinite lives consist principally of trademarks.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related to Intangible assets in any of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Investments are included in Other assets and deferred charges on the Condensed Consolidated Balance Sheets. The following table summarizes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investments as of the dates indicated: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97"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222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29, 2020</w:t>
            </w: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May 31, 2019</w:t>
            </w:r>
          </w:p>
        </w:tc>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February 28, 2019</w:t>
            </w:r>
          </w:p>
        </w:tc>
        <w:tc>
          <w:tcPr>
            <w:tcW w:w="3420" w:type="dxa"/>
            <w:vAlign w:val="bottom"/>
          </w:tcPr>
          <w:p>
            <w:pPr>
              <w:jc w:val="center"/>
              <w:ind w:right="102"/>
              <w:spacing w:after="0"/>
              <w:rPr>
                <w:sz w:val="20"/>
                <w:szCs w:val="20"/>
                <w:color w:val="auto"/>
              </w:rPr>
            </w:pPr>
            <w:r>
              <w:rPr>
                <w:rFonts w:ascii="Arial" w:cs="Arial" w:eastAsia="Arial" w:hAnsi="Arial"/>
                <w:sz w:val="16"/>
                <w:szCs w:val="16"/>
                <w:b w:val="1"/>
                <w:bCs w:val="1"/>
                <w:color w:val="auto"/>
                <w:w w:val="88"/>
              </w:rPr>
              <w:t>Segment</w:t>
            </w:r>
          </w:p>
        </w:tc>
      </w:tr>
      <w:tr>
        <w:trPr>
          <w:trHeight w:val="33"/>
        </w:trPr>
        <w:tc>
          <w:tcPr>
            <w:tcW w:w="25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63"/>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method investments</w:t>
            </w:r>
          </w:p>
        </w:tc>
        <w:tc>
          <w:tcPr>
            <w:tcW w:w="2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$26.4</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66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4"/>
              </w:rPr>
              <w:t>$36.7</w:t>
            </w:r>
          </w:p>
        </w:tc>
        <w:tc>
          <w:tcPr>
            <w:tcW w:w="3420" w:type="dxa"/>
            <w:vAlign w:val="bottom"/>
            <w:shd w:val="clear" w:color="auto" w:fill="CCEEFF"/>
          </w:tcPr>
          <w:p>
            <w:pPr>
              <w:jc w:val="center"/>
              <w:ind w:right="82"/>
              <w:spacing w:after="0"/>
              <w:rPr>
                <w:sz w:val="20"/>
                <w:szCs w:val="20"/>
                <w:color w:val="auto"/>
              </w:rPr>
            </w:pPr>
            <w:r>
              <w:rPr>
                <w:rFonts w:ascii="Arial" w:cs="Arial" w:eastAsia="Arial" w:hAnsi="Arial"/>
                <w:sz w:val="15"/>
                <w:szCs w:val="15"/>
                <w:color w:val="auto"/>
                <w:w w:val="94"/>
              </w:rPr>
              <w:t>International</w:t>
            </w:r>
          </w:p>
        </w:tc>
      </w:tr>
      <w:tr>
        <w:trPr>
          <w:trHeight w:val="26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equity investments</w:t>
            </w:r>
          </w:p>
        </w:tc>
        <w:tc>
          <w:tcPr>
            <w:tcW w:w="2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6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99"/>
              </w:rPr>
              <w:t>—</w:t>
            </w:r>
          </w:p>
        </w:tc>
        <w:tc>
          <w:tcPr>
            <w:tcW w:w="3420" w:type="dxa"/>
            <w:vAlign w:val="bottom"/>
            <w:tcBorders>
              <w:bottom w:val="single" w:sz="8" w:color="auto"/>
            </w:tcBorders>
          </w:tcPr>
          <w:p>
            <w:pPr>
              <w:jc w:val="center"/>
              <w:ind w:right="82"/>
              <w:spacing w:after="0"/>
              <w:rPr>
                <w:sz w:val="20"/>
                <w:szCs w:val="20"/>
                <w:color w:val="auto"/>
              </w:rPr>
            </w:pPr>
            <w:r>
              <w:rPr>
                <w:rFonts w:ascii="Arial" w:cs="Arial" w:eastAsia="Arial" w:hAnsi="Arial"/>
                <w:sz w:val="15"/>
                <w:szCs w:val="15"/>
                <w:color w:val="auto"/>
                <w:w w:val="96"/>
              </w:rPr>
              <w:t>Children's Book Publishing &amp; Distribution</w:t>
            </w:r>
          </w:p>
        </w:tc>
      </w:tr>
      <w:tr>
        <w:trPr>
          <w:trHeight w:val="248"/>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Investments</w:t>
            </w:r>
          </w:p>
        </w:tc>
        <w:tc>
          <w:tcPr>
            <w:tcW w:w="2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$32.4</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$29.4</w:t>
            </w:r>
          </w:p>
        </w:tc>
        <w:tc>
          <w:tcPr>
            <w:tcW w:w="1660" w:type="dxa"/>
            <w:vAlign w:val="bottom"/>
            <w:tcBorders>
              <w:bottom w:val="single" w:sz="8" w:color="CCEEFF"/>
            </w:tcBorders>
            <w:shd w:val="clear" w:color="auto" w:fill="CCEEFF"/>
          </w:tcPr>
          <w:p>
            <w:pPr>
              <w:jc w:val="center"/>
              <w:ind w:left="599"/>
              <w:spacing w:after="0"/>
              <w:rPr>
                <w:sz w:val="20"/>
                <w:szCs w:val="20"/>
                <w:color w:val="auto"/>
              </w:rPr>
            </w:pPr>
            <w:r>
              <w:rPr>
                <w:rFonts w:ascii="Arial" w:cs="Arial" w:eastAsia="Arial" w:hAnsi="Arial"/>
                <w:sz w:val="16"/>
                <w:szCs w:val="16"/>
                <w:b w:val="1"/>
                <w:bCs w:val="1"/>
                <w:color w:val="auto"/>
                <w:w w:val="94"/>
              </w:rPr>
              <w:t>$36.7</w:t>
            </w:r>
          </w:p>
        </w:tc>
        <w:tc>
          <w:tcPr>
            <w:tcW w:w="3420" w:type="dxa"/>
            <w:vAlign w:val="bottom"/>
            <w:tcBorders>
              <w:bottom w:val="single" w:sz="8" w:color="CCEEFF"/>
            </w:tcBorders>
            <w:shd w:val="clear" w:color="auto" w:fill="CCEEFF"/>
          </w:tcPr>
          <w:p>
            <w:pPr>
              <w:spacing w:after="0"/>
              <w:rPr>
                <w:sz w:val="21"/>
                <w:szCs w:val="2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Income from equity investments is reported in Selling, general and administrative expenses in the Condensed Consolidated Statements of Operations and totaled $0.6 and $1.2 for the three months ended February 29, 2020 and February 28, 2019, respectively, and $3.6 and $5.7 for the nine months ended February 29, 2020 and February 28,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 Believe Ideas Limited</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March 27, 2019, the Company completed the purchase of a majority-ownership position in Make Believe Ideas Limited ("MBI"), a UK-based children's book publishing business, by acquiring an additional 46.5% equity interest in MBI to bring the Company's total ownership interest to 95.0%. Prior to March 27, 2019, the Company accounted for its 48.5% equity interest under the equity method of accounting and income from this investment was reported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fourth quarter of fiscal 2019, the Company acquired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this investment at cost, less impairment. In the current fiscal quarter there have been no impairments or adjustments to the carrying value of this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sets forth the components of net periodic benefit cost for the periods indicated under the Company’s defined benefit pension plan of Scholastic Ltd., an indirect subsidiary of Scholastic Corporation located in the United Kingdom (the “UK Pension Plan”) and the postretirement benefits plan, consisting of certain healthcare and life insurance benefits provided by the Company to its eligible retired United States-based employees (the “Postretirement Benefits”),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40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UK Pension Plan</w:t>
            </w:r>
          </w:p>
        </w:tc>
        <w:tc>
          <w:tcPr>
            <w:tcW w:w="27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Postretirement Benefits</w:t>
            </w:r>
          </w:p>
        </w:tc>
      </w:tr>
      <w:tr>
        <w:trPr>
          <w:trHeight w:val="270"/>
        </w:trPr>
        <w:tc>
          <w:tcPr>
            <w:tcW w:w="4320" w:type="dxa"/>
            <w:vAlign w:val="bottom"/>
          </w:tcPr>
          <w:p>
            <w:pPr>
              <w:spacing w:after="0"/>
              <w:rPr>
                <w:sz w:val="23"/>
                <w:szCs w:val="23"/>
                <w:color w:val="auto"/>
              </w:rPr>
            </w:pPr>
          </w:p>
        </w:tc>
        <w:tc>
          <w:tcPr>
            <w:tcW w:w="404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7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4320" w:type="dxa"/>
            <w:vAlign w:val="bottom"/>
          </w:tcPr>
          <w:p>
            <w:pPr>
              <w:spacing w:after="0"/>
              <w:rPr>
                <w:sz w:val="23"/>
                <w:szCs w:val="23"/>
                <w:color w:val="auto"/>
              </w:rPr>
            </w:pPr>
          </w:p>
        </w:tc>
        <w:tc>
          <w:tcPr>
            <w:tcW w:w="262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29,</w:t>
            </w: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29,</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4320" w:type="dxa"/>
            <w:vAlign w:val="bottom"/>
          </w:tcPr>
          <w:p>
            <w:pPr>
              <w:spacing w:after="0"/>
              <w:rPr>
                <w:sz w:val="23"/>
                <w:szCs w:val="23"/>
                <w:color w:val="auto"/>
              </w:rPr>
            </w:pPr>
          </w:p>
        </w:tc>
        <w:tc>
          <w:tcPr>
            <w:tcW w:w="2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4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rPr>
              <w:t>Components of net periodic benefit cost:</w:t>
            </w:r>
          </w:p>
        </w:tc>
        <w:tc>
          <w:tcPr>
            <w:tcW w:w="2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6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2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0.3</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0.2</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assets</w:t>
            </w:r>
          </w:p>
        </w:tc>
        <w:tc>
          <w:tcPr>
            <w:tcW w:w="2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Net amortization of prior service (credit) cost</w:t>
            </w:r>
          </w:p>
        </w:tc>
        <w:tc>
          <w:tcPr>
            <w:tcW w:w="2620" w:type="dxa"/>
            <w:vAlign w:val="bottom"/>
          </w:tcPr>
          <w:p>
            <w:pPr>
              <w:jc w:val="right"/>
              <w:ind w:right="199"/>
              <w:spacing w:after="0"/>
              <w:rPr>
                <w:sz w:val="20"/>
                <w:szCs w:val="20"/>
                <w:color w:val="auto"/>
              </w:rPr>
            </w:pPr>
            <w:r>
              <w:rPr>
                <w:rFonts w:ascii="Arial" w:cs="Arial" w:eastAsia="Arial" w:hAnsi="Arial"/>
                <w:sz w:val="16"/>
                <w:szCs w:val="16"/>
                <w:color w:val="auto"/>
              </w:rPr>
              <w:t>0.0</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0.0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0.0</w:t>
            </w:r>
          </w:p>
        </w:tc>
      </w:tr>
      <w:tr>
        <w:trPr>
          <w:trHeight w:val="33"/>
        </w:trPr>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(gains) losses</w:t>
            </w:r>
          </w:p>
        </w:tc>
        <w:tc>
          <w:tcPr>
            <w:tcW w:w="26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1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4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$0.2</w:t>
            </w:r>
          </w:p>
        </w:tc>
        <w:tc>
          <w:tcPr>
            <w:tcW w:w="1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$0.2</w:t>
            </w: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$0.2</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r>
      <w:tr>
        <w:trPr>
          <w:trHeight w:val="33"/>
        </w:trPr>
        <w:tc>
          <w:tcPr>
            <w:tcW w:w="4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97" w:right="339"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98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UK Pension Plan</w:t>
            </w:r>
          </w:p>
        </w:tc>
        <w:tc>
          <w:tcPr>
            <w:tcW w:w="26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Postretirement Benefits</w:t>
            </w:r>
          </w:p>
        </w:tc>
      </w:tr>
      <w:tr>
        <w:trPr>
          <w:trHeight w:val="270"/>
        </w:trPr>
        <w:tc>
          <w:tcPr>
            <w:tcW w:w="4280" w:type="dxa"/>
            <w:vAlign w:val="bottom"/>
          </w:tcPr>
          <w:p>
            <w:pPr>
              <w:spacing w:after="0"/>
              <w:rPr>
                <w:sz w:val="23"/>
                <w:szCs w:val="23"/>
                <w:color w:val="auto"/>
              </w:rPr>
            </w:pPr>
          </w:p>
        </w:tc>
        <w:tc>
          <w:tcPr>
            <w:tcW w:w="398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Nine months ended</w:t>
            </w:r>
          </w:p>
        </w:tc>
        <w:tc>
          <w:tcPr>
            <w:tcW w:w="26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4280" w:type="dxa"/>
            <w:vAlign w:val="bottom"/>
          </w:tcPr>
          <w:p>
            <w:pPr>
              <w:spacing w:after="0"/>
              <w:rPr>
                <w:sz w:val="23"/>
                <w:szCs w:val="23"/>
                <w:color w:val="auto"/>
              </w:rPr>
            </w:pPr>
          </w:p>
        </w:tc>
        <w:tc>
          <w:tcPr>
            <w:tcW w:w="256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29,</w:t>
            </w: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28,</w:t>
            </w: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29,</w:t>
            </w: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4280" w:type="dxa"/>
            <w:vAlign w:val="bottom"/>
          </w:tcPr>
          <w:p>
            <w:pPr>
              <w:spacing w:after="0"/>
              <w:rPr>
                <w:sz w:val="23"/>
                <w:szCs w:val="23"/>
                <w:color w:val="auto"/>
              </w:rPr>
            </w:pPr>
          </w:p>
        </w:tc>
        <w:tc>
          <w:tcPr>
            <w:tcW w:w="25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3"/>
        </w:trPr>
        <w:tc>
          <w:tcPr>
            <w:tcW w:w="4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Components of net periodic benefit cost:</w:t>
            </w:r>
          </w:p>
        </w:tc>
        <w:tc>
          <w:tcPr>
            <w:tcW w:w="2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56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2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assets</w:t>
            </w:r>
          </w:p>
        </w:tc>
        <w:tc>
          <w:tcPr>
            <w:tcW w:w="2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(0.8)</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Net amortization of prior service (credit) cost</w:t>
            </w:r>
          </w:p>
        </w:tc>
        <w:tc>
          <w:tcPr>
            <w:tcW w:w="2560" w:type="dxa"/>
            <w:vAlign w:val="bottom"/>
          </w:tcPr>
          <w:p>
            <w:pPr>
              <w:jc w:val="right"/>
              <w:ind w:right="99"/>
              <w:spacing w:after="0"/>
              <w:rPr>
                <w:sz w:val="20"/>
                <w:szCs w:val="20"/>
                <w:color w:val="auto"/>
              </w:rPr>
            </w:pPr>
            <w:r>
              <w:rPr>
                <w:rFonts w:ascii="Arial" w:cs="Arial" w:eastAsia="Arial" w:hAnsi="Arial"/>
                <w:sz w:val="16"/>
                <w:szCs w:val="16"/>
                <w:color w:val="auto"/>
              </w:rPr>
              <w:t>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(gains) losses</w:t>
            </w:r>
          </w:p>
        </w:tc>
        <w:tc>
          <w:tcPr>
            <w:tcW w:w="2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0.8</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$0.6</w:t>
            </w:r>
          </w:p>
        </w:tc>
        <w:tc>
          <w:tcPr>
            <w:tcW w:w="14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$0.6</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$0.4</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$0.5</w:t>
            </w:r>
          </w:p>
        </w:tc>
      </w:tr>
      <w:tr>
        <w:trPr>
          <w:trHeight w:val="33"/>
        </w:trPr>
        <w:tc>
          <w:tcPr>
            <w:tcW w:w="4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The Company’s funding practice with respect to the UK Pension Plan is to contribute on an annual basis at least the minimum amounts required by applicable law. For the nine months ended February 29, 2020, the Company contributed $0.9 to the UK Pension Plan. The Company expects, based on actuarial calculations, to contribute cash of approximately $1.1 to the UK Pension Plan for the fiscal year ending May 31, 2020.</w:t>
      </w:r>
    </w:p>
    <w:p>
      <w:pPr>
        <w:spacing w:after="0" w:line="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the second quarter of fiscal 2019, the Company announced a change in benefits for certain postretirement benefit plan participants. Beginning January 1, 2019, the plan established Health Reimbursement Accounts (HRAs) to provide these participants with additional flexibility to choose healthcare options based on individual needs. The Company remeasured its Postretirement benefits obligation as of November 30, 2018, and recognized a reduction of $2.7 to its benefit obligation and a reduction to its accumulated comprehensive loss of $2.7 in the second quarter of fiscal 2019. The related prior service credit will be amortized as a component of Net periodic benefit cost over the average lifetime of plan participants of approximately </w:t>
      </w:r>
      <w:r>
        <w:rPr>
          <w:rFonts w:ascii="Arial" w:cs="Arial" w:eastAsia="Arial" w:hAnsi="Arial"/>
          <w:sz w:val="15"/>
          <w:szCs w:val="15"/>
          <w:color w:val="auto"/>
        </w:rPr>
        <w:t>13.0 years</w:t>
      </w: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Company's lease arrangements primarily relate to corporate offices and warehouse facilities, and to a lesser extent, certain equipment and other assets. The Company's leases generally have initial terms ranging from 3 to 10 years and certain leases include renewal or early-termination options, rent escalation clauses, and/or lease incentives. Lease renewal rent payment terms generally reflect adjustments for market rates prevailing at the time of renewal. The Company's leases require fixed minimum rent payments and also often require the payment of certain other costs that do not relate specifically to its right to use an underlying leased asset, but are associated with the asset, such as real estate taxes, insurance, common area maintenance fees and/or certain other costs (referred to collectively herein as "non-lease components"), which may be fixed or variable in amount depending on the terms of the respective lease agreement. The Company's leases do not contain significant residual value guarantees or restrictive covenants.</w:t>
      </w:r>
    </w:p>
    <w:p>
      <w:pPr>
        <w:spacing w:after="0" w:line="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Condensed Consolidated Statements of Operations over the lease term.</w:t>
      </w:r>
    </w:p>
    <w:p>
      <w:pPr>
        <w:spacing w:after="0" w:line="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leases with a term exceeding 12 months, a lease liability is recorded on the Company's Condensed Consolidated Balance Sheet at lease commencement reflecting the present value of its fixed minimum payment obligations over the lease term. A corresponding right-of-use ("ROU") asset equal to the initial lease liability is also recorded, adjusted for any prepaid rent and/or initial direct costs incurred in connection with execution of the lease and reduced by any lease incentives received. The Company includes fixed payment obligations related to non-lease components in the measurement of ROU assets and lease liabilities, as it elects to account for lease and non-lease components together as a single lease component. ROU assets associated with finance leases are presented separate from ROU assets associated with operating leases and are included within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97" w:right="3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Property, plant and equipment, net on the Company's Condensed Consolidated Balance Sheet.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operating leases, fixed lease payments are recognized as lease expense on a straight-line basis over the lease term. For finance leases, the initial ROU asset is depreciated on a straight-line basis over the lease term, along with recognition of interest expense associated with accretion of the lease liability, which is ultimately reduced by the related fixed payments. For leases with a term of 12 months or less (referred to as a "short-term lease"), any fixed lease payments are recognized on a straight-line basis over the lease term, and are not recognized on the Condensed Consolidated Balance Sheet. Variable lease costs for both operating and finance leases, if any, are recognized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right-of-use assets and lease liabilities recorded on the Company's Condensed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0" w:type="dxa"/>
            <w:vAlign w:val="bottom"/>
          </w:tcPr>
          <w:p>
            <w:pPr>
              <w:spacing w:after="0"/>
              <w:rPr>
                <w:sz w:val="19"/>
                <w:szCs w:val="19"/>
                <w:color w:val="auto"/>
              </w:rPr>
            </w:pPr>
          </w:p>
        </w:tc>
        <w:tc>
          <w:tcPr>
            <w:tcW w:w="2680" w:type="dxa"/>
            <w:vAlign w:val="bottom"/>
          </w:tcPr>
          <w:p>
            <w:pPr>
              <w:jc w:val="right"/>
              <w:ind w:right="459"/>
              <w:spacing w:after="0"/>
              <w:rPr>
                <w:sz w:val="20"/>
                <w:szCs w:val="20"/>
                <w:color w:val="auto"/>
              </w:rPr>
            </w:pPr>
            <w:r>
              <w:rPr>
                <w:rFonts w:ascii="Arial" w:cs="Arial" w:eastAsia="Arial" w:hAnsi="Arial"/>
                <w:sz w:val="16"/>
                <w:szCs w:val="16"/>
                <w:b w:val="1"/>
                <w:bCs w:val="1"/>
                <w:color w:val="auto"/>
              </w:rPr>
              <w:t>February 29, 2020</w:t>
            </w:r>
          </w:p>
        </w:tc>
        <w:tc>
          <w:tcPr>
            <w:tcW w:w="5560" w:type="dxa"/>
            <w:vAlign w:val="bottom"/>
          </w:tcPr>
          <w:p>
            <w:pPr>
              <w:ind w:left="200"/>
              <w:spacing w:after="0"/>
              <w:rPr>
                <w:sz w:val="20"/>
                <w:szCs w:val="20"/>
                <w:color w:val="auto"/>
              </w:rPr>
            </w:pPr>
            <w:r>
              <w:rPr>
                <w:rFonts w:ascii="Arial" w:cs="Arial" w:eastAsia="Arial" w:hAnsi="Arial"/>
                <w:sz w:val="16"/>
                <w:szCs w:val="16"/>
                <w:b w:val="1"/>
                <w:bCs w:val="1"/>
                <w:color w:val="auto"/>
              </w:rPr>
              <w:t>Location within Condensed Consolidated Balance Sheet</w:t>
            </w:r>
          </w:p>
        </w:tc>
      </w:tr>
      <w:tr>
        <w:trPr>
          <w:trHeight w:val="33"/>
        </w:trPr>
        <w:tc>
          <w:tcPr>
            <w:tcW w:w="3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$71.7</w:t>
            </w:r>
          </w:p>
        </w:tc>
        <w:tc>
          <w:tcPr>
            <w:tcW w:w="5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lease right-of-use assets, net</w:t>
            </w:r>
          </w:p>
        </w:tc>
      </w:tr>
      <w:tr>
        <w:trPr>
          <w:trHeight w:val="237"/>
        </w:trPr>
        <w:tc>
          <w:tcPr>
            <w:tcW w:w="3000" w:type="dxa"/>
            <w:vAlign w:val="bottom"/>
          </w:tcPr>
          <w:p>
            <w:pPr>
              <w:ind w:left="40"/>
              <w:spacing w:after="0"/>
              <w:rPr>
                <w:sz w:val="20"/>
                <w:szCs w:val="20"/>
                <w:color w:val="auto"/>
              </w:rPr>
            </w:pPr>
            <w:r>
              <w:rPr>
                <w:rFonts w:ascii="Arial" w:cs="Arial" w:eastAsia="Arial" w:hAnsi="Arial"/>
                <w:sz w:val="16"/>
                <w:szCs w:val="16"/>
                <w:color w:val="auto"/>
              </w:rPr>
              <w:t>Finance leases</w:t>
            </w:r>
          </w:p>
        </w:tc>
        <w:tc>
          <w:tcPr>
            <w:tcW w:w="2680" w:type="dxa"/>
            <w:vAlign w:val="bottom"/>
          </w:tcPr>
          <w:p>
            <w:pPr>
              <w:jc w:val="right"/>
              <w:ind w:right="119"/>
              <w:spacing w:after="0"/>
              <w:rPr>
                <w:sz w:val="20"/>
                <w:szCs w:val="20"/>
                <w:color w:val="auto"/>
              </w:rPr>
            </w:pPr>
            <w:r>
              <w:rPr>
                <w:rFonts w:ascii="Arial" w:cs="Arial" w:eastAsia="Arial" w:hAnsi="Arial"/>
                <w:sz w:val="16"/>
                <w:szCs w:val="16"/>
                <w:color w:val="auto"/>
              </w:rPr>
              <w:t>11.4</w:t>
            </w:r>
          </w:p>
        </w:tc>
        <w:tc>
          <w:tcPr>
            <w:tcW w:w="5560" w:type="dxa"/>
            <w:vAlign w:val="bottom"/>
          </w:tcPr>
          <w:p>
            <w:pPr>
              <w:ind w:left="200"/>
              <w:spacing w:after="0"/>
              <w:rPr>
                <w:sz w:val="20"/>
                <w:szCs w:val="20"/>
                <w:color w:val="auto"/>
              </w:rPr>
            </w:pPr>
            <w:r>
              <w:rPr>
                <w:rFonts w:ascii="Arial" w:cs="Arial" w:eastAsia="Arial" w:hAnsi="Arial"/>
                <w:sz w:val="16"/>
                <w:szCs w:val="16"/>
                <w:color w:val="auto"/>
              </w:rPr>
              <w:t>Property, plant and equipment, net</w:t>
            </w:r>
          </w:p>
        </w:tc>
      </w:tr>
      <w:tr>
        <w:trPr>
          <w:trHeight w:val="33"/>
        </w:trPr>
        <w:tc>
          <w:tcPr>
            <w:tcW w:w="3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68"/>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assets</w:t>
            </w:r>
          </w:p>
        </w:tc>
        <w:tc>
          <w:tcPr>
            <w:tcW w:w="2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$83.1</w:t>
            </w:r>
          </w:p>
        </w:tc>
        <w:tc>
          <w:tcPr>
            <w:tcW w:w="5560" w:type="dxa"/>
            <w:vAlign w:val="bottom"/>
            <w:tcBorders>
              <w:bottom w:val="single" w:sz="8" w:color="CCEEFF"/>
            </w:tcBorders>
            <w:shd w:val="clear" w:color="auto" w:fill="CCEEFF"/>
          </w:tcPr>
          <w:p>
            <w:pPr>
              <w:spacing w:after="0"/>
              <w:rPr>
                <w:sz w:val="22"/>
                <w:szCs w:val="22"/>
                <w:color w:val="auto"/>
              </w:rPr>
            </w:pPr>
          </w:p>
        </w:tc>
      </w:tr>
      <w:tr>
        <w:trPr>
          <w:trHeight w:val="291"/>
        </w:trPr>
        <w:tc>
          <w:tcPr>
            <w:tcW w:w="30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556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 :</w:t>
            </w:r>
          </w:p>
        </w:tc>
        <w:tc>
          <w:tcPr>
            <w:tcW w:w="268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6"/>
                <w:szCs w:val="16"/>
                <w:color w:val="auto"/>
              </w:rPr>
              <w:t>Current portion</w:t>
            </w:r>
          </w:p>
        </w:tc>
        <w:tc>
          <w:tcPr>
            <w:tcW w:w="2680" w:type="dxa"/>
            <w:vAlign w:val="bottom"/>
          </w:tcPr>
          <w:p>
            <w:pPr>
              <w:jc w:val="right"/>
              <w:ind w:right="119"/>
              <w:spacing w:after="0"/>
              <w:rPr>
                <w:sz w:val="20"/>
                <w:szCs w:val="20"/>
                <w:color w:val="auto"/>
              </w:rPr>
            </w:pPr>
            <w:r>
              <w:rPr>
                <w:rFonts w:ascii="Arial" w:cs="Arial" w:eastAsia="Arial" w:hAnsi="Arial"/>
                <w:sz w:val="16"/>
                <w:szCs w:val="16"/>
                <w:color w:val="auto"/>
              </w:rPr>
              <w:t>22.7</w:t>
            </w:r>
          </w:p>
        </w:tc>
        <w:tc>
          <w:tcPr>
            <w:tcW w:w="5560" w:type="dxa"/>
            <w:vAlign w:val="bottom"/>
          </w:tcPr>
          <w:p>
            <w:pPr>
              <w:ind w:left="200"/>
              <w:spacing w:after="0"/>
              <w:rPr>
                <w:sz w:val="20"/>
                <w:szCs w:val="20"/>
                <w:color w:val="auto"/>
              </w:rPr>
            </w:pPr>
            <w:r>
              <w:rPr>
                <w:rFonts w:ascii="Arial" w:cs="Arial" w:eastAsia="Arial" w:hAnsi="Arial"/>
                <w:sz w:val="16"/>
                <w:szCs w:val="16"/>
                <w:color w:val="auto"/>
              </w:rPr>
              <w:t>Current portion of operating lease liabilities</w:t>
            </w:r>
          </w:p>
        </w:tc>
      </w:tr>
      <w:tr>
        <w:trPr>
          <w:trHeight w:val="33"/>
        </w:trPr>
        <w:tc>
          <w:tcPr>
            <w:tcW w:w="30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75"/>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portion</w:t>
            </w:r>
          </w:p>
        </w:tc>
        <w:tc>
          <w:tcPr>
            <w:tcW w:w="2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52.0</w:t>
            </w:r>
          </w:p>
        </w:tc>
        <w:tc>
          <w:tcPr>
            <w:tcW w:w="5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Long-term operating lease liabilities</w:t>
            </w:r>
          </w:p>
        </w:tc>
      </w:tr>
      <w:tr>
        <w:trPr>
          <w:trHeight w:val="230"/>
        </w:trPr>
        <w:tc>
          <w:tcPr>
            <w:tcW w:w="3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operating lease liabilities</w:t>
            </w:r>
          </w:p>
        </w:tc>
        <w:tc>
          <w:tcPr>
            <w:tcW w:w="2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$74.7</w:t>
            </w:r>
          </w:p>
        </w:tc>
        <w:tc>
          <w:tcPr>
            <w:tcW w:w="5560" w:type="dxa"/>
            <w:vAlign w:val="bottom"/>
            <w:tcBorders>
              <w:top w:val="single" w:sz="8" w:color="auto"/>
            </w:tcBorders>
          </w:tcPr>
          <w:p>
            <w:pPr>
              <w:spacing w:after="0"/>
              <w:rPr>
                <w:sz w:val="20"/>
                <w:szCs w:val="20"/>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90"/>
        </w:trPr>
        <w:tc>
          <w:tcPr>
            <w:tcW w:w="300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5560" w:type="dxa"/>
            <w:vAlign w:val="bottom"/>
            <w:shd w:val="clear" w:color="auto" w:fill="CCEEFF"/>
          </w:tcPr>
          <w:p>
            <w:pPr>
              <w:spacing w:after="0"/>
              <w:rPr>
                <w:sz w:val="24"/>
                <w:szCs w:val="24"/>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Finance leases :</w:t>
            </w:r>
          </w:p>
        </w:tc>
        <w:tc>
          <w:tcPr>
            <w:tcW w:w="268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6"/>
        </w:trPr>
        <w:tc>
          <w:tcPr>
            <w:tcW w:w="30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5560" w:type="dxa"/>
            <w:vAlign w:val="bottom"/>
          </w:tcPr>
          <w:p>
            <w:pPr>
              <w:spacing w:after="0"/>
              <w:rPr>
                <w:sz w:val="4"/>
                <w:szCs w:val="4"/>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w:t>
            </w:r>
          </w:p>
        </w:tc>
        <w:tc>
          <w:tcPr>
            <w:tcW w:w="2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5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accrued expenses</w:t>
            </w:r>
          </w:p>
        </w:tc>
      </w:tr>
      <w:tr>
        <w:trPr>
          <w:trHeight w:val="237"/>
        </w:trPr>
        <w:tc>
          <w:tcPr>
            <w:tcW w:w="3000" w:type="dxa"/>
            <w:vAlign w:val="bottom"/>
          </w:tcPr>
          <w:p>
            <w:pPr>
              <w:ind w:left="40"/>
              <w:spacing w:after="0"/>
              <w:rPr>
                <w:sz w:val="20"/>
                <w:szCs w:val="20"/>
                <w:color w:val="auto"/>
              </w:rPr>
            </w:pPr>
            <w:r>
              <w:rPr>
                <w:rFonts w:ascii="Arial" w:cs="Arial" w:eastAsia="Arial" w:hAnsi="Arial"/>
                <w:sz w:val="16"/>
                <w:szCs w:val="16"/>
                <w:color w:val="auto"/>
              </w:rPr>
              <w:t>Non-current portion</w:t>
            </w:r>
          </w:p>
        </w:tc>
        <w:tc>
          <w:tcPr>
            <w:tcW w:w="268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55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r>
      <w:tr>
        <w:trPr>
          <w:trHeight w:val="33"/>
        </w:trPr>
        <w:tc>
          <w:tcPr>
            <w:tcW w:w="3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69"/>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finance lease liabilities</w:t>
            </w:r>
          </w:p>
        </w:tc>
        <w:tc>
          <w:tcPr>
            <w:tcW w:w="2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$12.1</w:t>
            </w:r>
          </w:p>
        </w:tc>
        <w:tc>
          <w:tcPr>
            <w:tcW w:w="5560" w:type="dxa"/>
            <w:vAlign w:val="bottom"/>
            <w:tcBorders>
              <w:bottom w:val="single" w:sz="8" w:color="CCEEFF"/>
            </w:tcBorders>
            <w:shd w:val="clear" w:color="auto" w:fill="CCEEFF"/>
          </w:tcPr>
          <w:p>
            <w:pPr>
              <w:spacing w:after="0"/>
              <w:rPr>
                <w:sz w:val="22"/>
                <w:szCs w:val="22"/>
                <w:color w:val="auto"/>
              </w:rPr>
            </w:pPr>
          </w:p>
        </w:tc>
      </w:tr>
      <w:tr>
        <w:trPr>
          <w:trHeight w:val="230"/>
        </w:trPr>
        <w:tc>
          <w:tcPr>
            <w:tcW w:w="3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liabilities</w:t>
            </w:r>
          </w:p>
        </w:tc>
        <w:tc>
          <w:tcPr>
            <w:tcW w:w="2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$86.8</w:t>
            </w:r>
          </w:p>
        </w:tc>
        <w:tc>
          <w:tcPr>
            <w:tcW w:w="5560" w:type="dxa"/>
            <w:vAlign w:val="bottom"/>
            <w:tcBorders>
              <w:top w:val="single" w:sz="8" w:color="auto"/>
            </w:tcBorders>
          </w:tcPr>
          <w:p>
            <w:pPr>
              <w:spacing w:after="0"/>
              <w:rPr>
                <w:sz w:val="20"/>
                <w:szCs w:val="20"/>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as a result of the adoption of ASC 842 for the three and nine months ended February 29, 2020:</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4260" w:type="dxa"/>
            <w:vAlign w:val="bottom"/>
          </w:tcPr>
          <w:p>
            <w:pPr>
              <w:ind w:left="140"/>
              <w:spacing w:after="0"/>
              <w:rPr>
                <w:sz w:val="20"/>
                <w:szCs w:val="20"/>
                <w:color w:val="auto"/>
              </w:rPr>
            </w:pPr>
            <w:r>
              <w:rPr>
                <w:rFonts w:ascii="Arial" w:cs="Arial" w:eastAsia="Arial" w:hAnsi="Arial"/>
                <w:sz w:val="16"/>
                <w:szCs w:val="16"/>
                <w:b w:val="1"/>
                <w:bCs w:val="1"/>
                <w:color w:val="auto"/>
                <w:w w:val="96"/>
              </w:rPr>
              <w:t>Location within Condensed Consolidated Statements of</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February 29, 2020</w:t>
            </w:r>
          </w:p>
        </w:tc>
        <w:tc>
          <w:tcPr>
            <w:tcW w:w="200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29, 2020</w:t>
            </w:r>
          </w:p>
        </w:tc>
        <w:tc>
          <w:tcPr>
            <w:tcW w:w="4260" w:type="dxa"/>
            <w:vAlign w:val="bottom"/>
          </w:tcPr>
          <w:p>
            <w:pPr>
              <w:ind w:left="140"/>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33"/>
        </w:trPr>
        <w:tc>
          <w:tcPr>
            <w:tcW w:w="24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4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$7.1</w:t>
            </w:r>
          </w:p>
        </w:tc>
        <w:tc>
          <w:tcPr>
            <w:tcW w:w="2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CCEEFF"/>
            </w:tcBorders>
            <w:vMerge w:val="continue"/>
            <w:shd w:val="clear" w:color="auto" w:fill="CCEEFF"/>
          </w:tcPr>
          <w:p>
            <w:pPr>
              <w:spacing w:after="0"/>
              <w:rPr>
                <w:sz w:val="18"/>
                <w:szCs w:val="18"/>
                <w:color w:val="auto"/>
              </w:rPr>
            </w:pPr>
          </w:p>
        </w:tc>
        <w:tc>
          <w:tcPr>
            <w:tcW w:w="2460" w:type="dxa"/>
            <w:vAlign w:val="bottom"/>
            <w:tcBorders>
              <w:bottom w:val="single" w:sz="8" w:color="CCEEFF"/>
            </w:tcBorders>
            <w:vMerge w:val="continue"/>
            <w:shd w:val="clear" w:color="auto" w:fill="CCEEFF"/>
          </w:tcPr>
          <w:p>
            <w:pPr>
              <w:spacing w:after="0"/>
              <w:rPr>
                <w:sz w:val="18"/>
                <w:szCs w:val="18"/>
                <w:color w:val="auto"/>
              </w:rPr>
            </w:pPr>
          </w:p>
        </w:tc>
        <w:tc>
          <w:tcPr>
            <w:tcW w:w="2000" w:type="dxa"/>
            <w:vAlign w:val="bottom"/>
            <w:tcBorders>
              <w:bottom w:val="single" w:sz="8" w:color="CCEEFF"/>
            </w:tcBorders>
            <w:vMerge w:val="continue"/>
            <w:shd w:val="clear" w:color="auto" w:fill="CCEEFF"/>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Finance lease costs :</w:t>
            </w:r>
          </w:p>
        </w:tc>
        <w:tc>
          <w:tcPr>
            <w:tcW w:w="2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of leased assets</w:t>
            </w:r>
          </w:p>
        </w:tc>
        <w:tc>
          <w:tcPr>
            <w:tcW w:w="2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0.6</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Accretion of lease liabilities</w:t>
            </w:r>
          </w:p>
        </w:tc>
        <w:tc>
          <w:tcPr>
            <w:tcW w:w="246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4260" w:type="dxa"/>
            <w:vAlign w:val="bottom"/>
          </w:tcPr>
          <w:p>
            <w:pPr>
              <w:ind w:left="140"/>
              <w:spacing w:after="0"/>
              <w:rPr>
                <w:sz w:val="20"/>
                <w:szCs w:val="20"/>
                <w:color w:val="auto"/>
              </w:rPr>
            </w:pPr>
            <w:r>
              <w:rPr>
                <w:rFonts w:ascii="Arial" w:cs="Arial" w:eastAsia="Arial" w:hAnsi="Arial"/>
                <w:sz w:val="16"/>
                <w:szCs w:val="16"/>
                <w:color w:val="auto"/>
              </w:rPr>
              <w:t>Interest income (expense), net</w:t>
            </w:r>
          </w:p>
        </w:tc>
        <w:tc>
          <w:tcPr>
            <w:tcW w:w="0" w:type="dxa"/>
            <w:vAlign w:val="bottom"/>
          </w:tcPr>
          <w:p>
            <w:pPr>
              <w:spacing w:after="0"/>
              <w:rPr>
                <w:sz w:val="1"/>
                <w:szCs w:val="1"/>
                <w:color w:val="auto"/>
              </w:rPr>
            </w:pPr>
          </w:p>
        </w:tc>
      </w:tr>
      <w:tr>
        <w:trPr>
          <w:trHeight w:val="33"/>
        </w:trPr>
        <w:tc>
          <w:tcPr>
            <w:tcW w:w="24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lease expense</w:t>
            </w:r>
          </w:p>
        </w:tc>
        <w:tc>
          <w:tcPr>
            <w:tcW w:w="2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$7.8</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$23.1</w:t>
            </w:r>
          </w:p>
        </w:tc>
        <w:tc>
          <w:tcPr>
            <w:tcW w:w="4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cash flows information related to the Company's leases for the nine months ended February 29,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Nine Months Ended February</w:t>
            </w:r>
          </w:p>
        </w:tc>
      </w:tr>
      <w:tr>
        <w:trPr>
          <w:trHeight w:val="210"/>
        </w:trPr>
        <w:tc>
          <w:tcPr>
            <w:tcW w:w="4480" w:type="dxa"/>
            <w:vAlign w:val="bottom"/>
          </w:tcPr>
          <w:p>
            <w:pPr>
              <w:spacing w:after="0"/>
              <w:rPr>
                <w:sz w:val="18"/>
                <w:szCs w:val="18"/>
                <w:color w:val="auto"/>
              </w:rPr>
            </w:pPr>
          </w:p>
        </w:tc>
        <w:tc>
          <w:tcPr>
            <w:tcW w:w="2420" w:type="dxa"/>
            <w:vAlign w:val="bottom"/>
          </w:tcPr>
          <w:p>
            <w:pPr>
              <w:jc w:val="right"/>
              <w:ind w:right="739"/>
              <w:spacing w:after="0"/>
              <w:rPr>
                <w:sz w:val="20"/>
                <w:szCs w:val="20"/>
                <w:color w:val="auto"/>
              </w:rPr>
            </w:pPr>
            <w:r>
              <w:rPr>
                <w:rFonts w:ascii="Arial" w:cs="Arial" w:eastAsia="Arial" w:hAnsi="Arial"/>
                <w:sz w:val="16"/>
                <w:szCs w:val="16"/>
                <w:b w:val="1"/>
                <w:bCs w:val="1"/>
                <w:color w:val="auto"/>
              </w:rPr>
              <w:t>29, 2020</w:t>
            </w:r>
          </w:p>
        </w:tc>
      </w:tr>
      <w:tr>
        <w:trPr>
          <w:trHeight w:val="33"/>
        </w:trPr>
        <w:tc>
          <w:tcPr>
            <w:tcW w:w="4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9"/>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5"/>
              </w:rPr>
              <w:t>Cash paid for amounts included in the measurement of lease</w:t>
            </w:r>
          </w:p>
        </w:tc>
        <w:tc>
          <w:tcPr>
            <w:tcW w:w="2420" w:type="dxa"/>
            <w:vAlign w:val="bottom"/>
            <w:shd w:val="clear" w:color="auto" w:fill="CCEEFF"/>
          </w:tcPr>
          <w:p>
            <w:pPr>
              <w:spacing w:after="0"/>
              <w:rPr>
                <w:sz w:val="18"/>
                <w:szCs w:val="18"/>
                <w:color w:val="auto"/>
              </w:rPr>
            </w:pPr>
          </w:p>
        </w:tc>
      </w:tr>
      <w:tr>
        <w:trPr>
          <w:trHeight w:val="22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20" w:type="dxa"/>
            <w:vAlign w:val="bottom"/>
            <w:tcBorders>
              <w:bottom w:val="single" w:sz="8" w:color="CCEEFF"/>
            </w:tcBorders>
            <w:shd w:val="clear" w:color="auto" w:fill="CCEEFF"/>
          </w:tcPr>
          <w:p>
            <w:pPr>
              <w:spacing w:after="0"/>
              <w:rPr>
                <w:sz w:val="19"/>
                <w:szCs w:val="19"/>
                <w:color w:val="auto"/>
              </w:rPr>
            </w:pPr>
          </w:p>
        </w:tc>
      </w:tr>
      <w:tr>
        <w:trPr>
          <w:trHeight w:val="223"/>
        </w:trPr>
        <w:tc>
          <w:tcPr>
            <w:tcW w:w="4480" w:type="dxa"/>
            <w:vAlign w:val="bottom"/>
          </w:tcPr>
          <w:p>
            <w:pPr>
              <w:ind w:left="40"/>
              <w:spacing w:after="0"/>
              <w:rPr>
                <w:sz w:val="20"/>
                <w:szCs w:val="20"/>
                <w:color w:val="auto"/>
              </w:rPr>
            </w:pPr>
            <w:r>
              <w:rPr>
                <w:rFonts w:ascii="Arial" w:cs="Arial" w:eastAsia="Arial" w:hAnsi="Arial"/>
                <w:sz w:val="16"/>
                <w:szCs w:val="16"/>
                <w:color w:val="auto"/>
              </w:rPr>
              <w:t>Operating cash flows from operating leases</w:t>
            </w:r>
          </w:p>
        </w:tc>
        <w:tc>
          <w:tcPr>
            <w:tcW w:w="2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cash flows from finance leases</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3"/>
        </w:trPr>
        <w:tc>
          <w:tcPr>
            <w:tcW w:w="4480" w:type="dxa"/>
            <w:vAlign w:val="bottom"/>
          </w:tcPr>
          <w:p>
            <w:pPr>
              <w:ind w:left="40"/>
              <w:spacing w:after="0"/>
              <w:rPr>
                <w:sz w:val="20"/>
                <w:szCs w:val="20"/>
                <w:color w:val="auto"/>
              </w:rPr>
            </w:pPr>
            <w:r>
              <w:rPr>
                <w:rFonts w:ascii="Arial" w:cs="Arial" w:eastAsia="Arial" w:hAnsi="Arial"/>
                <w:sz w:val="16"/>
                <w:szCs w:val="16"/>
                <w:color w:val="auto"/>
              </w:rPr>
              <w:t>Financing cash flows from finance leases</w:t>
            </w:r>
          </w:p>
        </w:tc>
        <w:tc>
          <w:tcPr>
            <w:tcW w:w="2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297" w:right="3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2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a maturity analysis summary of the Company's lease liabilities recorded on the Company's Condensed Consolidated Balance Sheet as of February 29,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5480"/>
              <w:spacing w:after="0"/>
              <w:rPr>
                <w:sz w:val="20"/>
                <w:szCs w:val="20"/>
                <w:color w:val="auto"/>
              </w:rPr>
            </w:pPr>
            <w:r>
              <w:rPr>
                <w:rFonts w:ascii="Arial" w:cs="Arial" w:eastAsia="Arial" w:hAnsi="Arial"/>
                <w:sz w:val="16"/>
                <w:szCs w:val="16"/>
                <w:b w:val="1"/>
                <w:bCs w:val="1"/>
                <w:color w:val="auto"/>
              </w:rPr>
              <w:t>Operating</w:t>
            </w:r>
          </w:p>
        </w:tc>
        <w:tc>
          <w:tcPr>
            <w:tcW w:w="1080" w:type="dxa"/>
            <w:vAlign w:val="bottom"/>
          </w:tcPr>
          <w:p>
            <w:pPr>
              <w:spacing w:after="0"/>
              <w:rPr>
                <w:sz w:val="18"/>
                <w:szCs w:val="18"/>
                <w:color w:val="auto"/>
              </w:rPr>
            </w:pPr>
          </w:p>
        </w:tc>
        <w:tc>
          <w:tcPr>
            <w:tcW w:w="1880" w:type="dxa"/>
            <w:vAlign w:val="bottom"/>
          </w:tcPr>
          <w:p>
            <w:pPr>
              <w:jc w:val="right"/>
              <w:ind w:right="699"/>
              <w:spacing w:after="0"/>
              <w:rPr>
                <w:sz w:val="20"/>
                <w:szCs w:val="20"/>
                <w:color w:val="auto"/>
              </w:rPr>
            </w:pPr>
            <w:r>
              <w:rPr>
                <w:rFonts w:ascii="Arial" w:cs="Arial" w:eastAsia="Arial" w:hAnsi="Arial"/>
                <w:sz w:val="16"/>
                <w:szCs w:val="16"/>
                <w:b w:val="1"/>
                <w:bCs w:val="1"/>
                <w:color w:val="auto"/>
              </w:rPr>
              <w:t>Finance</w:t>
            </w:r>
          </w:p>
        </w:tc>
      </w:tr>
      <w:tr>
        <w:trPr>
          <w:trHeight w:val="270"/>
        </w:trPr>
        <w:tc>
          <w:tcPr>
            <w:tcW w:w="6360" w:type="dxa"/>
            <w:vAlign w:val="bottom"/>
          </w:tcPr>
          <w:p>
            <w:pPr>
              <w:ind w:left="5600"/>
              <w:spacing w:after="0"/>
              <w:rPr>
                <w:sz w:val="20"/>
                <w:szCs w:val="20"/>
                <w:color w:val="auto"/>
              </w:rPr>
            </w:pPr>
            <w:r>
              <w:rPr>
                <w:rFonts w:ascii="Arial" w:cs="Arial" w:eastAsia="Arial" w:hAnsi="Arial"/>
                <w:sz w:val="16"/>
                <w:szCs w:val="16"/>
                <w:b w:val="1"/>
                <w:bCs w:val="1"/>
                <w:color w:val="auto"/>
              </w:rPr>
              <w:t>Leases</w:t>
            </w:r>
          </w:p>
        </w:tc>
        <w:tc>
          <w:tcPr>
            <w:tcW w:w="1080" w:type="dxa"/>
            <w:vAlign w:val="bottom"/>
          </w:tcPr>
          <w:p>
            <w:pPr>
              <w:spacing w:after="0"/>
              <w:rPr>
                <w:sz w:val="23"/>
                <w:szCs w:val="23"/>
                <w:color w:val="auto"/>
              </w:rPr>
            </w:pPr>
          </w:p>
        </w:tc>
        <w:tc>
          <w:tcPr>
            <w:tcW w:w="1880" w:type="dxa"/>
            <w:vAlign w:val="bottom"/>
          </w:tcPr>
          <w:p>
            <w:pPr>
              <w:jc w:val="right"/>
              <w:ind w:right="759"/>
              <w:spacing w:after="0"/>
              <w:rPr>
                <w:sz w:val="20"/>
                <w:szCs w:val="20"/>
                <w:color w:val="auto"/>
              </w:rPr>
            </w:pPr>
            <w:r>
              <w:rPr>
                <w:rFonts w:ascii="Arial" w:cs="Arial" w:eastAsia="Arial" w:hAnsi="Arial"/>
                <w:sz w:val="16"/>
                <w:szCs w:val="16"/>
                <w:b w:val="1"/>
                <w:bCs w:val="1"/>
                <w:color w:val="auto"/>
              </w:rPr>
              <w:t>Leases</w:t>
            </w:r>
          </w:p>
        </w:tc>
      </w:tr>
      <w:tr>
        <w:trPr>
          <w:trHeight w:val="46"/>
        </w:trPr>
        <w:tc>
          <w:tcPr>
            <w:tcW w:w="6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63"/>
        </w:trPr>
        <w:tc>
          <w:tcPr>
            <w:tcW w:w="6360" w:type="dxa"/>
            <w:vAlign w:val="bottom"/>
            <w:shd w:val="clear" w:color="auto" w:fill="CCEEFF"/>
          </w:tcPr>
          <w:p>
            <w:pPr>
              <w:ind w:left="40"/>
              <w:spacing w:after="0" w:line="263" w:lineRule="exact"/>
              <w:rPr>
                <w:sz w:val="20"/>
                <w:szCs w:val="20"/>
                <w:color w:val="auto"/>
              </w:rPr>
            </w:pPr>
            <w:r>
              <w:rPr>
                <w:rFonts w:ascii="Arial" w:cs="Arial" w:eastAsia="Arial" w:hAnsi="Arial"/>
                <w:sz w:val="16"/>
                <w:szCs w:val="16"/>
                <w:color w:val="auto"/>
              </w:rPr>
              <w:t xml:space="preserve">Remainder of Fiscal 2020 </w:t>
            </w:r>
            <w:r>
              <w:rPr>
                <w:rFonts w:ascii="Arial" w:cs="Arial" w:eastAsia="Arial" w:hAnsi="Arial"/>
                <w:sz w:val="26"/>
                <w:szCs w:val="26"/>
                <w:color w:val="auto"/>
                <w:vertAlign w:val="superscript"/>
              </w:rPr>
              <w:t>(1)</w:t>
            </w:r>
          </w:p>
        </w:tc>
        <w:tc>
          <w:tcPr>
            <w:tcW w:w="10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$7.1</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Fiscal 2021</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23.6</w:t>
            </w:r>
          </w:p>
        </w:tc>
        <w:tc>
          <w:tcPr>
            <w:tcW w:w="1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2022</w:t>
            </w:r>
          </w:p>
        </w:tc>
        <w:tc>
          <w:tcPr>
            <w:tcW w:w="10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19.1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Fiscal 2023</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13.0</w:t>
            </w:r>
          </w:p>
        </w:tc>
        <w:tc>
          <w:tcPr>
            <w:tcW w:w="18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6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2024</w:t>
            </w:r>
          </w:p>
        </w:tc>
        <w:tc>
          <w:tcPr>
            <w:tcW w:w="10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Fiscal 2025 and thereafter</w:t>
            </w: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11.4</w:t>
            </w:r>
          </w:p>
        </w:tc>
        <w:tc>
          <w:tcPr>
            <w:tcW w:w="18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6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8"/>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payments</w:t>
            </w:r>
          </w:p>
        </w:tc>
        <w:tc>
          <w:tcPr>
            <w:tcW w:w="10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81.4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r>
      <w:tr>
        <w:trPr>
          <w:trHeight w:val="231"/>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Less: interest</w:t>
            </w: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(6.7)</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6"/>
                <w:szCs w:val="16"/>
                <w:b w:val="1"/>
                <w:bCs w:val="1"/>
                <w:color w:val="auto"/>
              </w:rPr>
              <w:t>Total lease liabilities</w:t>
            </w:r>
          </w:p>
        </w:tc>
        <w:tc>
          <w:tcPr>
            <w:tcW w:w="10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$74.7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r>
      <w:tr>
        <w:trPr>
          <w:trHeight w:val="20"/>
        </w:trPr>
        <w:tc>
          <w:tcPr>
            <w:tcW w:w="6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395"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Fiscal 2020 includes the remaining three months of the current fiscal year ending May 31, 2020.</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weighted-average remaining lease terms and weighted-average discount rates related to the Company's leases recorded on the Company's Condensed Consolidated Balance Sheet as of February 29,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800" w:type="dxa"/>
            <w:vAlign w:val="bottom"/>
          </w:tcPr>
          <w:p>
            <w:pPr>
              <w:jc w:val="center"/>
              <w:ind w:left="179"/>
              <w:spacing w:after="0"/>
              <w:rPr>
                <w:sz w:val="20"/>
                <w:szCs w:val="20"/>
                <w:color w:val="auto"/>
              </w:rPr>
            </w:pPr>
            <w:r>
              <w:rPr>
                <w:rFonts w:ascii="Arial" w:cs="Arial" w:eastAsia="Arial" w:hAnsi="Arial"/>
                <w:sz w:val="16"/>
                <w:szCs w:val="16"/>
                <w:b w:val="1"/>
                <w:bCs w:val="1"/>
                <w:color w:val="auto"/>
                <w:w w:val="92"/>
              </w:rPr>
              <w:t>Operating</w:t>
            </w:r>
          </w:p>
        </w:tc>
        <w:tc>
          <w:tcPr>
            <w:tcW w:w="226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Finance</w:t>
            </w:r>
          </w:p>
        </w:tc>
      </w:tr>
      <w:tr>
        <w:trPr>
          <w:trHeight w:val="270"/>
        </w:trPr>
        <w:tc>
          <w:tcPr>
            <w:tcW w:w="4280" w:type="dxa"/>
            <w:vAlign w:val="bottom"/>
          </w:tcPr>
          <w:p>
            <w:pPr>
              <w:spacing w:after="0"/>
              <w:rPr>
                <w:sz w:val="23"/>
                <w:szCs w:val="23"/>
                <w:color w:val="auto"/>
              </w:rPr>
            </w:pPr>
          </w:p>
        </w:tc>
        <w:tc>
          <w:tcPr>
            <w:tcW w:w="2800" w:type="dxa"/>
            <w:vAlign w:val="bottom"/>
          </w:tcPr>
          <w:p>
            <w:pPr>
              <w:jc w:val="center"/>
              <w:ind w:left="179"/>
              <w:spacing w:after="0"/>
              <w:rPr>
                <w:sz w:val="20"/>
                <w:szCs w:val="20"/>
                <w:color w:val="auto"/>
              </w:rPr>
            </w:pPr>
            <w:r>
              <w:rPr>
                <w:rFonts w:ascii="Arial" w:cs="Arial" w:eastAsia="Arial" w:hAnsi="Arial"/>
                <w:sz w:val="16"/>
                <w:szCs w:val="16"/>
                <w:b w:val="1"/>
                <w:bCs w:val="1"/>
                <w:color w:val="auto"/>
                <w:w w:val="84"/>
              </w:rPr>
              <w:t>Leases</w:t>
            </w:r>
          </w:p>
        </w:tc>
        <w:tc>
          <w:tcPr>
            <w:tcW w:w="2260" w:type="dxa"/>
            <w:vAlign w:val="bottom"/>
          </w:tcPr>
          <w:p>
            <w:pPr>
              <w:jc w:val="center"/>
              <w:ind w:left="39"/>
              <w:spacing w:after="0"/>
              <w:rPr>
                <w:sz w:val="20"/>
                <w:szCs w:val="20"/>
                <w:color w:val="auto"/>
              </w:rPr>
            </w:pPr>
            <w:r>
              <w:rPr>
                <w:rFonts w:ascii="Arial" w:cs="Arial" w:eastAsia="Arial" w:hAnsi="Arial"/>
                <w:sz w:val="16"/>
                <w:szCs w:val="16"/>
                <w:b w:val="1"/>
                <w:bCs w:val="1"/>
                <w:color w:val="auto"/>
                <w:w w:val="84"/>
              </w:rPr>
              <w:t>Leases</w:t>
            </w:r>
          </w:p>
        </w:tc>
      </w:tr>
      <w:tr>
        <w:trPr>
          <w:trHeight w:val="33"/>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 (years)</w:t>
            </w:r>
          </w:p>
        </w:tc>
        <w:tc>
          <w:tcPr>
            <w:tcW w:w="280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rPr>
              <w:t>4.2</w:t>
            </w:r>
          </w:p>
        </w:tc>
        <w:tc>
          <w:tcPr>
            <w:tcW w:w="22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6.2</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Weighted-average discount rate</w:t>
            </w:r>
          </w:p>
        </w:tc>
        <w:tc>
          <w:tcPr>
            <w:tcW w:w="2800" w:type="dxa"/>
            <w:vAlign w:val="bottom"/>
          </w:tcPr>
          <w:p>
            <w:pPr>
              <w:jc w:val="right"/>
              <w:ind w:right="1019"/>
              <w:spacing w:after="0"/>
              <w:rPr>
                <w:sz w:val="20"/>
                <w:szCs w:val="20"/>
                <w:color w:val="auto"/>
              </w:rPr>
            </w:pPr>
            <w:r>
              <w:rPr>
                <w:rFonts w:ascii="Arial" w:cs="Arial" w:eastAsia="Arial" w:hAnsi="Arial"/>
                <w:sz w:val="16"/>
                <w:szCs w:val="16"/>
                <w:color w:val="auto"/>
              </w:rPr>
              <w:t>4.0%</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3.8%</w:t>
            </w:r>
          </w:p>
        </w:tc>
      </w:tr>
      <w:tr>
        <w:trPr>
          <w:trHeight w:val="33"/>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included in Selling, general and administrative expenses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420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4280" w:type="dxa"/>
            <w:vAlign w:val="bottom"/>
          </w:tcPr>
          <w:p>
            <w:pPr>
              <w:spacing w:after="0"/>
              <w:rPr>
                <w:sz w:val="23"/>
                <w:szCs w:val="23"/>
                <w:color w:val="auto"/>
              </w:rPr>
            </w:pPr>
          </w:p>
        </w:tc>
        <w:tc>
          <w:tcPr>
            <w:tcW w:w="274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29,</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29,</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4280" w:type="dxa"/>
            <w:vAlign w:val="bottom"/>
          </w:tcPr>
          <w:p>
            <w:pPr>
              <w:spacing w:after="0"/>
              <w:rPr>
                <w:sz w:val="23"/>
                <w:szCs w:val="23"/>
                <w:color w:val="auto"/>
              </w:rPr>
            </w:pPr>
          </w:p>
        </w:tc>
        <w:tc>
          <w:tcPr>
            <w:tcW w:w="27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6"/>
                <w:szCs w:val="16"/>
                <w:color w:val="auto"/>
              </w:rPr>
              <w:t>Stock option expense</w:t>
            </w:r>
          </w:p>
        </w:tc>
        <w:tc>
          <w:tcPr>
            <w:tcW w:w="27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4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 expense</w:t>
            </w:r>
          </w:p>
        </w:tc>
        <w:tc>
          <w:tcPr>
            <w:tcW w:w="2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Management stock purchase plan</w:t>
            </w:r>
          </w:p>
        </w:tc>
        <w:tc>
          <w:tcPr>
            <w:tcW w:w="274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0.0</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0.0</w:t>
            </w:r>
          </w:p>
        </w:tc>
        <w:tc>
          <w:tcPr>
            <w:tcW w:w="13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2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0.0</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0"/>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w:t>
            </w:r>
          </w:p>
        </w:tc>
        <w:tc>
          <w:tcPr>
            <w:tcW w:w="27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$0.7</w:t>
            </w: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w:t>
            </w: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r>
      <w:tr>
        <w:trPr>
          <w:trHeight w:val="33"/>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Common Stock issued pursuant to stock-based compensation plans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4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266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380" w:type="dxa"/>
            <w:vAlign w:val="bottom"/>
          </w:tcPr>
          <w:p>
            <w:pPr>
              <w:spacing w:after="0"/>
              <w:rPr>
                <w:sz w:val="23"/>
                <w:szCs w:val="23"/>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February 29,</w:t>
            </w: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February 28,</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February 29,</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February 28,</w:t>
            </w:r>
          </w:p>
        </w:tc>
      </w:tr>
      <w:tr>
        <w:trPr>
          <w:trHeight w:val="270"/>
        </w:trPr>
        <w:tc>
          <w:tcPr>
            <w:tcW w:w="5380" w:type="dxa"/>
            <w:vAlign w:val="bottom"/>
          </w:tcPr>
          <w:p>
            <w:pPr>
              <w:spacing w:after="0"/>
              <w:rPr>
                <w:sz w:val="23"/>
                <w:szCs w:val="23"/>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33"/>
        </w:trPr>
        <w:tc>
          <w:tcPr>
            <w:tcW w:w="5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6"/>
                <w:szCs w:val="16"/>
                <w:color w:val="auto"/>
                <w:w w:val="93"/>
              </w:rPr>
              <w:t>Common Stock issued pursuant to stock-based compensation plans (in millions)</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0.0</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5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w:t>
      </w:r>
    </w:p>
    <w:p>
      <w:pPr>
        <w:spacing w:after="0" w:line="229"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The Board has authorized the Company to repurchase Common Stock, from time to time as conditions allow, on the open market or through negotiated private transactions.</w:t>
      </w:r>
    </w:p>
    <w:p>
      <w:pPr>
        <w:sectPr>
          <w:pgSz w:w="11900" w:h="16838" w:orient="portrait"/>
          <w:cols w:equalWidth="0" w:num="1">
            <w:col w:w="11220"/>
          </w:cols>
          <w:pgMar w:left="320" w:top="297"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20" w:top="297" w:right="35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0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the Board authorizations at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ind w:left="40"/>
              <w:spacing w:after="0"/>
              <w:rPr>
                <w:sz w:val="20"/>
                <w:szCs w:val="20"/>
                <w:color w:val="auto"/>
              </w:rPr>
            </w:pPr>
            <w:r>
              <w:rPr>
                <w:rFonts w:ascii="Arial" w:cs="Arial" w:eastAsia="Arial" w:hAnsi="Arial"/>
                <w:sz w:val="16"/>
                <w:szCs w:val="16"/>
                <w:b w:val="1"/>
                <w:bCs w:val="1"/>
                <w:color w:val="auto"/>
              </w:rPr>
              <w:t>Authorizations</w:t>
            </w:r>
          </w:p>
        </w:tc>
        <w:tc>
          <w:tcPr>
            <w:tcW w:w="410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w:t>
            </w:r>
          </w:p>
        </w:tc>
      </w:tr>
      <w:tr>
        <w:trPr>
          <w:trHeight w:val="33"/>
        </w:trPr>
        <w:tc>
          <w:tcPr>
            <w:tcW w:w="6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7"/>
        </w:trPr>
        <w:tc>
          <w:tcPr>
            <w:tcW w:w="6820" w:type="dxa"/>
            <w:vAlign w:val="bottom"/>
          </w:tcPr>
          <w:p>
            <w:pPr>
              <w:ind w:left="40"/>
              <w:spacing w:after="0"/>
              <w:rPr>
                <w:sz w:val="20"/>
                <w:szCs w:val="20"/>
                <w:color w:val="auto"/>
              </w:rPr>
            </w:pPr>
            <w:r>
              <w:rPr>
                <w:rFonts w:ascii="Arial" w:cs="Arial" w:eastAsia="Arial" w:hAnsi="Arial"/>
                <w:sz w:val="16"/>
                <w:szCs w:val="16"/>
                <w:color w:val="auto"/>
              </w:rPr>
              <w:t>July 2015</w:t>
            </w:r>
          </w:p>
        </w:tc>
        <w:tc>
          <w:tcPr>
            <w:tcW w:w="41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68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62"/>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2018</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6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current Board authorizations at June 1, 2019</w:t>
            </w:r>
          </w:p>
        </w:tc>
        <w:tc>
          <w:tcPr>
            <w:tcW w:w="4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r>
      <w:tr>
        <w:trPr>
          <w:trHeight w:val="33"/>
        </w:trPr>
        <w:tc>
          <w:tcPr>
            <w:tcW w:w="6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55"/>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repurchases made under these authorizations</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17"/>
        </w:trPr>
        <w:tc>
          <w:tcPr>
            <w:tcW w:w="6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Remaining Board authorization at February 29, 2020</w:t>
            </w:r>
          </w:p>
        </w:tc>
        <w:tc>
          <w:tcPr>
            <w:tcW w:w="4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r>
      <w:tr>
        <w:trPr>
          <w:trHeight w:val="33"/>
        </w:trPr>
        <w:tc>
          <w:tcPr>
            <w:tcW w:w="6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Repurchases of Common Stock were $13.0 and $32.7, respectively, during the three and nine months ended February 29, 2020. The Company’s repurchase program may be suspended at any time without prior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activity in Accumulated other comprehensive income (loss), net of tax, by component,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February 29, 2020</w:t>
            </w:r>
          </w:p>
        </w:tc>
        <w:tc>
          <w:tcPr>
            <w:tcW w:w="920" w:type="dxa"/>
            <w:vAlign w:val="bottom"/>
          </w:tcPr>
          <w:p>
            <w:pPr>
              <w:spacing w:after="0"/>
              <w:rPr>
                <w:sz w:val="18"/>
                <w:szCs w:val="18"/>
                <w:color w:val="auto"/>
              </w:rPr>
            </w:pPr>
          </w:p>
        </w:tc>
      </w:tr>
      <w:tr>
        <w:trPr>
          <w:trHeight w:val="249"/>
        </w:trPr>
        <w:tc>
          <w:tcPr>
            <w:tcW w:w="5580" w:type="dxa"/>
            <w:vAlign w:val="bottom"/>
          </w:tcPr>
          <w:p>
            <w:pPr>
              <w:spacing w:after="0"/>
              <w:rPr>
                <w:sz w:val="21"/>
                <w:szCs w:val="21"/>
                <w:color w:val="auto"/>
              </w:rPr>
            </w:pPr>
          </w:p>
        </w:tc>
        <w:tc>
          <w:tcPr>
            <w:tcW w:w="212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Foreign currency</w:t>
            </w:r>
          </w:p>
        </w:tc>
        <w:tc>
          <w:tcPr>
            <w:tcW w:w="1960" w:type="dxa"/>
            <w:vAlign w:val="bottom"/>
          </w:tcPr>
          <w:p>
            <w:pPr>
              <w:jc w:val="center"/>
              <w:ind w:right="399"/>
              <w:spacing w:after="0"/>
              <w:rPr>
                <w:sz w:val="20"/>
                <w:szCs w:val="20"/>
                <w:color w:val="auto"/>
              </w:rPr>
            </w:pPr>
            <w:r>
              <w:rPr>
                <w:rFonts w:ascii="Arial" w:cs="Arial" w:eastAsia="Arial" w:hAnsi="Arial"/>
                <w:sz w:val="16"/>
                <w:szCs w:val="16"/>
                <w:b w:val="1"/>
                <w:bCs w:val="1"/>
                <w:color w:val="auto"/>
                <w:w w:val="91"/>
              </w:rPr>
              <w:t>Retirement benefit</w:t>
            </w:r>
          </w:p>
        </w:tc>
        <w:tc>
          <w:tcPr>
            <w:tcW w:w="920" w:type="dxa"/>
            <w:vAlign w:val="bottom"/>
          </w:tcPr>
          <w:p>
            <w:pPr>
              <w:spacing w:after="0"/>
              <w:rPr>
                <w:sz w:val="21"/>
                <w:szCs w:val="21"/>
                <w:color w:val="auto"/>
              </w:rPr>
            </w:pPr>
          </w:p>
        </w:tc>
      </w:tr>
      <w:tr>
        <w:trPr>
          <w:trHeight w:val="210"/>
        </w:trPr>
        <w:tc>
          <w:tcPr>
            <w:tcW w:w="5580" w:type="dxa"/>
            <w:vAlign w:val="bottom"/>
          </w:tcPr>
          <w:p>
            <w:pPr>
              <w:spacing w:after="0"/>
              <w:rPr>
                <w:sz w:val="18"/>
                <w:szCs w:val="18"/>
                <w:color w:val="auto"/>
              </w:rPr>
            </w:pPr>
          </w:p>
        </w:tc>
        <w:tc>
          <w:tcPr>
            <w:tcW w:w="212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translation adjustments</w:t>
            </w:r>
          </w:p>
        </w:tc>
        <w:tc>
          <w:tcPr>
            <w:tcW w:w="1960" w:type="dxa"/>
            <w:vAlign w:val="bottom"/>
          </w:tcPr>
          <w:p>
            <w:pPr>
              <w:jc w:val="center"/>
              <w:ind w:right="399"/>
              <w:spacing w:after="0"/>
              <w:rPr>
                <w:sz w:val="20"/>
                <w:szCs w:val="20"/>
                <w:color w:val="auto"/>
              </w:rPr>
            </w:pPr>
            <w:r>
              <w:rPr>
                <w:rFonts w:ascii="Arial" w:cs="Arial" w:eastAsia="Arial" w:hAnsi="Arial"/>
                <w:sz w:val="16"/>
                <w:szCs w:val="16"/>
                <w:b w:val="1"/>
                <w:bCs w:val="1"/>
                <w:color w:val="auto"/>
                <w:w w:val="86"/>
              </w:rPr>
              <w:t>plans</w:t>
            </w: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 at December 1, 2019</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$(45.2)</w:t>
            </w:r>
          </w:p>
        </w:tc>
        <w:tc>
          <w:tcPr>
            <w:tcW w:w="19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$(57.4)</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5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Less amount reclassified from Accumulated other comprehensive income (loss):</w:t>
            </w:r>
          </w:p>
        </w:tc>
        <w:tc>
          <w:tcPr>
            <w:tcW w:w="2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Amortization of gains and losses (net of tax of $0.0)</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0.3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5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 (net of tax of $0.0)</w:t>
            </w:r>
          </w:p>
        </w:tc>
        <w:tc>
          <w:tcPr>
            <w:tcW w:w="2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0.0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0"/>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2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9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0.3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Ending balance at February 29, 2020</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$(47.5)</w:t>
            </w:r>
          </w:p>
        </w:tc>
        <w:tc>
          <w:tcPr>
            <w:tcW w:w="19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$(59.4)</w:t>
            </w:r>
          </w:p>
        </w:tc>
      </w:tr>
      <w:tr>
        <w:trPr>
          <w:trHeight w:val="433"/>
        </w:trPr>
        <w:tc>
          <w:tcPr>
            <w:tcW w:w="558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 February 28, 2019</w:t>
            </w:r>
          </w:p>
        </w:tc>
        <w:tc>
          <w:tcPr>
            <w:tcW w:w="920" w:type="dxa"/>
            <w:vAlign w:val="bottom"/>
            <w:tcBorders>
              <w:top w:val="single" w:sz="8" w:color="auto"/>
            </w:tcBorders>
          </w:tcPr>
          <w:p>
            <w:pPr>
              <w:spacing w:after="0"/>
              <w:rPr>
                <w:sz w:val="24"/>
                <w:szCs w:val="24"/>
                <w:color w:val="auto"/>
              </w:rPr>
            </w:pPr>
          </w:p>
        </w:tc>
      </w:tr>
      <w:tr>
        <w:trPr>
          <w:trHeight w:val="249"/>
        </w:trPr>
        <w:tc>
          <w:tcPr>
            <w:tcW w:w="5580" w:type="dxa"/>
            <w:vAlign w:val="bottom"/>
          </w:tcPr>
          <w:p>
            <w:pPr>
              <w:spacing w:after="0"/>
              <w:rPr>
                <w:sz w:val="21"/>
                <w:szCs w:val="21"/>
                <w:color w:val="auto"/>
              </w:rPr>
            </w:pPr>
          </w:p>
        </w:tc>
        <w:tc>
          <w:tcPr>
            <w:tcW w:w="212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Foreign currency</w:t>
            </w:r>
          </w:p>
        </w:tc>
        <w:tc>
          <w:tcPr>
            <w:tcW w:w="1960" w:type="dxa"/>
            <w:vAlign w:val="bottom"/>
          </w:tcPr>
          <w:p>
            <w:pPr>
              <w:jc w:val="center"/>
              <w:ind w:right="399"/>
              <w:spacing w:after="0"/>
              <w:rPr>
                <w:sz w:val="20"/>
                <w:szCs w:val="20"/>
                <w:color w:val="auto"/>
              </w:rPr>
            </w:pPr>
            <w:r>
              <w:rPr>
                <w:rFonts w:ascii="Arial" w:cs="Arial" w:eastAsia="Arial" w:hAnsi="Arial"/>
                <w:sz w:val="16"/>
                <w:szCs w:val="16"/>
                <w:b w:val="1"/>
                <w:bCs w:val="1"/>
                <w:color w:val="auto"/>
                <w:w w:val="91"/>
              </w:rPr>
              <w:t>Retirement benefit</w:t>
            </w:r>
          </w:p>
        </w:tc>
        <w:tc>
          <w:tcPr>
            <w:tcW w:w="920" w:type="dxa"/>
            <w:vAlign w:val="bottom"/>
          </w:tcPr>
          <w:p>
            <w:pPr>
              <w:spacing w:after="0"/>
              <w:rPr>
                <w:sz w:val="21"/>
                <w:szCs w:val="21"/>
                <w:color w:val="auto"/>
              </w:rPr>
            </w:pPr>
          </w:p>
        </w:tc>
      </w:tr>
      <w:tr>
        <w:trPr>
          <w:trHeight w:val="210"/>
        </w:trPr>
        <w:tc>
          <w:tcPr>
            <w:tcW w:w="5580" w:type="dxa"/>
            <w:vAlign w:val="bottom"/>
          </w:tcPr>
          <w:p>
            <w:pPr>
              <w:spacing w:after="0"/>
              <w:rPr>
                <w:sz w:val="18"/>
                <w:szCs w:val="18"/>
                <w:color w:val="auto"/>
              </w:rPr>
            </w:pPr>
          </w:p>
        </w:tc>
        <w:tc>
          <w:tcPr>
            <w:tcW w:w="212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translation adjustments</w:t>
            </w:r>
          </w:p>
        </w:tc>
        <w:tc>
          <w:tcPr>
            <w:tcW w:w="1960" w:type="dxa"/>
            <w:vAlign w:val="bottom"/>
          </w:tcPr>
          <w:p>
            <w:pPr>
              <w:jc w:val="center"/>
              <w:ind w:right="399"/>
              <w:spacing w:after="0"/>
              <w:rPr>
                <w:sz w:val="20"/>
                <w:szCs w:val="20"/>
                <w:color w:val="auto"/>
              </w:rPr>
            </w:pPr>
            <w:r>
              <w:rPr>
                <w:rFonts w:ascii="Arial" w:cs="Arial" w:eastAsia="Arial" w:hAnsi="Arial"/>
                <w:sz w:val="16"/>
                <w:szCs w:val="16"/>
                <w:b w:val="1"/>
                <w:bCs w:val="1"/>
                <w:color w:val="auto"/>
                <w:w w:val="86"/>
              </w:rPr>
              <w:t>plans</w:t>
            </w: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 at December 1, 2018</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$(45.6)</w:t>
            </w:r>
          </w:p>
        </w:tc>
        <w:tc>
          <w:tcPr>
            <w:tcW w:w="19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5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Less amount reclassified from Accumulated other comprehensive income (loss):</w:t>
            </w:r>
          </w:p>
        </w:tc>
        <w:tc>
          <w:tcPr>
            <w:tcW w:w="2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Amortization of gains and losses (net of tax of $0.0)</w:t>
            </w:r>
          </w:p>
        </w:tc>
        <w:tc>
          <w:tcPr>
            <w:tcW w:w="2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559"/>
              <w:spacing w:after="0"/>
              <w:rPr>
                <w:sz w:val="20"/>
                <w:szCs w:val="20"/>
                <w:color w:val="auto"/>
              </w:rPr>
            </w:pPr>
            <w:r>
              <w:rPr>
                <w:rFonts w:ascii="Arial" w:cs="Arial" w:eastAsia="Arial" w:hAnsi="Arial"/>
                <w:sz w:val="16"/>
                <w:szCs w:val="16"/>
                <w:color w:val="auto"/>
              </w:rPr>
              <w:t>0.2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5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 (net of tax of $0.0)</w:t>
            </w:r>
          </w:p>
        </w:tc>
        <w:tc>
          <w:tcPr>
            <w:tcW w:w="2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0.0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0"/>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2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w:t>
            </w:r>
          </w:p>
        </w:tc>
        <w:tc>
          <w:tcPr>
            <w:tcW w:w="19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0.2</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5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Ending balance at February 28, 2019</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$(43.9)</w:t>
            </w:r>
          </w:p>
        </w:tc>
        <w:tc>
          <w:tcPr>
            <w:tcW w:w="19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$(10.7)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r>
      <w:tr>
        <w:trPr>
          <w:trHeight w:val="20"/>
        </w:trPr>
        <w:tc>
          <w:tcPr>
            <w:tcW w:w="55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297" w:right="379"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0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4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 February 29, 2020</w:t>
            </w:r>
          </w:p>
        </w:tc>
        <w:tc>
          <w:tcPr>
            <w:tcW w:w="840" w:type="dxa"/>
            <w:vAlign w:val="bottom"/>
          </w:tcPr>
          <w:p>
            <w:pPr>
              <w:spacing w:after="0"/>
              <w:rPr>
                <w:sz w:val="18"/>
                <w:szCs w:val="18"/>
                <w:color w:val="auto"/>
              </w:rPr>
            </w:pPr>
          </w:p>
        </w:tc>
      </w:tr>
      <w:tr>
        <w:trPr>
          <w:trHeight w:val="249"/>
        </w:trPr>
        <w:tc>
          <w:tcPr>
            <w:tcW w:w="5940" w:type="dxa"/>
            <w:vAlign w:val="bottom"/>
          </w:tcPr>
          <w:p>
            <w:pPr>
              <w:spacing w:after="0"/>
              <w:rPr>
                <w:sz w:val="21"/>
                <w:szCs w:val="21"/>
                <w:color w:val="auto"/>
              </w:rPr>
            </w:pPr>
          </w:p>
        </w:tc>
        <w:tc>
          <w:tcPr>
            <w:tcW w:w="248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Foreign currency</w:t>
            </w: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Retirement benefit</w:t>
            </w:r>
          </w:p>
        </w:tc>
        <w:tc>
          <w:tcPr>
            <w:tcW w:w="840" w:type="dxa"/>
            <w:vAlign w:val="bottom"/>
          </w:tcPr>
          <w:p>
            <w:pPr>
              <w:spacing w:after="0"/>
              <w:rPr>
                <w:sz w:val="21"/>
                <w:szCs w:val="21"/>
                <w:color w:val="auto"/>
              </w:rPr>
            </w:pPr>
          </w:p>
        </w:tc>
      </w:tr>
      <w:tr>
        <w:trPr>
          <w:trHeight w:val="210"/>
        </w:trPr>
        <w:tc>
          <w:tcPr>
            <w:tcW w:w="5940" w:type="dxa"/>
            <w:vAlign w:val="bottom"/>
          </w:tcPr>
          <w:p>
            <w:pPr>
              <w:spacing w:after="0"/>
              <w:rPr>
                <w:sz w:val="18"/>
                <w:szCs w:val="18"/>
                <w:color w:val="auto"/>
              </w:rPr>
            </w:pPr>
          </w:p>
        </w:tc>
        <w:tc>
          <w:tcPr>
            <w:tcW w:w="2480" w:type="dxa"/>
            <w:vAlign w:val="bottom"/>
          </w:tcPr>
          <w:p>
            <w:pPr>
              <w:jc w:val="center"/>
              <w:ind w:left="439"/>
              <w:spacing w:after="0"/>
              <w:rPr>
                <w:sz w:val="20"/>
                <w:szCs w:val="20"/>
                <w:color w:val="auto"/>
              </w:rPr>
            </w:pPr>
            <w:r>
              <w:rPr>
                <w:rFonts w:ascii="Arial" w:cs="Arial" w:eastAsia="Arial" w:hAnsi="Arial"/>
                <w:sz w:val="16"/>
                <w:szCs w:val="16"/>
                <w:b w:val="1"/>
                <w:bCs w:val="1"/>
                <w:color w:val="auto"/>
                <w:w w:val="90"/>
              </w:rPr>
              <w:t>translation adjustments</w:t>
            </w: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plans</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59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2019</w:t>
            </w:r>
          </w:p>
        </w:tc>
        <w:tc>
          <w:tcPr>
            <w:tcW w:w="2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$(47.1)</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$(12.6)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$(59.7)</w:t>
            </w: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5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2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Amortization of gains and losses (net of tax of $0.0)</w:t>
            </w:r>
          </w:p>
        </w:tc>
        <w:tc>
          <w:tcPr>
            <w:tcW w:w="2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19"/>
              <w:spacing w:after="0"/>
              <w:rPr>
                <w:sz w:val="20"/>
                <w:szCs w:val="20"/>
                <w:color w:val="auto"/>
              </w:rPr>
            </w:pPr>
            <w:r>
              <w:rPr>
                <w:rFonts w:ascii="Arial" w:cs="Arial" w:eastAsia="Arial" w:hAnsi="Arial"/>
                <w:sz w:val="16"/>
                <w:szCs w:val="16"/>
                <w:color w:val="auto"/>
              </w:rPr>
              <w:t>0.8</w:t>
            </w:r>
          </w:p>
        </w:tc>
        <w:tc>
          <w:tcPr>
            <w:tcW w:w="8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5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 (net of tax of $0.0)</w:t>
            </w:r>
          </w:p>
        </w:tc>
        <w:tc>
          <w:tcPr>
            <w:tcW w:w="2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1"/>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8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0.7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9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29, 2020</w:t>
            </w:r>
          </w:p>
        </w:tc>
        <w:tc>
          <w:tcPr>
            <w:tcW w:w="2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$(47.5)</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$(59.4)</w:t>
            </w:r>
          </w:p>
        </w:tc>
      </w:tr>
      <w:tr>
        <w:trPr>
          <w:trHeight w:val="555"/>
        </w:trPr>
        <w:tc>
          <w:tcPr>
            <w:tcW w:w="594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Nine months ended February 28, 2019</w:t>
            </w:r>
          </w:p>
        </w:tc>
        <w:tc>
          <w:tcPr>
            <w:tcW w:w="840" w:type="dxa"/>
            <w:vAlign w:val="bottom"/>
            <w:tcBorders>
              <w:top w:val="single" w:sz="8" w:color="auto"/>
            </w:tcBorders>
          </w:tcPr>
          <w:p>
            <w:pPr>
              <w:spacing w:after="0"/>
              <w:rPr>
                <w:sz w:val="24"/>
                <w:szCs w:val="24"/>
                <w:color w:val="auto"/>
              </w:rPr>
            </w:pPr>
          </w:p>
        </w:tc>
      </w:tr>
      <w:tr>
        <w:trPr>
          <w:trHeight w:val="249"/>
        </w:trPr>
        <w:tc>
          <w:tcPr>
            <w:tcW w:w="5940" w:type="dxa"/>
            <w:vAlign w:val="bottom"/>
          </w:tcPr>
          <w:p>
            <w:pPr>
              <w:spacing w:after="0"/>
              <w:rPr>
                <w:sz w:val="21"/>
                <w:szCs w:val="21"/>
                <w:color w:val="auto"/>
              </w:rPr>
            </w:pPr>
          </w:p>
        </w:tc>
        <w:tc>
          <w:tcPr>
            <w:tcW w:w="248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Foreign currency</w:t>
            </w: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Retirement benefit</w:t>
            </w:r>
          </w:p>
        </w:tc>
        <w:tc>
          <w:tcPr>
            <w:tcW w:w="840" w:type="dxa"/>
            <w:vAlign w:val="bottom"/>
          </w:tcPr>
          <w:p>
            <w:pPr>
              <w:spacing w:after="0"/>
              <w:rPr>
                <w:sz w:val="21"/>
                <w:szCs w:val="21"/>
                <w:color w:val="auto"/>
              </w:rPr>
            </w:pPr>
          </w:p>
        </w:tc>
      </w:tr>
      <w:tr>
        <w:trPr>
          <w:trHeight w:val="210"/>
        </w:trPr>
        <w:tc>
          <w:tcPr>
            <w:tcW w:w="5940" w:type="dxa"/>
            <w:vAlign w:val="bottom"/>
          </w:tcPr>
          <w:p>
            <w:pPr>
              <w:spacing w:after="0"/>
              <w:rPr>
                <w:sz w:val="18"/>
                <w:szCs w:val="18"/>
                <w:color w:val="auto"/>
              </w:rPr>
            </w:pPr>
          </w:p>
        </w:tc>
        <w:tc>
          <w:tcPr>
            <w:tcW w:w="2480" w:type="dxa"/>
            <w:vAlign w:val="bottom"/>
          </w:tcPr>
          <w:p>
            <w:pPr>
              <w:jc w:val="center"/>
              <w:ind w:left="439"/>
              <w:spacing w:after="0"/>
              <w:rPr>
                <w:sz w:val="20"/>
                <w:szCs w:val="20"/>
                <w:color w:val="auto"/>
              </w:rPr>
            </w:pPr>
            <w:r>
              <w:rPr>
                <w:rFonts w:ascii="Arial" w:cs="Arial" w:eastAsia="Arial" w:hAnsi="Arial"/>
                <w:sz w:val="16"/>
                <w:szCs w:val="16"/>
                <w:b w:val="1"/>
                <w:bCs w:val="1"/>
                <w:color w:val="auto"/>
                <w:w w:val="90"/>
              </w:rPr>
              <w:t>translation adjustments</w:t>
            </w: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plans</w:t>
            </w: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59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at June 1, 2018</w:t>
            </w:r>
          </w:p>
        </w:tc>
        <w:tc>
          <w:tcPr>
            <w:tcW w:w="2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$(41.9)</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$(13.8)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w:t>
            </w: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amount reclassified from Accumulated other comprehensive income (loss):</w:t>
            </w:r>
          </w:p>
        </w:tc>
        <w:tc>
          <w:tcPr>
            <w:tcW w:w="2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Amortization of gains and losses (net of tax of $0.0)</w:t>
            </w:r>
          </w:p>
        </w:tc>
        <w:tc>
          <w:tcPr>
            <w:tcW w:w="2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19"/>
              <w:spacing w:after="0"/>
              <w:rPr>
                <w:sz w:val="20"/>
                <w:szCs w:val="20"/>
                <w:color w:val="auto"/>
              </w:rPr>
            </w:pPr>
            <w:r>
              <w:rPr>
                <w:rFonts w:ascii="Arial" w:cs="Arial" w:eastAsia="Arial" w:hAnsi="Arial"/>
                <w:sz w:val="16"/>
                <w:szCs w:val="16"/>
                <w:color w:val="auto"/>
              </w:rPr>
              <w:t>0.6</w:t>
            </w: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5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Postretirement benefit plan remeasurement (net of tax of $0.8)</w:t>
            </w:r>
          </w:p>
        </w:tc>
        <w:tc>
          <w:tcPr>
            <w:tcW w:w="2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Amortization of prior service credit (net of tax of $0.0)</w:t>
            </w:r>
          </w:p>
        </w:tc>
        <w:tc>
          <w:tcPr>
            <w:tcW w:w="2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19"/>
              <w:spacing w:after="0"/>
              <w:rPr>
                <w:sz w:val="20"/>
                <w:szCs w:val="20"/>
                <w:color w:val="auto"/>
              </w:rPr>
            </w:pPr>
            <w:r>
              <w:rPr>
                <w:rFonts w:ascii="Arial" w:cs="Arial" w:eastAsia="Arial" w:hAnsi="Arial"/>
                <w:sz w:val="16"/>
                <w:szCs w:val="16"/>
                <w:color w:val="auto"/>
              </w:rPr>
              <w:t>(0.1)</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reclassifications (net of tax of $0.0)</w:t>
            </w:r>
          </w:p>
        </w:tc>
        <w:tc>
          <w:tcPr>
            <w:tcW w:w="2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0"/>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8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3.1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9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at February 28, 2019</w:t>
            </w:r>
          </w:p>
        </w:tc>
        <w:tc>
          <w:tcPr>
            <w:tcW w:w="2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$(43.9)</w:t>
            </w:r>
          </w:p>
        </w:tc>
        <w:tc>
          <w:tcPr>
            <w:tcW w:w="1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r>
      <w:tr>
        <w:trPr>
          <w:trHeight w:val="20"/>
        </w:trPr>
        <w:tc>
          <w:tcPr>
            <w:tcW w:w="59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on earnings of reclassifications out of Accumulated other comprehensive income (loss) for the periods indicated:</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86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3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Condensed Consolidated Statements of</w:t>
            </w:r>
          </w:p>
        </w:tc>
        <w:tc>
          <w:tcPr>
            <w:tcW w:w="0" w:type="dxa"/>
            <w:vAlign w:val="bottom"/>
          </w:tcPr>
          <w:p>
            <w:pPr>
              <w:spacing w:after="0"/>
              <w:rPr>
                <w:sz w:val="1"/>
                <w:szCs w:val="1"/>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540" w:type="dxa"/>
            <w:vAlign w:val="bottom"/>
          </w:tcPr>
          <w:p>
            <w:pPr>
              <w:spacing w:after="0"/>
              <w:rPr>
                <w:sz w:val="8"/>
                <w:szCs w:val="8"/>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February 29,</w:t>
            </w:r>
          </w:p>
        </w:tc>
        <w:tc>
          <w:tcPr>
            <w:tcW w:w="14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February 28,</w:t>
            </w:r>
          </w:p>
        </w:tc>
        <w:tc>
          <w:tcPr>
            <w:tcW w:w="14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February 29,</w:t>
            </w:r>
          </w:p>
        </w:tc>
        <w:tc>
          <w:tcPr>
            <w:tcW w:w="13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February 28,</w:t>
            </w:r>
          </w:p>
        </w:tc>
        <w:tc>
          <w:tcPr>
            <w:tcW w:w="3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300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Operations line item</w:t>
            </w:r>
          </w:p>
        </w:tc>
        <w:tc>
          <w:tcPr>
            <w:tcW w:w="0" w:type="dxa"/>
            <w:vAlign w:val="bottom"/>
          </w:tcPr>
          <w:p>
            <w:pPr>
              <w:spacing w:after="0"/>
              <w:rPr>
                <w:sz w:val="1"/>
                <w:szCs w:val="1"/>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Employee benefit plans:</w:t>
            </w:r>
          </w:p>
        </w:tc>
        <w:tc>
          <w:tcPr>
            <w:tcW w:w="1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w w:val="98"/>
              </w:rPr>
              <w:t>Amortization of unrecognized (gain)</w:t>
            </w: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40" w:type="dxa"/>
            <w:vAlign w:val="bottom"/>
          </w:tcPr>
          <w:p>
            <w:pPr>
              <w:ind w:left="20"/>
              <w:spacing w:after="0"/>
              <w:rPr>
                <w:sz w:val="20"/>
                <w:szCs w:val="20"/>
                <w:color w:val="auto"/>
              </w:rPr>
            </w:pPr>
            <w:r>
              <w:rPr>
                <w:rFonts w:ascii="Arial" w:cs="Arial" w:eastAsia="Arial" w:hAnsi="Arial"/>
                <w:sz w:val="16"/>
                <w:szCs w:val="16"/>
                <w:color w:val="auto"/>
              </w:rPr>
              <w:t>loss</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$0.8</w:t>
            </w:r>
          </w:p>
        </w:tc>
        <w:tc>
          <w:tcPr>
            <w:tcW w:w="1300" w:type="dxa"/>
            <w:vAlign w:val="bottom"/>
          </w:tcPr>
          <w:p>
            <w:pPr>
              <w:jc w:val="right"/>
              <w:spacing w:after="0"/>
              <w:rPr>
                <w:sz w:val="20"/>
                <w:szCs w:val="20"/>
                <w:color w:val="auto"/>
              </w:rPr>
            </w:pPr>
            <w:r>
              <w:rPr>
                <w:rFonts w:ascii="Arial" w:cs="Arial" w:eastAsia="Arial" w:hAnsi="Arial"/>
                <w:sz w:val="16"/>
                <w:szCs w:val="16"/>
                <w:color w:val="auto"/>
              </w:rPr>
              <w:t>$0.6</w:t>
            </w:r>
          </w:p>
        </w:tc>
        <w:tc>
          <w:tcPr>
            <w:tcW w:w="3000" w:type="dxa"/>
            <w:vAlign w:val="bottom"/>
          </w:tcPr>
          <w:p>
            <w:pPr>
              <w:ind w:left="20"/>
              <w:spacing w:after="0"/>
              <w:rPr>
                <w:sz w:val="20"/>
                <w:szCs w:val="20"/>
                <w:color w:val="auto"/>
              </w:rPr>
            </w:pPr>
            <w:r>
              <w:rPr>
                <w:rFonts w:ascii="Arial" w:cs="Arial" w:eastAsia="Arial" w:hAnsi="Arial"/>
                <w:sz w:val="14"/>
                <w:szCs w:val="14"/>
                <w:color w:val="auto"/>
              </w:rPr>
              <w:t>Other components of net periodic benefit (cost)</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0.0</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0.0</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components of net periodic benefit (cost)</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Tax effect</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0.0</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0.0</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cost, net of tax</w:t>
            </w: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$0.3</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$0.2</w:t>
            </w:r>
          </w:p>
        </w:tc>
        <w:tc>
          <w:tcPr>
            <w:tcW w:w="1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3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61" w:lineRule="exact"/>
        <w:rPr>
          <w:sz w:val="20"/>
          <w:szCs w:val="20"/>
          <w:color w:val="auto"/>
        </w:rPr>
      </w:pPr>
    </w:p>
    <w:p>
      <w:pPr>
        <w:ind w:left="5540" w:right="2860" w:hanging="5357"/>
        <w:spacing w:after="0" w:line="532" w:lineRule="auto"/>
        <w:tabs>
          <w:tab w:leader="none" w:pos="513"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24</w:t>
      </w:r>
    </w:p>
    <w:p>
      <w:pPr>
        <w:sectPr>
          <w:pgSz w:w="11900" w:h="16838" w:orient="portrait"/>
          <w:cols w:equalWidth="0" w:num="1">
            <w:col w:w="11200"/>
          </w:cols>
          <w:pgMar w:left="320" w:top="297" w:right="379"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2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500" w:right="300" w:hanging="317"/>
        <w:spacing w:after="0" w:line="26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quoted prices included in Level 1, including quoted prices for similar assets or liabilities in active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quoted prices for identical assets or liabilities in inactive markets, inputs other than quoted prices that are observable for the asset or liability and inputs derived principally from or corroborated by observable market data.</w:t>
      </w:r>
    </w:p>
    <w:p>
      <w:pPr>
        <w:spacing w:after="0" w:line="175" w:lineRule="exact"/>
        <w:rPr>
          <w:rFonts w:ascii="Arial" w:cs="Arial" w:eastAsia="Arial" w:hAnsi="Arial"/>
          <w:sz w:val="18"/>
          <w:szCs w:val="18"/>
          <w:color w:val="auto"/>
        </w:rPr>
      </w:pPr>
    </w:p>
    <w:p>
      <w:pPr>
        <w:ind w:left="500" w:right="100" w:hanging="317"/>
        <w:spacing w:after="0" w:line="282"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approximates the carrying value for all periods presented. The fair values of foreign currency forward contracts, used by the Company to manage the impact of foreign exchange rate changes, are based on quotations from financial institutions, a Level 2 fair value measure. See Note 17, Derivatives and Hedging, for a more complete description of the fair value measurements employed.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for which the Company employs fair value measures on a non-recurring basis include:</w:t>
      </w:r>
    </w:p>
    <w:p>
      <w:pPr>
        <w:spacing w:after="0" w:line="23" w:lineRule="exact"/>
        <w:rPr>
          <w:sz w:val="20"/>
          <w:szCs w:val="20"/>
          <w:color w:val="auto"/>
        </w:rPr>
      </w:pPr>
    </w:p>
    <w:p>
      <w:pPr>
        <w:ind w:left="500" w:hanging="31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 w:lineRule="exact"/>
        <w:rPr>
          <w:rFonts w:ascii="Arial" w:cs="Arial" w:eastAsia="Arial" w:hAnsi="Arial"/>
          <w:sz w:val="18"/>
          <w:szCs w:val="18"/>
          <w:color w:val="auto"/>
        </w:rPr>
      </w:pPr>
    </w:p>
    <w:p>
      <w:pPr>
        <w:ind w:left="500" w:hanging="31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500" w:hanging="31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500" w:hanging="31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assessment of Goodwill and intangible assets</w:t>
      </w:r>
    </w:p>
    <w:p>
      <w:pPr>
        <w:spacing w:after="0" w:line="9" w:lineRule="exact"/>
        <w:rPr>
          <w:rFonts w:ascii="Arial" w:cs="Arial" w:eastAsia="Arial" w:hAnsi="Arial"/>
          <w:sz w:val="18"/>
          <w:szCs w:val="18"/>
          <w:color w:val="auto"/>
        </w:rPr>
      </w:pPr>
    </w:p>
    <w:p>
      <w:pPr>
        <w:ind w:left="500" w:hanging="31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For the fair value measurements employed by the Company for certain property, plant and equipment, production assets, investments and prepublication assets, the Company assessed future expected cash flows attributable to these assets.</w:t>
      </w:r>
    </w:p>
    <w:p>
      <w:pPr>
        <w:spacing w:after="0" w:line="180" w:lineRule="exact"/>
        <w:rPr>
          <w:sz w:val="20"/>
          <w:szCs w:val="20"/>
          <w:color w:val="auto"/>
        </w:rPr>
      </w:pPr>
    </w:p>
    <w:p>
      <w:pPr>
        <w:ind w:right="7780" w:firstLine="8"/>
        <w:spacing w:after="0" w:line="503" w:lineRule="auto"/>
        <w:tabs>
          <w:tab w:leader="none" w:pos="2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 Income Taxes</w:t>
      </w:r>
    </w:p>
    <w:p>
      <w:pPr>
        <w:spacing w:after="0" w:line="254" w:lineRule="auto"/>
        <w:rPr>
          <w:sz w:val="20"/>
          <w:szCs w:val="20"/>
          <w:color w:val="auto"/>
        </w:rPr>
      </w:pPr>
      <w:r>
        <w:rPr>
          <w:rFonts w:ascii="Arial" w:cs="Arial" w:eastAsia="Arial" w:hAnsi="Arial"/>
          <w:sz w:val="18"/>
          <w:szCs w:val="18"/>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interim effective tax rate, inclusive of discrete items, was 28.0% for the three month period ended February 29, 2020 and 27.4% for the nine month period ended February 29, 2020.</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including its domestic subsidiaries, files a consolidated U.S. income tax return, and also files tax returns in various states and other local jurisdictions. Also, certain subsidiaries of the Company file income tax returns in foreign jurisdictions. The Company is routinely audited by various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with respect to a jurisdiction is probable and can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97" w:right="359"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404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be reliably estimated for such jurisdiction, the Company has made accruals for these matters which are reflected in the Company’s Condensed Consolidated Financial Statements. These amounts are included in the Financial </w:t>
      </w:r>
      <w:r>
        <w:rPr>
          <w:rFonts w:ascii="Arial" w:cs="Arial" w:eastAsia="Arial" w:hAnsi="Arial"/>
          <w:sz w:val="18"/>
          <w:szCs w:val="18"/>
          <w:color w:val="2D2D2D"/>
        </w:rPr>
        <w:t>Statements in Selling, general and administrative expenses. Future developments</w:t>
      </w:r>
      <w:r>
        <w:rPr>
          <w:rFonts w:ascii="Arial" w:cs="Arial" w:eastAsia="Arial" w:hAnsi="Arial"/>
          <w:sz w:val="18"/>
          <w:szCs w:val="18"/>
          <w:color w:val="auto"/>
        </w:rPr>
        <w:t xml:space="preserve"> </w:t>
      </w:r>
      <w:r>
        <w:rPr>
          <w:rFonts w:ascii="Arial" w:cs="Arial" w:eastAsia="Arial" w:hAnsi="Arial"/>
          <w:sz w:val="18"/>
          <w:szCs w:val="18"/>
          <w:color w:val="2D2D2D"/>
        </w:rPr>
        <w:t>relating to the foregoing could result in adjustments being made to these accruals.</w:t>
      </w:r>
    </w:p>
    <w:p>
      <w:pPr>
        <w:spacing w:after="0" w:line="1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On June 21, 2018, the U.S. Supreme Court issued its opinion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reversing prior precedent, in particular </w:t>
      </w:r>
      <w:r>
        <w:rPr>
          <w:rFonts w:ascii="Arial" w:cs="Arial" w:eastAsia="Arial" w:hAnsi="Arial"/>
          <w:sz w:val="17"/>
          <w:szCs w:val="17"/>
          <w:i w:val="1"/>
          <w:iCs w:val="1"/>
          <w:color w:val="auto"/>
        </w:rPr>
        <w:t>Quill Corp.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North Dakota </w:t>
      </w:r>
      <w:r>
        <w:rPr>
          <w:rFonts w:ascii="Arial" w:cs="Arial" w:eastAsia="Arial" w:hAnsi="Arial"/>
          <w:sz w:val="17"/>
          <w:szCs w:val="17"/>
          <w:color w:val="auto"/>
        </w:rPr>
        <w:t>(1992), which held that states could not constitutionally require retailers to collect and remit sales or use taxes in respect to mail order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sales made to residents of a state in the absence of the retailer having a physical presence in the taxing state. As a result, the Company now has an obligation, at least on a going forward basis, to collect and remit sales and use taxes, primarily in respect to sales made through its school book club channel, as well as certain sales made through its ecommerce internet sites, to residents in states that the Company has not previously remitted sales or use taxes based on its having no physical presence in such states. As of February 29, 2020, the Company’s school book club channel was remitting sales taxes in 44 states and the District of Columbia. Any on-going or future litigation with states relating to sales and use taxes could be impacted favorably or unfavorably by the Court’s decision in future fiscal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AND HEDGING</w:t>
      </w:r>
    </w:p>
    <w:p>
      <w:pPr>
        <w:spacing w:after="0" w:line="22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marks-to-market these instruments and records the changes in the fair value of these items in Selling, general and administrative expenses and it recognizes the unrealized gain or loss in Other current assets or Other current liabilities. The notional values of the contracts as of February 29, 2020 and February 28, 2019 were $26.0 and $30.0, respectively. Unrealized gains of $0.7 and $0.3 were recognized for the nine months ended February 29, 2020 and February 28,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consisted of the following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3180" w:type="dxa"/>
            <w:vAlign w:val="bottom"/>
          </w:tcPr>
          <w:p>
            <w:pPr>
              <w:jc w:val="right"/>
              <w:ind w:right="699"/>
              <w:spacing w:after="0"/>
              <w:rPr>
                <w:sz w:val="20"/>
                <w:szCs w:val="20"/>
                <w:color w:val="auto"/>
              </w:rPr>
            </w:pPr>
            <w:r>
              <w:rPr>
                <w:rFonts w:ascii="Arial" w:cs="Arial" w:eastAsia="Arial" w:hAnsi="Arial"/>
                <w:sz w:val="16"/>
                <w:szCs w:val="16"/>
                <w:b w:val="1"/>
                <w:bCs w:val="1"/>
                <w:color w:val="auto"/>
              </w:rPr>
              <w:t>February 29, 2020</w:t>
            </w:r>
          </w:p>
        </w:tc>
        <w:tc>
          <w:tcPr>
            <w:tcW w:w="2140" w:type="dxa"/>
            <w:vAlign w:val="bottom"/>
          </w:tcPr>
          <w:p>
            <w:pPr>
              <w:jc w:val="right"/>
              <w:ind w:right="759"/>
              <w:spacing w:after="0"/>
              <w:rPr>
                <w:sz w:val="20"/>
                <w:szCs w:val="20"/>
                <w:color w:val="auto"/>
              </w:rPr>
            </w:pPr>
            <w:r>
              <w:rPr>
                <w:rFonts w:ascii="Arial" w:cs="Arial" w:eastAsia="Arial" w:hAnsi="Arial"/>
                <w:sz w:val="16"/>
                <w:szCs w:val="16"/>
                <w:b w:val="1"/>
                <w:bCs w:val="1"/>
                <w:color w:val="auto"/>
              </w:rPr>
              <w:t>May 31, 2019</w:t>
            </w:r>
          </w:p>
        </w:tc>
        <w:tc>
          <w:tcPr>
            <w:tcW w:w="1980" w:type="dxa"/>
            <w:vAlign w:val="bottom"/>
          </w:tcPr>
          <w:p>
            <w:pPr>
              <w:ind w:left="280"/>
              <w:spacing w:after="0"/>
              <w:rPr>
                <w:sz w:val="20"/>
                <w:szCs w:val="20"/>
                <w:color w:val="auto"/>
              </w:rPr>
            </w:pPr>
            <w:r>
              <w:rPr>
                <w:rFonts w:ascii="Arial" w:cs="Arial" w:eastAsia="Arial" w:hAnsi="Arial"/>
                <w:sz w:val="16"/>
                <w:szCs w:val="16"/>
                <w:b w:val="1"/>
                <w:bCs w:val="1"/>
                <w:color w:val="auto"/>
              </w:rPr>
              <w:t>February 28, 2019</w:t>
            </w:r>
          </w:p>
        </w:tc>
      </w:tr>
      <w:tr>
        <w:trPr>
          <w:trHeight w:val="33"/>
        </w:trPr>
        <w:tc>
          <w:tcPr>
            <w:tcW w:w="39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 payroll taxes and benefits</w:t>
            </w:r>
          </w:p>
        </w:tc>
        <w:tc>
          <w:tcPr>
            <w:tcW w:w="31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$39.6</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$41.2</w:t>
            </w:r>
          </w:p>
        </w:tc>
        <w:tc>
          <w:tcPr>
            <w:tcW w:w="1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w w:val="94"/>
              </w:rPr>
              <w:t>$45.2</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Accrued bonus and commissions</w:t>
            </w:r>
          </w:p>
        </w:tc>
        <w:tc>
          <w:tcPr>
            <w:tcW w:w="3180" w:type="dxa"/>
            <w:vAlign w:val="bottom"/>
          </w:tcPr>
          <w:p>
            <w:pPr>
              <w:jc w:val="right"/>
              <w:ind w:right="379"/>
              <w:spacing w:after="0"/>
              <w:rPr>
                <w:sz w:val="20"/>
                <w:szCs w:val="20"/>
                <w:color w:val="auto"/>
              </w:rPr>
            </w:pPr>
            <w:r>
              <w:rPr>
                <w:rFonts w:ascii="Arial" w:cs="Arial" w:eastAsia="Arial" w:hAnsi="Arial"/>
                <w:sz w:val="16"/>
                <w:szCs w:val="16"/>
                <w:color w:val="auto"/>
              </w:rPr>
              <w:t>18.2</w:t>
            </w:r>
          </w:p>
        </w:tc>
        <w:tc>
          <w:tcPr>
            <w:tcW w:w="2140" w:type="dxa"/>
            <w:vAlign w:val="bottom"/>
          </w:tcPr>
          <w:p>
            <w:pPr>
              <w:jc w:val="right"/>
              <w:ind w:right="279"/>
              <w:spacing w:after="0"/>
              <w:rPr>
                <w:sz w:val="20"/>
                <w:szCs w:val="20"/>
                <w:color w:val="auto"/>
              </w:rPr>
            </w:pPr>
            <w:r>
              <w:rPr>
                <w:rFonts w:ascii="Arial" w:cs="Arial" w:eastAsia="Arial" w:hAnsi="Arial"/>
                <w:sz w:val="16"/>
                <w:szCs w:val="16"/>
                <w:color w:val="auto"/>
              </w:rPr>
              <w:t>13.7</w:t>
            </w:r>
          </w:p>
        </w:tc>
        <w:tc>
          <w:tcPr>
            <w:tcW w:w="1980" w:type="dxa"/>
            <w:vAlign w:val="bottom"/>
          </w:tcPr>
          <w:p>
            <w:pPr>
              <w:ind w:left="1580"/>
              <w:spacing w:after="0"/>
              <w:rPr>
                <w:sz w:val="20"/>
                <w:szCs w:val="20"/>
                <w:color w:val="auto"/>
              </w:rPr>
            </w:pPr>
            <w:r>
              <w:rPr>
                <w:rFonts w:ascii="Arial" w:cs="Arial" w:eastAsia="Arial" w:hAnsi="Arial"/>
                <w:sz w:val="16"/>
                <w:szCs w:val="16"/>
                <w:color w:val="auto"/>
              </w:rPr>
              <w:t>13.0</w:t>
            </w:r>
          </w:p>
        </w:tc>
      </w:tr>
      <w:tr>
        <w:trPr>
          <w:trHeight w:val="33"/>
        </w:trPr>
        <w:tc>
          <w:tcPr>
            <w:tcW w:w="3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Returns liability</w:t>
            </w:r>
          </w:p>
        </w:tc>
        <w:tc>
          <w:tcPr>
            <w:tcW w:w="3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40.6</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34.5</w:t>
            </w:r>
          </w:p>
        </w:tc>
        <w:tc>
          <w:tcPr>
            <w:tcW w:w="1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97.3</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Accrued other taxes</w:t>
            </w:r>
          </w:p>
        </w:tc>
        <w:tc>
          <w:tcPr>
            <w:tcW w:w="3180" w:type="dxa"/>
            <w:vAlign w:val="bottom"/>
          </w:tcPr>
          <w:p>
            <w:pPr>
              <w:jc w:val="right"/>
              <w:ind w:right="379"/>
              <w:spacing w:after="0"/>
              <w:rPr>
                <w:sz w:val="20"/>
                <w:szCs w:val="20"/>
                <w:color w:val="auto"/>
              </w:rPr>
            </w:pPr>
            <w:r>
              <w:rPr>
                <w:rFonts w:ascii="Arial" w:cs="Arial" w:eastAsia="Arial" w:hAnsi="Arial"/>
                <w:sz w:val="16"/>
                <w:szCs w:val="16"/>
                <w:color w:val="auto"/>
              </w:rPr>
              <w:t>24.6</w:t>
            </w:r>
          </w:p>
        </w:tc>
        <w:tc>
          <w:tcPr>
            <w:tcW w:w="2140" w:type="dxa"/>
            <w:vAlign w:val="bottom"/>
          </w:tcPr>
          <w:p>
            <w:pPr>
              <w:jc w:val="right"/>
              <w:ind w:right="279"/>
              <w:spacing w:after="0"/>
              <w:rPr>
                <w:sz w:val="20"/>
                <w:szCs w:val="20"/>
                <w:color w:val="auto"/>
              </w:rPr>
            </w:pPr>
            <w:r>
              <w:rPr>
                <w:rFonts w:ascii="Arial" w:cs="Arial" w:eastAsia="Arial" w:hAnsi="Arial"/>
                <w:sz w:val="16"/>
                <w:szCs w:val="16"/>
                <w:color w:val="auto"/>
              </w:rPr>
              <w:t>29.3</w:t>
            </w:r>
          </w:p>
        </w:tc>
        <w:tc>
          <w:tcPr>
            <w:tcW w:w="1980" w:type="dxa"/>
            <w:vAlign w:val="bottom"/>
          </w:tcPr>
          <w:p>
            <w:pPr>
              <w:ind w:left="1580"/>
              <w:spacing w:after="0"/>
              <w:rPr>
                <w:sz w:val="20"/>
                <w:szCs w:val="20"/>
                <w:color w:val="auto"/>
              </w:rPr>
            </w:pPr>
            <w:r>
              <w:rPr>
                <w:rFonts w:ascii="Arial" w:cs="Arial" w:eastAsia="Arial" w:hAnsi="Arial"/>
                <w:sz w:val="16"/>
                <w:szCs w:val="16"/>
                <w:color w:val="auto"/>
              </w:rPr>
              <w:t>23.5</w:t>
            </w:r>
          </w:p>
        </w:tc>
      </w:tr>
      <w:tr>
        <w:trPr>
          <w:trHeight w:val="33"/>
        </w:trPr>
        <w:tc>
          <w:tcPr>
            <w:tcW w:w="3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advertising and promotions</w:t>
            </w:r>
          </w:p>
        </w:tc>
        <w:tc>
          <w:tcPr>
            <w:tcW w:w="3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11.0</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9.6</w:t>
            </w:r>
          </w:p>
        </w:tc>
        <w:tc>
          <w:tcPr>
            <w:tcW w:w="1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10.2</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Other accrued expenses</w:t>
            </w:r>
          </w:p>
        </w:tc>
        <w:tc>
          <w:tcPr>
            <w:tcW w:w="3180" w:type="dxa"/>
            <w:vAlign w:val="bottom"/>
          </w:tcPr>
          <w:p>
            <w:pPr>
              <w:jc w:val="right"/>
              <w:ind w:right="379"/>
              <w:spacing w:after="0"/>
              <w:rPr>
                <w:sz w:val="20"/>
                <w:szCs w:val="20"/>
                <w:color w:val="auto"/>
              </w:rPr>
            </w:pPr>
            <w:r>
              <w:rPr>
                <w:rFonts w:ascii="Arial" w:cs="Arial" w:eastAsia="Arial" w:hAnsi="Arial"/>
                <w:sz w:val="16"/>
                <w:szCs w:val="16"/>
                <w:color w:val="auto"/>
              </w:rPr>
              <w:t>36.9</w:t>
            </w:r>
          </w:p>
        </w:tc>
        <w:tc>
          <w:tcPr>
            <w:tcW w:w="2140" w:type="dxa"/>
            <w:vAlign w:val="bottom"/>
          </w:tcPr>
          <w:p>
            <w:pPr>
              <w:jc w:val="right"/>
              <w:ind w:right="279"/>
              <w:spacing w:after="0"/>
              <w:rPr>
                <w:sz w:val="20"/>
                <w:szCs w:val="20"/>
                <w:color w:val="auto"/>
              </w:rPr>
            </w:pPr>
            <w:r>
              <w:rPr>
                <w:rFonts w:ascii="Arial" w:cs="Arial" w:eastAsia="Arial" w:hAnsi="Arial"/>
                <w:sz w:val="16"/>
                <w:szCs w:val="16"/>
                <w:color w:val="auto"/>
              </w:rPr>
              <w:t>36.5</w:t>
            </w:r>
          </w:p>
        </w:tc>
        <w:tc>
          <w:tcPr>
            <w:tcW w:w="1980" w:type="dxa"/>
            <w:vAlign w:val="bottom"/>
          </w:tcPr>
          <w:p>
            <w:pPr>
              <w:ind w:left="1580"/>
              <w:spacing w:after="0"/>
              <w:rPr>
                <w:sz w:val="20"/>
                <w:szCs w:val="20"/>
                <w:color w:val="auto"/>
              </w:rPr>
            </w:pPr>
            <w:r>
              <w:rPr>
                <w:rFonts w:ascii="Arial" w:cs="Arial" w:eastAsia="Arial" w:hAnsi="Arial"/>
                <w:sz w:val="16"/>
                <w:szCs w:val="16"/>
                <w:color w:val="auto"/>
              </w:rPr>
              <w:t>47.0</w:t>
            </w:r>
          </w:p>
        </w:tc>
      </w:tr>
      <w:tr>
        <w:trPr>
          <w:trHeight w:val="33"/>
        </w:trPr>
        <w:tc>
          <w:tcPr>
            <w:tcW w:w="39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accrued expenses</w:t>
            </w:r>
          </w:p>
        </w:tc>
        <w:tc>
          <w:tcPr>
            <w:tcW w:w="31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$170.9</w:t>
            </w:r>
          </w:p>
        </w:tc>
        <w:tc>
          <w:tcPr>
            <w:tcW w:w="21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$164.8</w:t>
            </w:r>
          </w:p>
        </w:tc>
        <w:tc>
          <w:tcPr>
            <w:tcW w:w="19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b w:val="1"/>
                <w:bCs w:val="1"/>
                <w:color w:val="auto"/>
                <w:w w:val="93"/>
              </w:rPr>
              <w:t>$236.2</w:t>
            </w:r>
          </w:p>
        </w:tc>
      </w:tr>
      <w:tr>
        <w:trPr>
          <w:trHeight w:val="20"/>
        </w:trPr>
        <w:tc>
          <w:tcPr>
            <w:tcW w:w="394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Board declared a quarterly cash dividend of $0.15 per share on the Company’s Class A and Common Stock for the fourth quarter of fiscal 2020. The dividend is payable on June 15, 2020 to shareholders of record as of the close of business on April 30, 2020.</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March 18, 2020, the Board authorized an additional $50.0 for repurchases of common stock under the Company’s stock repurchase program. Under this program, which will continue to be funded with available cash, the Company may purchase shares, from time to time as conditions allow, on the open market or in negotiated private transactions. This authorization increases the aggregate amount of shares, in dollar terms, which may be repurchased to $67.3 as of March 18, 2020, after giving effect to the remaining amounts available for share repurchases under previous authorizations.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97" w:right="33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SCHOLASTIC CORPORATION</w:t>
      </w:r>
    </w:p>
    <w:p>
      <w:pPr>
        <w:spacing w:after="0" w:line="27" w:lineRule="exact"/>
        <w:rPr>
          <w:sz w:val="20"/>
          <w:szCs w:val="20"/>
          <w:color w:val="auto"/>
        </w:rPr>
      </w:pPr>
    </w:p>
    <w:p>
      <w:pPr>
        <w:ind w:left="40" w:right="3880"/>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 UNAUDITED (Dollar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and subsequent to the third quarter of the current fiscal year, the novel coronavirus strain, known as COVID-19, continues to spread across the globe at an increasing rate. The Company has been, and will continue to be, affected by coronavirus-related school closings mandated by states and districts, which impact all school related businesses and more directly the book clubs and book fairs channels. See Note 6, Commitments and Contingencies, and Item 2. Management's Discussion and Analysis of Financial Condition and Results of Operations (MD&amp;A), specifically the Overview and Outlook and Liquidity sections, for further discussion.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297" w:right="49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Revenues for the quarter ended February 29, 2020 were $373.3 million, compared to $360.1 million in the prior fiscal year quarter, an increase of $13.2 million. The Company reported a net loss per diluted share of Class A and Common Stock of $1.25 in the third quarter of fiscal 2020, compared to a net loss per diluted share of $0.36 in the prior fiscal year quarter.</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fiscal quarter ended February 29, 2020, revenues increased 3.7% primarily driven by sales from the trade channel which continued to have titles at the top of bestsellers lists. In addition, revenues increased in the Education operating segment driven by growth in classroom books, professional learning, core instruction and classroom magazines. In the book fairs channel, data-informed right-sizing and the scheduling of fairs continued to improve revenue per fair. Operating costs were adversely impacted by an inventory related write down of $40.0 million recognized in the fiscal quarter as changes were made to the Company's North American purchasing protocols, product offerings and inventory retention policies reducing the anticipated inventory requirements in the Company's school channels. This excess inventory write down will result in more efficient asset utilization, lower obsolescence expense and reduced warehouse labor costs in future periods.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will be affected, in the fourth fiscal quarter, by coronavirus-related school closings mandated by states and districts, which will impact school-based businesses directly. Revenues will therefore be materially lower in the seasonally important fourth fiscal quarter. As a result, the Company is taking certain actions that are intended to reduce the adverse impact of the loss of revenues on profitability and cash flow, such as a freeze on travel and entertainment and other discretionary expenditures, reduced inventory purchasing, the curtailment of non-essential business activities, staffing cost reductions, and temporary branch closures in highly impacted regions.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Revenues for the quarter ended February 29, 2020 increased to $373.3 million, compared to $360.1 million in the prior fiscal year.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 revenues increased by $2.2 million, primarily due to increased trade channel revenue, driven by the completion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of a majority interest in MBI and its full consolidation in the financial statements and by sales of the Company's best-selling titles and series, coupled with higher revenues in the book fairs channel, partially offset by lower revenues in the book club channel due to a lower number of events and lower revenue per event. In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revenues increased by $14.0 million, primarily driven by classroom book collections and core instruction products due to a large school district sale. In local currency,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revenues decreased by $2.5 million, primarily driven by lower revenues in Canada's school-based channels, due to a decline in sponsorship and an on-going teacher labor action in Ontario, and in the Asia markets which are being impacted by the local actions taken to curtail the spread of the coronavirus, partially offset by higher revenues in the Company's international trade channel in all major markets.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revenues were impacted by unfavorable foreign exchange of $0.5 million.</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Revenues for the nine months ended February 29, 2020 increased to $1,203.1 million, compared to $1,183.2 million in the prior fiscal year period. The </w:t>
      </w:r>
      <w:r>
        <w:rPr>
          <w:rFonts w:ascii="Arial" w:cs="Arial" w:eastAsia="Arial" w:hAnsi="Arial"/>
          <w:sz w:val="17"/>
          <w:szCs w:val="17"/>
          <w:i w:val="1"/>
          <w:iCs w:val="1"/>
          <w:color w:val="auto"/>
        </w:rPr>
        <w:t xml:space="preserve">Children's Book Publishing and Distribution </w:t>
      </w:r>
      <w:r>
        <w:rPr>
          <w:rFonts w:ascii="Arial" w:cs="Arial" w:eastAsia="Arial" w:hAnsi="Arial"/>
          <w:sz w:val="17"/>
          <w:szCs w:val="17"/>
          <w:color w:val="auto"/>
        </w:rPr>
        <w:t>segment revenue increased $11.8 million, driven by higher trade revenue of $31.5 million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completion of the acquisition of the majority interest in MBI and the continued success of the Company's best-selling titles and series, as well as higher revenues in the book fairs channel of $8.4 million, partially offset by a decrease in book clubs revenues of $28.1 million. 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revenues increased $12.9 million primarily driven by classroom book collections and core instruction products due to a large school district sale. In local currency,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revenues increased by $0.2 million, primarily driven by higher revenues in the Company's international trade channel in all major markets, partially offset by lower revenues in Canada and the direct sales channel in Asia.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revenues were impacted by unfavorable foreign exchange of $5.0 million.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297" w:right="37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Cost of goods sold for the three and nine months ended February 29, 2020 and February 28,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1100" w:type="dxa"/>
            <w:vAlign w:val="bottom"/>
          </w:tcPr>
          <w:p>
            <w:pPr>
              <w:spacing w:after="0"/>
              <w:rPr>
                <w:sz w:val="18"/>
                <w:szCs w:val="18"/>
                <w:color w:val="auto"/>
              </w:rPr>
            </w:pPr>
          </w:p>
        </w:tc>
      </w:tr>
      <w:tr>
        <w:trPr>
          <w:trHeight w:val="270"/>
        </w:trPr>
        <w:tc>
          <w:tcPr>
            <w:tcW w:w="2380" w:type="dxa"/>
            <w:vAlign w:val="bottom"/>
          </w:tcPr>
          <w:p>
            <w:pPr>
              <w:spacing w:after="0"/>
              <w:rPr>
                <w:sz w:val="23"/>
                <w:szCs w:val="23"/>
                <w:color w:val="auto"/>
              </w:rPr>
            </w:pPr>
          </w:p>
        </w:tc>
        <w:tc>
          <w:tcPr>
            <w:tcW w:w="226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February 29,</w:t>
            </w:r>
          </w:p>
        </w:tc>
        <w:tc>
          <w:tcPr>
            <w:tcW w:w="2260" w:type="dxa"/>
            <w:vAlign w:val="bottom"/>
            <w:gridSpan w:val="2"/>
          </w:tcPr>
          <w:p>
            <w:pPr>
              <w:jc w:val="right"/>
              <w:ind w:right="799"/>
              <w:spacing w:after="0"/>
              <w:rPr>
                <w:sz w:val="20"/>
                <w:szCs w:val="20"/>
                <w:color w:val="auto"/>
              </w:rPr>
            </w:pPr>
            <w:r>
              <w:rPr>
                <w:rFonts w:ascii="Arial" w:cs="Arial" w:eastAsia="Arial" w:hAnsi="Arial"/>
                <w:sz w:val="16"/>
                <w:szCs w:val="16"/>
                <w:b w:val="1"/>
                <w:bCs w:val="1"/>
                <w:color w:val="auto"/>
              </w:rPr>
              <w:t>February 28,</w:t>
            </w:r>
          </w:p>
        </w:tc>
        <w:tc>
          <w:tcPr>
            <w:tcW w:w="226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February 29,</w:t>
            </w:r>
          </w:p>
        </w:tc>
        <w:tc>
          <w:tcPr>
            <w:tcW w:w="19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February 28,</w:t>
            </w:r>
          </w:p>
        </w:tc>
      </w:tr>
      <w:tr>
        <w:trPr>
          <w:trHeight w:val="270"/>
        </w:trPr>
        <w:tc>
          <w:tcPr>
            <w:tcW w:w="2380" w:type="dxa"/>
            <w:vAlign w:val="bottom"/>
          </w:tcPr>
          <w:p>
            <w:pPr>
              <w:spacing w:after="0"/>
              <w:rPr>
                <w:sz w:val="23"/>
                <w:szCs w:val="23"/>
                <w:color w:val="auto"/>
              </w:rPr>
            </w:pPr>
          </w:p>
        </w:tc>
        <w:tc>
          <w:tcPr>
            <w:tcW w:w="226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2020</w:t>
            </w:r>
          </w:p>
        </w:tc>
        <w:tc>
          <w:tcPr>
            <w:tcW w:w="22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2019</w:t>
            </w:r>
          </w:p>
        </w:tc>
        <w:tc>
          <w:tcPr>
            <w:tcW w:w="22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2020</w:t>
            </w:r>
          </w:p>
        </w:tc>
        <w:tc>
          <w:tcPr>
            <w:tcW w:w="198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33"/>
        </w:trPr>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2380" w:type="dxa"/>
            <w:vAlign w:val="bottom"/>
          </w:tcPr>
          <w:p>
            <w:pPr>
              <w:ind w:left="40"/>
              <w:spacing w:after="0"/>
              <w:rPr>
                <w:sz w:val="20"/>
                <w:szCs w:val="20"/>
                <w:color w:val="auto"/>
              </w:rPr>
            </w:pPr>
            <w:r>
              <w:rPr>
                <w:rFonts w:ascii="Arial" w:cs="Arial" w:eastAsia="Arial" w:hAnsi="Arial"/>
                <w:sz w:val="16"/>
                <w:szCs w:val="16"/>
                <w:i w:val="1"/>
                <w:iCs w:val="1"/>
                <w:color w:val="auto"/>
              </w:rPr>
              <w:t>($ amounts in millions)</w:t>
            </w: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 of Revenue</w:t>
            </w: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 of Revenue</w:t>
            </w: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 of Revenue</w:t>
            </w: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w w:val="99"/>
              </w:rPr>
              <w:t>% of Revenue</w:t>
            </w:r>
          </w:p>
        </w:tc>
      </w:tr>
      <w:tr>
        <w:trPr>
          <w:trHeight w:val="33"/>
        </w:trPr>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 service and production</w:t>
            </w: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c>
          <w:tcPr>
            <w:tcW w:w="13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3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26.5%</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$320.3</w:t>
            </w:r>
          </w:p>
        </w:tc>
        <w:tc>
          <w:tcPr>
            <w:tcW w:w="13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26.6%</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Royalty costs</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7.6</w:t>
            </w:r>
          </w:p>
        </w:tc>
        <w:tc>
          <w:tcPr>
            <w:tcW w:w="880" w:type="dxa"/>
            <w:vAlign w:val="bottom"/>
          </w:tcPr>
          <w:p>
            <w:pPr>
              <w:jc w:val="right"/>
              <w:spacing w:after="0"/>
              <w:rPr>
                <w:sz w:val="20"/>
                <w:szCs w:val="20"/>
                <w:color w:val="auto"/>
              </w:rPr>
            </w:pPr>
            <w:r>
              <w:rPr>
                <w:rFonts w:ascii="Arial" w:cs="Arial" w:eastAsia="Arial" w:hAnsi="Arial"/>
                <w:sz w:val="16"/>
                <w:szCs w:val="16"/>
                <w:color w:val="auto"/>
              </w:rPr>
              <w:t>24.5</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6.8</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7.6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87.7</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7.4</w:t>
            </w: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Prepublication and production</w:t>
            </w:r>
          </w:p>
        </w:tc>
        <w:tc>
          <w:tcPr>
            <w:tcW w:w="9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3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3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Postage, freight, shipping,</w:t>
            </w: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fulfillment and other</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12.9</w:t>
            </w:r>
          </w:p>
        </w:tc>
        <w:tc>
          <w:tcPr>
            <w:tcW w:w="880" w:type="dxa"/>
            <w:vAlign w:val="bottom"/>
          </w:tcPr>
          <w:p>
            <w:pPr>
              <w:jc w:val="right"/>
              <w:spacing w:after="0"/>
              <w:rPr>
                <w:sz w:val="20"/>
                <w:szCs w:val="20"/>
                <w:color w:val="auto"/>
              </w:rPr>
            </w:pPr>
            <w:r>
              <w:rPr>
                <w:rFonts w:ascii="Arial" w:cs="Arial" w:eastAsia="Arial" w:hAnsi="Arial"/>
                <w:sz w:val="16"/>
                <w:szCs w:val="16"/>
                <w:color w:val="auto"/>
              </w:rPr>
              <w:t>50.8</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14.1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152.2</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12.7</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13.2</w:t>
            </w:r>
          </w:p>
        </w:tc>
      </w:tr>
      <w:tr>
        <w:trPr>
          <w:trHeight w:val="33"/>
        </w:trPr>
        <w:tc>
          <w:tcPr>
            <w:tcW w:w="2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$183.0</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$176.9</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49.1%</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$584.4</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48.6%</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$564.6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r>
      <w:tr>
        <w:trPr>
          <w:trHeight w:val="20"/>
        </w:trPr>
        <w:tc>
          <w:tcPr>
            <w:tcW w:w="2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Cost of goods sold for the quarter ended February 29, 2020 was $183.0 million, or 49.0% of revenues, compared to $176.9 million, or 49.1% of revenues, in the prior fiscal year quarter. Cost of goods sold as a percentage of revenues remained primarily flat due to the increase in education channel revenues which carried a lower cost of product, and product mix in the book club channel resulting in favorable postage, freight and shipping costs, offset by higher tariffs and the completion of the acquisition of a majority interest in MBI and its full consolidation in the financial statements. MBI specialty products have a higher cost of product as a percentage of revenue due to higher manufacturing costs.</w:t>
      </w:r>
    </w:p>
    <w:p>
      <w:pPr>
        <w:spacing w:after="0" w:line="23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Cost of goods sold for the nine months ended February 29, 2020 was $584.4 million, or 48.6% of revenues, compared $564.6 million, or 47.7% of revenues, in the prior fiscal year period. The increase in Cost of goods sold as a percentage of revenues was primarily due to the completion of the acquisition of the majority interest in MBI and its full consolidation in the financial statements. MBI manufacturing costs associated with specialty products represented a portion of the increase in Cost of goods sold as a percentage of revenues. In addition, the Company recognized higher costs relating to tariffs and higher prepublication amortization costs, partially offset by the increase in education channel revenues which carried a lower cost of product. The Company continues to monitor and employ strategies to offset increased costs associated with higher tariffs. Tariffs will impact the cost of goods sold in the remaining fiscal year, especially in the domestic school-based channels.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 the quarter ended February 29, 2020 increased to $194.9 million, compared to $190.9 million in the prior fiscal year quarter. The increase was primarily related to higher employee related expenses which included increased severance expense of $1.3 million and lower equity method investment income due to the consolidation of MBI, partially offset by lower marketing expenses and a decrease in net sales tax expense in the book club channel.</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in the nine months ended February 29, 2020 decreased to $574.8 million, compared to $584.3 million in the prior fiscal year period. The decrease was primarily related to lower marketing expenses in the book club and education channels, lower labor related expenses and a decrease in net sales tax expense in the book club channel and lower operating expenses in the book fair channel as a result of business process improvements, coupled with the absence of a prior period pretax charge related to a legacy sales tax assessment, partially offset by increased severance expense of $3.8 million and lower equity method investment income due to the consolidation of MBI. The Company may potentially experience increases in bad debt expenses in the fourth fiscal quarter as a result of measures, including mandated requirements, taken to limit the spread of coronavirus.</w:t>
      </w:r>
    </w:p>
    <w:p>
      <w:pPr>
        <w:spacing w:after="0" w:line="19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Depreciation and amortization expenses in the quarter ended February 29, 2020 increased to $15.4 million, compared to $13.7 million in the prior fiscal year quarter. The increase was primarily attributable to upgraded point-of-sale machines placed into service in the book fair channel and assets placed in service for capitalized strategic technology investments.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297" w:right="35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Depreciation and amortization expenses in the nine months ended February 29, 2020 increased to $46.2 million, compared to $41.3 million in the prior fiscal year period. The increase was primarily attributable to upgraded point-of-sale machines placed into service in the book fair channel and assets placed in service for capitalized strategic technology investments.</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Asset impairments and write downs in the three and nine months ended February 29, 2020 were $40.0 million. In the fiscal quarter ended February 29, 2020, changes were made to the Company's North American purchasing protocols, product offerings and inventory retention policies reducing the anticipated inventory requirements in the Company's school channels. The changes will result in lower inventory requirements, more efficient asset utilization, lower obsolescence expense and reduced warehouse labor costs in future periods. As a result of the foregoing, the Company recorded a write down of inventory of $37.6 million. Capitalized prepublication and author advances costs, related to the inventory, of $0.8 million and $1.6 million, respectively, were written down as well.</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interest income in the quarter ended February 29, 2020 was $0.3 million compared to Net interest income of $1.0 million in the prior fiscal year quarter. The decrease in Net interest income is primarily due to lower U.S. interest rates and lower short-term investment balances driven, in part, by higher common stock repurchases.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interest income in the nine months ended February 29, 2020 was $1.0 million, compared to Net interest income of $2.3 million in the prior fiscal year period. The decrease in Net interest income is primarily due to lower U.S. interest rates and lower short-term investment balances driven, in part, by higher common stock repurchases. The Company expects a continued decrease in Net interest income in future periods.</w:t>
      </w:r>
    </w:p>
    <w:p>
      <w:pPr>
        <w:spacing w:after="0" w:line="16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effective tax rate for the quarter ended February 29, 2020 was 28.0%, compared to 39.4% in the prior fiscal year quarter. The Company’s effective tax rate for the nine month period ended February 29, 2020 was 27.4%, compared to 60.3% in the prior fiscal year period.</w:t>
      </w:r>
    </w:p>
    <w:p>
      <w:pPr>
        <w:spacing w:after="0" w:line="14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Net loss for the quarter ended February 29, 2020 increased by $30.7 million to $43.3 million, compared to Net loss of $12.6 million in the prior fiscal year quarter. Loss per basic and diluted share of Class A and Common Stock was $1.25 and $1.25, respectively, for the fiscal quarter ended February 29, 2020, compared to a net loss per basic and diluted share of Class A and Common Stock of $0.36 and $0.36, respectively, in the prior fiscal year quarter.</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loss for the nine months ended February 29, 2020 increased by $28.4 million to $30.7 million, compared to Net loss of $2.3 million in the prior fiscal year period. Loss per basic and diluted share of Class A and Common Stock was $0.89 and $0.89, respectively, in the nine month period ended February 29, 2020, compared to a net loss per basic and diluted share of Class A Stock and Common Stock of $0.07 and $0.07, respectively, in the prior fiscal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Book Publishing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8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7"/>
        </w:trPr>
        <w:tc>
          <w:tcPr>
            <w:tcW w:w="2300" w:type="dxa"/>
            <w:vAlign w:val="bottom"/>
          </w:tcPr>
          <w:p>
            <w:pPr>
              <w:spacing w:after="0"/>
              <w:rPr>
                <w:sz w:val="22"/>
                <w:szCs w:val="22"/>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29,</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28,</w:t>
            </w: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29,</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February 28,</w:t>
            </w:r>
          </w:p>
        </w:tc>
        <w:tc>
          <w:tcPr>
            <w:tcW w:w="90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256"/>
        </w:trPr>
        <w:tc>
          <w:tcPr>
            <w:tcW w:w="2300" w:type="dxa"/>
            <w:vAlign w:val="bottom"/>
          </w:tcPr>
          <w:p>
            <w:pPr>
              <w:ind w:left="40"/>
              <w:spacing w:after="0"/>
              <w:rPr>
                <w:sz w:val="20"/>
                <w:szCs w:val="20"/>
                <w:color w:val="auto"/>
              </w:rPr>
            </w:pPr>
            <w:r>
              <w:rPr>
                <w:rFonts w:ascii="Arial" w:cs="Arial" w:eastAsia="Arial" w:hAnsi="Arial"/>
                <w:sz w:val="16"/>
                <w:szCs w:val="16"/>
                <w:i w:val="1"/>
                <w:iCs w:val="1"/>
                <w:color w:val="auto"/>
              </w:rPr>
              <w:t>($ amounts in millions)</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$220.2</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$218.0</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1.0 %</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$743.4</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$731.6</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106.1</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101.4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343.1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325.6</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5.4</w:t>
            </w:r>
          </w:p>
        </w:tc>
      </w:tr>
      <w:tr>
        <w:trPr>
          <w:trHeight w:val="33"/>
        </w:trPr>
        <w:tc>
          <w:tcPr>
            <w:tcW w:w="2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3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6"/>
                <w:szCs w:val="26"/>
                <w:color w:val="auto"/>
                <w:vertAlign w:val="superscript"/>
              </w:rPr>
              <w:t>(1)</w:t>
            </w:r>
          </w:p>
        </w:tc>
        <w:tc>
          <w:tcPr>
            <w:tcW w:w="15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111.9</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112.2</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330.2</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341.3</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30"/>
        </w:trPr>
        <w:tc>
          <w:tcPr>
            <w:tcW w:w="23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$2.2</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(50.0)%</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$70.1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82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33"/>
        </w:trPr>
        <w:tc>
          <w:tcPr>
            <w:tcW w:w="2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w:t>
            </w: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w:t>
            </w:r>
          </w:p>
        </w:tc>
        <w:tc>
          <w:tcPr>
            <w:tcW w:w="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8.8%</w:t>
            </w:r>
          </w:p>
        </w:tc>
        <w:tc>
          <w:tcPr>
            <w:tcW w:w="9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and depreciation and amortization.</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Revenues for the quarter ended February 29, 2020 increased by $2.2 million to $220.2 million, compared to $218.0 million in the prior fiscal year quarter. Trade channel revenues increased by $11.1 million, primarily driven by the completion of the acquisition of a majority interest in MBI and its full consolidation in the financial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97" w:right="3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3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statements, as well as higher revenues from Dav Pilkey's </w:t>
      </w:r>
      <w:r>
        <w:rPr>
          <w:rFonts w:ascii="Arial" w:cs="Arial" w:eastAsia="Arial" w:hAnsi="Arial"/>
          <w:sz w:val="17"/>
          <w:szCs w:val="17"/>
          <w:i w:val="1"/>
          <w:iCs w:val="1"/>
          <w:color w:val="auto"/>
        </w:rPr>
        <w:t>Dog Man</w:t>
      </w:r>
      <w:r>
        <w:rPr>
          <w:rFonts w:ascii="Arial" w:cs="Arial" w:eastAsia="Arial" w:hAnsi="Arial"/>
          <w:sz w:val="17"/>
          <w:szCs w:val="17"/>
          <w:color w:val="auto"/>
        </w:rPr>
        <w:t xml:space="preserve"> titles, especially </w:t>
      </w:r>
      <w:r>
        <w:rPr>
          <w:rFonts w:ascii="Arial" w:cs="Arial" w:eastAsia="Arial" w:hAnsi="Arial"/>
          <w:sz w:val="17"/>
          <w:szCs w:val="17"/>
          <w:i w:val="1"/>
          <w:iCs w:val="1"/>
          <w:color w:val="auto"/>
        </w:rPr>
        <w:t>Dog Man: Fetch 22</w:t>
      </w:r>
      <w:r>
        <w:rPr>
          <w:rFonts w:ascii="Arial" w:cs="Arial" w:eastAsia="Arial" w:hAnsi="Arial"/>
          <w:sz w:val="17"/>
          <w:szCs w:val="17"/>
          <w:color w:val="auto"/>
        </w:rPr>
        <w:t xml:space="preserve">, </w:t>
      </w:r>
      <w:r>
        <w:rPr>
          <w:rFonts w:ascii="Arial" w:cs="Arial" w:eastAsia="Arial" w:hAnsi="Arial"/>
          <w:sz w:val="17"/>
          <w:szCs w:val="17"/>
          <w:i w:val="1"/>
          <w:iCs w:val="1"/>
          <w:color w:val="auto"/>
        </w:rPr>
        <w:t>Hunger Games</w:t>
      </w:r>
      <w:r>
        <w:rPr>
          <w:rFonts w:ascii="Arial" w:cs="Arial" w:eastAsia="Arial" w:hAnsi="Arial"/>
          <w:sz w:val="17"/>
          <w:szCs w:val="17"/>
          <w:color w:val="auto"/>
        </w:rPr>
        <w:t xml:space="preserve"> backlist titles as the series' new release is planned for later this spring, and </w:t>
      </w:r>
      <w:r>
        <w:rPr>
          <w:rFonts w:ascii="Arial" w:cs="Arial" w:eastAsia="Arial" w:hAnsi="Arial"/>
          <w:sz w:val="17"/>
          <w:szCs w:val="17"/>
          <w:i w:val="1"/>
          <w:iCs w:val="1"/>
          <w:color w:val="auto"/>
        </w:rPr>
        <w:t>Scholastic Early Learners</w:t>
      </w:r>
      <w:r>
        <w:rPr>
          <w:rFonts w:ascii="Arial" w:cs="Arial" w:eastAsia="Arial" w:hAnsi="Arial"/>
          <w:sz w:val="17"/>
          <w:szCs w:val="17"/>
          <w:color w:val="auto"/>
        </w:rPr>
        <w:t xml:space="preserve"> line of Wipe Clean Workbooks. Book fair channel revenue increased $2.7 million compared to the prior year fiscal quarter, primarily driven by an increase in revenue per fair. Book club channel sales decreased $11.6 million due to a lower number of events and lower revenue per event compared to the prior fiscal year quarter.</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Revenues for the nine months ended February 29, 2020 increased by $11.8 million to $743.4 million, compared to $731.6 million in the prior fiscal year period, primarily related to higher trade channel revenues of $31.5 million, driven by the additional revenues from the completion of the acquisition of a majority interest in MBI and its full consolidation in the financial statements and increased media and entertainment sales, as well as strong sales of core titles, including Dav Pilkey's </w:t>
      </w:r>
      <w:r>
        <w:rPr>
          <w:rFonts w:ascii="Arial" w:cs="Arial" w:eastAsia="Arial" w:hAnsi="Arial"/>
          <w:sz w:val="17"/>
          <w:szCs w:val="17"/>
          <w:i w:val="1"/>
          <w:iCs w:val="1"/>
          <w:color w:val="auto"/>
        </w:rPr>
        <w:t>Dog Man Series</w:t>
      </w:r>
      <w:r>
        <w:rPr>
          <w:rFonts w:ascii="Arial" w:cs="Arial" w:eastAsia="Arial" w:hAnsi="Arial"/>
          <w:sz w:val="17"/>
          <w:szCs w:val="17"/>
          <w:color w:val="auto"/>
        </w:rPr>
        <w:t xml:space="preserve">, </w:t>
      </w:r>
      <w:r>
        <w:rPr>
          <w:rFonts w:ascii="Arial" w:cs="Arial" w:eastAsia="Arial" w:hAnsi="Arial"/>
          <w:sz w:val="17"/>
          <w:szCs w:val="17"/>
          <w:i w:val="1"/>
          <w:iCs w:val="1"/>
          <w:color w:val="auto"/>
        </w:rPr>
        <w:t>Guts</w:t>
      </w:r>
      <w:r>
        <w:rPr>
          <w:rFonts w:ascii="Arial" w:cs="Arial" w:eastAsia="Arial" w:hAnsi="Arial"/>
          <w:sz w:val="17"/>
          <w:szCs w:val="17"/>
          <w:color w:val="auto"/>
        </w:rPr>
        <w:t xml:space="preserve"> by Raina Telgemeier, </w:t>
      </w:r>
      <w:r>
        <w:rPr>
          <w:rFonts w:ascii="Arial" w:cs="Arial" w:eastAsia="Arial" w:hAnsi="Arial"/>
          <w:sz w:val="17"/>
          <w:szCs w:val="17"/>
          <w:i w:val="1"/>
          <w:iCs w:val="1"/>
          <w:color w:val="auto"/>
        </w:rPr>
        <w:t>The Wonky Donkey</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Dinky Donkey</w:t>
      </w:r>
      <w:r>
        <w:rPr>
          <w:rFonts w:ascii="Arial" w:cs="Arial" w:eastAsia="Arial" w:hAnsi="Arial"/>
          <w:sz w:val="17"/>
          <w:szCs w:val="17"/>
          <w:color w:val="auto"/>
        </w:rPr>
        <w:t xml:space="preserve"> titles, the Wings of Fire series and the </w:t>
      </w:r>
      <w:r>
        <w:rPr>
          <w:rFonts w:ascii="Arial" w:cs="Arial" w:eastAsia="Arial" w:hAnsi="Arial"/>
          <w:sz w:val="17"/>
          <w:szCs w:val="17"/>
          <w:i w:val="1"/>
          <w:iCs w:val="1"/>
          <w:color w:val="auto"/>
        </w:rPr>
        <w:t xml:space="preserve">Hunger Games </w:t>
      </w:r>
      <w:r>
        <w:rPr>
          <w:rFonts w:ascii="Arial" w:cs="Arial" w:eastAsia="Arial" w:hAnsi="Arial"/>
          <w:sz w:val="17"/>
          <w:szCs w:val="17"/>
          <w:color w:val="auto"/>
        </w:rPr>
        <w:t>novels by Suzanne Collins leading up to the series' new release later this spring, partially offset by lower Harry Potter related sales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prior fiscal year release of </w:t>
      </w:r>
      <w:r>
        <w:rPr>
          <w:rFonts w:ascii="Arial" w:cs="Arial" w:eastAsia="Arial" w:hAnsi="Arial"/>
          <w:sz w:val="17"/>
          <w:szCs w:val="17"/>
          <w:i w:val="1"/>
          <w:iCs w:val="1"/>
          <w:color w:val="auto"/>
        </w:rPr>
        <w:t>Fantastic Beasts™: The Crimes of Grindelwald</w:t>
      </w:r>
      <w:r>
        <w:rPr>
          <w:rFonts w:ascii="Arial" w:cs="Arial" w:eastAsia="Arial" w:hAnsi="Arial"/>
          <w:sz w:val="17"/>
          <w:szCs w:val="17"/>
          <w:color w:val="auto"/>
        </w:rPr>
        <w:t xml:space="preserve"> and the Brian Selznick cover editions of Harry Potter. Book fair channel revenues increased $8.4 million on lower fair count, primarily driven by revenue associated with higher net redemptions of incentive credits as well as an increase in revenue per fair when compared to the prior fiscal year period resulting from improved fair quality and selection and the introduction of an e-Wallet digital payment option at more fairs. Partially offsetting the higher segment revenues were lower book club channel sales of $28.1 million compared to the prior fiscal year period, due to lower sponsorship as well as a lower number of events and lower revenue per event compared to the prior fiscal year period.</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Cost of goods sold for the quarter ended February 29, 2020 was $106.1 million, or 48.2% of revenues, compared to $101.4 million, or 46.5% of revenues, in the prior fiscal year quarter. The increase in Cost of goods sold as a percentage of revenues was primarily due to the completion of the acquisition of the majority interest in MBI and its full consolidation in the financial statements. MBI manufacturing costs associated with specialty products represented a portion of the increase in Cost of goods sold as a percentage of revenues coupled with higher tariff costs recognized in the quarter ended February 29, 2020, partially offset by product mix in the book club channel resulting in favorable postage, freight and shipping costs.</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Cost of goods sold for the nine months ended February 29, 2020 was $343.1 million, or 46.2% of revenues, compared to $325.6 million, or 44.5% of revenues, in the prior fiscal year period. The increase in Cost of goods sold as a percent of revenues was primarily due to the completion of the acquisition of the majority interest in MBI and its full consolidation in the financial statements. MBI manufacturing costs associated with specialty products represented a portion of the increase in Cost of goods sold as a percentage of revenues coupled with higher tariff costs recognized in the fiscal period ended February 29, 2020. The Company continues to monitor and employ strategies to offset increased costs associated with higher tariffs. Tariffs will continue to impact the cost of goods sold in the course of the remaining fiscal year, especially in the domestic school-based channels.</w:t>
      </w:r>
    </w:p>
    <w:p>
      <w:pPr>
        <w:spacing w:after="0" w:line="16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operating expenses for the quarter ended February 29, 2020 decreased to $111.9 million compared to $112.2 million in the prior fiscal year quarter. The decrease was driven by lower marketing expenses and net sales tax expense in the book club channel, partially offset by increased commissions in the book fair channel due to improved revenue per fair.</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operating expenses for the nine months ended February 29, 2020 decreased to $330.2 million, compared to $341.3 million in the prior fiscal year period. The decrease was primarily driven by business process improvements in the book club and book fair channels and lower net sales tax expense in the book club channel.</w:t>
      </w:r>
    </w:p>
    <w:p>
      <w:pPr>
        <w:spacing w:after="0" w:line="18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Segment operating income for the quarter ended February 29, 2020 was $2.2 million, compared to operating income of $4.4 million in the prior fiscal year quarter. Despite the lower sales in the book club channel and the absence of a prior period media sale of Scholastic's evergreen library of Clifford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programming, the segment operating income was limited to a decrease of $2.2 million as a result of cost reduction strategies adopted in the book club and book fair channels, lower net sales tax expense in the book club channel and higher revenues driving profitability in the trade channel.</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Segment operating income for the nine months ended February 29, 2020 was $70.1 million, compared to $64.7 million in the prior fiscal year period. Despite the lower sales in the book club channel, the segment operating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97" w:right="3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increased by $5.4 million as a result of cost reduction strategies adopted in the book club and book fair channels, lower net sales tax expense in the book club channel and continued growth in the trade channel.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7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0"/>
        </w:trPr>
        <w:tc>
          <w:tcPr>
            <w:tcW w:w="2240" w:type="dxa"/>
            <w:vAlign w:val="bottom"/>
          </w:tcPr>
          <w:p>
            <w:pPr>
              <w:spacing w:after="0"/>
              <w:rPr>
                <w:sz w:val="23"/>
                <w:szCs w:val="23"/>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29,</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29,</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28,</w:t>
            </w:r>
          </w:p>
        </w:tc>
        <w:tc>
          <w:tcPr>
            <w:tcW w:w="90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270"/>
        </w:trPr>
        <w:tc>
          <w:tcPr>
            <w:tcW w:w="2240" w:type="dxa"/>
            <w:vAlign w:val="bottom"/>
          </w:tcPr>
          <w:p>
            <w:pPr>
              <w:ind w:left="40"/>
              <w:spacing w:after="0"/>
              <w:rPr>
                <w:sz w:val="20"/>
                <w:szCs w:val="20"/>
                <w:color w:val="auto"/>
              </w:rPr>
            </w:pPr>
            <w:r>
              <w:rPr>
                <w:rFonts w:ascii="Arial" w:cs="Arial" w:eastAsia="Arial" w:hAnsi="Arial"/>
                <w:sz w:val="16"/>
                <w:szCs w:val="16"/>
                <w:i w:val="1"/>
                <w:iCs w:val="1"/>
                <w:color w:val="auto"/>
              </w:rPr>
              <w:t>($ amounts in millions)</w:t>
            </w:r>
          </w:p>
        </w:tc>
        <w:tc>
          <w:tcPr>
            <w:tcW w:w="14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$74.3</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$60.3</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23.2%</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$192.6</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$179.7</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23.9</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20.6</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16.0</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68.0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8.8</w:t>
            </w:r>
          </w:p>
        </w:tc>
      </w:tr>
      <w:tr>
        <w:trPr>
          <w:trHeight w:val="33"/>
        </w:trPr>
        <w:tc>
          <w:tcPr>
            <w:tcW w:w="2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2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6"/>
                <w:szCs w:val="26"/>
                <w:color w:val="auto"/>
                <w:vertAlign w:val="superscript"/>
              </w:rPr>
              <w:t>(1)</w:t>
            </w: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40.6</w:t>
            </w: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39.4</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w:t>
            </w:r>
          </w:p>
        </w:tc>
        <w:tc>
          <w:tcPr>
            <w:tcW w:w="1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122.0</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123.5</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r>
      <w:tr>
        <w:trPr>
          <w:trHeight w:val="231"/>
        </w:trPr>
        <w:tc>
          <w:tcPr>
            <w:tcW w:w="22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$9.8</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$0.3</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3"/>
        </w:trPr>
        <w:tc>
          <w:tcPr>
            <w:tcW w:w="2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13.2%</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0.5%</w:t>
            </w: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1.3%</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and depreciation and amortization.</w:t>
      </w:r>
    </w:p>
    <w:p>
      <w:pPr>
        <w:spacing w:after="0" w:line="19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 xml:space="preserve">Revenues for the quarter ended February 29, 2020 increased to $74.3 million, compared to $60.3 million in the prior fiscal year quarter. The $14.0 million increase was primarily driven by higher sales of the Company's classroom book collections and core instruction products, including </w:t>
      </w:r>
      <w:r>
        <w:rPr>
          <w:rFonts w:ascii="Arial" w:cs="Arial" w:eastAsia="Arial" w:hAnsi="Arial"/>
          <w:sz w:val="18"/>
          <w:szCs w:val="18"/>
          <w:i w:val="1"/>
          <w:iCs w:val="1"/>
          <w:color w:val="auto"/>
        </w:rPr>
        <w:t>Guided Reading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Espanol </w:t>
      </w:r>
      <w:r>
        <w:rPr>
          <w:rFonts w:ascii="Arial" w:cs="Arial" w:eastAsia="Arial" w:hAnsi="Arial"/>
          <w:sz w:val="18"/>
          <w:szCs w:val="18"/>
          <w:color w:val="auto"/>
        </w:rPr>
        <w:t>and</w:t>
      </w:r>
      <w:r>
        <w:rPr>
          <w:rFonts w:ascii="Arial" w:cs="Arial" w:eastAsia="Arial" w:hAnsi="Arial"/>
          <w:sz w:val="18"/>
          <w:szCs w:val="18"/>
          <w:i w:val="1"/>
          <w:iCs w:val="1"/>
          <w:color w:val="auto"/>
        </w:rPr>
        <w:t xml:space="preserve"> Leveled Bookrooms</w:t>
      </w:r>
      <w:r>
        <w:rPr>
          <w:rFonts w:ascii="Arial" w:cs="Arial" w:eastAsia="Arial" w:hAnsi="Arial"/>
          <w:sz w:val="18"/>
          <w:szCs w:val="18"/>
          <w:color w:val="auto"/>
        </w:rPr>
        <w:t>, primarily driven by a large school district sale as well as the delivery of more days of professional learning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w:t>
      </w:r>
      <w:r>
        <w:rPr>
          <w:rFonts w:ascii="Arial" w:cs="Arial" w:eastAsia="Arial" w:hAnsi="Arial"/>
          <w:sz w:val="18"/>
          <w:szCs w:val="18"/>
          <w:i w:val="1"/>
          <w:iCs w:val="1"/>
          <w:color w:val="auto"/>
        </w:rPr>
        <w:t>Scholastic Literacy</w:t>
      </w:r>
      <w:r>
        <w:rPr>
          <w:rFonts w:ascii="Arial" w:cs="Arial" w:eastAsia="Arial" w:hAnsi="Arial"/>
          <w:sz w:val="18"/>
          <w:szCs w:val="18"/>
          <w:color w:val="auto"/>
        </w:rPr>
        <w:t xml:space="preserve"> in the current fiscal quarter. Additionally, higher classroom magazines revenue was primarily driven by higher sales from the </w:t>
      </w:r>
      <w:r>
        <w:rPr>
          <w:rFonts w:ascii="Arial" w:cs="Arial" w:eastAsia="Arial" w:hAnsi="Arial"/>
          <w:sz w:val="18"/>
          <w:szCs w:val="18"/>
          <w:i w:val="1"/>
          <w:iCs w:val="1"/>
          <w:color w:val="auto"/>
        </w:rPr>
        <w:t>Scholastic News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line of current events magazines, with the Company's digital subscription product sales being relatively flat, when compared to the prior fiscal period.</w:t>
      </w:r>
    </w:p>
    <w:p>
      <w:pPr>
        <w:spacing w:after="0" w:line="20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Revenues for the nine months ended February 29, 2020 increased to $192.6 million, compared to $179.7 million in the prior fiscal year period. The $12.9 million increase was primarily driven by higher sales of the Company's classroom book collections and core instruction products, primarily due to a large school district sale. Sales were also favorably impacted by higher revenues from delivery of professional learning services and classroom magazines.</w:t>
      </w:r>
    </w:p>
    <w:p>
      <w:pPr>
        <w:spacing w:after="0" w:line="14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Cost of goods sold for the quarter ended February 29, 2020 was $23.9 million, or 32.2% of revenues, compared to $20.6 million, or 34.2% of revenues, in the prior fiscal year quarter. The decrease in Cost of goods sold as a percentage of revenues was primarily due to favorable product mix, partially offset by the increase in the amortization of prepublication costs related to digital subscription components of the recently launched </w:t>
      </w:r>
      <w:r>
        <w:rPr>
          <w:rFonts w:ascii="Arial" w:cs="Arial" w:eastAsia="Arial" w:hAnsi="Arial"/>
          <w:sz w:val="16"/>
          <w:szCs w:val="16"/>
          <w:i w:val="1"/>
          <w:iCs w:val="1"/>
          <w:color w:val="auto"/>
        </w:rPr>
        <w:t>Scholastic Literacy</w:t>
      </w:r>
      <w:r>
        <w:rPr>
          <w:rFonts w:ascii="Arial" w:cs="Arial" w:eastAsia="Arial" w:hAnsi="Arial"/>
          <w:sz w:val="16"/>
          <w:szCs w:val="16"/>
          <w:color w:val="auto"/>
        </w:rPr>
        <w:t xml:space="preserve"> product.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Cost of goods sold for the nine months ended February 29, 2020 was $68.0 million, or 35.3% of revenues, compared to $62.5 million, or 34.8% of revenues, in the prior fiscal year period. The increase in Cost of goods sold as a percentage of revenues was primarily due to an increase in the amortization of prepublication costs related to digital subscription components of the recently launched </w:t>
      </w:r>
      <w:r>
        <w:rPr>
          <w:rFonts w:ascii="Arial" w:cs="Arial" w:eastAsia="Arial" w:hAnsi="Arial"/>
          <w:sz w:val="18"/>
          <w:szCs w:val="18"/>
          <w:i w:val="1"/>
          <w:iCs w:val="1"/>
          <w:color w:val="auto"/>
        </w:rPr>
        <w:t>Scholastic Literacy</w:t>
      </w:r>
      <w:r>
        <w:rPr>
          <w:rFonts w:ascii="Arial" w:cs="Arial" w:eastAsia="Arial" w:hAnsi="Arial"/>
          <w:sz w:val="18"/>
          <w:szCs w:val="18"/>
          <w:color w:val="auto"/>
        </w:rPr>
        <w:t xml:space="preserve"> product, partially offset by favorable product mix.</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Other operating expenses for the quarter ended February 29, 2020 increased to $40.6 million, compared to $39.4 million in the prior fiscal year quarter. The $1.2 million increase was primarily related to costs incurred in advance of the summer selling season for the comprehensive literacy curriculum product, </w:t>
      </w:r>
      <w:r>
        <w:rPr>
          <w:rFonts w:ascii="Arial" w:cs="Arial" w:eastAsia="Arial" w:hAnsi="Arial"/>
          <w:sz w:val="18"/>
          <w:szCs w:val="18"/>
          <w:i w:val="1"/>
          <w:iCs w:val="1"/>
          <w:color w:val="auto"/>
        </w:rPr>
        <w:t>Scholastic Literacy</w:t>
      </w:r>
      <w:r>
        <w:rPr>
          <w:rFonts w:ascii="Arial" w:cs="Arial" w:eastAsia="Arial" w:hAnsi="Arial"/>
          <w:sz w:val="18"/>
          <w:szCs w:val="18"/>
          <w:color w:val="auto"/>
        </w:rPr>
        <w:t>.</w:t>
      </w:r>
    </w:p>
    <w:p>
      <w:pPr>
        <w:spacing w:after="0" w:line="18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operating expenses decreased to $122.0 million for the nine months ended February 29, 2020, compared to $123.5 million in the prior fiscal year period. The $1.5 million decrease was primarily related to lower marketing expenses and a decrease in employee-related costs.</w:t>
      </w:r>
    </w:p>
    <w:p>
      <w:pPr>
        <w:spacing w:after="0" w:line="14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Segment operating income for the quarter ended February 29, 2020 was $9.8 million, compared to operating income of $0.3 million in the prior fiscal year quarter. The increase was primarily driven by the higher sales of the Company's classroom book collections and core instruction products, partially offset by the increase in the amortization of prepublication costs related to digital subscription components of the recently launched </w:t>
      </w:r>
      <w:r>
        <w:rPr>
          <w:rFonts w:ascii="Arial" w:cs="Arial" w:eastAsia="Arial" w:hAnsi="Arial"/>
          <w:sz w:val="16"/>
          <w:szCs w:val="16"/>
          <w:i w:val="1"/>
          <w:iCs w:val="1"/>
          <w:color w:val="auto"/>
        </w:rPr>
        <w:t>Scholastic Literacy</w:t>
      </w:r>
      <w:r>
        <w:rPr>
          <w:rFonts w:ascii="Arial" w:cs="Arial" w:eastAsia="Arial" w:hAnsi="Arial"/>
          <w:sz w:val="16"/>
          <w:szCs w:val="16"/>
          <w:color w:val="auto"/>
        </w:rPr>
        <w:t xml:space="preserve"> product.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97"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Segment operating income for the nine months ended February 29, 2020 was $2.6 million, compared to an operating loss of $6.3 million in the prior fiscal year period. The increase in operating income was primarily driven by the higher sales of the Company's classroom book collections and core instruction products, partially offset by the increase in the amortization of prepublication costs related to digital subscription components of the recently launched </w:t>
      </w:r>
      <w:r>
        <w:rPr>
          <w:rFonts w:ascii="Arial" w:cs="Arial" w:eastAsia="Arial" w:hAnsi="Arial"/>
          <w:sz w:val="18"/>
          <w:szCs w:val="18"/>
          <w:i w:val="1"/>
          <w:iCs w:val="1"/>
          <w:color w:val="auto"/>
        </w:rPr>
        <w:t xml:space="preserve">Scholastic Literacy </w:t>
      </w:r>
      <w:r>
        <w:rPr>
          <w:rFonts w:ascii="Arial" w:cs="Arial" w:eastAsia="Arial" w:hAnsi="Arial"/>
          <w:sz w:val="18"/>
          <w:szCs w:val="18"/>
          <w:color w:val="auto"/>
        </w:rPr>
        <w:t>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76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4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0"/>
        </w:trPr>
        <w:tc>
          <w:tcPr>
            <w:tcW w:w="2100" w:type="dxa"/>
            <w:vAlign w:val="bottom"/>
          </w:tcPr>
          <w:p>
            <w:pPr>
              <w:spacing w:after="0"/>
              <w:rPr>
                <w:sz w:val="23"/>
                <w:szCs w:val="23"/>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29,</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28,</w:t>
            </w: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29,</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c>
          <w:tcPr>
            <w:tcW w:w="98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70"/>
        </w:trPr>
        <w:tc>
          <w:tcPr>
            <w:tcW w:w="2100" w:type="dxa"/>
            <w:vAlign w:val="bottom"/>
          </w:tcPr>
          <w:p>
            <w:pPr>
              <w:ind w:left="40"/>
              <w:spacing w:after="0"/>
              <w:rPr>
                <w:sz w:val="20"/>
                <w:szCs w:val="20"/>
                <w:color w:val="auto"/>
              </w:rPr>
            </w:pPr>
            <w:r>
              <w:rPr>
                <w:rFonts w:ascii="Arial" w:cs="Arial" w:eastAsia="Arial" w:hAnsi="Arial"/>
                <w:sz w:val="16"/>
                <w:szCs w:val="16"/>
                <w:i w:val="1"/>
                <w:iCs w:val="1"/>
                <w:color w:val="auto"/>
              </w:rPr>
              <w:t>($ amounts in millions)</w:t>
            </w: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$78.8</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$81.8</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$267.1</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$271.9</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43.1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44.1</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141.1</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142.8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33"/>
        </w:trPr>
        <w:tc>
          <w:tcPr>
            <w:tcW w:w="2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1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6"/>
                <w:szCs w:val="16"/>
                <w:color w:val="auto"/>
                <w:w w:val="97"/>
              </w:rPr>
              <w:t xml:space="preserve">Other operating expenses </w:t>
            </w:r>
            <w:r>
              <w:rPr>
                <w:rFonts w:ascii="Arial" w:cs="Arial" w:eastAsia="Arial" w:hAnsi="Arial"/>
                <w:sz w:val="26"/>
                <w:szCs w:val="26"/>
                <w:color w:val="auto"/>
                <w:w w:val="97"/>
                <w:vertAlign w:val="superscript"/>
              </w:rPr>
              <w:t>(1)</w:t>
            </w:r>
          </w:p>
        </w:tc>
        <w:tc>
          <w:tcPr>
            <w:tcW w:w="1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39.4</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40.7</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121.7</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121.1</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r>
      <w:tr>
        <w:trPr>
          <w:trHeight w:val="231"/>
        </w:trPr>
        <w:tc>
          <w:tcPr>
            <w:tcW w:w="2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$(3.7)</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$(3.0)</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(23.3)%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84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33"/>
        </w:trPr>
        <w:tc>
          <w:tcPr>
            <w:tcW w:w="2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Other operating expenses include selling, general and administrative expenses, bad debt expenses, severance and depreciation and amortization.</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Revenues for the quarter ended February 29, 2020 decreased to $78.8 million, compared to $81.8 million in the prior fiscal year quarter. Local currency revenues across the Company's foreign operations decreased by $2.5 million and were adversely impacted by foreign exchange of $0.5 million. Local currency revenues decreased in Canada by $2.0 million, primarily driven by lower school-based channel sales, due to a decline in sponsorship and an on-going teacher labor action in Ontario. Local currency revenues decreased in the Asia markets by $2.0 million driven by lower revenues from the English language tutorial centers in China resulting from the closing of centers due to the coronavirus and lower revenues from the direct sales channel throughout Asia due in part from the local actions taken to curtail the spread of the coronavirus. Local currency revenues in Australia and New Zealand increased $0.9 million primarily on higher trade channel revenues and local currency revenues increased in the UK by $0.6 million primarily driven by higher trade channel revenues due, in part, to the global success of Dav Pilkey's Dog Man series.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Revenues for the nine months ended February 29, 2020 decreased to $267.1 million, compared to $271.9 million in the prior fiscal year period. Local currency revenues across the Company's foreign operations increased by $0.2 million, which was more than offset by the adverse impact in foreign exchange of $5.0 million. The local currency increase was primarily driven by higher revenues from the trade channel throughout the major markets due to the global success of Dav Pilkey's Dog Man series and locally published trade channel titles. In Canada, local currency revenues decreased $5.5 million primarily driven by lower school-based channel sales, due to a decline in sponsorship and an on-going teacher labor action in Ontario. In Asia, local currency revenues decreased $1.0 million primarily related to lower revenues from the direct sales channel due in part to the local actions taken to curtail the spread of the coronavirus. Local currency revenues in Australia and New Zealand increased $4.9 million on higher trade, book club and book fair channel revenues, and local currency revenues in the UK increased $1.1 million primarily driven by trade channel sales partially offset by lower book fair channel revenues.</w:t>
      </w:r>
    </w:p>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Cost of goods sold for the quarter ended February 29, 2020 was $43.1 million, or 54.7% of revenues, compared to $44.1 million, or 53.9% of revenues, in the prior fiscal year quarter. Cost of goods sold as a percentage of revenues increased primarily due to product mix across the major markets resulting in higher fulfillment costs on lower revenues.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Cost of goods sold for the nine months ended February 29, 2020 was $141.1 million, or 52.8% of revenues, compared to $142.8 million, or 52.5% of revenues, in the prior fiscal year period. Cost of goods sold as a percentage of revenues was relatively flat with modest increases in Canada, Australia, New Zealand and Asia being offset by favorable product mix in the UK.</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operating expenses for the quarter ended February 29, 2020 were $39.4 million, compared to $40.7 million in the prior fiscal year quarter. In local currencies, Other operating expenses decreased $1.1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97" w:right="33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primarily related to lower promotional and marketing costs, partially offset by lower equity method investment income resulting from the completion of the acquisition of a majority interest in MBI and its full consolidation in the financial statements, an increase in employee related expenses and increased bad debt expense in the Asia direct sales channel.</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Other operating expenses for the nine months ended February 29, 2020 were $121.7 million, compared to $121.1 million in the prior fiscal year period. In local currencies, Other operating expenses increased by $2.3 million primarily related to lower equity method investment income resulting from the completion of the acquisition of a majority interest in MBI and its full consolidation in the financial statements, an increase in employee related expenses and increased bad debt expense in the Asia direct sales channel, partially offset by lower promotional and marketing costs.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Segment operating loss for the quarter ended February 29, 2020 was $3.7 million, compared to segment operating loss of $3.0 million in the prior fiscal year quarter. The increase in the operating loss was primarily driven by lower revenues.</w:t>
      </w:r>
    </w:p>
    <w:p>
      <w:pPr>
        <w:spacing w:after="0" w:line="17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Segment operating income for the nine months ended February 29, 2020 was $4.3 million, compared to segment operating income of $8.0 million in the prior fiscal year period. The decrease in operating income was primarily due to lower equity method investment income resulting from the completion of the acquisition of a majority interest in MBI and its full consolidation in the financial statements, an increase in employee related expenses and increased bad debt expense in the Asia direct sales channel, partially offset by lower promotional and marketing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Unallocated overhead expense for the quarter ended February 29, 2020 increased by $45.2 million to $68.3 million, from $23.1 million in the prior fiscal year quarter. The increase was primarily driven by the $40.0 million write down of inventory as changes were made to the Company's North American purchasing protocols, product offerings and inventory retention policies reducing the anticipated inventory requirements in the Company's school channels. Severance expense, related to cost reduction strategies, increased by $1.0 million to $3.2 million, compared to $2.2 million in the prior fiscal period. In addition, the Company incurred higher legal settlements and corresponding defense costs related to legacy photo license infringement claims that were resolved in the fiscal quarter ended February 29, 2020.</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Unallocated overhead expense for the nine months ended February 29, 2020 increased by $45.9 million to $119.3 million, from $73.4 million in the prior fiscal year period. The increase was primarily driven by the $40.0 million write down of inventory as changes were made to the Company's North American purchasing protocols, product offerings and inventory retention policies reducing the anticipated inventory requirements in the Company's school channels. Severance expense, related to cost reduction strategies, increased by $3.8 million to $6.9 million, compared to $3.1 million in the prior fiscal period. The increase was also attributable to a $1.0 million pretax charge related to a settlement arising from an intellectual property producing agreement, a $1.5 million settlement, without admission of liability, for alleged patent infringement and higher legal settlements and corresponding defense costs related to legacy photo license infringement claims that were resolved in the fiscal period ended February 29, 2020, partially offset by a $4.3 million pretax charge in the prior fiscal period related to a legacy sales tax assessment.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school-based book club and book fair channels and most of its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Trade sales can vary throughout the year due to varying release dates of published titles. The Company generally experiences a loss from operations in the first and third quarters of each fiscal year. As the Company's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continues to sell its recently introduced core curriculum offering, Scholastic Literacy, these revenues are likely to be recognized in the first fiscal quarter, when schools and districts are preparing for the upcoming school year.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97" w:right="35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Cash provided by operating activities was $44.0 million for the nine months ended February 29, 2020, compared to cash provided by operating activities of $60.5 million for the prior fiscal year period, representing a decrease in cash provided by operating activities of $16.5 million. The decrease in cash provided was primarily due to lower customer remittances, the acceleration of vendor payments to increase rebates and discounts, higher royalty related payments driven by the higher sales of Scholastic-owned titles and higher income tax payments in the absence of a refund received in the prior fiscal year, partially offset by lower inventory purchases. The Company expects to incur increased usage of cash in the fourth quarter for working capital associated with the planned release of Suzanne Collins' </w:t>
      </w:r>
      <w:r>
        <w:rPr>
          <w:rFonts w:ascii="Arial" w:cs="Arial" w:eastAsia="Arial" w:hAnsi="Arial"/>
          <w:sz w:val="17"/>
          <w:szCs w:val="17"/>
          <w:i w:val="1"/>
          <w:iCs w:val="1"/>
          <w:color w:val="auto"/>
        </w:rPr>
        <w:t>The Ballard of Songbirds and Snakes</w:t>
      </w:r>
      <w:r>
        <w:rPr>
          <w:rFonts w:ascii="Arial" w:cs="Arial" w:eastAsia="Arial" w:hAnsi="Arial"/>
          <w:sz w:val="17"/>
          <w:szCs w:val="17"/>
          <w:color w:val="auto"/>
        </w:rPr>
        <w:t>.</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used in investing activities was $74.4 million for the nine months ended February 29, 2020, compared to cash used in investing activities of $103.8 million in the prior fiscal year period, representing a decrease in cash used in investing activities of $29.4 million. The decrease in cash used was primarily due to lower capital spending on the Company's now completed headquarters building modernization project, lower prepublication and production spending and a decrease in spending related to strategic technology initiatives, partially offset by increased capital spending relating to a UK warehouse optimization project.</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Cash used in financing activities was $39.7 million for the nine months ended February 29, 2020, compared to cash used in financing activities of $9.9 million for the prior fiscal year period, representing an increase in cash used in financing activities of $29.8 million. The increase in cash used was primarily driven by common stock repurchases by the Company, which were $30.2 million higher in the current fiscal year period compared to the prior fiscal year period and higher net proceeds pursuant to stock option exercises last fiscal year of $5.1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Company’s cash and cash equivalents totaled $263.8 million at February 29, 2020, $334.1 million at May 31, 2019 and $338.1 million at February 28, 2019. Cash and cash equivalents held by the Company’s U.S. operations totaled $240.2 million at February 29, 2020, $308.7 million at May 31, 2019 and $317.4 million at February 28, 2019.</w:t>
      </w:r>
    </w:p>
    <w:p>
      <w:pPr>
        <w:spacing w:after="0" w:line="18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maintained, and expects to maintain for the foreseeable future, sufficient liquidity to fund ongoing operations, including working capital requirements, pension contributions, postretirement benefits, dividends, currently authorized Common share repurchases, debt service, planned capital expenditures and other investments. As of February 29, 2020, the Company’s primary sources of liquidity consisted of cash and cash equivalents of $263.8 million, cash from operations and the Company has loan agreements in the US and the UK totaling approximately $386.0 million, less borrowings of $6.4 million, resulting in $379.6 million of availability at February 29, 2020. The Company may at any time, but in any event not more than once in any calendar year, request that the aggregate availability of credit under the US Loan Agreement be increased by an amount of $10.0 million or an integral multiple of $10.0 million (but not to exceed $150.0 million). Additionally, the Company has short-term credit facilities of $50.5 million, less current borrowings of $9.7 million and commitments of $4.9 million, resulting in $35.9 million of current availability at February 29, 2020.</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297" w:right="37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098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98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believes that these sources of liquidity, including the Company's unencumbered real estate holdings, are sufficient to finance its ongoing operating needs, as well as its financing and investing activities. The Company further believes that its financial resources will allow it to manage the anticipated impact of COVID-19 on the Company's business operations for the foreseeable future which will include materially reduced revenue and profits for the Company, primarily in the school markets. The challenges posed by COVID-19 on the Company's business have evolved rapidly in the past two months and are likely to evolve further. Consequently, the Company will continue to evaluate its financial position in light of future developments, particularly those relating to COVID-19.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party to the US and UK Loan Agreements and certain credit lines with various banks as described in Note 5 of Notes to Condensed Consolidated Financial Statements - unaudited in Item 1, “Financial Statements." There were no outstanding borrowings under the US Loan Agreement as of February 29, 2020. On September 23, 2019, Scholastic Limited UK entered into a term loan agreement to borrow £2.0 million to fund a land purchase in connection with the construction of the new UK facility. The loan has a maturity date of July 31, 2021. As of February 29, 2020, the Company had $2.6 million outstanding on the loan. On January 24, 2020, Scholastic Limited UK entered into a term loan facility with a borrowing limit of £6.6 million to fund the construction of the new UK facility. The loan has a maturity date of July 31, 2021. As of February 29, 2020, the Company had $3.8 million outstanding on the loan.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Reference is made to Note 1 of Notes to Financial Statements - unaudited in Item 1, “Financial Statements,” for information concerning recent accounting pronouncements since the filing of the Company’s Annual Report on Form 10-K for the fiscal year ended May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strategic 2020 Plan and other plans, ecommerce and digital initiatives, new product introductions, strategies, new education standards,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that could cause actual results to differ materially from those indicated in the forward-looking statements, due to factors including those noted in the Annual Report and this Quarterly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97"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February 29, 2020. The Company does not enter into derivative transactions or use other financial instruments for trading or speculative purposes.</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Market risks relating to the Company’s operations result primarily from changes in interest rates in its variable-rate borrowings. The Company is subject to the risk that market interest rates and its cost of borrowing will increase and thereby increase the interest charged under its variable-rate debt.</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 information relating to the Company’s outstanding financial instruments is included in Note 5 of Notes to Condensed Consolidated Financial Statements - unaudited in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debt instruments as of February 29, 2020: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ind w:left="40"/>
              <w:spacing w:after="0"/>
              <w:rPr>
                <w:sz w:val="20"/>
                <w:szCs w:val="20"/>
                <w:color w:val="auto"/>
              </w:rPr>
            </w:pPr>
            <w:r>
              <w:rPr>
                <w:rFonts w:ascii="Arial" w:cs="Arial" w:eastAsia="Arial" w:hAnsi="Arial"/>
                <w:sz w:val="16"/>
                <w:szCs w:val="16"/>
                <w:b w:val="1"/>
                <w:bCs w:val="1"/>
                <w:color w:val="auto"/>
              </w:rPr>
              <w:t>($ amounts in millions)</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Fiscal Year Maturity</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2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03"/>
        </w:trPr>
        <w:tc>
          <w:tcPr>
            <w:tcW w:w="2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243"/>
        </w:trPr>
        <w:tc>
          <w:tcPr>
            <w:tcW w:w="2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9"/>
              <w:spacing w:after="0" w:line="243"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6"/>
                <w:szCs w:val="26"/>
                <w:b w:val="1"/>
                <w:bCs w:val="1"/>
                <w:color w:val="auto"/>
                <w:vertAlign w:val="superscript"/>
              </w:rPr>
              <w:t>(1)</w:t>
            </w: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Thereafter</w:t>
            </w: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2/29/2020</w:t>
            </w:r>
          </w:p>
        </w:tc>
      </w:tr>
      <w:tr>
        <w:trPr>
          <w:trHeight w:val="244"/>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 Obligations</w:t>
            </w:r>
          </w:p>
        </w:tc>
        <w:tc>
          <w:tcPr>
            <w:tcW w:w="1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0"/>
        </w:trPr>
        <w:tc>
          <w:tcPr>
            <w:tcW w:w="2280" w:type="dxa"/>
            <w:vAlign w:val="bottom"/>
          </w:tcPr>
          <w:p>
            <w:pPr>
              <w:ind w:left="40"/>
              <w:spacing w:after="0"/>
              <w:rPr>
                <w:sz w:val="20"/>
                <w:szCs w:val="20"/>
                <w:color w:val="auto"/>
              </w:rPr>
            </w:pPr>
            <w:r>
              <w:rPr>
                <w:rFonts w:ascii="Arial" w:cs="Arial" w:eastAsia="Arial" w:hAnsi="Arial"/>
                <w:sz w:val="16"/>
                <w:szCs w:val="16"/>
                <w:color w:val="auto"/>
              </w:rPr>
              <w:t>Lines of Credit and current</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2280" w:type="dxa"/>
            <w:vAlign w:val="bottom"/>
          </w:tcPr>
          <w:p>
            <w:pPr>
              <w:ind w:left="120"/>
              <w:spacing w:after="0"/>
              <w:rPr>
                <w:sz w:val="20"/>
                <w:szCs w:val="20"/>
                <w:color w:val="auto"/>
              </w:rPr>
            </w:pPr>
            <w:r>
              <w:rPr>
                <w:rFonts w:ascii="Arial" w:cs="Arial" w:eastAsia="Arial" w:hAnsi="Arial"/>
                <w:sz w:val="16"/>
                <w:szCs w:val="16"/>
                <w:color w:val="auto"/>
              </w:rPr>
              <w:t>portion of long-term debt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1040" w:type="dxa"/>
            <w:vAlign w:val="bottom"/>
          </w:tcPr>
          <w:p>
            <w:pPr>
              <w:jc w:val="center"/>
              <w:ind w:left="159"/>
              <w:spacing w:after="0"/>
              <w:rPr>
                <w:sz w:val="20"/>
                <w:szCs w:val="20"/>
                <w:color w:val="auto"/>
              </w:rPr>
            </w:pPr>
            <w:r>
              <w:rPr>
                <w:rFonts w:ascii="Arial" w:cs="Arial" w:eastAsia="Arial" w:hAnsi="Arial"/>
                <w:sz w:val="16"/>
                <w:szCs w:val="16"/>
                <w:color w:val="auto"/>
                <w:w w:val="89"/>
              </w:rPr>
              <w:t>$0.0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$0.0</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89"/>
              </w:rPr>
              <w:t>$0.0</w:t>
            </w:r>
          </w:p>
        </w:tc>
        <w:tc>
          <w:tcPr>
            <w:tcW w:w="940" w:type="dxa"/>
            <w:vAlign w:val="bottom"/>
          </w:tcPr>
          <w:p>
            <w:pPr>
              <w:jc w:val="center"/>
              <w:ind w:left="259"/>
              <w:spacing w:after="0"/>
              <w:rPr>
                <w:sz w:val="20"/>
                <w:szCs w:val="20"/>
                <w:color w:val="auto"/>
              </w:rPr>
            </w:pPr>
            <w:r>
              <w:rPr>
                <w:rFonts w:ascii="Arial" w:cs="Arial" w:eastAsia="Arial" w:hAnsi="Arial"/>
                <w:sz w:val="16"/>
                <w:szCs w:val="16"/>
                <w:color w:val="auto"/>
                <w:w w:val="89"/>
              </w:rPr>
              <w:t>$0.0</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w w:val="89"/>
              </w:rPr>
              <w:t>$0.0</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interest rate</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w:t>
            </w:r>
          </w:p>
        </w:tc>
        <w:tc>
          <w:tcPr>
            <w:tcW w:w="1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r>
      <w:tr>
        <w:trPr>
          <w:trHeight w:val="230"/>
        </w:trPr>
        <w:tc>
          <w:tcPr>
            <w:tcW w:w="2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Long-term debt</w:t>
            </w:r>
          </w:p>
        </w:tc>
        <w:tc>
          <w:tcPr>
            <w:tcW w:w="14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$0.0</w:t>
            </w:r>
          </w:p>
        </w:tc>
        <w:tc>
          <w:tcPr>
            <w:tcW w:w="1040" w:type="dxa"/>
            <w:vAlign w:val="bottom"/>
            <w:tcBorders>
              <w:top w:val="single" w:sz="8" w:color="auto"/>
            </w:tcBorders>
          </w:tcPr>
          <w:p>
            <w:pPr>
              <w:jc w:val="center"/>
              <w:ind w:left="159"/>
              <w:spacing w:after="0"/>
              <w:rPr>
                <w:sz w:val="20"/>
                <w:szCs w:val="20"/>
                <w:color w:val="auto"/>
              </w:rPr>
            </w:pPr>
            <w:r>
              <w:rPr>
                <w:rFonts w:ascii="Arial" w:cs="Arial" w:eastAsia="Arial" w:hAnsi="Arial"/>
                <w:sz w:val="16"/>
                <w:szCs w:val="16"/>
                <w:color w:val="auto"/>
                <w:w w:val="89"/>
              </w:rPr>
              <w:t>$0.0</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$6.4</w:t>
            </w:r>
          </w:p>
        </w:tc>
        <w:tc>
          <w:tcPr>
            <w:tcW w:w="1000" w:type="dxa"/>
            <w:vAlign w:val="bottom"/>
            <w:tcBorders>
              <w:top w:val="single" w:sz="8" w:color="auto"/>
            </w:tcBorders>
          </w:tcPr>
          <w:p>
            <w:pPr>
              <w:jc w:val="center"/>
              <w:ind w:left="199"/>
              <w:spacing w:after="0"/>
              <w:rPr>
                <w:sz w:val="20"/>
                <w:szCs w:val="20"/>
                <w:color w:val="auto"/>
              </w:rPr>
            </w:pPr>
            <w:r>
              <w:rPr>
                <w:rFonts w:ascii="Arial" w:cs="Arial" w:eastAsia="Arial" w:hAnsi="Arial"/>
                <w:sz w:val="16"/>
                <w:szCs w:val="16"/>
                <w:color w:val="auto"/>
                <w:w w:val="89"/>
              </w:rPr>
              <w:t>$0.0</w:t>
            </w:r>
          </w:p>
        </w:tc>
        <w:tc>
          <w:tcPr>
            <w:tcW w:w="940" w:type="dxa"/>
            <w:vAlign w:val="bottom"/>
            <w:tcBorders>
              <w:top w:val="single" w:sz="8" w:color="auto"/>
            </w:tcBorders>
          </w:tcPr>
          <w:p>
            <w:pPr>
              <w:jc w:val="center"/>
              <w:ind w:left="259"/>
              <w:spacing w:after="0"/>
              <w:rPr>
                <w:sz w:val="20"/>
                <w:szCs w:val="20"/>
                <w:color w:val="auto"/>
              </w:rPr>
            </w:pPr>
            <w:r>
              <w:rPr>
                <w:rFonts w:ascii="Arial" w:cs="Arial" w:eastAsia="Arial" w:hAnsi="Arial"/>
                <w:sz w:val="16"/>
                <w:szCs w:val="16"/>
                <w:color w:val="auto"/>
                <w:w w:val="89"/>
              </w:rPr>
              <w:t>$0.0</w:t>
            </w:r>
          </w:p>
        </w:tc>
        <w:tc>
          <w:tcPr>
            <w:tcW w:w="1260" w:type="dxa"/>
            <w:vAlign w:val="bottom"/>
            <w:tcBorders>
              <w:top w:val="single" w:sz="8" w:color="auto"/>
            </w:tcBorders>
          </w:tcPr>
          <w:p>
            <w:pPr>
              <w:jc w:val="center"/>
              <w:ind w:left="499"/>
              <w:spacing w:after="0"/>
              <w:rPr>
                <w:sz w:val="20"/>
                <w:szCs w:val="20"/>
                <w:color w:val="auto"/>
              </w:rPr>
            </w:pPr>
            <w:r>
              <w:rPr>
                <w:rFonts w:ascii="Arial" w:cs="Arial" w:eastAsia="Arial" w:hAnsi="Arial"/>
                <w:sz w:val="16"/>
                <w:szCs w:val="16"/>
                <w:color w:val="auto"/>
                <w:w w:val="89"/>
              </w:rPr>
              <w:t>$0.0</w:t>
            </w:r>
          </w:p>
        </w:tc>
        <w:tc>
          <w:tcPr>
            <w:tcW w:w="10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2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interest rate</w:t>
            </w:r>
          </w:p>
        </w:tc>
        <w:tc>
          <w:tcPr>
            <w:tcW w:w="14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94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420" w:hanging="358"/>
        <w:spacing w:after="0"/>
        <w:tabs>
          <w:tab w:leader="none" w:pos="4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Fiscal 2020 includes the remaining three months of the current fiscal year ending May 31, 2020.</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48" w:lineRule="exact"/>
        <w:rPr>
          <w:rFonts w:ascii="Arial" w:cs="Arial" w:eastAsia="Arial" w:hAnsi="Arial"/>
          <w:sz w:val="16"/>
          <w:szCs w:val="16"/>
          <w:i w:val="1"/>
          <w:iCs w:val="1"/>
          <w:color w:val="auto"/>
        </w:rPr>
      </w:pPr>
    </w:p>
    <w:p>
      <w:pPr>
        <w:ind w:left="5540"/>
        <w:spacing w:after="0"/>
        <w:rPr>
          <w:rFonts w:ascii="Arial" w:cs="Arial" w:eastAsia="Arial" w:hAnsi="Arial"/>
          <w:sz w:val="16"/>
          <w:szCs w:val="16"/>
          <w:i w:val="1"/>
          <w:iCs w:val="1"/>
          <w:color w:val="auto"/>
        </w:rPr>
      </w:pPr>
      <w:r>
        <w:rPr>
          <w:rFonts w:ascii="Arial" w:cs="Arial" w:eastAsia="Arial" w:hAnsi="Arial"/>
          <w:sz w:val="18"/>
          <w:szCs w:val="18"/>
          <w:color w:val="auto"/>
        </w:rPr>
        <w:t>37</w:t>
      </w:r>
    </w:p>
    <w:p>
      <w:pPr>
        <w:sectPr>
          <w:pgSz w:w="11900" w:h="16838" w:orient="portrait"/>
          <w:cols w:equalWidth="0" w:num="1">
            <w:col w:w="11240"/>
          </w:cols>
          <w:pgMar w:left="320" w:top="850" w:right="339"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29, 2020,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29, 2020 that has materially affected, or is reasonably likely to materially affect, the Corporation’s internal control over financial reporting.</w:t>
      </w: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85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Item 1A (Risk Factors) in Part I of the Company’s Annual Report on Form 10-K for the fiscal year ended May 31, 2019, the Company described material risk factors which could affect its business. Except as set forth below, as of the date of this Quarterly Report on Form 10-Q there have been no material changes to the risk factors described in the Company’s Annual Report for the fiscal year ended May 31, 2019. Any of the risks identified in such Annual Report, in this Quarterly Report on Form 10-Q or in other reports the Company files with the SEC, and other risks the Company has not anticipated or discussed, could have a material adverse impact on the Company’s business, financial condition or results of operations.</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may be adversely affected by pandemic infectious diseases, particularly the novel coronavirus strain known as COVID-19.</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Pandemic infectious diseases, such as the current COVID-19 strain, may adversely impact our business, consolidated results of operations and financial condition. COVID-19, as well as measures taken by governmental authorities and private actors to limit the spread of this virus, may interfere with the ability of our employees, suppliers, and other business providers to carry out their assigned tasks or supply materials at ordinary levels of performance relative to the conduct of our business which may cause us to materially curtail certain of our business operations. Moreover, as a large part of our business involves sales of books and other products in schools and school facilities, as well as through school districts, if COVID-19 related measures were to result in widespread and lengthy school closings, our business consolidated results of operations and financial condition may be materially adversely impacted. In particular, in the context of our book fair channel, such closings may lead to cancellation of a significant number of book fairs which are not rebooked or cannot be held during the current school year and, in the context of our book clubs channel, such closings could result in a significant decrease in the participation by teacher sponsors in our scheduled book club offerings. In the case of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the last quarter of our fiscal year, currently ending May 31, 2020, is normally a significant quarter as school administrators and other educational personnel, prior to breaking for the summer, order products for immediate shipment in preparation for the following academic school year, orders which could be significantly impacted by the absence from the schools of such administrators and other educational personnel resulting from school closings. Finally, our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is subject to the same risks, due to the temporary closing of our franchised English language learning centers in China, as well as disruption in our direct sales business in other parts of Southeast Asia, resulting from measures imposed to combat the spread of COVID-19.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2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repurchases of shares of Common Stock by the Corporation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rPr>
              <w:t>Total number of</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Maximum number of shares</w:t>
            </w:r>
          </w:p>
        </w:tc>
      </w:tr>
      <w:tr>
        <w:trPr>
          <w:trHeight w:val="216"/>
        </w:trPr>
        <w:tc>
          <w:tcPr>
            <w:tcW w:w="3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rPr>
              <w:t>shares</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rPr>
              <w:t>(or</w:t>
            </w:r>
          </w:p>
        </w:tc>
      </w:tr>
      <w:tr>
        <w:trPr>
          <w:trHeight w:val="216"/>
        </w:trPr>
        <w:tc>
          <w:tcPr>
            <w:tcW w:w="3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w w:val="93"/>
              </w:rPr>
              <w:t>purchased as part of</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rPr>
              <w:t>approximate dollar value)</w:t>
            </w:r>
          </w:p>
        </w:tc>
      </w:tr>
      <w:tr>
        <w:trPr>
          <w:trHeight w:val="216"/>
        </w:trPr>
        <w:tc>
          <w:tcPr>
            <w:tcW w:w="3380" w:type="dxa"/>
            <w:vAlign w:val="bottom"/>
          </w:tcPr>
          <w:p>
            <w:pPr>
              <w:spacing w:after="0"/>
              <w:rPr>
                <w:sz w:val="18"/>
                <w:szCs w:val="18"/>
                <w:color w:val="auto"/>
              </w:rPr>
            </w:pPr>
          </w:p>
        </w:tc>
        <w:tc>
          <w:tcPr>
            <w:tcW w:w="2080" w:type="dxa"/>
            <w:vAlign w:val="bottom"/>
          </w:tcPr>
          <w:p>
            <w:pPr>
              <w:ind w:left="720"/>
              <w:spacing w:after="0"/>
              <w:rPr>
                <w:sz w:val="20"/>
                <w:szCs w:val="20"/>
                <w:color w:val="auto"/>
              </w:rPr>
            </w:pPr>
            <w:r>
              <w:rPr>
                <w:rFonts w:ascii="Arial" w:cs="Arial" w:eastAsia="Arial" w:hAnsi="Arial"/>
                <w:sz w:val="18"/>
                <w:szCs w:val="18"/>
                <w:b w:val="1"/>
                <w:bCs w:val="1"/>
                <w:color w:val="auto"/>
                <w:w w:val="98"/>
              </w:rPr>
              <w:t>Total number of</w:t>
            </w:r>
          </w:p>
        </w:tc>
        <w:tc>
          <w:tcPr>
            <w:tcW w:w="1560" w:type="dxa"/>
            <w:vAlign w:val="bottom"/>
          </w:tcPr>
          <w:p>
            <w:pPr>
              <w:ind w:left="120"/>
              <w:spacing w:after="0"/>
              <w:rPr>
                <w:sz w:val="20"/>
                <w:szCs w:val="20"/>
                <w:color w:val="auto"/>
              </w:rPr>
            </w:pPr>
            <w:r>
              <w:rPr>
                <w:rFonts w:ascii="Arial" w:cs="Arial" w:eastAsia="Arial" w:hAnsi="Arial"/>
                <w:sz w:val="18"/>
                <w:szCs w:val="18"/>
                <w:b w:val="1"/>
                <w:bCs w:val="1"/>
                <w:color w:val="auto"/>
              </w:rPr>
              <w:t>Average</w:t>
            </w: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rPr>
              <w:t>publicly</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rPr>
              <w:t>that may yet be purchased</w:t>
            </w:r>
          </w:p>
        </w:tc>
      </w:tr>
      <w:tr>
        <w:trPr>
          <w:trHeight w:val="216"/>
        </w:trPr>
        <w:tc>
          <w:tcPr>
            <w:tcW w:w="3380" w:type="dxa"/>
            <w:vAlign w:val="bottom"/>
          </w:tcPr>
          <w:p>
            <w:pPr>
              <w:spacing w:after="0"/>
              <w:rPr>
                <w:sz w:val="18"/>
                <w:szCs w:val="18"/>
                <w:color w:val="auto"/>
              </w:rPr>
            </w:pPr>
          </w:p>
        </w:tc>
        <w:tc>
          <w:tcPr>
            <w:tcW w:w="2080" w:type="dxa"/>
            <w:vAlign w:val="bottom"/>
          </w:tcPr>
          <w:p>
            <w:pPr>
              <w:ind w:left="720"/>
              <w:spacing w:after="0"/>
              <w:rPr>
                <w:sz w:val="20"/>
                <w:szCs w:val="20"/>
                <w:color w:val="auto"/>
              </w:rPr>
            </w:pPr>
            <w:r>
              <w:rPr>
                <w:rFonts w:ascii="Arial" w:cs="Arial" w:eastAsia="Arial" w:hAnsi="Arial"/>
                <w:sz w:val="18"/>
                <w:szCs w:val="18"/>
                <w:b w:val="1"/>
                <w:bCs w:val="1"/>
                <w:color w:val="auto"/>
              </w:rPr>
              <w:t>shares</w:t>
            </w:r>
          </w:p>
        </w:tc>
        <w:tc>
          <w:tcPr>
            <w:tcW w:w="1560" w:type="dxa"/>
            <w:vAlign w:val="bottom"/>
          </w:tcPr>
          <w:p>
            <w:pPr>
              <w:ind w:left="120"/>
              <w:spacing w:after="0"/>
              <w:rPr>
                <w:sz w:val="20"/>
                <w:szCs w:val="20"/>
                <w:color w:val="auto"/>
              </w:rPr>
            </w:pPr>
            <w:r>
              <w:rPr>
                <w:rFonts w:ascii="Arial" w:cs="Arial" w:eastAsia="Arial" w:hAnsi="Arial"/>
                <w:sz w:val="18"/>
                <w:szCs w:val="18"/>
                <w:b w:val="1"/>
                <w:bCs w:val="1"/>
                <w:color w:val="auto"/>
              </w:rPr>
              <w:t>price paid</w:t>
            </w:r>
          </w:p>
        </w:tc>
        <w:tc>
          <w:tcPr>
            <w:tcW w:w="1800" w:type="dxa"/>
            <w:vAlign w:val="bottom"/>
          </w:tcPr>
          <w:p>
            <w:pPr>
              <w:ind w:left="120"/>
              <w:spacing w:after="0"/>
              <w:rPr>
                <w:sz w:val="20"/>
                <w:szCs w:val="20"/>
                <w:color w:val="auto"/>
              </w:rPr>
            </w:pPr>
            <w:r>
              <w:rPr>
                <w:rFonts w:ascii="Arial" w:cs="Arial" w:eastAsia="Arial" w:hAnsi="Arial"/>
                <w:sz w:val="18"/>
                <w:szCs w:val="18"/>
                <w:b w:val="1"/>
                <w:bCs w:val="1"/>
                <w:color w:val="auto"/>
                <w:w w:val="97"/>
              </w:rPr>
              <w:t>announced plans or</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rPr>
              <w:t>under the plans or</w:t>
            </w:r>
          </w:p>
        </w:tc>
      </w:tr>
      <w:tr>
        <w:trPr>
          <w:trHeight w:val="261"/>
        </w:trPr>
        <w:tc>
          <w:tcPr>
            <w:tcW w:w="33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20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purchased</w:t>
            </w: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per share</w:t>
            </w: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programs</w:t>
            </w:r>
          </w:p>
        </w:tc>
        <w:tc>
          <w:tcPr>
            <w:tcW w:w="2420" w:type="dxa"/>
            <w:vAlign w:val="bottom"/>
            <w:tcBorders>
              <w:bottom w:val="single" w:sz="8" w:color="auto"/>
            </w:tcBorders>
            <w:gridSpan w:val="2"/>
          </w:tcPr>
          <w:p>
            <w:pPr>
              <w:ind w:left="100"/>
              <w:spacing w:after="0" w:line="262"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9"/>
                <w:szCs w:val="29"/>
                <w:b w:val="1"/>
                <w:bCs w:val="1"/>
                <w:color w:val="auto"/>
                <w:vertAlign w:val="superscript"/>
              </w:rPr>
              <w:t>(i)</w:t>
            </w:r>
          </w:p>
        </w:tc>
      </w:tr>
      <w:tr>
        <w:trPr>
          <w:trHeight w:val="243"/>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 through December 31, 2019</w:t>
            </w:r>
          </w:p>
        </w:tc>
        <w:tc>
          <w:tcPr>
            <w:tcW w:w="2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31,306</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37.64</w:t>
            </w:r>
          </w:p>
        </w:tc>
        <w:tc>
          <w:tcPr>
            <w:tcW w:w="1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31,306</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January 1 through January 31, 2020</w:t>
            </w:r>
          </w:p>
        </w:tc>
        <w:tc>
          <w:tcPr>
            <w:tcW w:w="2080" w:type="dxa"/>
            <w:vAlign w:val="bottom"/>
          </w:tcPr>
          <w:p>
            <w:pPr>
              <w:jc w:val="right"/>
              <w:ind w:right="55"/>
              <w:spacing w:after="0"/>
              <w:rPr>
                <w:sz w:val="20"/>
                <w:szCs w:val="20"/>
                <w:color w:val="auto"/>
              </w:rPr>
            </w:pPr>
            <w:r>
              <w:rPr>
                <w:rFonts w:ascii="Arial" w:cs="Arial" w:eastAsia="Arial" w:hAnsi="Arial"/>
                <w:sz w:val="16"/>
                <w:szCs w:val="16"/>
                <w:color w:val="auto"/>
              </w:rPr>
              <w:t>211,540</w:t>
            </w:r>
          </w:p>
        </w:tc>
        <w:tc>
          <w:tcPr>
            <w:tcW w:w="1560" w:type="dxa"/>
            <w:vAlign w:val="bottom"/>
          </w:tcPr>
          <w:p>
            <w:pPr>
              <w:jc w:val="right"/>
              <w:ind w:right="35"/>
              <w:spacing w:after="0"/>
              <w:rPr>
                <w:sz w:val="20"/>
                <w:szCs w:val="20"/>
                <w:color w:val="auto"/>
              </w:rPr>
            </w:pPr>
            <w:r>
              <w:rPr>
                <w:rFonts w:ascii="Arial" w:cs="Arial" w:eastAsia="Arial" w:hAnsi="Arial"/>
                <w:sz w:val="16"/>
                <w:szCs w:val="16"/>
                <w:color w:val="auto"/>
              </w:rPr>
              <w:t>35.50</w:t>
            </w:r>
          </w:p>
        </w:tc>
        <w:tc>
          <w:tcPr>
            <w:tcW w:w="1800" w:type="dxa"/>
            <w:vAlign w:val="bottom"/>
          </w:tcPr>
          <w:p>
            <w:pPr>
              <w:jc w:val="right"/>
              <w:ind w:right="54"/>
              <w:spacing w:after="0"/>
              <w:rPr>
                <w:sz w:val="20"/>
                <w:szCs w:val="20"/>
                <w:color w:val="auto"/>
              </w:rPr>
            </w:pPr>
            <w:r>
              <w:rPr>
                <w:rFonts w:ascii="Arial" w:cs="Arial" w:eastAsia="Arial" w:hAnsi="Arial"/>
                <w:sz w:val="16"/>
                <w:szCs w:val="16"/>
                <w:color w:val="auto"/>
              </w:rPr>
              <w:t>211,540</w:t>
            </w:r>
          </w:p>
        </w:tc>
        <w:tc>
          <w:tcPr>
            <w:tcW w:w="23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through February 29, 2020</w:t>
            </w:r>
          </w:p>
        </w:tc>
        <w:tc>
          <w:tcPr>
            <w:tcW w:w="2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130,122</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33.32</w:t>
            </w:r>
          </w:p>
        </w:tc>
        <w:tc>
          <w:tcPr>
            <w:tcW w:w="1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130,122</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080" w:type="dxa"/>
            <w:vAlign w:val="bottom"/>
            <w:tcBorders>
              <w:top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372,968</w:t>
            </w:r>
          </w:p>
        </w:tc>
        <w:tc>
          <w:tcPr>
            <w:tcW w:w="15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372,968</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20"/>
                <w:szCs w:val="20"/>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right="60" w:firstLine="8"/>
        <w:spacing w:after="0" w:line="256" w:lineRule="auto"/>
        <w:tabs>
          <w:tab w:leader="none" w:pos="193"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amount remaining at February 29, 2020 under the $50.0 Board authorization for Common share repurchases announced on March 21, 2018, which is available for further repurchases, from time to time as conditions allow, on the open market or through negotiated private transactions. See Note 13 and Note 19 of Notes to Condensed Consolidated Financial Statements - unaudited in Item 1, “Financial Statements,” for a description of the Company’s share buy-back program and additional share repurchase authorization made on March 18, 2020.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2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15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8890"/>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800" w:type="dxa"/>
            <w:vAlign w:val="bottom"/>
          </w:tcPr>
          <w:p>
            <w:pPr>
              <w:spacing w:after="0"/>
              <w:rPr>
                <w:sz w:val="20"/>
                <w:szCs w:val="20"/>
                <w:color w:val="auto"/>
              </w:rPr>
            </w:pPr>
            <w:r>
              <w:rPr>
                <w:rFonts w:ascii="Arial" w:cs="Arial" w:eastAsia="Arial" w:hAnsi="Arial"/>
                <w:sz w:val="16"/>
                <w:szCs w:val="16"/>
                <w:color w:val="auto"/>
              </w:rPr>
              <w:t>31.1</w:t>
            </w:r>
          </w:p>
        </w:tc>
        <w:tc>
          <w:tcPr>
            <w:tcW w:w="880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44">
              <w:r>
                <w:rPr>
                  <w:rFonts w:ascii="Arial" w:cs="Arial" w:eastAsia="Arial" w:hAnsi="Arial"/>
                  <w:sz w:val="16"/>
                  <w:szCs w:val="16"/>
                  <w:color w:val="0000FF"/>
                  <w:w w:val="93"/>
                </w:rPr>
                <w:t>Certification of the Chief Executive Officer of Scholastic Corporation filed pursuant to Section 302 of the Sarbanes-Oxley Act of 2002.</w:t>
              </w:r>
            </w:hyperlink>
          </w:p>
        </w:tc>
        <w:tc>
          <w:tcPr>
            <w:tcW w:w="480" w:type="dxa"/>
            <w:vAlign w:val="bottom"/>
            <w:gridSpan w:val="2"/>
          </w:tcPr>
          <w:p>
            <w:pPr>
              <w:spacing w:after="0"/>
              <w:rPr>
                <w:sz w:val="16"/>
                <w:szCs w:val="16"/>
                <w:color w:val="auto"/>
              </w:rPr>
            </w:pPr>
          </w:p>
        </w:tc>
      </w:tr>
      <w:tr>
        <w:trPr>
          <w:trHeight w:val="493"/>
        </w:trPr>
        <w:tc>
          <w:tcPr>
            <w:tcW w:w="1800" w:type="dxa"/>
            <w:vAlign w:val="bottom"/>
          </w:tcPr>
          <w:p>
            <w:pPr>
              <w:spacing w:after="0"/>
              <w:rPr>
                <w:sz w:val="20"/>
                <w:szCs w:val="20"/>
                <w:color w:val="auto"/>
              </w:rPr>
            </w:pPr>
            <w:r>
              <w:rPr>
                <w:rFonts w:ascii="Arial" w:cs="Arial" w:eastAsia="Arial" w:hAnsi="Arial"/>
                <w:sz w:val="16"/>
                <w:szCs w:val="16"/>
                <w:color w:val="auto"/>
              </w:rPr>
              <w:t>31.2</w:t>
            </w:r>
          </w:p>
        </w:tc>
        <w:tc>
          <w:tcPr>
            <w:tcW w:w="9280" w:type="dxa"/>
            <w:vAlign w:val="bottom"/>
            <w:gridSpan w:val="5"/>
          </w:tcPr>
          <w:p>
            <w:pPr>
              <w:spacing w:after="0"/>
              <w:rPr>
                <w:rFonts w:ascii="Arial" w:cs="Arial" w:eastAsia="Arial" w:hAnsi="Arial"/>
                <w:sz w:val="16"/>
                <w:szCs w:val="16"/>
                <w:color w:val="0000FF"/>
                <w:w w:val="99"/>
              </w:rPr>
            </w:pPr>
            <w:hyperlink w:anchor="page45">
              <w:r>
                <w:rPr>
                  <w:rFonts w:ascii="Arial" w:cs="Arial" w:eastAsia="Arial" w:hAnsi="Arial"/>
                  <w:sz w:val="16"/>
                  <w:szCs w:val="16"/>
                  <w:color w:val="0000FF"/>
                  <w:w w:val="99"/>
                </w:rPr>
                <w:t>Certification of the Chief Financial Officer of Scholastic Corporation filed pursuant to Section 302 of the Sarbanes-Oxley Act of 2002.</w:t>
              </w:r>
            </w:hyperlink>
          </w:p>
        </w:tc>
      </w:tr>
      <w:tr>
        <w:trPr>
          <w:trHeight w:val="20"/>
        </w:trPr>
        <w:tc>
          <w:tcPr>
            <w:tcW w:w="18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93"/>
        </w:trPr>
        <w:tc>
          <w:tcPr>
            <w:tcW w:w="1800" w:type="dxa"/>
            <w:vAlign w:val="bottom"/>
          </w:tcPr>
          <w:p>
            <w:pPr>
              <w:spacing w:after="0"/>
              <w:rPr>
                <w:sz w:val="24"/>
                <w:szCs w:val="24"/>
                <w:color w:val="auto"/>
              </w:rPr>
            </w:pPr>
          </w:p>
        </w:tc>
        <w:tc>
          <w:tcPr>
            <w:tcW w:w="9280" w:type="dxa"/>
            <w:vAlign w:val="bottom"/>
            <w:gridSpan w:val="5"/>
          </w:tcPr>
          <w:p>
            <w:pPr>
              <w:spacing w:after="0"/>
              <w:rPr>
                <w:rFonts w:ascii="Arial" w:cs="Arial" w:eastAsia="Arial" w:hAnsi="Arial"/>
                <w:sz w:val="16"/>
                <w:szCs w:val="16"/>
                <w:color w:val="0000FF"/>
                <w:w w:val="95"/>
              </w:rPr>
            </w:pPr>
            <w:hyperlink w:anchor="page46">
              <w:r>
                <w:rPr>
                  <w:rFonts w:ascii="Arial" w:cs="Arial" w:eastAsia="Arial" w:hAnsi="Arial"/>
                  <w:sz w:val="16"/>
                  <w:szCs w:val="16"/>
                  <w:color w:val="0000FF"/>
                  <w:w w:val="95"/>
                </w:rPr>
                <w:t>Certifications of the Chief Executive Officer and Chief Financial Officer of Scholastic Corporation furnished pursuant to Section 906 of the</w:t>
              </w:r>
            </w:hyperlink>
          </w:p>
        </w:tc>
      </w:tr>
      <w:tr>
        <w:trPr>
          <w:trHeight w:val="183"/>
        </w:trPr>
        <w:tc>
          <w:tcPr>
            <w:tcW w:w="1800" w:type="dxa"/>
            <w:vAlign w:val="bottom"/>
          </w:tcPr>
          <w:p>
            <w:pPr>
              <w:spacing w:after="0" w:line="183" w:lineRule="exact"/>
              <w:rPr>
                <w:sz w:val="20"/>
                <w:szCs w:val="20"/>
                <w:color w:val="auto"/>
              </w:rPr>
            </w:pPr>
            <w:r>
              <w:rPr>
                <w:rFonts w:ascii="Arial" w:cs="Arial" w:eastAsia="Arial" w:hAnsi="Arial"/>
                <w:sz w:val="16"/>
                <w:szCs w:val="16"/>
                <w:color w:val="auto"/>
              </w:rPr>
              <w:t>32</w:t>
            </w:r>
          </w:p>
        </w:tc>
        <w:tc>
          <w:tcPr>
            <w:tcW w:w="190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1"/>
              </w:rPr>
            </w:pPr>
            <w:hyperlink w:anchor="page46">
              <w:r>
                <w:rPr>
                  <w:rFonts w:ascii="Arial" w:cs="Arial" w:eastAsia="Arial" w:hAnsi="Arial"/>
                  <w:sz w:val="16"/>
                  <w:szCs w:val="16"/>
                  <w:color w:val="0000FF"/>
                  <w:w w:val="91"/>
                </w:rPr>
                <w:t>Sarbanes-Oxley Act of 2002.</w:t>
              </w:r>
            </w:hyperlink>
          </w:p>
        </w:tc>
        <w:tc>
          <w:tcPr>
            <w:tcW w:w="7160" w:type="dxa"/>
            <w:vAlign w:val="bottom"/>
            <w:tcBorders>
              <w:top w:val="single" w:sz="8" w:color="0000FF"/>
            </w:tcBorders>
            <w:gridSpan w:val="3"/>
          </w:tcPr>
          <w:p>
            <w:pPr>
              <w:spacing w:after="0"/>
              <w:rPr>
                <w:sz w:val="15"/>
                <w:szCs w:val="15"/>
                <w:color w:val="auto"/>
              </w:rPr>
            </w:pPr>
          </w:p>
        </w:tc>
        <w:tc>
          <w:tcPr>
            <w:tcW w:w="220" w:type="dxa"/>
            <w:vAlign w:val="bottom"/>
          </w:tcPr>
          <w:p>
            <w:pPr>
              <w:spacing w:after="0"/>
              <w:rPr>
                <w:sz w:val="15"/>
                <w:szCs w:val="15"/>
                <w:color w:val="auto"/>
              </w:rPr>
            </w:pPr>
          </w:p>
        </w:tc>
      </w:tr>
      <w:tr>
        <w:trPr>
          <w:trHeight w:val="591"/>
        </w:trPr>
        <w:tc>
          <w:tcPr>
            <w:tcW w:w="1800" w:type="dxa"/>
            <w:vAlign w:val="bottom"/>
          </w:tcPr>
          <w:p>
            <w:pPr>
              <w:spacing w:after="0"/>
              <w:rPr>
                <w:sz w:val="24"/>
                <w:szCs w:val="24"/>
                <w:color w:val="auto"/>
              </w:rPr>
            </w:pPr>
          </w:p>
        </w:tc>
        <w:tc>
          <w:tcPr>
            <w:tcW w:w="9280" w:type="dxa"/>
            <w:vAlign w:val="bottom"/>
            <w:gridSpan w:val="5"/>
          </w:tcPr>
          <w:p>
            <w:pPr>
              <w:spacing w:after="0"/>
              <w:rPr>
                <w:sz w:val="20"/>
                <w:szCs w:val="20"/>
                <w:color w:val="auto"/>
              </w:rPr>
            </w:pPr>
            <w:r>
              <w:rPr>
                <w:rFonts w:ascii="Arial" w:cs="Arial" w:eastAsia="Arial" w:hAnsi="Arial"/>
                <w:sz w:val="16"/>
                <w:szCs w:val="16"/>
                <w:color w:val="auto"/>
                <w:w w:val="94"/>
              </w:rPr>
              <w:t>Financial Statements from the Quarterly Report on Form 10-Q of the Company for the quarter ended February 29, 2020 formatted in Inline</w:t>
            </w:r>
          </w:p>
        </w:tc>
      </w:tr>
      <w:tr>
        <w:trPr>
          <w:trHeight w:val="203"/>
        </w:trPr>
        <w:tc>
          <w:tcPr>
            <w:tcW w:w="1800" w:type="dxa"/>
            <w:vAlign w:val="bottom"/>
          </w:tcPr>
          <w:p>
            <w:pPr>
              <w:spacing w:after="0"/>
              <w:rPr>
                <w:sz w:val="17"/>
                <w:szCs w:val="17"/>
                <w:color w:val="auto"/>
              </w:rPr>
            </w:pPr>
          </w:p>
        </w:tc>
        <w:tc>
          <w:tcPr>
            <w:tcW w:w="9280" w:type="dxa"/>
            <w:vAlign w:val="bottom"/>
            <w:gridSpan w:val="5"/>
          </w:tcPr>
          <w:p>
            <w:pPr>
              <w:spacing w:after="0"/>
              <w:rPr>
                <w:sz w:val="20"/>
                <w:szCs w:val="20"/>
                <w:color w:val="auto"/>
              </w:rPr>
            </w:pPr>
            <w:r>
              <w:rPr>
                <w:rFonts w:ascii="Arial" w:cs="Arial" w:eastAsia="Arial" w:hAnsi="Arial"/>
                <w:sz w:val="16"/>
                <w:szCs w:val="16"/>
                <w:color w:val="auto"/>
                <w:w w:val="92"/>
              </w:rPr>
              <w:t>Extensible Business Reporting Language: (i) Condensed Consolidated Statements of Operations; (ii) Condensed Consolidated Statements of</w:t>
            </w:r>
          </w:p>
        </w:tc>
      </w:tr>
      <w:tr>
        <w:trPr>
          <w:trHeight w:val="203"/>
        </w:trPr>
        <w:tc>
          <w:tcPr>
            <w:tcW w:w="1800" w:type="dxa"/>
            <w:vAlign w:val="bottom"/>
          </w:tcPr>
          <w:p>
            <w:pPr>
              <w:spacing w:after="0"/>
              <w:rPr>
                <w:sz w:val="20"/>
                <w:szCs w:val="20"/>
                <w:color w:val="auto"/>
              </w:rPr>
            </w:pPr>
            <w:r>
              <w:rPr>
                <w:rFonts w:ascii="Arial" w:cs="Arial" w:eastAsia="Arial" w:hAnsi="Arial"/>
                <w:sz w:val="16"/>
                <w:szCs w:val="16"/>
                <w:color w:val="auto"/>
              </w:rPr>
              <w:t>101</w:t>
            </w:r>
          </w:p>
        </w:tc>
        <w:tc>
          <w:tcPr>
            <w:tcW w:w="9280" w:type="dxa"/>
            <w:vAlign w:val="bottom"/>
            <w:gridSpan w:val="5"/>
          </w:tcPr>
          <w:p>
            <w:pPr>
              <w:spacing w:after="0"/>
              <w:rPr>
                <w:sz w:val="20"/>
                <w:szCs w:val="20"/>
                <w:color w:val="auto"/>
              </w:rPr>
            </w:pPr>
            <w:r>
              <w:rPr>
                <w:rFonts w:ascii="Arial" w:cs="Arial" w:eastAsia="Arial" w:hAnsi="Arial"/>
                <w:sz w:val="16"/>
                <w:szCs w:val="16"/>
                <w:color w:val="auto"/>
                <w:w w:val="97"/>
              </w:rPr>
              <w:t>Comprehensive Income (Loss), (iii) Condensed Consolidated Balance Sheets; (iv) Condensed Consolidated Statements of Changes in</w:t>
            </w:r>
          </w:p>
        </w:tc>
      </w:tr>
      <w:tr>
        <w:trPr>
          <w:trHeight w:val="206"/>
        </w:trPr>
        <w:tc>
          <w:tcPr>
            <w:tcW w:w="1800" w:type="dxa"/>
            <w:vAlign w:val="bottom"/>
          </w:tcPr>
          <w:p>
            <w:pPr>
              <w:spacing w:after="0"/>
              <w:rPr>
                <w:sz w:val="17"/>
                <w:szCs w:val="17"/>
                <w:color w:val="auto"/>
              </w:rPr>
            </w:pPr>
          </w:p>
        </w:tc>
        <w:tc>
          <w:tcPr>
            <w:tcW w:w="9280" w:type="dxa"/>
            <w:vAlign w:val="bottom"/>
            <w:gridSpan w:val="5"/>
          </w:tcPr>
          <w:p>
            <w:pPr>
              <w:spacing w:after="0"/>
              <w:rPr>
                <w:sz w:val="20"/>
                <w:szCs w:val="20"/>
                <w:color w:val="auto"/>
              </w:rPr>
            </w:pPr>
            <w:r>
              <w:rPr>
                <w:rFonts w:ascii="Arial" w:cs="Arial" w:eastAsia="Arial" w:hAnsi="Arial"/>
                <w:sz w:val="16"/>
                <w:szCs w:val="16"/>
                <w:color w:val="auto"/>
                <w:w w:val="91"/>
              </w:rPr>
              <w:t>Stockholders' Equity; (v) Condensed Consolidated Statements of Cash Flows; and (vi) Notes to Condensed Consolidated Financial Statements.</w:t>
            </w:r>
          </w:p>
        </w:tc>
      </w:tr>
      <w:tr>
        <w:trPr>
          <w:trHeight w:val="756"/>
        </w:trPr>
        <w:tc>
          <w:tcPr>
            <w:tcW w:w="1800" w:type="dxa"/>
            <w:vAlign w:val="bottom"/>
          </w:tcPr>
          <w:p>
            <w:pPr>
              <w:spacing w:after="0"/>
              <w:rPr>
                <w:sz w:val="20"/>
                <w:szCs w:val="20"/>
                <w:color w:val="auto"/>
              </w:rPr>
            </w:pPr>
            <w:r>
              <w:rPr>
                <w:rFonts w:ascii="Arial" w:cs="Arial" w:eastAsia="Arial" w:hAnsi="Arial"/>
                <w:sz w:val="16"/>
                <w:szCs w:val="16"/>
                <w:color w:val="auto"/>
              </w:rPr>
              <w:t>104</w:t>
            </w:r>
          </w:p>
        </w:tc>
        <w:tc>
          <w:tcPr>
            <w:tcW w:w="9280" w:type="dxa"/>
            <w:vAlign w:val="bottom"/>
            <w:gridSpan w:val="5"/>
          </w:tcPr>
          <w:p>
            <w:pPr>
              <w:spacing w:after="0"/>
              <w:rPr>
                <w:sz w:val="20"/>
                <w:szCs w:val="20"/>
                <w:color w:val="auto"/>
              </w:rPr>
            </w:pPr>
            <w:r>
              <w:rPr>
                <w:rFonts w:ascii="Arial" w:cs="Arial" w:eastAsia="Arial" w:hAnsi="Arial"/>
                <w:sz w:val="16"/>
                <w:szCs w:val="16"/>
                <w:color w:val="auto"/>
              </w:rPr>
              <w:t>Cover Page, formatted Inline Extensible Business Reporting Language and contained in Exhibit 101.</w:t>
            </w:r>
          </w:p>
        </w:tc>
      </w:tr>
      <w:tr>
        <w:trPr>
          <w:trHeight w:val="681"/>
        </w:trPr>
        <w:tc>
          <w:tcPr>
            <w:tcW w:w="1800" w:type="dxa"/>
            <w:vAlign w:val="bottom"/>
          </w:tcPr>
          <w:p>
            <w:pPr>
              <w:spacing w:after="0"/>
              <w:rPr>
                <w:sz w:val="24"/>
                <w:szCs w:val="24"/>
                <w:color w:val="auto"/>
              </w:rPr>
            </w:pPr>
          </w:p>
        </w:tc>
        <w:tc>
          <w:tcPr>
            <w:tcW w:w="8740" w:type="dxa"/>
            <w:vAlign w:val="bottom"/>
            <w:gridSpan w:val="2"/>
          </w:tcPr>
          <w:p>
            <w:pPr>
              <w:ind w:left="370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20"/>
          </w:cols>
          <w:pgMar w:left="320" w:top="1012"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580" w:type="dxa"/>
            <w:vAlign w:val="bottom"/>
          </w:tcPr>
          <w:p>
            <w:pPr>
              <w:spacing w:after="0"/>
              <w:rPr>
                <w:sz w:val="20"/>
                <w:szCs w:val="20"/>
                <w:color w:val="auto"/>
              </w:rPr>
            </w:pPr>
            <w:r>
              <w:rPr>
                <w:rFonts w:ascii="Arial" w:cs="Arial" w:eastAsia="Arial" w:hAnsi="Arial"/>
                <w:sz w:val="16"/>
                <w:szCs w:val="16"/>
                <w:b w:val="1"/>
                <w:bCs w:val="1"/>
                <w:color w:val="auto"/>
              </w:rPr>
              <w:t>Exhibit Number</w:t>
            </w:r>
          </w:p>
        </w:tc>
        <w:tc>
          <w:tcPr>
            <w:tcW w:w="9540" w:type="dxa"/>
            <w:vAlign w:val="bottom"/>
          </w:tcPr>
          <w:p>
            <w:pPr>
              <w:ind w:left="440"/>
              <w:spacing w:after="0"/>
              <w:rPr>
                <w:sz w:val="20"/>
                <w:szCs w:val="20"/>
                <w:color w:val="auto"/>
              </w:rPr>
            </w:pPr>
            <w:r>
              <w:rPr>
                <w:rFonts w:ascii="Arial" w:cs="Arial" w:eastAsia="Arial" w:hAnsi="Arial"/>
                <w:sz w:val="16"/>
                <w:szCs w:val="16"/>
                <w:b w:val="1"/>
                <w:bCs w:val="1"/>
                <w:color w:val="auto"/>
              </w:rPr>
              <w:t>Description of Document</w:t>
            </w:r>
          </w:p>
        </w:tc>
      </w:tr>
      <w:tr>
        <w:trPr>
          <w:trHeight w:val="257"/>
        </w:trPr>
        <w:tc>
          <w:tcPr>
            <w:tcW w:w="1580" w:type="dxa"/>
            <w:vAlign w:val="bottom"/>
          </w:tcPr>
          <w:p>
            <w:pPr>
              <w:spacing w:after="0"/>
              <w:rPr>
                <w:sz w:val="20"/>
                <w:szCs w:val="20"/>
                <w:color w:val="auto"/>
              </w:rPr>
            </w:pPr>
            <w:r>
              <w:rPr>
                <w:rFonts w:ascii="Arial" w:cs="Arial" w:eastAsia="Arial" w:hAnsi="Arial"/>
                <w:sz w:val="16"/>
                <w:szCs w:val="16"/>
                <w:color w:val="auto"/>
              </w:rPr>
              <w:t>31.1</w:t>
            </w:r>
          </w:p>
        </w:tc>
        <w:tc>
          <w:tcPr>
            <w:tcW w:w="9540" w:type="dxa"/>
            <w:vAlign w:val="bottom"/>
          </w:tcPr>
          <w:p>
            <w:pPr>
              <w:ind w:left="440"/>
              <w:spacing w:after="0"/>
              <w:rPr>
                <w:sz w:val="20"/>
                <w:szCs w:val="20"/>
                <w:color w:val="auto"/>
              </w:rPr>
            </w:pPr>
            <w:r>
              <w:rPr>
                <w:rFonts w:ascii="Arial" w:cs="Arial" w:eastAsia="Arial" w:hAnsi="Arial"/>
                <w:sz w:val="16"/>
                <w:szCs w:val="16"/>
                <w:color w:val="auto"/>
                <w:w w:val="96"/>
              </w:rPr>
              <w:t>Certification of the Chief Executive Officer of Scholastic Corporation filed pursuant to Section 302 of the Sarbanes-Oxley Act of 2002.</w:t>
            </w:r>
          </w:p>
        </w:tc>
      </w:tr>
      <w:tr>
        <w:trPr>
          <w:trHeight w:val="513"/>
        </w:trPr>
        <w:tc>
          <w:tcPr>
            <w:tcW w:w="1580" w:type="dxa"/>
            <w:vAlign w:val="bottom"/>
          </w:tcPr>
          <w:p>
            <w:pPr>
              <w:spacing w:after="0"/>
              <w:rPr>
                <w:sz w:val="20"/>
                <w:szCs w:val="20"/>
                <w:color w:val="auto"/>
              </w:rPr>
            </w:pPr>
            <w:r>
              <w:rPr>
                <w:rFonts w:ascii="Arial" w:cs="Arial" w:eastAsia="Arial" w:hAnsi="Arial"/>
                <w:sz w:val="16"/>
                <w:szCs w:val="16"/>
                <w:color w:val="auto"/>
              </w:rPr>
              <w:t>31.2</w:t>
            </w:r>
          </w:p>
        </w:tc>
        <w:tc>
          <w:tcPr>
            <w:tcW w:w="9540" w:type="dxa"/>
            <w:vAlign w:val="bottom"/>
          </w:tcPr>
          <w:p>
            <w:pPr>
              <w:ind w:left="440"/>
              <w:spacing w:after="0"/>
              <w:rPr>
                <w:sz w:val="20"/>
                <w:szCs w:val="20"/>
                <w:color w:val="auto"/>
              </w:rPr>
            </w:pPr>
            <w:r>
              <w:rPr>
                <w:rFonts w:ascii="Arial" w:cs="Arial" w:eastAsia="Arial" w:hAnsi="Arial"/>
                <w:sz w:val="16"/>
                <w:szCs w:val="16"/>
                <w:color w:val="auto"/>
                <w:w w:val="97"/>
              </w:rPr>
              <w:t>Certification of the Chief Financial Officer of Scholastic Corporation filed pursuant to Section 302 of the Sarbanes-Oxley Act of 2002.</w:t>
            </w:r>
          </w:p>
        </w:tc>
      </w:tr>
      <w:tr>
        <w:trPr>
          <w:trHeight w:val="509"/>
        </w:trPr>
        <w:tc>
          <w:tcPr>
            <w:tcW w:w="1580" w:type="dxa"/>
            <w:vAlign w:val="bottom"/>
          </w:tcPr>
          <w:p>
            <w:pPr>
              <w:spacing w:after="0"/>
              <w:rPr>
                <w:sz w:val="24"/>
                <w:szCs w:val="24"/>
                <w:color w:val="auto"/>
              </w:rPr>
            </w:pPr>
          </w:p>
        </w:tc>
        <w:tc>
          <w:tcPr>
            <w:tcW w:w="9540" w:type="dxa"/>
            <w:vAlign w:val="bottom"/>
          </w:tcPr>
          <w:p>
            <w:pPr>
              <w:ind w:left="440"/>
              <w:spacing w:after="0"/>
              <w:rPr>
                <w:sz w:val="20"/>
                <w:szCs w:val="20"/>
                <w:color w:val="auto"/>
              </w:rPr>
            </w:pPr>
            <w:r>
              <w:rPr>
                <w:rFonts w:ascii="Arial" w:cs="Arial" w:eastAsia="Arial" w:hAnsi="Arial"/>
                <w:sz w:val="16"/>
                <w:szCs w:val="16"/>
                <w:color w:val="auto"/>
                <w:w w:val="93"/>
              </w:rPr>
              <w:t>Certifications of the Chief Executive Officer and Chief Financial Officer of Scholastic Corporation furnished pursuant to Section 906 of the</w:t>
            </w: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32</w:t>
            </w:r>
          </w:p>
        </w:tc>
        <w:tc>
          <w:tcPr>
            <w:tcW w:w="9540" w:type="dxa"/>
            <w:vAlign w:val="bottom"/>
          </w:tcPr>
          <w:p>
            <w:pPr>
              <w:ind w:left="440"/>
              <w:spacing w:after="0"/>
              <w:rPr>
                <w:sz w:val="20"/>
                <w:szCs w:val="20"/>
                <w:color w:val="auto"/>
              </w:rPr>
            </w:pPr>
            <w:r>
              <w:rPr>
                <w:rFonts w:ascii="Arial" w:cs="Arial" w:eastAsia="Arial" w:hAnsi="Arial"/>
                <w:sz w:val="16"/>
                <w:szCs w:val="16"/>
                <w:color w:val="auto"/>
              </w:rPr>
              <w:t>Sarbanes-Oxley Act of 2002.</w:t>
            </w:r>
          </w:p>
        </w:tc>
      </w:tr>
      <w:tr>
        <w:trPr>
          <w:trHeight w:val="577"/>
        </w:trPr>
        <w:tc>
          <w:tcPr>
            <w:tcW w:w="1580" w:type="dxa"/>
            <w:vAlign w:val="bottom"/>
          </w:tcPr>
          <w:p>
            <w:pPr>
              <w:spacing w:after="0"/>
              <w:rPr>
                <w:sz w:val="24"/>
                <w:szCs w:val="24"/>
                <w:color w:val="auto"/>
              </w:rPr>
            </w:pPr>
          </w:p>
        </w:tc>
        <w:tc>
          <w:tcPr>
            <w:tcW w:w="9540" w:type="dxa"/>
            <w:vAlign w:val="bottom"/>
          </w:tcPr>
          <w:p>
            <w:pPr>
              <w:ind w:left="440"/>
              <w:spacing w:after="0"/>
              <w:rPr>
                <w:sz w:val="20"/>
                <w:szCs w:val="20"/>
                <w:color w:val="auto"/>
              </w:rPr>
            </w:pPr>
            <w:r>
              <w:rPr>
                <w:rFonts w:ascii="Arial" w:cs="Arial" w:eastAsia="Arial" w:hAnsi="Arial"/>
                <w:sz w:val="16"/>
                <w:szCs w:val="16"/>
                <w:color w:val="auto"/>
                <w:w w:val="92"/>
              </w:rPr>
              <w:t>Financial Statements from the Quarterly Report on Form 10-Q of the Company for the quarter ended February 29, 2020 formatted in Inline</w:t>
            </w:r>
          </w:p>
        </w:tc>
      </w:tr>
      <w:tr>
        <w:trPr>
          <w:trHeight w:val="203"/>
        </w:trPr>
        <w:tc>
          <w:tcPr>
            <w:tcW w:w="1580" w:type="dxa"/>
            <w:vAlign w:val="bottom"/>
          </w:tcPr>
          <w:p>
            <w:pPr>
              <w:spacing w:after="0"/>
              <w:rPr>
                <w:sz w:val="17"/>
                <w:szCs w:val="17"/>
                <w:color w:val="auto"/>
              </w:rPr>
            </w:pPr>
          </w:p>
        </w:tc>
        <w:tc>
          <w:tcPr>
            <w:tcW w:w="9540" w:type="dxa"/>
            <w:vAlign w:val="bottom"/>
          </w:tcPr>
          <w:p>
            <w:pPr>
              <w:ind w:left="440"/>
              <w:spacing w:after="0"/>
              <w:rPr>
                <w:sz w:val="20"/>
                <w:szCs w:val="20"/>
                <w:color w:val="auto"/>
              </w:rPr>
            </w:pPr>
            <w:r>
              <w:rPr>
                <w:rFonts w:ascii="Arial" w:cs="Arial" w:eastAsia="Arial" w:hAnsi="Arial"/>
                <w:sz w:val="16"/>
                <w:szCs w:val="16"/>
                <w:color w:val="auto"/>
                <w:w w:val="90"/>
              </w:rPr>
              <w:t>Extensible Business Reporting Language: (i) Condensed Consolidated Statements of Operations; (ii) Condensed Consolidated Statements of</w:t>
            </w: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101</w:t>
            </w:r>
          </w:p>
        </w:tc>
        <w:tc>
          <w:tcPr>
            <w:tcW w:w="9540" w:type="dxa"/>
            <w:vAlign w:val="bottom"/>
          </w:tcPr>
          <w:p>
            <w:pPr>
              <w:ind w:left="440"/>
              <w:spacing w:after="0"/>
              <w:rPr>
                <w:sz w:val="20"/>
                <w:szCs w:val="20"/>
                <w:color w:val="auto"/>
              </w:rPr>
            </w:pPr>
            <w:r>
              <w:rPr>
                <w:rFonts w:ascii="Arial" w:cs="Arial" w:eastAsia="Arial" w:hAnsi="Arial"/>
                <w:sz w:val="16"/>
                <w:szCs w:val="16"/>
                <w:color w:val="auto"/>
                <w:w w:val="95"/>
              </w:rPr>
              <w:t>Comprehensive Income (Loss), (iii) Condensed Consolidated Balance Sheets; (iv) Condensed Consolidated Statements of Changes in</w:t>
            </w:r>
          </w:p>
        </w:tc>
      </w:tr>
      <w:tr>
        <w:trPr>
          <w:trHeight w:val="203"/>
        </w:trPr>
        <w:tc>
          <w:tcPr>
            <w:tcW w:w="1580" w:type="dxa"/>
            <w:vAlign w:val="bottom"/>
          </w:tcPr>
          <w:p>
            <w:pPr>
              <w:spacing w:after="0"/>
              <w:rPr>
                <w:sz w:val="17"/>
                <w:szCs w:val="17"/>
                <w:color w:val="auto"/>
              </w:rPr>
            </w:pPr>
          </w:p>
        </w:tc>
        <w:tc>
          <w:tcPr>
            <w:tcW w:w="9540" w:type="dxa"/>
            <w:vAlign w:val="bottom"/>
          </w:tcPr>
          <w:p>
            <w:pPr>
              <w:ind w:left="440"/>
              <w:spacing w:after="0"/>
              <w:rPr>
                <w:sz w:val="20"/>
                <w:szCs w:val="20"/>
                <w:color w:val="auto"/>
              </w:rPr>
            </w:pPr>
            <w:r>
              <w:rPr>
                <w:rFonts w:ascii="Arial" w:cs="Arial" w:eastAsia="Arial" w:hAnsi="Arial"/>
                <w:sz w:val="16"/>
                <w:szCs w:val="16"/>
                <w:color w:val="auto"/>
                <w:w w:val="98"/>
              </w:rPr>
              <w:t>Stockholders' Equity; (v) Condensed Consolidated Statements of Cash Flows; and (vi) Notes to Condensed Consolidated Financial</w:t>
            </w:r>
          </w:p>
        </w:tc>
      </w:tr>
      <w:tr>
        <w:trPr>
          <w:trHeight w:val="206"/>
        </w:trPr>
        <w:tc>
          <w:tcPr>
            <w:tcW w:w="1580" w:type="dxa"/>
            <w:vAlign w:val="bottom"/>
          </w:tcPr>
          <w:p>
            <w:pPr>
              <w:spacing w:after="0"/>
              <w:rPr>
                <w:sz w:val="17"/>
                <w:szCs w:val="17"/>
                <w:color w:val="auto"/>
              </w:rPr>
            </w:pPr>
          </w:p>
        </w:tc>
        <w:tc>
          <w:tcPr>
            <w:tcW w:w="9540" w:type="dxa"/>
            <w:vAlign w:val="bottom"/>
          </w:tcPr>
          <w:p>
            <w:pPr>
              <w:ind w:left="440"/>
              <w:spacing w:after="0"/>
              <w:rPr>
                <w:sz w:val="20"/>
                <w:szCs w:val="20"/>
                <w:color w:val="auto"/>
              </w:rPr>
            </w:pPr>
            <w:r>
              <w:rPr>
                <w:rFonts w:ascii="Arial" w:cs="Arial" w:eastAsia="Arial" w:hAnsi="Arial"/>
                <w:sz w:val="16"/>
                <w:szCs w:val="16"/>
                <w:color w:val="auto"/>
              </w:rPr>
              <w:t>Statements.</w:t>
            </w:r>
          </w:p>
        </w:tc>
      </w:tr>
      <w:tr>
        <w:trPr>
          <w:trHeight w:val="553"/>
        </w:trPr>
        <w:tc>
          <w:tcPr>
            <w:tcW w:w="1580" w:type="dxa"/>
            <w:vAlign w:val="bottom"/>
          </w:tcPr>
          <w:p>
            <w:pPr>
              <w:spacing w:after="0"/>
              <w:rPr>
                <w:sz w:val="20"/>
                <w:szCs w:val="20"/>
                <w:color w:val="auto"/>
              </w:rPr>
            </w:pPr>
            <w:r>
              <w:rPr>
                <w:rFonts w:ascii="Arial" w:cs="Arial" w:eastAsia="Arial" w:hAnsi="Arial"/>
                <w:sz w:val="16"/>
                <w:szCs w:val="16"/>
                <w:color w:val="auto"/>
              </w:rPr>
              <w:t>104</w:t>
            </w:r>
          </w:p>
        </w:tc>
        <w:tc>
          <w:tcPr>
            <w:tcW w:w="9540" w:type="dxa"/>
            <w:vAlign w:val="bottom"/>
          </w:tcPr>
          <w:p>
            <w:pPr>
              <w:ind w:left="440"/>
              <w:spacing w:after="0"/>
              <w:rPr>
                <w:sz w:val="20"/>
                <w:szCs w:val="20"/>
                <w:color w:val="auto"/>
              </w:rPr>
            </w:pPr>
            <w:r>
              <w:rPr>
                <w:rFonts w:ascii="Arial" w:cs="Arial" w:eastAsia="Arial" w:hAnsi="Arial"/>
                <w:sz w:val="16"/>
                <w:szCs w:val="16"/>
                <w:color w:val="auto"/>
              </w:rPr>
              <w:t>Cover Page, formatted Inline Extensible Business Reporting Language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320" w:top="823"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t>SCHOLASTIC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SCHOLASTIC CORPORATION</w:t>
      </w:r>
    </w:p>
    <w:p>
      <w:pPr>
        <w:spacing w:after="0" w:line="90"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40"/>
        <w:spacing w:after="0"/>
        <w:tabs>
          <w:tab w:leader="none" w:pos="7540" w:val="left"/>
          <w:tab w:leader="none" w:pos="8080" w:val="left"/>
        </w:tabs>
        <w:rPr>
          <w:sz w:val="20"/>
          <w:szCs w:val="20"/>
          <w:color w:val="auto"/>
        </w:rPr>
      </w:pPr>
      <w:r>
        <w:rPr>
          <w:rFonts w:ascii="Arial" w:cs="Arial" w:eastAsia="Arial" w:hAnsi="Arial"/>
          <w:sz w:val="16"/>
          <w:szCs w:val="16"/>
          <w:color w:val="auto"/>
        </w:rPr>
        <w:t>Date: March 20,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198120</wp:posOffset>
            </wp:positionV>
            <wp:extent cx="19888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Richard Robinson</w:t>
      </w:r>
    </w:p>
    <w:p>
      <w:pPr>
        <w:spacing w:after="0" w:line="73" w:lineRule="exact"/>
        <w:rPr>
          <w:sz w:val="20"/>
          <w:szCs w:val="20"/>
          <w:color w:val="auto"/>
        </w:rPr>
      </w:pPr>
    </w:p>
    <w:p>
      <w:pPr>
        <w:ind w:left="8100"/>
        <w:spacing w:after="0"/>
        <w:rPr>
          <w:sz w:val="20"/>
          <w:szCs w:val="20"/>
          <w:color w:val="auto"/>
        </w:rPr>
      </w:pPr>
      <w:r>
        <w:rPr>
          <w:rFonts w:ascii="Arial" w:cs="Arial" w:eastAsia="Arial" w:hAnsi="Arial"/>
          <w:sz w:val="16"/>
          <w:szCs w:val="16"/>
          <w:i w:val="1"/>
          <w:iCs w:val="1"/>
          <w:color w:val="auto"/>
        </w:rPr>
        <w:t>Chairman of the Board,</w:t>
      </w:r>
    </w:p>
    <w:p>
      <w:pPr>
        <w:spacing w:after="0" w:line="22" w:lineRule="exact"/>
        <w:rPr>
          <w:sz w:val="20"/>
          <w:szCs w:val="20"/>
          <w:color w:val="auto"/>
        </w:rPr>
      </w:pPr>
    </w:p>
    <w:p>
      <w:pPr>
        <w:ind w:left="8100"/>
        <w:spacing w:after="0"/>
        <w:rPr>
          <w:sz w:val="20"/>
          <w:szCs w:val="20"/>
          <w:color w:val="auto"/>
        </w:rPr>
      </w:pPr>
      <w:r>
        <w:rPr>
          <w:rFonts w:ascii="Arial" w:cs="Arial" w:eastAsia="Arial" w:hAnsi="Arial"/>
          <w:sz w:val="16"/>
          <w:szCs w:val="16"/>
          <w:i w:val="1"/>
          <w:iCs w:val="1"/>
          <w:color w:val="auto"/>
        </w:rPr>
        <w:t>President and Chief</w:t>
      </w:r>
    </w:p>
    <w:p>
      <w:pPr>
        <w:spacing w:after="0" w:line="19" w:lineRule="exact"/>
        <w:rPr>
          <w:sz w:val="20"/>
          <w:szCs w:val="20"/>
          <w:color w:val="auto"/>
        </w:rPr>
      </w:pPr>
    </w:p>
    <w:p>
      <w:pPr>
        <w:ind w:left="8100"/>
        <w:spacing w:after="0"/>
        <w:rPr>
          <w:sz w:val="20"/>
          <w:szCs w:val="20"/>
          <w:color w:val="auto"/>
        </w:rPr>
      </w:pPr>
      <w:r>
        <w:rPr>
          <w:rFonts w:ascii="Arial" w:cs="Arial" w:eastAsia="Arial" w:hAnsi="Arial"/>
          <w:sz w:val="16"/>
          <w:szCs w:val="16"/>
          <w:i w:val="1"/>
          <w:iCs w:val="1"/>
          <w:color w:val="auto"/>
        </w:rPr>
        <w:t>Executive Officer</w:t>
      </w:r>
    </w:p>
    <w:p>
      <w:pPr>
        <w:spacing w:after="0" w:line="325" w:lineRule="exact"/>
        <w:rPr>
          <w:sz w:val="20"/>
          <w:szCs w:val="20"/>
          <w:color w:val="auto"/>
        </w:rPr>
      </w:pPr>
    </w:p>
    <w:p>
      <w:pPr>
        <w:ind w:left="40"/>
        <w:spacing w:after="0"/>
        <w:tabs>
          <w:tab w:leader="none" w:pos="7540" w:val="left"/>
          <w:tab w:leader="none" w:pos="8080" w:val="left"/>
        </w:tabs>
        <w:rPr>
          <w:sz w:val="20"/>
          <w:szCs w:val="20"/>
          <w:color w:val="auto"/>
        </w:rPr>
      </w:pPr>
      <w:r>
        <w:rPr>
          <w:rFonts w:ascii="Arial" w:cs="Arial" w:eastAsia="Arial" w:hAnsi="Arial"/>
          <w:sz w:val="16"/>
          <w:szCs w:val="16"/>
          <w:color w:val="auto"/>
        </w:rPr>
        <w:t>Date: March 20,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198120</wp:posOffset>
            </wp:positionV>
            <wp:extent cx="19888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Kenneth J. Cleary</w:t>
      </w:r>
    </w:p>
    <w:p>
      <w:pPr>
        <w:spacing w:after="0" w:line="275" w:lineRule="exact"/>
        <w:rPr>
          <w:sz w:val="20"/>
          <w:szCs w:val="20"/>
          <w:color w:val="auto"/>
        </w:rPr>
      </w:pPr>
    </w:p>
    <w:p>
      <w:pPr>
        <w:ind w:left="8100"/>
        <w:spacing w:after="0"/>
        <w:rPr>
          <w:sz w:val="20"/>
          <w:szCs w:val="20"/>
          <w:color w:val="auto"/>
        </w:rPr>
      </w:pPr>
      <w:r>
        <w:rPr>
          <w:rFonts w:ascii="Arial" w:cs="Arial" w:eastAsia="Arial" w:hAnsi="Arial"/>
          <w:sz w:val="16"/>
          <w:szCs w:val="16"/>
          <w:i w:val="1"/>
          <w:iCs w:val="1"/>
          <w:color w:val="auto"/>
        </w:rPr>
        <w:t>Chief Financial Officer</w:t>
      </w:r>
    </w:p>
    <w:p>
      <w:pPr>
        <w:spacing w:after="0" w:line="22" w:lineRule="exact"/>
        <w:rPr>
          <w:sz w:val="20"/>
          <w:szCs w:val="20"/>
          <w:color w:val="auto"/>
        </w:rPr>
      </w:pPr>
    </w:p>
    <w:p>
      <w:pPr>
        <w:ind w:left="810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440"/>
          </w:cols>
          <w:pgMar w:left="320" w:top="823" w:right="11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Richard Robinson, the principal executive officer of Scholastic Corporation, certify that:</w:t>
      </w:r>
    </w:p>
    <w:p>
      <w:pPr>
        <w:spacing w:after="0" w:line="372" w:lineRule="exact"/>
        <w:rPr>
          <w:sz w:val="20"/>
          <w:szCs w:val="20"/>
          <w:color w:val="auto"/>
        </w:rPr>
      </w:pPr>
    </w:p>
    <w:p>
      <w:pPr>
        <w:ind w:left="720" w:hanging="439"/>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Scholastic Corporation;</w:t>
      </w:r>
    </w:p>
    <w:p>
      <w:pPr>
        <w:spacing w:after="0" w:line="317" w:lineRule="exact"/>
        <w:rPr>
          <w:rFonts w:ascii="Arial" w:cs="Arial" w:eastAsia="Arial" w:hAnsi="Arial"/>
          <w:sz w:val="17"/>
          <w:szCs w:val="17"/>
          <w:color w:val="auto"/>
        </w:rPr>
      </w:pPr>
    </w:p>
    <w:p>
      <w:pPr>
        <w:ind w:left="720" w:right="120" w:hanging="439"/>
        <w:spacing w:after="0" w:line="342" w:lineRule="auto"/>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15"/>
          <w:szCs w:val="15"/>
          <w:color w:val="auto"/>
        </w:rPr>
      </w:pPr>
    </w:p>
    <w:p>
      <w:pPr>
        <w:ind w:left="720" w:right="560" w:hanging="439"/>
        <w:spacing w:after="0" w:line="306"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6" w:lineRule="exact"/>
        <w:rPr>
          <w:rFonts w:ascii="Arial" w:cs="Arial" w:eastAsia="Arial" w:hAnsi="Arial"/>
          <w:sz w:val="16"/>
          <w:szCs w:val="16"/>
          <w:color w:val="auto"/>
        </w:rPr>
      </w:pPr>
    </w:p>
    <w:p>
      <w:pPr>
        <w:ind w:left="720" w:right="60" w:hanging="439"/>
        <w:spacing w:after="0" w:line="261"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80" w:lineRule="exact"/>
        <w:rPr>
          <w:rFonts w:ascii="Arial" w:cs="Arial" w:eastAsia="Arial" w:hAnsi="Arial"/>
          <w:sz w:val="17"/>
          <w:szCs w:val="17"/>
          <w:color w:val="auto"/>
        </w:rPr>
      </w:pPr>
    </w:p>
    <w:p>
      <w:pPr>
        <w:ind w:left="1380" w:right="160" w:hanging="670"/>
        <w:spacing w:after="0" w:line="261" w:lineRule="auto"/>
        <w:tabs>
          <w:tab w:leader="none" w:pos="1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0" w:lineRule="exact"/>
        <w:rPr>
          <w:rFonts w:ascii="Arial" w:cs="Arial" w:eastAsia="Arial" w:hAnsi="Arial"/>
          <w:sz w:val="17"/>
          <w:szCs w:val="17"/>
          <w:color w:val="auto"/>
        </w:rPr>
      </w:pPr>
    </w:p>
    <w:p>
      <w:pPr>
        <w:ind w:left="1380" w:right="460" w:hanging="670"/>
        <w:spacing w:after="0" w:line="261" w:lineRule="auto"/>
        <w:tabs>
          <w:tab w:leader="none" w:pos="1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0" w:lineRule="exact"/>
        <w:rPr>
          <w:rFonts w:ascii="Arial" w:cs="Arial" w:eastAsia="Arial" w:hAnsi="Arial"/>
          <w:sz w:val="17"/>
          <w:szCs w:val="17"/>
          <w:color w:val="auto"/>
        </w:rPr>
      </w:pPr>
    </w:p>
    <w:p>
      <w:pPr>
        <w:jc w:val="both"/>
        <w:ind w:left="1380" w:right="620" w:hanging="670"/>
        <w:spacing w:after="0" w:line="342" w:lineRule="auto"/>
        <w:tabs>
          <w:tab w:leader="none" w:pos="13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5"/>
          <w:szCs w:val="15"/>
          <w:color w:val="auto"/>
        </w:rPr>
      </w:pPr>
    </w:p>
    <w:p>
      <w:pPr>
        <w:ind w:left="1380" w:right="160" w:hanging="670"/>
        <w:spacing w:after="0" w:line="261" w:lineRule="auto"/>
        <w:tabs>
          <w:tab w:leader="none" w:pos="1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0" w:lineRule="exact"/>
        <w:rPr>
          <w:rFonts w:ascii="Arial" w:cs="Arial" w:eastAsia="Arial" w:hAnsi="Arial"/>
          <w:sz w:val="17"/>
          <w:szCs w:val="17"/>
          <w:color w:val="auto"/>
        </w:rPr>
      </w:pPr>
    </w:p>
    <w:p>
      <w:pPr>
        <w:ind w:left="720" w:right="480" w:hanging="439"/>
        <w:spacing w:after="0" w:line="306"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6" w:lineRule="exact"/>
        <w:rPr>
          <w:rFonts w:ascii="Arial" w:cs="Arial" w:eastAsia="Arial" w:hAnsi="Arial"/>
          <w:sz w:val="16"/>
          <w:szCs w:val="16"/>
          <w:color w:val="auto"/>
        </w:rPr>
      </w:pPr>
    </w:p>
    <w:p>
      <w:pPr>
        <w:ind w:left="1380" w:right="60" w:hanging="670"/>
        <w:spacing w:after="0" w:line="274" w:lineRule="auto"/>
        <w:tabs>
          <w:tab w:leader="none" w:pos="1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Arial" w:cs="Arial" w:eastAsia="Arial" w:hAnsi="Arial"/>
          <w:sz w:val="17"/>
          <w:szCs w:val="17"/>
          <w:color w:val="auto"/>
        </w:rPr>
      </w:pPr>
    </w:p>
    <w:p>
      <w:pPr>
        <w:ind w:left="1380" w:right="20" w:hanging="670"/>
        <w:spacing w:after="0" w:line="274" w:lineRule="auto"/>
        <w:tabs>
          <w:tab w:leader="none" w:pos="1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203200</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Richard Robinson</w:t>
      </w:r>
    </w:p>
    <w:p>
      <w:pPr>
        <w:spacing w:after="0" w:line="6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Chairman of the Board,</w:t>
      </w:r>
    </w:p>
    <w:p>
      <w:pPr>
        <w:spacing w:after="0" w:line="6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55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 Kenneth J. Cleary, the principal financial officer of Scholastic Corporation, certify that:</w:t>
      </w:r>
    </w:p>
    <w:p>
      <w:pPr>
        <w:spacing w:after="0" w:line="372" w:lineRule="exact"/>
        <w:rPr>
          <w:sz w:val="20"/>
          <w:szCs w:val="20"/>
          <w:color w:val="auto"/>
        </w:rPr>
      </w:pPr>
    </w:p>
    <w:p>
      <w:pPr>
        <w:ind w:left="720" w:hanging="43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Scholastic Corporation;</w:t>
      </w:r>
    </w:p>
    <w:p>
      <w:pPr>
        <w:spacing w:after="0" w:line="317" w:lineRule="exact"/>
        <w:rPr>
          <w:rFonts w:ascii="Arial" w:cs="Arial" w:eastAsia="Arial" w:hAnsi="Arial"/>
          <w:sz w:val="17"/>
          <w:szCs w:val="17"/>
          <w:color w:val="auto"/>
        </w:rPr>
      </w:pPr>
    </w:p>
    <w:p>
      <w:pPr>
        <w:ind w:left="720" w:right="120" w:hanging="439"/>
        <w:spacing w:after="0" w:line="342"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15"/>
          <w:szCs w:val="15"/>
          <w:color w:val="auto"/>
        </w:rPr>
      </w:pPr>
    </w:p>
    <w:p>
      <w:pPr>
        <w:ind w:left="720" w:right="560" w:hanging="439"/>
        <w:spacing w:after="0" w:line="30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6" w:lineRule="exact"/>
        <w:rPr>
          <w:rFonts w:ascii="Arial" w:cs="Arial" w:eastAsia="Arial" w:hAnsi="Arial"/>
          <w:sz w:val="16"/>
          <w:szCs w:val="16"/>
          <w:color w:val="auto"/>
        </w:rPr>
      </w:pPr>
    </w:p>
    <w:p>
      <w:pPr>
        <w:ind w:left="720" w:right="60" w:hanging="439"/>
        <w:spacing w:after="0" w:line="261"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0" w:lineRule="exact"/>
        <w:rPr>
          <w:rFonts w:ascii="Arial" w:cs="Arial" w:eastAsia="Arial" w:hAnsi="Arial"/>
          <w:sz w:val="17"/>
          <w:szCs w:val="17"/>
          <w:color w:val="auto"/>
        </w:rPr>
      </w:pPr>
    </w:p>
    <w:p>
      <w:pPr>
        <w:ind w:left="1380" w:right="160" w:hanging="670"/>
        <w:spacing w:after="0" w:line="261"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0" w:lineRule="exact"/>
        <w:rPr>
          <w:rFonts w:ascii="Arial" w:cs="Arial" w:eastAsia="Arial" w:hAnsi="Arial"/>
          <w:sz w:val="17"/>
          <w:szCs w:val="17"/>
          <w:color w:val="auto"/>
        </w:rPr>
      </w:pPr>
    </w:p>
    <w:p>
      <w:pPr>
        <w:ind w:left="1380" w:right="460" w:hanging="670"/>
        <w:spacing w:after="0" w:line="261"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0" w:lineRule="exact"/>
        <w:rPr>
          <w:rFonts w:ascii="Arial" w:cs="Arial" w:eastAsia="Arial" w:hAnsi="Arial"/>
          <w:sz w:val="17"/>
          <w:szCs w:val="17"/>
          <w:color w:val="auto"/>
        </w:rPr>
      </w:pPr>
    </w:p>
    <w:p>
      <w:pPr>
        <w:jc w:val="both"/>
        <w:ind w:left="1380" w:right="620" w:hanging="670"/>
        <w:spacing w:after="0" w:line="342" w:lineRule="auto"/>
        <w:tabs>
          <w:tab w:leader="none" w:pos="13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5"/>
          <w:szCs w:val="15"/>
          <w:color w:val="auto"/>
        </w:rPr>
      </w:pPr>
    </w:p>
    <w:p>
      <w:pPr>
        <w:ind w:left="1380" w:right="160" w:hanging="670"/>
        <w:spacing w:after="0" w:line="261"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0" w:lineRule="exact"/>
        <w:rPr>
          <w:rFonts w:ascii="Arial" w:cs="Arial" w:eastAsia="Arial" w:hAnsi="Arial"/>
          <w:sz w:val="17"/>
          <w:szCs w:val="17"/>
          <w:color w:val="auto"/>
        </w:rPr>
      </w:pPr>
    </w:p>
    <w:p>
      <w:pPr>
        <w:ind w:left="720" w:right="480" w:hanging="439"/>
        <w:spacing w:after="0" w:line="30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6" w:lineRule="exact"/>
        <w:rPr>
          <w:rFonts w:ascii="Arial" w:cs="Arial" w:eastAsia="Arial" w:hAnsi="Arial"/>
          <w:sz w:val="16"/>
          <w:szCs w:val="16"/>
          <w:color w:val="auto"/>
        </w:rPr>
      </w:pPr>
    </w:p>
    <w:p>
      <w:pPr>
        <w:ind w:left="1380" w:right="60" w:hanging="670"/>
        <w:spacing w:after="0" w:line="274"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Arial" w:cs="Arial" w:eastAsia="Arial" w:hAnsi="Arial"/>
          <w:sz w:val="17"/>
          <w:szCs w:val="17"/>
          <w:color w:val="auto"/>
        </w:rPr>
      </w:pPr>
    </w:p>
    <w:p>
      <w:pPr>
        <w:ind w:left="1380" w:right="560" w:hanging="670"/>
        <w:spacing w:after="0" w:line="274"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556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5"/>
          <w:szCs w:val="15"/>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203200</wp:posOffset>
            </wp:positionV>
            <wp:extent cx="29914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Kenneth J. Cleary</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55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February 29,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Scholastic Corporation</w:t>
      </w:r>
    </w:p>
    <w:p>
      <w:pPr>
        <w:spacing w:after="0" w:line="157" w:lineRule="exact"/>
        <w:rPr>
          <w:sz w:val="20"/>
          <w:szCs w:val="20"/>
          <w:color w:val="auto"/>
        </w:rPr>
      </w:pPr>
    </w:p>
    <w:p>
      <w:pPr>
        <w:ind w:left="380" w:right="16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346" w:lineRule="exact"/>
        <w:rPr>
          <w:sz w:val="20"/>
          <w:szCs w:val="20"/>
          <w:color w:val="auto"/>
        </w:rPr>
      </w:pPr>
    </w:p>
    <w:p>
      <w:pPr>
        <w:ind w:left="840" w:right="900" w:hanging="468"/>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February 29, 2020 (the “Form 10-Q”) fully complies with the requirements of Section 13(a) or 15(d) of the Securities Exchange Act of 1934, as amended; and</w:t>
      </w:r>
    </w:p>
    <w:p>
      <w:pPr>
        <w:spacing w:after="0" w:line="278" w:lineRule="exact"/>
        <w:rPr>
          <w:rFonts w:ascii="Arial" w:cs="Arial" w:eastAsia="Arial" w:hAnsi="Arial"/>
          <w:sz w:val="18"/>
          <w:szCs w:val="18"/>
          <w:color w:val="auto"/>
        </w:rPr>
      </w:pPr>
    </w:p>
    <w:p>
      <w:pPr>
        <w:ind w:left="840" w:right="740" w:hanging="468"/>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contained in the Form 10-Q fairly presents, in all material respects, the financial condition and results of operations of the Company.</w:t>
      </w:r>
    </w:p>
    <w:p>
      <w:pPr>
        <w:spacing w:after="0" w:line="143"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6"/>
          <w:szCs w:val="16"/>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203200</wp:posOffset>
            </wp:positionV>
            <wp:extent cx="14230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Robinson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20, 2020</w:t>
      </w:r>
      <w:r>
        <w:rPr>
          <w:sz w:val="20"/>
          <w:szCs w:val="20"/>
          <w:color w:val="auto"/>
        </w:rPr>
        <w:tab/>
      </w:r>
      <w:r>
        <w:rPr>
          <w:rFonts w:ascii="Arial" w:cs="Arial" w:eastAsia="Arial" w:hAnsi="Arial"/>
          <w:sz w:val="16"/>
          <w:szCs w:val="16"/>
          <w:color w:val="auto"/>
        </w:rPr>
        <w:t xml:space="preserve">/s/ </w:t>
      </w:r>
      <w:r>
        <w:rPr>
          <w:rFonts w:ascii="Arial" w:cs="Arial" w:eastAsia="Arial" w:hAnsi="Arial"/>
          <w:sz w:val="15"/>
          <w:szCs w:val="15"/>
          <w:color w:val="auto"/>
        </w:rPr>
        <w:t>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203200</wp:posOffset>
            </wp:positionV>
            <wp:extent cx="1423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Kenneth J. Cleary</w:t>
      </w:r>
    </w:p>
    <w:p>
      <w:pPr>
        <w:spacing w:after="0" w:line="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6"/>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2020-03-20T16:05:06Z</dcterms:created>
  <dcterms:modified xsi:type="dcterms:W3CDTF">2020-03-20T16:05:06Z</dcterms:modified>
</cp:coreProperties>
</file>