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82026_080936.xml.htm"/>
      <w:bookmarkStart w:id="1" w:name="ksform409182026_0809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Henderson Kaya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LEGAL DEPT., SCHOLASTIC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557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SCHOLASTIC CORP</w:t>
              </w:r>
            </w:hyperlink>
            <w:r>
              <w:rPr/>
              <w:t xml:space="preserve"> [ </w:t>
            </w:r>
            <w:r>
              <w:rPr>
                <w:rFonts w:ascii="Times;serif" w:hAnsi="Times;serif"/>
                <w:color w:val="0000FF"/>
                <w:sz w:val="24"/>
                <w:shd w:fill="FFFFFF" w:val="clear"/>
              </w:rPr>
              <w:t>SCHL</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3,700</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35.13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10,813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under the Amended and Restated Scholastic Corporation Outside Directors Stock Incentive Plan, all of which are scheduled to vest on the earlier of September 16, 2027 or the date of the Company's 2027 annual stockholder meeting.</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Kaya Henderson, by Andrew S. Hedden, Esq.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7618" TargetMode="External"/><Relationship Id="rId5" Type="http://schemas.openxmlformats.org/officeDocument/2006/relationships/hyperlink" Target="http://www.sec.gov/cgi-bin/browse-edgar?action=getcompany&amp;CIK=00008667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3321</Characters>
  <CharactersWithSpaces>3865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