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40" w:lineRule="exact"/>
        <w:rPr>
          <w:sz w:val="24"/>
          <w:szCs w:val="24"/>
          <w:color w:val="auto"/>
        </w:rPr>
      </w:pPr>
    </w:p>
    <w:p>
      <w:pPr>
        <w:ind w:left="20"/>
        <w:spacing w:after="0"/>
        <w:tabs>
          <w:tab w:leader="none" w:pos="2880" w:val="left"/>
          <w:tab w:leader="none" w:pos="8060" w:val="left"/>
          <w:tab w:leader="none" w:pos="9840" w:val="left"/>
        </w:tabs>
        <w:rPr>
          <w:sz w:val="20"/>
          <w:szCs w:val="20"/>
          <w:color w:val="auto"/>
        </w:rPr>
      </w:pPr>
      <w:r>
        <w:rPr>
          <w:rFonts w:ascii="Arial" w:cs="Arial" w:eastAsia="Arial" w:hAnsi="Arial"/>
          <w:sz w:val="16"/>
          <w:szCs w:val="16"/>
          <w:color w:val="auto"/>
        </w:rPr>
        <w:t>For the quarterly period ended</w:t>
      </w:r>
      <w:r>
        <w:rPr>
          <w:sz w:val="20"/>
          <w:szCs w:val="20"/>
          <w:color w:val="auto"/>
        </w:rPr>
        <w:tab/>
      </w:r>
      <w:r>
        <w:rPr>
          <w:rFonts w:ascii="Arial" w:cs="Arial" w:eastAsia="Arial" w:hAnsi="Arial"/>
          <w:sz w:val="16"/>
          <w:szCs w:val="16"/>
          <w:color w:val="auto"/>
        </w:rPr>
        <w:t>February 28, 2025</w:t>
      </w:r>
      <w:r>
        <w:rPr>
          <w:sz w:val="20"/>
          <w:szCs w:val="20"/>
          <w:color w:val="auto"/>
        </w:rPr>
        <w:tab/>
      </w:r>
      <w:r>
        <w:rPr>
          <w:rFonts w:ascii="Arial" w:cs="Arial" w:eastAsia="Arial" w:hAnsi="Arial"/>
          <w:sz w:val="16"/>
          <w:szCs w:val="16"/>
          <w:color w:val="auto"/>
        </w:rPr>
        <w:t>Commission File No.</w:t>
      </w:r>
      <w:r>
        <w:rPr>
          <w:sz w:val="20"/>
          <w:szCs w:val="20"/>
          <w:color w:val="auto"/>
        </w:rPr>
        <w:tab/>
      </w:r>
      <w:r>
        <w:rPr>
          <w:rFonts w:ascii="Arial" w:cs="Arial" w:eastAsia="Arial" w:hAnsi="Arial"/>
          <w:sz w:val="16"/>
          <w:szCs w:val="16"/>
          <w:color w:val="auto"/>
        </w:rPr>
        <w:t>000-19860</w:t>
      </w:r>
    </w:p>
    <w:p>
      <w:pPr>
        <w:spacing w:after="0" w:line="32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820" w:type="dxa"/>
            <w:vAlign w:val="bottom"/>
          </w:tcPr>
          <w:p>
            <w:pPr>
              <w:jc w:val="center"/>
              <w:ind w:left="455"/>
              <w:spacing w:after="0"/>
              <w:rPr>
                <w:sz w:val="20"/>
                <w:szCs w:val="20"/>
                <w:color w:val="auto"/>
              </w:rPr>
            </w:pPr>
            <w:r>
              <w:rPr>
                <w:rFonts w:ascii="Arial" w:cs="Arial" w:eastAsia="Arial" w:hAnsi="Arial"/>
                <w:sz w:val="18"/>
                <w:szCs w:val="18"/>
                <w:b w:val="1"/>
                <w:bCs w:val="1"/>
                <w:color w:val="auto"/>
                <w:w w:val="99"/>
              </w:rPr>
              <w:t>SCHOLASTIC CORPORATION</w:t>
            </w:r>
          </w:p>
        </w:tc>
        <w:tc>
          <w:tcPr>
            <w:tcW w:w="3960" w:type="dxa"/>
            <w:vAlign w:val="bottom"/>
          </w:tcPr>
          <w:p>
            <w:pPr>
              <w:spacing w:after="0"/>
              <w:rPr>
                <w:sz w:val="18"/>
                <w:szCs w:val="18"/>
                <w:color w:val="auto"/>
              </w:rPr>
            </w:pPr>
          </w:p>
        </w:tc>
      </w:tr>
      <w:tr>
        <w:trPr>
          <w:trHeight w:val="239"/>
        </w:trPr>
        <w:tc>
          <w:tcPr>
            <w:tcW w:w="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7780" w:type="dxa"/>
            <w:vAlign w:val="bottom"/>
            <w:gridSpan w:val="2"/>
          </w:tcPr>
          <w:p>
            <w:pPr>
              <w:jc w:val="center"/>
              <w:ind w:right="3339"/>
              <w:spacing w:after="0"/>
              <w:rPr>
                <w:sz w:val="20"/>
                <w:szCs w:val="20"/>
                <w:color w:val="auto"/>
              </w:rPr>
            </w:pPr>
            <w:r>
              <w:rPr>
                <w:rFonts w:ascii="Arial" w:cs="Arial" w:eastAsia="Arial" w:hAnsi="Arial"/>
                <w:sz w:val="18"/>
                <w:szCs w:val="18"/>
                <w:color w:val="auto"/>
                <w:w w:val="99"/>
              </w:rPr>
              <w:t>(Exact name of Registrant as specified in its charter)</w:t>
            </w:r>
          </w:p>
        </w:tc>
      </w:tr>
      <w:tr>
        <w:trPr>
          <w:trHeight w:val="319"/>
        </w:trPr>
        <w:tc>
          <w:tcPr>
            <w:tcW w:w="40" w:type="dxa"/>
            <w:vAlign w:val="bottom"/>
          </w:tcPr>
          <w:p>
            <w:pPr>
              <w:spacing w:after="0"/>
              <w:rPr>
                <w:sz w:val="24"/>
                <w:szCs w:val="24"/>
                <w:color w:val="auto"/>
              </w:rPr>
            </w:pPr>
          </w:p>
        </w:tc>
        <w:tc>
          <w:tcPr>
            <w:tcW w:w="3400" w:type="dxa"/>
            <w:vAlign w:val="bottom"/>
          </w:tcPr>
          <w:p>
            <w:pPr>
              <w:jc w:val="center"/>
              <w:ind w:left="379"/>
              <w:spacing w:after="0"/>
              <w:rPr>
                <w:sz w:val="20"/>
                <w:szCs w:val="20"/>
                <w:color w:val="auto"/>
              </w:rPr>
            </w:pPr>
            <w:r>
              <w:rPr>
                <w:rFonts w:ascii="Arial" w:cs="Arial" w:eastAsia="Arial" w:hAnsi="Arial"/>
                <w:sz w:val="16"/>
                <w:szCs w:val="16"/>
                <w:b w:val="1"/>
                <w:bCs w:val="1"/>
                <w:color w:val="auto"/>
                <w:w w:val="99"/>
              </w:rPr>
              <w:t>Delaware</w:t>
            </w:r>
          </w:p>
        </w:tc>
        <w:tc>
          <w:tcPr>
            <w:tcW w:w="3820" w:type="dxa"/>
            <w:vAlign w:val="bottom"/>
          </w:tcPr>
          <w:p>
            <w:pPr>
              <w:spacing w:after="0"/>
              <w:rPr>
                <w:sz w:val="24"/>
                <w:szCs w:val="24"/>
                <w:color w:val="auto"/>
              </w:rPr>
            </w:pPr>
          </w:p>
        </w:tc>
        <w:tc>
          <w:tcPr>
            <w:tcW w:w="3960" w:type="dxa"/>
            <w:vAlign w:val="bottom"/>
          </w:tcPr>
          <w:p>
            <w:pPr>
              <w:jc w:val="right"/>
              <w:ind w:right="519"/>
              <w:spacing w:after="0"/>
              <w:rPr>
                <w:sz w:val="20"/>
                <w:szCs w:val="20"/>
                <w:color w:val="auto"/>
              </w:rPr>
            </w:pPr>
            <w:r>
              <w:rPr>
                <w:rFonts w:ascii="Arial" w:cs="Arial" w:eastAsia="Arial" w:hAnsi="Arial"/>
                <w:sz w:val="16"/>
                <w:szCs w:val="16"/>
                <w:b w:val="1"/>
                <w:bCs w:val="1"/>
                <w:color w:val="auto"/>
              </w:rPr>
              <w:t>13-3385513</w:t>
            </w:r>
          </w:p>
        </w:tc>
      </w:tr>
      <w:tr>
        <w:trPr>
          <w:trHeight w:val="163"/>
        </w:trPr>
        <w:tc>
          <w:tcPr>
            <w:tcW w:w="40" w:type="dxa"/>
            <w:vAlign w:val="bottom"/>
          </w:tcPr>
          <w:p>
            <w:pPr>
              <w:spacing w:after="0"/>
              <w:rPr>
                <w:sz w:val="14"/>
                <w:szCs w:val="14"/>
                <w:color w:val="auto"/>
              </w:rPr>
            </w:pPr>
          </w:p>
        </w:tc>
        <w:tc>
          <w:tcPr>
            <w:tcW w:w="3400" w:type="dxa"/>
            <w:vAlign w:val="bottom"/>
          </w:tcPr>
          <w:p>
            <w:pPr>
              <w:jc w:val="center"/>
              <w:ind w:left="379"/>
              <w:spacing w:after="0" w:line="163" w:lineRule="exact"/>
              <w:rPr>
                <w:sz w:val="20"/>
                <w:szCs w:val="20"/>
                <w:color w:val="auto"/>
              </w:rPr>
            </w:pPr>
            <w:r>
              <w:rPr>
                <w:rFonts w:ascii="Arial" w:cs="Arial" w:eastAsia="Arial" w:hAnsi="Arial"/>
                <w:sz w:val="16"/>
                <w:szCs w:val="16"/>
                <w:color w:val="auto"/>
              </w:rPr>
              <w:t>(State or other jurisdiction of</w:t>
            </w:r>
          </w:p>
        </w:tc>
        <w:tc>
          <w:tcPr>
            <w:tcW w:w="3820" w:type="dxa"/>
            <w:vAlign w:val="bottom"/>
          </w:tcPr>
          <w:p>
            <w:pPr>
              <w:spacing w:after="0"/>
              <w:rPr>
                <w:sz w:val="14"/>
                <w:szCs w:val="14"/>
                <w:color w:val="auto"/>
              </w:rPr>
            </w:pPr>
          </w:p>
        </w:tc>
        <w:tc>
          <w:tcPr>
            <w:tcW w:w="3960" w:type="dxa"/>
            <w:vAlign w:val="bottom"/>
          </w:tcPr>
          <w:p>
            <w:pPr>
              <w:jc w:val="center"/>
              <w:ind w:left="1819"/>
              <w:spacing w:after="0" w:line="163" w:lineRule="exact"/>
              <w:rPr>
                <w:sz w:val="20"/>
                <w:szCs w:val="20"/>
                <w:color w:val="auto"/>
              </w:rPr>
            </w:pPr>
            <w:r>
              <w:rPr>
                <w:rFonts w:ascii="Arial" w:cs="Arial" w:eastAsia="Arial" w:hAnsi="Arial"/>
                <w:sz w:val="16"/>
                <w:szCs w:val="16"/>
                <w:color w:val="auto"/>
              </w:rPr>
              <w:t>(IRS Employer Identification</w:t>
            </w:r>
          </w:p>
        </w:tc>
      </w:tr>
      <w:tr>
        <w:trPr>
          <w:trHeight w:val="215"/>
        </w:trPr>
        <w:tc>
          <w:tcPr>
            <w:tcW w:w="40" w:type="dxa"/>
            <w:vAlign w:val="bottom"/>
          </w:tcPr>
          <w:p>
            <w:pPr>
              <w:spacing w:after="0"/>
              <w:rPr>
                <w:sz w:val="18"/>
                <w:szCs w:val="18"/>
                <w:color w:val="auto"/>
              </w:rPr>
            </w:pPr>
          </w:p>
        </w:tc>
        <w:tc>
          <w:tcPr>
            <w:tcW w:w="3400" w:type="dxa"/>
            <w:vAlign w:val="bottom"/>
          </w:tcPr>
          <w:p>
            <w:pPr>
              <w:jc w:val="center"/>
              <w:ind w:left="379"/>
              <w:spacing w:after="0"/>
              <w:rPr>
                <w:sz w:val="20"/>
                <w:szCs w:val="20"/>
                <w:color w:val="auto"/>
              </w:rPr>
            </w:pPr>
            <w:r>
              <w:rPr>
                <w:rFonts w:ascii="Arial" w:cs="Arial" w:eastAsia="Arial" w:hAnsi="Arial"/>
                <w:sz w:val="16"/>
                <w:szCs w:val="16"/>
                <w:color w:val="auto"/>
              </w:rPr>
              <w:t>incorporation or organization)</w:t>
            </w:r>
          </w:p>
        </w:tc>
        <w:tc>
          <w:tcPr>
            <w:tcW w:w="3820" w:type="dxa"/>
            <w:vAlign w:val="bottom"/>
          </w:tcPr>
          <w:p>
            <w:pPr>
              <w:spacing w:after="0"/>
              <w:rPr>
                <w:sz w:val="18"/>
                <w:szCs w:val="18"/>
                <w:color w:val="auto"/>
              </w:rPr>
            </w:pPr>
          </w:p>
        </w:tc>
        <w:tc>
          <w:tcPr>
            <w:tcW w:w="3960" w:type="dxa"/>
            <w:vAlign w:val="bottom"/>
          </w:tcPr>
          <w:p>
            <w:pPr>
              <w:jc w:val="center"/>
              <w:ind w:left="1819"/>
              <w:spacing w:after="0"/>
              <w:rPr>
                <w:sz w:val="20"/>
                <w:szCs w:val="20"/>
                <w:color w:val="auto"/>
              </w:rPr>
            </w:pPr>
            <w:r>
              <w:rPr>
                <w:rFonts w:ascii="Arial" w:cs="Arial" w:eastAsia="Arial" w:hAnsi="Arial"/>
                <w:sz w:val="16"/>
                <w:szCs w:val="16"/>
                <w:color w:val="auto"/>
                <w:w w:val="99"/>
              </w:rPr>
              <w:t>No.)</w:t>
            </w:r>
          </w:p>
        </w:tc>
      </w:tr>
      <w:tr>
        <w:trPr>
          <w:trHeight w:val="217"/>
        </w:trPr>
        <w:tc>
          <w:tcPr>
            <w:tcW w:w="40" w:type="dxa"/>
            <w:vAlign w:val="bottom"/>
          </w:tcPr>
          <w:p>
            <w:pPr>
              <w:spacing w:after="0"/>
              <w:rPr>
                <w:sz w:val="18"/>
                <w:szCs w:val="18"/>
                <w:color w:val="auto"/>
              </w:rPr>
            </w:pPr>
          </w:p>
        </w:tc>
        <w:tc>
          <w:tcPr>
            <w:tcW w:w="3400" w:type="dxa"/>
            <w:vAlign w:val="bottom"/>
          </w:tcPr>
          <w:p>
            <w:pPr>
              <w:jc w:val="center"/>
              <w:ind w:left="399"/>
              <w:spacing w:after="0"/>
              <w:rPr>
                <w:sz w:val="20"/>
                <w:szCs w:val="20"/>
                <w:color w:val="auto"/>
              </w:rPr>
            </w:pPr>
            <w:r>
              <w:rPr>
                <w:rFonts w:ascii="Arial" w:cs="Arial" w:eastAsia="Arial" w:hAnsi="Arial"/>
                <w:sz w:val="16"/>
                <w:szCs w:val="16"/>
                <w:b w:val="1"/>
                <w:bCs w:val="1"/>
                <w:color w:val="auto"/>
                <w:w w:val="99"/>
              </w:rPr>
              <w:t>557 Broadway,</w:t>
            </w:r>
          </w:p>
        </w:tc>
        <w:tc>
          <w:tcPr>
            <w:tcW w:w="3820" w:type="dxa"/>
            <w:vAlign w:val="bottom"/>
          </w:tcPr>
          <w:p>
            <w:pPr>
              <w:spacing w:after="0"/>
              <w:rPr>
                <w:sz w:val="18"/>
                <w:szCs w:val="18"/>
                <w:color w:val="auto"/>
              </w:rPr>
            </w:pPr>
          </w:p>
        </w:tc>
        <w:tc>
          <w:tcPr>
            <w:tcW w:w="39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3400" w:type="dxa"/>
            <w:vAlign w:val="bottom"/>
          </w:tcPr>
          <w:p>
            <w:pPr>
              <w:ind w:left="1140"/>
              <w:spacing w:after="0"/>
              <w:rPr>
                <w:sz w:val="20"/>
                <w:szCs w:val="20"/>
                <w:color w:val="auto"/>
              </w:rPr>
            </w:pPr>
            <w:r>
              <w:rPr>
                <w:rFonts w:ascii="Arial" w:cs="Arial" w:eastAsia="Arial" w:hAnsi="Arial"/>
                <w:sz w:val="16"/>
                <w:szCs w:val="16"/>
                <w:b w:val="1"/>
                <w:bCs w:val="1"/>
                <w:color w:val="auto"/>
              </w:rPr>
              <w:t>New York, New York</w:t>
            </w:r>
          </w:p>
        </w:tc>
        <w:tc>
          <w:tcPr>
            <w:tcW w:w="3820" w:type="dxa"/>
            <w:vAlign w:val="bottom"/>
          </w:tcPr>
          <w:p>
            <w:pPr>
              <w:spacing w:after="0"/>
              <w:rPr>
                <w:sz w:val="18"/>
                <w:szCs w:val="18"/>
                <w:color w:val="auto"/>
              </w:rPr>
            </w:pPr>
          </w:p>
        </w:tc>
        <w:tc>
          <w:tcPr>
            <w:tcW w:w="3960" w:type="dxa"/>
            <w:vAlign w:val="bottom"/>
          </w:tcPr>
          <w:p>
            <w:pPr>
              <w:jc w:val="right"/>
              <w:ind w:right="719"/>
              <w:spacing w:after="0"/>
              <w:rPr>
                <w:sz w:val="20"/>
                <w:szCs w:val="20"/>
                <w:color w:val="auto"/>
              </w:rPr>
            </w:pPr>
            <w:r>
              <w:rPr>
                <w:rFonts w:ascii="Arial" w:cs="Arial" w:eastAsia="Arial" w:hAnsi="Arial"/>
                <w:sz w:val="16"/>
                <w:szCs w:val="16"/>
                <w:b w:val="1"/>
                <w:bCs w:val="1"/>
                <w:color w:val="auto"/>
              </w:rPr>
              <w:t>10012</w:t>
            </w:r>
          </w:p>
        </w:tc>
      </w:tr>
      <w:tr>
        <w:trPr>
          <w:trHeight w:val="215"/>
        </w:trPr>
        <w:tc>
          <w:tcPr>
            <w:tcW w:w="40" w:type="dxa"/>
            <w:vAlign w:val="bottom"/>
          </w:tcPr>
          <w:p>
            <w:pPr>
              <w:spacing w:after="0"/>
              <w:rPr>
                <w:sz w:val="18"/>
                <w:szCs w:val="18"/>
                <w:color w:val="auto"/>
              </w:rPr>
            </w:pPr>
          </w:p>
        </w:tc>
        <w:tc>
          <w:tcPr>
            <w:tcW w:w="3400" w:type="dxa"/>
            <w:vAlign w:val="bottom"/>
          </w:tcPr>
          <w:p>
            <w:pPr>
              <w:jc w:val="center"/>
              <w:ind w:left="379"/>
              <w:spacing w:after="0"/>
              <w:rPr>
                <w:sz w:val="20"/>
                <w:szCs w:val="20"/>
                <w:color w:val="auto"/>
              </w:rPr>
            </w:pPr>
            <w:r>
              <w:rPr>
                <w:rFonts w:ascii="Arial" w:cs="Arial" w:eastAsia="Arial" w:hAnsi="Arial"/>
                <w:sz w:val="16"/>
                <w:szCs w:val="16"/>
                <w:color w:val="auto"/>
              </w:rPr>
              <w:t>(Address of principal executive offices)</w:t>
            </w:r>
          </w:p>
        </w:tc>
        <w:tc>
          <w:tcPr>
            <w:tcW w:w="3820" w:type="dxa"/>
            <w:vAlign w:val="bottom"/>
          </w:tcPr>
          <w:p>
            <w:pPr>
              <w:spacing w:after="0"/>
              <w:rPr>
                <w:sz w:val="18"/>
                <w:szCs w:val="18"/>
                <w:color w:val="auto"/>
              </w:rPr>
            </w:pPr>
          </w:p>
        </w:tc>
        <w:tc>
          <w:tcPr>
            <w:tcW w:w="3960" w:type="dxa"/>
            <w:vAlign w:val="bottom"/>
          </w:tcPr>
          <w:p>
            <w:pPr>
              <w:jc w:val="center"/>
              <w:ind w:left="1839"/>
              <w:spacing w:after="0"/>
              <w:rPr>
                <w:sz w:val="20"/>
                <w:szCs w:val="20"/>
                <w:color w:val="auto"/>
              </w:rPr>
            </w:pPr>
            <w:r>
              <w:rPr>
                <w:rFonts w:ascii="Arial" w:cs="Arial" w:eastAsia="Arial" w:hAnsi="Arial"/>
                <w:sz w:val="16"/>
                <w:szCs w:val="16"/>
                <w:color w:val="auto"/>
              </w:rPr>
              <w:t>(Zip Code)</w:t>
            </w:r>
          </w:p>
        </w:tc>
      </w:tr>
      <w:tr>
        <w:trPr>
          <w:trHeight w:val="533"/>
        </w:trPr>
        <w:tc>
          <w:tcPr>
            <w:tcW w:w="7260" w:type="dxa"/>
            <w:vAlign w:val="bottom"/>
            <w:gridSpan w:val="3"/>
          </w:tcPr>
          <w:p>
            <w:pPr>
              <w:spacing w:after="0"/>
              <w:rPr>
                <w:sz w:val="20"/>
                <w:szCs w:val="20"/>
                <w:color w:val="auto"/>
              </w:rPr>
            </w:pPr>
            <w:r>
              <w:rPr>
                <w:rFonts w:ascii="Arial" w:cs="Arial" w:eastAsia="Arial" w:hAnsi="Arial"/>
                <w:sz w:val="18"/>
                <w:szCs w:val="18"/>
                <w:color w:val="auto"/>
              </w:rPr>
              <w:t>Registrant’s telephone number, including area code (212) 343-6100</w:t>
            </w:r>
          </w:p>
        </w:tc>
        <w:tc>
          <w:tcPr>
            <w:tcW w:w="3960" w:type="dxa"/>
            <w:vAlign w:val="bottom"/>
          </w:tcPr>
          <w:p>
            <w:pPr>
              <w:spacing w:after="0"/>
              <w:rPr>
                <w:sz w:val="24"/>
                <w:szCs w:val="24"/>
                <w:color w:val="auto"/>
              </w:rPr>
            </w:pPr>
          </w:p>
        </w:tc>
      </w:tr>
      <w:tr>
        <w:trPr>
          <w:trHeight w:val="118"/>
        </w:trPr>
        <w:tc>
          <w:tcPr>
            <w:tcW w:w="40" w:type="dxa"/>
            <w:vAlign w:val="bottom"/>
          </w:tcPr>
          <w:p>
            <w:pPr>
              <w:spacing w:after="0"/>
              <w:rPr>
                <w:sz w:val="10"/>
                <w:szCs w:val="10"/>
                <w:color w:val="auto"/>
              </w:rPr>
            </w:pPr>
          </w:p>
        </w:tc>
        <w:tc>
          <w:tcPr>
            <w:tcW w:w="340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3960" w:type="dxa"/>
            <w:vAlign w:val="bottom"/>
            <w:tcBorders>
              <w:bottom w:val="single" w:sz="8" w:color="auto"/>
            </w:tcBorders>
          </w:tcPr>
          <w:p>
            <w:pPr>
              <w:spacing w:after="0"/>
              <w:rPr>
                <w:sz w:val="10"/>
                <w:szCs w:val="10"/>
                <w:color w:val="auto"/>
              </w:rPr>
            </w:pPr>
          </w:p>
        </w:tc>
      </w:tr>
      <w:tr>
        <w:trPr>
          <w:trHeight w:val="209"/>
        </w:trPr>
        <w:tc>
          <w:tcPr>
            <w:tcW w:w="40" w:type="dxa"/>
            <w:vAlign w:val="bottom"/>
          </w:tcPr>
          <w:p>
            <w:pPr>
              <w:spacing w:after="0"/>
              <w:rPr>
                <w:sz w:val="18"/>
                <w:szCs w:val="18"/>
                <w:color w:val="auto"/>
              </w:rPr>
            </w:pPr>
          </w:p>
        </w:tc>
        <w:tc>
          <w:tcPr>
            <w:tcW w:w="3400" w:type="dxa"/>
            <w:vAlign w:val="bottom"/>
            <w:tcBorders>
              <w:bottom w:val="single" w:sz="8" w:color="auto"/>
            </w:tcBorders>
          </w:tcPr>
          <w:p>
            <w:pPr>
              <w:jc w:val="center"/>
              <w:ind w:left="439"/>
              <w:spacing w:after="0"/>
              <w:rPr>
                <w:sz w:val="20"/>
                <w:szCs w:val="20"/>
                <w:color w:val="auto"/>
              </w:rPr>
            </w:pPr>
            <w:r>
              <w:rPr>
                <w:rFonts w:ascii="Arial" w:cs="Arial" w:eastAsia="Arial" w:hAnsi="Arial"/>
                <w:sz w:val="16"/>
                <w:szCs w:val="16"/>
                <w:b w:val="1"/>
                <w:bCs w:val="1"/>
                <w:color w:val="auto"/>
              </w:rPr>
              <w:t>Title of Class</w:t>
            </w:r>
          </w:p>
        </w:tc>
        <w:tc>
          <w:tcPr>
            <w:tcW w:w="3820" w:type="dxa"/>
            <w:vAlign w:val="bottom"/>
            <w:tcBorders>
              <w:bottom w:val="single" w:sz="8" w:color="auto"/>
            </w:tcBorders>
          </w:tcPr>
          <w:p>
            <w:pPr>
              <w:jc w:val="center"/>
              <w:ind w:left="755"/>
              <w:spacing w:after="0"/>
              <w:rPr>
                <w:sz w:val="20"/>
                <w:szCs w:val="20"/>
                <w:color w:val="auto"/>
              </w:rPr>
            </w:pPr>
            <w:r>
              <w:rPr>
                <w:rFonts w:ascii="Arial" w:cs="Arial" w:eastAsia="Arial" w:hAnsi="Arial"/>
                <w:sz w:val="16"/>
                <w:szCs w:val="16"/>
                <w:b w:val="1"/>
                <w:bCs w:val="1"/>
                <w:color w:val="auto"/>
              </w:rPr>
              <w:t>Trading Symbol</w:t>
            </w:r>
          </w:p>
        </w:tc>
        <w:tc>
          <w:tcPr>
            <w:tcW w:w="396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9"/>
        </w:trPr>
        <w:tc>
          <w:tcPr>
            <w:tcW w:w="40" w:type="dxa"/>
            <w:vAlign w:val="bottom"/>
          </w:tcPr>
          <w:p>
            <w:pPr>
              <w:spacing w:after="0"/>
              <w:rPr>
                <w:sz w:val="18"/>
                <w:szCs w:val="18"/>
                <w:color w:val="auto"/>
              </w:rPr>
            </w:pPr>
          </w:p>
        </w:tc>
        <w:tc>
          <w:tcPr>
            <w:tcW w:w="3400" w:type="dxa"/>
            <w:vAlign w:val="bottom"/>
            <w:tcBorders>
              <w:bottom w:val="single" w:sz="8" w:color="auto"/>
            </w:tcBorders>
          </w:tcPr>
          <w:p>
            <w:pPr>
              <w:jc w:val="center"/>
              <w:ind w:left="439"/>
              <w:spacing w:after="0"/>
              <w:rPr>
                <w:sz w:val="20"/>
                <w:szCs w:val="20"/>
                <w:color w:val="auto"/>
              </w:rPr>
            </w:pPr>
            <w:r>
              <w:rPr>
                <w:rFonts w:ascii="Arial" w:cs="Arial" w:eastAsia="Arial" w:hAnsi="Arial"/>
                <w:sz w:val="16"/>
                <w:szCs w:val="16"/>
                <w:color w:val="auto"/>
              </w:rPr>
              <w:t>Common Stock, $0.01 par value</w:t>
            </w:r>
          </w:p>
        </w:tc>
        <w:tc>
          <w:tcPr>
            <w:tcW w:w="3820" w:type="dxa"/>
            <w:vAlign w:val="bottom"/>
            <w:tcBorders>
              <w:bottom w:val="single" w:sz="8" w:color="auto"/>
            </w:tcBorders>
          </w:tcPr>
          <w:p>
            <w:pPr>
              <w:jc w:val="center"/>
              <w:ind w:left="755"/>
              <w:spacing w:after="0"/>
              <w:rPr>
                <w:sz w:val="20"/>
                <w:szCs w:val="20"/>
                <w:color w:val="auto"/>
              </w:rPr>
            </w:pPr>
            <w:r>
              <w:rPr>
                <w:rFonts w:ascii="Arial" w:cs="Arial" w:eastAsia="Arial" w:hAnsi="Arial"/>
                <w:sz w:val="16"/>
                <w:szCs w:val="16"/>
                <w:color w:val="auto"/>
                <w:w w:val="98"/>
              </w:rPr>
              <w:t>SCHL</w:t>
            </w:r>
          </w:p>
        </w:tc>
        <w:tc>
          <w:tcPr>
            <w:tcW w:w="396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color w:val="auto"/>
              </w:rPr>
              <w:t>The NASDAQ Stock Market LLC</w:t>
            </w:r>
          </w:p>
        </w:tc>
      </w:tr>
    </w:tbl>
    <w:p>
      <w:pPr>
        <w:spacing w:after="0" w:line="283" w:lineRule="exact"/>
        <w:rPr>
          <w:sz w:val="24"/>
          <w:szCs w:val="24"/>
          <w:color w:val="auto"/>
        </w:rPr>
      </w:pPr>
    </w:p>
    <w:p>
      <w:pPr>
        <w:jc w:val="both"/>
        <w:ind w:firstLine="206"/>
        <w:spacing w:after="0" w:line="275"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3"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281" w:lineRule="exact"/>
        <w:rPr>
          <w:sz w:val="24"/>
          <w:szCs w:val="24"/>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(229.405 of this chapter) during the preceding 12 months (or for such shorter period that the registrant was required to submit such files).</w:t>
      </w:r>
    </w:p>
    <w:p>
      <w:pPr>
        <w:spacing w:after="0" w:line="138"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281" w:lineRule="exact"/>
        <w:rPr>
          <w:sz w:val="24"/>
          <w:szCs w:val="24"/>
          <w:color w:val="auto"/>
        </w:rPr>
      </w:pPr>
    </w:p>
    <w:p>
      <w:pPr>
        <w:ind w:right="80" w:firstLine="648"/>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7" w:lineRule="exact"/>
        <w:rPr>
          <w:sz w:val="24"/>
          <w:szCs w:val="24"/>
          <w:color w:val="auto"/>
        </w:rPr>
      </w:pPr>
    </w:p>
    <w:p>
      <w:pPr>
        <w:ind w:left="20"/>
        <w:spacing w:after="0" w:line="161" w:lineRule="exact"/>
        <w:tabs>
          <w:tab w:leader="none" w:pos="1860" w:val="left"/>
          <w:tab w:leader="none" w:pos="3540" w:val="left"/>
          <w:tab w:leader="none" w:pos="5620" w:val="left"/>
          <w:tab w:leader="none" w:pos="8180" w:val="left"/>
          <w:tab w:leader="none" w:pos="1076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365" w:lineRule="exact"/>
        <w:rPr>
          <w:sz w:val="24"/>
          <w:szCs w:val="24"/>
          <w:color w:val="auto"/>
        </w:rPr>
      </w:pPr>
    </w:p>
    <w:p>
      <w:pPr>
        <w:ind w:right="20" w:firstLine="648"/>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10" w:lineRule="exact"/>
        <w:rPr>
          <w:sz w:val="24"/>
          <w:szCs w:val="24"/>
          <w:color w:val="auto"/>
        </w:rPr>
      </w:pPr>
    </w:p>
    <w:p>
      <w:pPr>
        <w:ind w:left="18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76"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25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21" w:lineRule="exact"/>
        <w:rPr>
          <w:sz w:val="24"/>
          <w:szCs w:val="24"/>
          <w:color w:val="auto"/>
        </w:rPr>
      </w:pPr>
    </w:p>
    <w:tbl>
      <w:tblPr>
        <w:tblLayout w:type="fixed"/>
        <w:tblInd w:w="130" w:type="dxa"/>
        <w:tblCellMar>
          <w:top w:w="0" w:type="dxa"/>
          <w:left w:w="0" w:type="dxa"/>
          <w:bottom w:w="0" w:type="dxa"/>
          <w:right w:w="0" w:type="dxa"/>
        </w:tblCellMar>
      </w:tblPr>
      <w:tr>
        <w:trPr>
          <w:trHeight w:val="229"/>
        </w:trPr>
        <w:tc>
          <w:tcPr>
            <w:tcW w:w="4880" w:type="dxa"/>
            <w:vAlign w:val="bottom"/>
            <w:tcBorders>
              <w:top w:val="single" w:sz="8" w:color="auto"/>
              <w:left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Title of each class</w:t>
            </w:r>
          </w:p>
        </w:tc>
        <w:tc>
          <w:tcPr>
            <w:tcW w:w="6160" w:type="dxa"/>
            <w:vAlign w:val="bottom"/>
            <w:tcBorders>
              <w:top w:val="single" w:sz="8" w:color="auto"/>
              <w:right w:val="single" w:sz="8" w:color="auto"/>
            </w:tcBorders>
          </w:tcPr>
          <w:p>
            <w:pPr>
              <w:ind w:left="1400"/>
              <w:spacing w:after="0"/>
              <w:rPr>
                <w:sz w:val="20"/>
                <w:szCs w:val="20"/>
                <w:color w:val="auto"/>
              </w:rPr>
            </w:pPr>
            <w:r>
              <w:rPr>
                <w:rFonts w:ascii="Arial" w:cs="Arial" w:eastAsia="Arial" w:hAnsi="Arial"/>
                <w:sz w:val="16"/>
                <w:szCs w:val="16"/>
                <w:b w:val="1"/>
                <w:bCs w:val="1"/>
                <w:color w:val="auto"/>
              </w:rPr>
              <w:t>Number of shares outstanding as of February 28, 2025</w:t>
            </w:r>
          </w:p>
        </w:tc>
      </w:tr>
      <w:tr>
        <w:trPr>
          <w:trHeight w:val="215"/>
        </w:trPr>
        <w:tc>
          <w:tcPr>
            <w:tcW w:w="4880" w:type="dxa"/>
            <w:vAlign w:val="bottom"/>
            <w:tcBorders>
              <w:left w:val="single" w:sz="8" w:color="auto"/>
            </w:tcBorders>
          </w:tcPr>
          <w:p>
            <w:pPr>
              <w:jc w:val="center"/>
              <w:ind w:right="179"/>
              <w:spacing w:after="0"/>
              <w:rPr>
                <w:sz w:val="20"/>
                <w:szCs w:val="20"/>
                <w:color w:val="auto"/>
              </w:rPr>
            </w:pPr>
            <w:r>
              <w:rPr>
                <w:rFonts w:ascii="Arial" w:cs="Arial" w:eastAsia="Arial" w:hAnsi="Arial"/>
                <w:sz w:val="16"/>
                <w:szCs w:val="16"/>
                <w:color w:val="auto"/>
              </w:rPr>
              <w:t>Common Stock, $0.01 par value</w:t>
            </w:r>
          </w:p>
        </w:tc>
        <w:tc>
          <w:tcPr>
            <w:tcW w:w="6160" w:type="dxa"/>
            <w:vAlign w:val="bottom"/>
            <w:tcBorders>
              <w:right w:val="single" w:sz="8" w:color="auto"/>
            </w:tcBorders>
          </w:tcPr>
          <w:p>
            <w:pPr>
              <w:jc w:val="right"/>
              <w:ind w:right="2179"/>
              <w:spacing w:after="0"/>
              <w:rPr>
                <w:sz w:val="20"/>
                <w:szCs w:val="20"/>
                <w:color w:val="auto"/>
              </w:rPr>
            </w:pPr>
            <w:r>
              <w:rPr>
                <w:rFonts w:ascii="Arial" w:cs="Arial" w:eastAsia="Arial" w:hAnsi="Arial"/>
                <w:sz w:val="16"/>
                <w:szCs w:val="16"/>
                <w:color w:val="auto"/>
              </w:rPr>
              <w:t>25,858,399</w:t>
            </w:r>
          </w:p>
        </w:tc>
      </w:tr>
      <w:tr>
        <w:trPr>
          <w:trHeight w:val="217"/>
        </w:trPr>
        <w:tc>
          <w:tcPr>
            <w:tcW w:w="4880" w:type="dxa"/>
            <w:vAlign w:val="bottom"/>
            <w:tcBorders>
              <w:left w:val="single" w:sz="8" w:color="auto"/>
              <w:bottom w:val="single" w:sz="8" w:color="auto"/>
            </w:tcBorders>
          </w:tcPr>
          <w:p>
            <w:pPr>
              <w:jc w:val="center"/>
              <w:ind w:right="179"/>
              <w:spacing w:after="0"/>
              <w:rPr>
                <w:sz w:val="20"/>
                <w:szCs w:val="20"/>
                <w:color w:val="auto"/>
              </w:rPr>
            </w:pPr>
            <w:r>
              <w:rPr>
                <w:rFonts w:ascii="Arial" w:cs="Arial" w:eastAsia="Arial" w:hAnsi="Arial"/>
                <w:sz w:val="16"/>
                <w:szCs w:val="16"/>
                <w:color w:val="auto"/>
              </w:rPr>
              <w:t>Class A Stock, $0.01 par value</w:t>
            </w:r>
          </w:p>
        </w:tc>
        <w:tc>
          <w:tcPr>
            <w:tcW w:w="6160" w:type="dxa"/>
            <w:vAlign w:val="bottom"/>
            <w:tcBorders>
              <w:bottom w:val="single" w:sz="8" w:color="auto"/>
              <w:right w:val="single" w:sz="8" w:color="auto"/>
            </w:tcBorders>
          </w:tcPr>
          <w:p>
            <w:pPr>
              <w:jc w:val="right"/>
              <w:ind w:right="2299"/>
              <w:spacing w:after="0"/>
              <w:rPr>
                <w:sz w:val="20"/>
                <w:szCs w:val="20"/>
                <w:color w:val="auto"/>
              </w:rPr>
            </w:pPr>
            <w:r>
              <w:rPr>
                <w:rFonts w:ascii="Arial" w:cs="Arial" w:eastAsia="Arial" w:hAnsi="Arial"/>
                <w:sz w:val="16"/>
                <w:szCs w:val="16"/>
                <w:color w:val="auto"/>
              </w:rPr>
              <w:t>828,100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60325</wp:posOffset>
            </wp:positionV>
            <wp:extent cx="1645920" cy="188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45920" cy="188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SCHOLASTIC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10-Q FOR THE QUARTERLY PERIOD ENDED February 28, 2025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44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b w:val="1"/>
                <w:bCs w:val="1"/>
                <w:color w:val="0000FF"/>
                <w:w w:val="99"/>
              </w:rPr>
              <w:t>Part I - Financial Information</w:t>
            </w:r>
          </w:p>
        </w:tc>
        <w:tc>
          <w:tcPr>
            <w:tcW w:w="7160" w:type="dxa"/>
            <w:vAlign w:val="bottom"/>
            <w:gridSpan w:val="13"/>
          </w:tcPr>
          <w:p>
            <w:pPr>
              <w:spacing w:after="0"/>
              <w:rPr>
                <w:sz w:val="17"/>
                <w:szCs w:val="17"/>
                <w:color w:val="auto"/>
              </w:rPr>
            </w:pPr>
          </w:p>
        </w:tc>
        <w:tc>
          <w:tcPr>
            <w:tcW w:w="1620" w:type="dxa"/>
            <w:vAlign w:val="bottom"/>
            <w:gridSpan w:val="3"/>
          </w:tcPr>
          <w:p>
            <w:pPr>
              <w:ind w:left="1000"/>
              <w:spacing w:after="0"/>
              <w:rPr>
                <w:sz w:val="20"/>
                <w:szCs w:val="20"/>
                <w:color w:val="auto"/>
              </w:rPr>
            </w:pPr>
            <w:r>
              <w:rPr>
                <w:rFonts w:ascii="Arial" w:cs="Arial" w:eastAsia="Arial" w:hAnsi="Arial"/>
                <w:sz w:val="16"/>
                <w:szCs w:val="16"/>
                <w:b w:val="1"/>
                <w:bCs w:val="1"/>
                <w:color w:val="auto"/>
              </w:rPr>
              <w:t>Page</w:t>
            </w:r>
          </w:p>
        </w:tc>
      </w:tr>
      <w:tr>
        <w:trPr>
          <w:trHeight w:val="426"/>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0000FF"/>
              </w:rPr>
              <w:t>Item 1.</w:t>
            </w:r>
          </w:p>
        </w:tc>
        <w:tc>
          <w:tcPr>
            <w:tcW w:w="660" w:type="dxa"/>
            <w:vAlign w:val="bottom"/>
            <w:gridSpan w:val="2"/>
          </w:tcPr>
          <w:p>
            <w:pPr>
              <w:spacing w:after="0"/>
              <w:rPr>
                <w:sz w:val="24"/>
                <w:szCs w:val="24"/>
                <w:color w:val="auto"/>
              </w:rPr>
            </w:pPr>
          </w:p>
        </w:tc>
        <w:tc>
          <w:tcPr>
            <w:tcW w:w="8040" w:type="dxa"/>
            <w:vAlign w:val="bottom"/>
            <w:gridSpan w:val="16"/>
          </w:tcPr>
          <w:p>
            <w:pPr>
              <w:spacing w:after="0"/>
              <w:rPr>
                <w:sz w:val="20"/>
                <w:szCs w:val="20"/>
                <w:color w:val="auto"/>
              </w:rPr>
            </w:pPr>
            <w:r>
              <w:rPr>
                <w:rFonts w:ascii="Arial" w:cs="Arial" w:eastAsia="Arial" w:hAnsi="Arial"/>
                <w:sz w:val="18"/>
                <w:szCs w:val="18"/>
                <w:color w:val="0000FF"/>
              </w:rPr>
              <w:t>Financial Statements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80" w:type="dxa"/>
            <w:vAlign w:val="bottom"/>
            <w:gridSpan w:val="11"/>
          </w:tcPr>
          <w:p>
            <w:pPr>
              <w:spacing w:after="0"/>
              <w:rPr>
                <w:sz w:val="20"/>
                <w:szCs w:val="20"/>
                <w:color w:val="auto"/>
              </w:rPr>
            </w:pPr>
            <w:r>
              <w:rPr>
                <w:rFonts w:ascii="Arial" w:cs="Arial" w:eastAsia="Arial" w:hAnsi="Arial"/>
                <w:sz w:val="18"/>
                <w:szCs w:val="18"/>
                <w:color w:val="0000FF"/>
                <w:w w:val="98"/>
              </w:rPr>
              <w:t>Condensed Consolidated Statements of Operations (Unaudited)</w:t>
            </w:r>
          </w:p>
        </w:tc>
        <w:tc>
          <w:tcPr>
            <w:tcW w:w="2960" w:type="dxa"/>
            <w:vAlign w:val="bottom"/>
            <w:gridSpan w:val="5"/>
          </w:tcPr>
          <w:p>
            <w:pPr>
              <w:spacing w:after="0"/>
              <w:rPr>
                <w:sz w:val="24"/>
                <w:szCs w:val="24"/>
                <w:color w:val="auto"/>
              </w:rPr>
            </w:pPr>
          </w:p>
        </w:tc>
        <w:tc>
          <w:tcPr>
            <w:tcW w:w="1240" w:type="dxa"/>
            <w:vAlign w:val="bottom"/>
            <w:gridSpan w:val="2"/>
          </w:tcPr>
          <w:p>
            <w:pPr>
              <w:jc w:val="center"/>
              <w:ind w:left="1051"/>
              <w:spacing w:after="0"/>
              <w:rPr>
                <w:sz w:val="20"/>
                <w:szCs w:val="20"/>
                <w:color w:val="auto"/>
              </w:rPr>
            </w:pPr>
            <w:r>
              <w:rPr>
                <w:rFonts w:ascii="Arial" w:cs="Arial" w:eastAsia="Arial" w:hAnsi="Arial"/>
                <w:sz w:val="18"/>
                <w:szCs w:val="18"/>
                <w:color w:val="0000FF"/>
                <w:w w:val="99"/>
              </w:rPr>
              <w:t>3</w:t>
            </w:r>
          </w:p>
        </w:tc>
        <w:tc>
          <w:tcPr>
            <w:tcW w:w="38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40" w:type="dxa"/>
            <w:vAlign w:val="bottom"/>
            <w:gridSpan w:val="16"/>
          </w:tcPr>
          <w:p>
            <w:pPr>
              <w:spacing w:after="0"/>
              <w:rPr>
                <w:sz w:val="20"/>
                <w:szCs w:val="20"/>
                <w:color w:val="auto"/>
              </w:rPr>
            </w:pPr>
            <w:r>
              <w:rPr>
                <w:rFonts w:ascii="Arial" w:cs="Arial" w:eastAsia="Arial" w:hAnsi="Arial"/>
                <w:sz w:val="18"/>
                <w:szCs w:val="18"/>
                <w:color w:val="0000FF"/>
              </w:rPr>
              <w:t>Condensed Consolidated Statements of Comprehensive Income (Loss) (Unaudited)</w:t>
            </w:r>
          </w:p>
        </w:tc>
        <w:tc>
          <w:tcPr>
            <w:tcW w:w="1240" w:type="dxa"/>
            <w:vAlign w:val="bottom"/>
            <w:gridSpan w:val="2"/>
          </w:tcPr>
          <w:p>
            <w:pPr>
              <w:jc w:val="center"/>
              <w:ind w:left="1051"/>
              <w:spacing w:after="0"/>
              <w:rPr>
                <w:sz w:val="20"/>
                <w:szCs w:val="20"/>
                <w:color w:val="auto"/>
              </w:rPr>
            </w:pPr>
            <w:r>
              <w:rPr>
                <w:rFonts w:ascii="Arial" w:cs="Arial" w:eastAsia="Arial" w:hAnsi="Arial"/>
                <w:sz w:val="18"/>
                <w:szCs w:val="18"/>
                <w:color w:val="0000FF"/>
                <w:w w:val="99"/>
              </w:rPr>
              <w:t>4</w:t>
            </w:r>
          </w:p>
        </w:tc>
        <w:tc>
          <w:tcPr>
            <w:tcW w:w="38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300" w:type="dxa"/>
            <w:vAlign w:val="bottom"/>
            <w:gridSpan w:val="8"/>
          </w:tcPr>
          <w:p>
            <w:pPr>
              <w:spacing w:after="0"/>
              <w:rPr>
                <w:sz w:val="20"/>
                <w:szCs w:val="20"/>
                <w:color w:val="auto"/>
              </w:rPr>
            </w:pPr>
            <w:r>
              <w:rPr>
                <w:rFonts w:ascii="Arial" w:cs="Arial" w:eastAsia="Arial" w:hAnsi="Arial"/>
                <w:sz w:val="18"/>
                <w:szCs w:val="18"/>
                <w:color w:val="0000FF"/>
                <w:w w:val="99"/>
              </w:rPr>
              <w:t>Condensed Consolidated Balance Sheets (Unaudited)</w:t>
            </w:r>
          </w:p>
        </w:tc>
        <w:tc>
          <w:tcPr>
            <w:tcW w:w="2340" w:type="dxa"/>
            <w:vAlign w:val="bottom"/>
            <w:gridSpan w:val="5"/>
          </w:tcPr>
          <w:p>
            <w:pPr>
              <w:spacing w:after="0"/>
              <w:rPr>
                <w:sz w:val="24"/>
                <w:szCs w:val="24"/>
                <w:color w:val="auto"/>
              </w:rPr>
            </w:pPr>
          </w:p>
        </w:tc>
        <w:tc>
          <w:tcPr>
            <w:tcW w:w="1400" w:type="dxa"/>
            <w:vAlign w:val="bottom"/>
            <w:gridSpan w:val="3"/>
          </w:tcPr>
          <w:p>
            <w:pPr>
              <w:spacing w:after="0"/>
              <w:rPr>
                <w:sz w:val="24"/>
                <w:szCs w:val="24"/>
                <w:color w:val="auto"/>
              </w:rPr>
            </w:pPr>
          </w:p>
        </w:tc>
        <w:tc>
          <w:tcPr>
            <w:tcW w:w="1240" w:type="dxa"/>
            <w:vAlign w:val="bottom"/>
            <w:gridSpan w:val="2"/>
          </w:tcPr>
          <w:p>
            <w:pPr>
              <w:jc w:val="center"/>
              <w:ind w:left="1051"/>
              <w:spacing w:after="0"/>
              <w:rPr>
                <w:sz w:val="20"/>
                <w:szCs w:val="20"/>
                <w:color w:val="auto"/>
              </w:rPr>
            </w:pPr>
            <w:r>
              <w:rPr>
                <w:rFonts w:ascii="Arial" w:cs="Arial" w:eastAsia="Arial" w:hAnsi="Arial"/>
                <w:sz w:val="18"/>
                <w:szCs w:val="18"/>
                <w:color w:val="0000FF"/>
                <w:w w:val="99"/>
              </w:rPr>
              <w:t>5</w:t>
            </w:r>
          </w:p>
        </w:tc>
        <w:tc>
          <w:tcPr>
            <w:tcW w:w="38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780" w:type="dxa"/>
            <w:vAlign w:val="bottom"/>
            <w:gridSpan w:val="14"/>
          </w:tcPr>
          <w:p>
            <w:pPr>
              <w:spacing w:after="0"/>
              <w:rPr>
                <w:sz w:val="20"/>
                <w:szCs w:val="20"/>
                <w:color w:val="auto"/>
              </w:rPr>
            </w:pPr>
            <w:r>
              <w:rPr>
                <w:rFonts w:ascii="Arial" w:cs="Arial" w:eastAsia="Arial" w:hAnsi="Arial"/>
                <w:sz w:val="18"/>
                <w:szCs w:val="18"/>
                <w:color w:val="0000FF"/>
                <w:w w:val="99"/>
              </w:rPr>
              <w:t>Condensed Consolidated Statements of Changes in Stockholders' Equity (Unaudited)</w:t>
            </w:r>
          </w:p>
        </w:tc>
        <w:tc>
          <w:tcPr>
            <w:tcW w:w="1260" w:type="dxa"/>
            <w:vAlign w:val="bottom"/>
            <w:gridSpan w:val="2"/>
          </w:tcPr>
          <w:p>
            <w:pPr>
              <w:spacing w:after="0"/>
              <w:rPr>
                <w:sz w:val="24"/>
                <w:szCs w:val="24"/>
                <w:color w:val="auto"/>
              </w:rPr>
            </w:pPr>
          </w:p>
        </w:tc>
        <w:tc>
          <w:tcPr>
            <w:tcW w:w="1240" w:type="dxa"/>
            <w:vAlign w:val="bottom"/>
            <w:gridSpan w:val="2"/>
          </w:tcPr>
          <w:p>
            <w:pPr>
              <w:jc w:val="center"/>
              <w:ind w:left="1051"/>
              <w:spacing w:after="0"/>
              <w:rPr>
                <w:sz w:val="20"/>
                <w:szCs w:val="20"/>
                <w:color w:val="auto"/>
              </w:rPr>
            </w:pPr>
            <w:r>
              <w:rPr>
                <w:rFonts w:ascii="Arial" w:cs="Arial" w:eastAsia="Arial" w:hAnsi="Arial"/>
                <w:sz w:val="18"/>
                <w:szCs w:val="18"/>
                <w:color w:val="0000FF"/>
                <w:w w:val="99"/>
              </w:rPr>
              <w:t>6</w:t>
            </w:r>
          </w:p>
        </w:tc>
        <w:tc>
          <w:tcPr>
            <w:tcW w:w="38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80" w:type="dxa"/>
            <w:vAlign w:val="bottom"/>
            <w:gridSpan w:val="11"/>
          </w:tcPr>
          <w:p>
            <w:pPr>
              <w:spacing w:after="0"/>
              <w:rPr>
                <w:sz w:val="20"/>
                <w:szCs w:val="20"/>
                <w:color w:val="auto"/>
              </w:rPr>
            </w:pPr>
            <w:r>
              <w:rPr>
                <w:rFonts w:ascii="Arial" w:cs="Arial" w:eastAsia="Arial" w:hAnsi="Arial"/>
                <w:sz w:val="18"/>
                <w:szCs w:val="18"/>
                <w:color w:val="0000FF"/>
                <w:w w:val="97"/>
              </w:rPr>
              <w:t>Condensed Consolidated Statements of Cash Flows (Unaudited)</w:t>
            </w:r>
          </w:p>
        </w:tc>
        <w:tc>
          <w:tcPr>
            <w:tcW w:w="1700" w:type="dxa"/>
            <w:vAlign w:val="bottom"/>
            <w:gridSpan w:val="3"/>
          </w:tcPr>
          <w:p>
            <w:pPr>
              <w:spacing w:after="0"/>
              <w:rPr>
                <w:sz w:val="24"/>
                <w:szCs w:val="24"/>
                <w:color w:val="auto"/>
              </w:rPr>
            </w:pPr>
          </w:p>
        </w:tc>
        <w:tc>
          <w:tcPr>
            <w:tcW w:w="1260" w:type="dxa"/>
            <w:vAlign w:val="bottom"/>
            <w:gridSpan w:val="2"/>
          </w:tcPr>
          <w:p>
            <w:pPr>
              <w:spacing w:after="0"/>
              <w:rPr>
                <w:sz w:val="24"/>
                <w:szCs w:val="24"/>
                <w:color w:val="auto"/>
              </w:rPr>
            </w:pPr>
          </w:p>
        </w:tc>
        <w:tc>
          <w:tcPr>
            <w:tcW w:w="1240" w:type="dxa"/>
            <w:vAlign w:val="bottom"/>
            <w:gridSpan w:val="2"/>
          </w:tcPr>
          <w:p>
            <w:pPr>
              <w:jc w:val="center"/>
              <w:ind w:left="1051"/>
              <w:spacing w:after="0"/>
              <w:rPr>
                <w:sz w:val="20"/>
                <w:szCs w:val="20"/>
                <w:color w:val="auto"/>
              </w:rPr>
            </w:pPr>
            <w:r>
              <w:rPr>
                <w:rFonts w:ascii="Arial" w:cs="Arial" w:eastAsia="Arial" w:hAnsi="Arial"/>
                <w:sz w:val="18"/>
                <w:szCs w:val="18"/>
                <w:color w:val="0000FF"/>
                <w:w w:val="99"/>
              </w:rPr>
              <w:t>8</w:t>
            </w:r>
          </w:p>
        </w:tc>
        <w:tc>
          <w:tcPr>
            <w:tcW w:w="38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40" w:type="dxa"/>
            <w:vAlign w:val="bottom"/>
            <w:gridSpan w:val="12"/>
          </w:tcPr>
          <w:p>
            <w:pPr>
              <w:spacing w:after="0"/>
              <w:rPr>
                <w:sz w:val="20"/>
                <w:szCs w:val="20"/>
                <w:color w:val="auto"/>
              </w:rPr>
            </w:pPr>
            <w:r>
              <w:rPr>
                <w:rFonts w:ascii="Arial" w:cs="Arial" w:eastAsia="Arial" w:hAnsi="Arial"/>
                <w:sz w:val="18"/>
                <w:szCs w:val="18"/>
                <w:color w:val="0000FF"/>
                <w:w w:val="99"/>
              </w:rPr>
              <w:t>Notes to Condensed Consolidated Financial Statements (Unaudited)</w:t>
            </w:r>
          </w:p>
        </w:tc>
        <w:tc>
          <w:tcPr>
            <w:tcW w:w="2600" w:type="dxa"/>
            <w:vAlign w:val="bottom"/>
            <w:gridSpan w:val="4"/>
          </w:tcPr>
          <w:p>
            <w:pPr>
              <w:spacing w:after="0"/>
              <w:rPr>
                <w:sz w:val="24"/>
                <w:szCs w:val="24"/>
                <w:color w:val="auto"/>
              </w:rPr>
            </w:pPr>
          </w:p>
        </w:tc>
        <w:tc>
          <w:tcPr>
            <w:tcW w:w="1240" w:type="dxa"/>
            <w:vAlign w:val="bottom"/>
            <w:gridSpan w:val="2"/>
          </w:tcPr>
          <w:p>
            <w:pPr>
              <w:jc w:val="center"/>
              <w:ind w:left="1051"/>
              <w:spacing w:after="0"/>
              <w:rPr>
                <w:sz w:val="20"/>
                <w:szCs w:val="20"/>
                <w:color w:val="auto"/>
              </w:rPr>
            </w:pPr>
            <w:r>
              <w:rPr>
                <w:rFonts w:ascii="Arial" w:cs="Arial" w:eastAsia="Arial" w:hAnsi="Arial"/>
                <w:sz w:val="18"/>
                <w:szCs w:val="18"/>
                <w:color w:val="0000FF"/>
                <w:w w:val="99"/>
              </w:rPr>
              <w:t>9</w:t>
            </w:r>
          </w:p>
        </w:tc>
        <w:tc>
          <w:tcPr>
            <w:tcW w:w="38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0000FF"/>
              </w:rPr>
              <w:t>Item 2.</w:t>
            </w:r>
          </w:p>
        </w:tc>
        <w:tc>
          <w:tcPr>
            <w:tcW w:w="660" w:type="dxa"/>
            <w:vAlign w:val="bottom"/>
            <w:gridSpan w:val="2"/>
          </w:tcPr>
          <w:p>
            <w:pPr>
              <w:spacing w:after="0"/>
              <w:rPr>
                <w:sz w:val="24"/>
                <w:szCs w:val="24"/>
                <w:color w:val="auto"/>
              </w:rPr>
            </w:pPr>
          </w:p>
        </w:tc>
        <w:tc>
          <w:tcPr>
            <w:tcW w:w="8040" w:type="dxa"/>
            <w:vAlign w:val="bottom"/>
            <w:gridSpan w:val="16"/>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620" w:type="dxa"/>
            <w:vAlign w:val="bottom"/>
            <w:gridSpan w:val="3"/>
          </w:tcPr>
          <w:p>
            <w:pPr>
              <w:jc w:val="center"/>
              <w:ind w:left="651"/>
              <w:spacing w:after="0"/>
              <w:rPr>
                <w:sz w:val="20"/>
                <w:szCs w:val="20"/>
                <w:color w:val="auto"/>
              </w:rPr>
            </w:pPr>
            <w:r>
              <w:rPr>
                <w:rFonts w:ascii="Arial" w:cs="Arial" w:eastAsia="Arial" w:hAnsi="Arial"/>
                <w:sz w:val="18"/>
                <w:szCs w:val="18"/>
                <w:color w:val="0000FF"/>
                <w:w w:val="99"/>
              </w:rPr>
              <w:t>25</w:t>
            </w: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20" w:type="dxa"/>
            <w:vAlign w:val="bottom"/>
            <w:gridSpan w:val="5"/>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0000FF"/>
              </w:rPr>
              <w:t>Item 3.</w:t>
            </w:r>
          </w:p>
        </w:tc>
        <w:tc>
          <w:tcPr>
            <w:tcW w:w="660" w:type="dxa"/>
            <w:vAlign w:val="bottom"/>
            <w:gridSpan w:val="2"/>
          </w:tcPr>
          <w:p>
            <w:pPr>
              <w:spacing w:after="0"/>
              <w:rPr>
                <w:sz w:val="24"/>
                <w:szCs w:val="24"/>
                <w:color w:val="auto"/>
              </w:rPr>
            </w:pPr>
          </w:p>
        </w:tc>
        <w:tc>
          <w:tcPr>
            <w:tcW w:w="8040" w:type="dxa"/>
            <w:vAlign w:val="bottom"/>
            <w:gridSpan w:val="16"/>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620" w:type="dxa"/>
            <w:vAlign w:val="bottom"/>
            <w:gridSpan w:val="3"/>
          </w:tcPr>
          <w:p>
            <w:pPr>
              <w:jc w:val="center"/>
              <w:ind w:left="651"/>
              <w:spacing w:after="0"/>
              <w:rPr>
                <w:sz w:val="20"/>
                <w:szCs w:val="20"/>
                <w:color w:val="auto"/>
              </w:rPr>
            </w:pPr>
            <w:r>
              <w:rPr>
                <w:rFonts w:ascii="Arial" w:cs="Arial" w:eastAsia="Arial" w:hAnsi="Arial"/>
                <w:sz w:val="18"/>
                <w:szCs w:val="18"/>
                <w:color w:val="0000FF"/>
                <w:w w:val="99"/>
              </w:rPr>
              <w:t>34</w:t>
            </w: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20" w:type="dxa"/>
            <w:vAlign w:val="bottom"/>
            <w:gridSpan w:val="6"/>
          </w:tcPr>
          <w:p>
            <w:pPr>
              <w:spacing w:after="0" w:line="20" w:lineRule="exact"/>
              <w:rPr>
                <w:sz w:val="1"/>
                <w:szCs w:val="1"/>
                <w:color w:val="auto"/>
              </w:rPr>
            </w:pPr>
          </w:p>
        </w:tc>
        <w:tc>
          <w:tcPr>
            <w:tcW w:w="1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0000FF"/>
              </w:rPr>
              <w:t>Item 4.</w:t>
            </w:r>
          </w:p>
        </w:tc>
        <w:tc>
          <w:tcPr>
            <w:tcW w:w="660" w:type="dxa"/>
            <w:vAlign w:val="bottom"/>
            <w:gridSpan w:val="2"/>
          </w:tcPr>
          <w:p>
            <w:pPr>
              <w:spacing w:after="0"/>
              <w:rPr>
                <w:sz w:val="24"/>
                <w:szCs w:val="24"/>
                <w:color w:val="auto"/>
              </w:rPr>
            </w:pPr>
          </w:p>
        </w:tc>
        <w:tc>
          <w:tcPr>
            <w:tcW w:w="8040" w:type="dxa"/>
            <w:vAlign w:val="bottom"/>
            <w:gridSpan w:val="16"/>
          </w:tcPr>
          <w:p>
            <w:pPr>
              <w:spacing w:after="0"/>
              <w:rPr>
                <w:sz w:val="20"/>
                <w:szCs w:val="20"/>
                <w:color w:val="auto"/>
              </w:rPr>
            </w:pPr>
            <w:r>
              <w:rPr>
                <w:rFonts w:ascii="Arial" w:cs="Arial" w:eastAsia="Arial" w:hAnsi="Arial"/>
                <w:sz w:val="18"/>
                <w:szCs w:val="18"/>
                <w:color w:val="0000FF"/>
              </w:rPr>
              <w:t>Controls and Procedures</w:t>
            </w:r>
          </w:p>
        </w:tc>
        <w:tc>
          <w:tcPr>
            <w:tcW w:w="1620" w:type="dxa"/>
            <w:vAlign w:val="bottom"/>
            <w:gridSpan w:val="3"/>
          </w:tcPr>
          <w:p>
            <w:pPr>
              <w:jc w:val="center"/>
              <w:ind w:left="651"/>
              <w:spacing w:after="0"/>
              <w:rPr>
                <w:sz w:val="20"/>
                <w:szCs w:val="20"/>
                <w:color w:val="auto"/>
              </w:rPr>
            </w:pPr>
            <w:r>
              <w:rPr>
                <w:rFonts w:ascii="Arial" w:cs="Arial" w:eastAsia="Arial" w:hAnsi="Arial"/>
                <w:sz w:val="18"/>
                <w:szCs w:val="18"/>
                <w:color w:val="0000FF"/>
                <w:w w:val="99"/>
              </w:rPr>
              <w:t>35</w:t>
            </w: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3220" w:type="dxa"/>
            <w:vAlign w:val="bottom"/>
            <w:gridSpan w:val="6"/>
          </w:tcPr>
          <w:p>
            <w:pPr>
              <w:spacing w:after="0" w:line="20" w:lineRule="exact"/>
              <w:rPr>
                <w:sz w:val="1"/>
                <w:szCs w:val="1"/>
                <w:color w:val="auto"/>
              </w:rPr>
            </w:pPr>
          </w:p>
        </w:tc>
        <w:tc>
          <w:tcPr>
            <w:tcW w:w="1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9600" w:type="dxa"/>
            <w:vAlign w:val="bottom"/>
            <w:gridSpan w:val="20"/>
          </w:tcPr>
          <w:p>
            <w:pPr>
              <w:spacing w:after="0"/>
              <w:rPr>
                <w:sz w:val="20"/>
                <w:szCs w:val="20"/>
                <w:color w:val="auto"/>
              </w:rPr>
            </w:pPr>
            <w:r>
              <w:rPr>
                <w:rFonts w:ascii="Arial" w:cs="Arial" w:eastAsia="Arial" w:hAnsi="Arial"/>
                <w:sz w:val="18"/>
                <w:szCs w:val="18"/>
                <w:b w:val="1"/>
                <w:bCs w:val="1"/>
                <w:color w:val="0000FF"/>
              </w:rPr>
              <w:t>Part II - Other Information</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3220" w:type="dxa"/>
            <w:vAlign w:val="bottom"/>
            <w:gridSpan w:val="6"/>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0000FF"/>
              </w:rPr>
              <w:t>Item 1.</w:t>
            </w:r>
          </w:p>
        </w:tc>
        <w:tc>
          <w:tcPr>
            <w:tcW w:w="660" w:type="dxa"/>
            <w:vAlign w:val="bottom"/>
            <w:gridSpan w:val="2"/>
          </w:tcPr>
          <w:p>
            <w:pPr>
              <w:spacing w:after="0"/>
              <w:rPr>
                <w:sz w:val="24"/>
                <w:szCs w:val="24"/>
                <w:color w:val="auto"/>
              </w:rPr>
            </w:pPr>
          </w:p>
        </w:tc>
        <w:tc>
          <w:tcPr>
            <w:tcW w:w="8040" w:type="dxa"/>
            <w:vAlign w:val="bottom"/>
            <w:gridSpan w:val="16"/>
          </w:tcPr>
          <w:p>
            <w:pPr>
              <w:spacing w:after="0"/>
              <w:rPr>
                <w:sz w:val="20"/>
                <w:szCs w:val="20"/>
                <w:color w:val="auto"/>
              </w:rPr>
            </w:pPr>
            <w:r>
              <w:rPr>
                <w:rFonts w:ascii="Arial" w:cs="Arial" w:eastAsia="Arial" w:hAnsi="Arial"/>
                <w:sz w:val="18"/>
                <w:szCs w:val="18"/>
                <w:color w:val="0000FF"/>
              </w:rPr>
              <w:t>Business</w:t>
            </w:r>
          </w:p>
        </w:tc>
        <w:tc>
          <w:tcPr>
            <w:tcW w:w="1620" w:type="dxa"/>
            <w:vAlign w:val="bottom"/>
            <w:gridSpan w:val="3"/>
          </w:tcPr>
          <w:p>
            <w:pPr>
              <w:jc w:val="center"/>
              <w:ind w:left="651"/>
              <w:spacing w:after="0"/>
              <w:rPr>
                <w:sz w:val="20"/>
                <w:szCs w:val="20"/>
                <w:color w:val="auto"/>
              </w:rPr>
            </w:pPr>
            <w:r>
              <w:rPr>
                <w:rFonts w:ascii="Arial" w:cs="Arial" w:eastAsia="Arial" w:hAnsi="Arial"/>
                <w:sz w:val="18"/>
                <w:szCs w:val="18"/>
                <w:color w:val="0000FF"/>
                <w:w w:val="99"/>
              </w:rPr>
              <w:t>36</w:t>
            </w: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3220" w:type="dxa"/>
            <w:vAlign w:val="bottom"/>
            <w:gridSpan w:val="6"/>
          </w:tcPr>
          <w:p>
            <w:pPr>
              <w:spacing w:after="0" w:line="20" w:lineRule="exact"/>
              <w:rPr>
                <w:sz w:val="1"/>
                <w:szCs w:val="1"/>
                <w:color w:val="auto"/>
              </w:rPr>
            </w:pPr>
          </w:p>
        </w:tc>
        <w:tc>
          <w:tcPr>
            <w:tcW w:w="1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560" w:type="dxa"/>
            <w:vAlign w:val="bottom"/>
            <w:gridSpan w:val="4"/>
          </w:tcPr>
          <w:p>
            <w:pPr>
              <w:jc w:val="center"/>
              <w:ind w:right="320"/>
              <w:spacing w:after="0"/>
              <w:rPr>
                <w:sz w:val="20"/>
                <w:szCs w:val="20"/>
                <w:color w:val="auto"/>
              </w:rPr>
            </w:pPr>
            <w:r>
              <w:rPr>
                <w:rFonts w:ascii="Arial" w:cs="Arial" w:eastAsia="Arial" w:hAnsi="Arial"/>
                <w:sz w:val="18"/>
                <w:szCs w:val="18"/>
                <w:color w:val="0000FF"/>
                <w:w w:val="98"/>
              </w:rPr>
              <w:t>Item 1a.</w:t>
            </w:r>
          </w:p>
        </w:tc>
        <w:tc>
          <w:tcPr>
            <w:tcW w:w="8040" w:type="dxa"/>
            <w:vAlign w:val="bottom"/>
            <w:gridSpan w:val="16"/>
          </w:tcPr>
          <w:p>
            <w:pPr>
              <w:spacing w:after="0"/>
              <w:rPr>
                <w:sz w:val="20"/>
                <w:szCs w:val="20"/>
                <w:color w:val="auto"/>
              </w:rPr>
            </w:pPr>
            <w:r>
              <w:rPr>
                <w:rFonts w:ascii="Arial" w:cs="Arial" w:eastAsia="Arial" w:hAnsi="Arial"/>
                <w:sz w:val="18"/>
                <w:szCs w:val="18"/>
                <w:color w:val="0000FF"/>
              </w:rPr>
              <w:t>Risk Factors</w:t>
            </w:r>
          </w:p>
        </w:tc>
        <w:tc>
          <w:tcPr>
            <w:tcW w:w="1620" w:type="dxa"/>
            <w:vAlign w:val="bottom"/>
            <w:gridSpan w:val="3"/>
          </w:tcPr>
          <w:p>
            <w:pPr>
              <w:jc w:val="center"/>
              <w:ind w:left="651"/>
              <w:spacing w:after="0"/>
              <w:rPr>
                <w:sz w:val="20"/>
                <w:szCs w:val="20"/>
                <w:color w:val="auto"/>
              </w:rPr>
            </w:pPr>
            <w:r>
              <w:rPr>
                <w:rFonts w:ascii="Arial" w:cs="Arial" w:eastAsia="Arial" w:hAnsi="Arial"/>
                <w:sz w:val="18"/>
                <w:szCs w:val="18"/>
                <w:color w:val="0000FF"/>
                <w:w w:val="99"/>
              </w:rPr>
              <w:t>36</w:t>
            </w: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3220" w:type="dxa"/>
            <w:vAlign w:val="bottom"/>
            <w:gridSpan w:val="6"/>
          </w:tcPr>
          <w:p>
            <w:pPr>
              <w:spacing w:after="0" w:line="20" w:lineRule="exact"/>
              <w:rPr>
                <w:sz w:val="1"/>
                <w:szCs w:val="1"/>
                <w:color w:val="auto"/>
              </w:rPr>
            </w:pPr>
          </w:p>
        </w:tc>
        <w:tc>
          <w:tcPr>
            <w:tcW w:w="1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0000FF"/>
              </w:rPr>
              <w:t>Item 2.</w:t>
            </w: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40" w:type="dxa"/>
            <w:vAlign w:val="bottom"/>
            <w:gridSpan w:val="16"/>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620" w:type="dxa"/>
            <w:vAlign w:val="bottom"/>
            <w:gridSpan w:val="3"/>
          </w:tcPr>
          <w:p>
            <w:pPr>
              <w:jc w:val="center"/>
              <w:ind w:left="651"/>
              <w:spacing w:after="0"/>
              <w:rPr>
                <w:sz w:val="20"/>
                <w:szCs w:val="20"/>
                <w:color w:val="auto"/>
              </w:rPr>
            </w:pPr>
            <w:r>
              <w:rPr>
                <w:rFonts w:ascii="Arial" w:cs="Arial" w:eastAsia="Arial" w:hAnsi="Arial"/>
                <w:sz w:val="18"/>
                <w:szCs w:val="18"/>
                <w:color w:val="0000FF"/>
                <w:w w:val="99"/>
              </w:rPr>
              <w:t>38</w:t>
            </w: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gridSpan w:val="4"/>
            <w:shd w:val="clear" w:color="auto" w:fill="0000FF"/>
          </w:tcPr>
          <w:p>
            <w:pPr>
              <w:spacing w:after="0" w:line="20" w:lineRule="exact"/>
              <w:rPr>
                <w:sz w:val="1"/>
                <w:szCs w:val="1"/>
                <w:color w:val="auto"/>
              </w:rPr>
            </w:pPr>
          </w:p>
        </w:tc>
        <w:tc>
          <w:tcPr>
            <w:tcW w:w="3440" w:type="dxa"/>
            <w:vAlign w:val="bottom"/>
            <w:gridSpan w:val="5"/>
            <w:shd w:val="clear" w:color="auto" w:fill="0000FF"/>
          </w:tcPr>
          <w:p>
            <w:pPr>
              <w:spacing w:after="0" w:line="20" w:lineRule="exact"/>
              <w:rPr>
                <w:sz w:val="1"/>
                <w:szCs w:val="1"/>
                <w:color w:val="auto"/>
              </w:rPr>
            </w:pPr>
          </w:p>
        </w:tc>
        <w:tc>
          <w:tcPr>
            <w:tcW w:w="3220" w:type="dxa"/>
            <w:vAlign w:val="bottom"/>
            <w:gridSpan w:val="6"/>
          </w:tcPr>
          <w:p>
            <w:pPr>
              <w:spacing w:after="0" w:line="20" w:lineRule="exact"/>
              <w:rPr>
                <w:sz w:val="1"/>
                <w:szCs w:val="1"/>
                <w:color w:val="auto"/>
              </w:rPr>
            </w:pPr>
          </w:p>
        </w:tc>
        <w:tc>
          <w:tcPr>
            <w:tcW w:w="1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0000FF"/>
              </w:rPr>
              <w:t>Item 5.</w:t>
            </w:r>
          </w:p>
        </w:tc>
        <w:tc>
          <w:tcPr>
            <w:tcW w:w="660" w:type="dxa"/>
            <w:vAlign w:val="bottom"/>
            <w:gridSpan w:val="2"/>
          </w:tcPr>
          <w:p>
            <w:pPr>
              <w:spacing w:after="0"/>
              <w:rPr>
                <w:sz w:val="24"/>
                <w:szCs w:val="24"/>
                <w:color w:val="auto"/>
              </w:rPr>
            </w:pPr>
          </w:p>
        </w:tc>
        <w:tc>
          <w:tcPr>
            <w:tcW w:w="8040" w:type="dxa"/>
            <w:vAlign w:val="bottom"/>
            <w:gridSpan w:val="16"/>
          </w:tcPr>
          <w:p>
            <w:pPr>
              <w:spacing w:after="0"/>
              <w:rPr>
                <w:sz w:val="20"/>
                <w:szCs w:val="20"/>
                <w:color w:val="auto"/>
              </w:rPr>
            </w:pPr>
            <w:r>
              <w:rPr>
                <w:rFonts w:ascii="Arial" w:cs="Arial" w:eastAsia="Arial" w:hAnsi="Arial"/>
                <w:sz w:val="18"/>
                <w:szCs w:val="18"/>
                <w:color w:val="0000FF"/>
              </w:rPr>
              <w:t>Other Information</w:t>
            </w:r>
          </w:p>
        </w:tc>
        <w:tc>
          <w:tcPr>
            <w:tcW w:w="1620" w:type="dxa"/>
            <w:vAlign w:val="bottom"/>
            <w:gridSpan w:val="3"/>
          </w:tcPr>
          <w:p>
            <w:pPr>
              <w:jc w:val="center"/>
              <w:ind w:left="651"/>
              <w:spacing w:after="0"/>
              <w:rPr>
                <w:sz w:val="20"/>
                <w:szCs w:val="20"/>
                <w:color w:val="auto"/>
              </w:rPr>
            </w:pPr>
            <w:r>
              <w:rPr>
                <w:rFonts w:ascii="Arial" w:cs="Arial" w:eastAsia="Arial" w:hAnsi="Arial"/>
                <w:sz w:val="18"/>
                <w:szCs w:val="18"/>
                <w:color w:val="0000FF"/>
                <w:w w:val="99"/>
              </w:rPr>
              <w:t>39</w:t>
            </w: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gridSpan w:val="4"/>
            <w:shd w:val="clear" w:color="auto" w:fill="0000FF"/>
          </w:tcPr>
          <w:p>
            <w:pPr>
              <w:spacing w:after="0" w:line="20" w:lineRule="exact"/>
              <w:rPr>
                <w:sz w:val="1"/>
                <w:szCs w:val="1"/>
                <w:color w:val="auto"/>
              </w:rPr>
            </w:pPr>
          </w:p>
        </w:tc>
        <w:tc>
          <w:tcPr>
            <w:tcW w:w="6660" w:type="dxa"/>
            <w:vAlign w:val="bottom"/>
            <w:gridSpan w:val="11"/>
          </w:tcPr>
          <w:p>
            <w:pPr>
              <w:spacing w:after="0" w:line="20" w:lineRule="exact"/>
              <w:rPr>
                <w:sz w:val="1"/>
                <w:szCs w:val="1"/>
                <w:color w:val="auto"/>
              </w:rPr>
            </w:pPr>
          </w:p>
        </w:tc>
        <w:tc>
          <w:tcPr>
            <w:tcW w:w="1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0000FF"/>
              </w:rPr>
              <w:t>Item 6.</w:t>
            </w:r>
          </w:p>
        </w:tc>
        <w:tc>
          <w:tcPr>
            <w:tcW w:w="660" w:type="dxa"/>
            <w:vAlign w:val="bottom"/>
            <w:gridSpan w:val="2"/>
          </w:tcPr>
          <w:p>
            <w:pPr>
              <w:spacing w:after="0"/>
              <w:rPr>
                <w:sz w:val="24"/>
                <w:szCs w:val="24"/>
                <w:color w:val="auto"/>
              </w:rPr>
            </w:pPr>
          </w:p>
        </w:tc>
        <w:tc>
          <w:tcPr>
            <w:tcW w:w="8040" w:type="dxa"/>
            <w:vAlign w:val="bottom"/>
            <w:gridSpan w:val="16"/>
          </w:tcPr>
          <w:p>
            <w:pPr>
              <w:spacing w:after="0"/>
              <w:rPr>
                <w:sz w:val="20"/>
                <w:szCs w:val="20"/>
                <w:color w:val="auto"/>
              </w:rPr>
            </w:pPr>
            <w:r>
              <w:rPr>
                <w:rFonts w:ascii="Arial" w:cs="Arial" w:eastAsia="Arial" w:hAnsi="Arial"/>
                <w:sz w:val="18"/>
                <w:szCs w:val="18"/>
                <w:color w:val="0000FF"/>
              </w:rPr>
              <w:t>Exhibits</w:t>
            </w:r>
          </w:p>
        </w:tc>
        <w:tc>
          <w:tcPr>
            <w:tcW w:w="1620" w:type="dxa"/>
            <w:vAlign w:val="bottom"/>
            <w:gridSpan w:val="3"/>
          </w:tcPr>
          <w:p>
            <w:pPr>
              <w:jc w:val="center"/>
              <w:ind w:left="651"/>
              <w:spacing w:after="0"/>
              <w:rPr>
                <w:sz w:val="20"/>
                <w:szCs w:val="20"/>
                <w:color w:val="auto"/>
              </w:rPr>
            </w:pPr>
            <w:r>
              <w:rPr>
                <w:rFonts w:ascii="Arial" w:cs="Arial" w:eastAsia="Arial" w:hAnsi="Arial"/>
                <w:sz w:val="18"/>
                <w:szCs w:val="18"/>
                <w:color w:val="0000FF"/>
                <w:w w:val="99"/>
              </w:rPr>
              <w:t>37</w:t>
            </w: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1560" w:type="dxa"/>
            <w:vAlign w:val="bottom"/>
            <w:gridSpan w:val="4"/>
          </w:tcPr>
          <w:p>
            <w:pPr>
              <w:spacing w:after="0"/>
              <w:rPr>
                <w:sz w:val="20"/>
                <w:szCs w:val="20"/>
                <w:color w:val="auto"/>
              </w:rPr>
            </w:pPr>
            <w:r>
              <w:rPr>
                <w:rFonts w:ascii="Arial" w:cs="Arial" w:eastAsia="Arial" w:hAnsi="Arial"/>
                <w:sz w:val="18"/>
                <w:szCs w:val="18"/>
                <w:b w:val="1"/>
                <w:bCs w:val="1"/>
                <w:color w:val="0000FF"/>
              </w:rPr>
              <w:t>Signatures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20" w:type="dxa"/>
            <w:vAlign w:val="bottom"/>
            <w:gridSpan w:val="3"/>
          </w:tcPr>
          <w:p>
            <w:pPr>
              <w:jc w:val="center"/>
              <w:ind w:left="651"/>
              <w:spacing w:after="0"/>
              <w:rPr>
                <w:sz w:val="20"/>
                <w:szCs w:val="20"/>
                <w:color w:val="auto"/>
              </w:rPr>
            </w:pPr>
            <w:r>
              <w:rPr>
                <w:rFonts w:ascii="Arial" w:cs="Arial" w:eastAsia="Arial" w:hAnsi="Arial"/>
                <w:sz w:val="18"/>
                <w:szCs w:val="18"/>
                <w:color w:val="0000FF"/>
                <w:w w:val="99"/>
              </w:rPr>
              <w:t>42</w:t>
            </w:r>
          </w:p>
        </w:tc>
      </w:tr>
      <w:tr>
        <w:trPr>
          <w:trHeight w:val="916"/>
        </w:trPr>
        <w:tc>
          <w:tcPr>
            <w:tcW w:w="20" w:type="dxa"/>
            <w:vAlign w:val="bottom"/>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4300" w:type="dxa"/>
            <w:vAlign w:val="bottom"/>
            <w:gridSpan w:val="8"/>
          </w:tcPr>
          <w:p>
            <w:pPr>
              <w:jc w:val="right"/>
              <w:ind w:right="20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3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SCHOLASTIC CORPORATION</w:t>
      </w:r>
    </w:p>
    <w:p>
      <w:pPr>
        <w:ind w:left="20" w:right="4600"/>
        <w:spacing w:after="0" w:line="234" w:lineRule="auto"/>
        <w:rPr>
          <w:sz w:val="20"/>
          <w:szCs w:val="20"/>
          <w:color w:val="auto"/>
        </w:rPr>
      </w:pPr>
      <w:r>
        <w:rPr>
          <w:rFonts w:ascii="Arial" w:cs="Arial" w:eastAsia="Arial" w:hAnsi="Arial"/>
          <w:sz w:val="18"/>
          <w:szCs w:val="18"/>
          <w:b w:val="1"/>
          <w:bCs w:val="1"/>
          <w:color w:val="auto"/>
        </w:rPr>
        <w:t>CONDENSED CONSOLIDATED STATEMENTS OF OPERATIONS - UNAUDITED (Dollar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960" w:type="dxa"/>
            <w:vAlign w:val="bottom"/>
            <w:gridSpan w:val="3"/>
          </w:tcPr>
          <w:p>
            <w:pPr>
              <w:jc w:val="right"/>
              <w:ind w:right="879"/>
              <w:spacing w:after="0"/>
              <w:rPr>
                <w:sz w:val="20"/>
                <w:szCs w:val="20"/>
                <w:color w:val="auto"/>
              </w:rPr>
            </w:pPr>
            <w:r>
              <w:rPr>
                <w:rFonts w:ascii="Arial" w:cs="Arial" w:eastAsia="Arial" w:hAnsi="Arial"/>
                <w:sz w:val="16"/>
                <w:szCs w:val="16"/>
                <w:b w:val="1"/>
                <w:bCs w:val="1"/>
                <w:color w:val="auto"/>
              </w:rPr>
              <w:t>Three months ended</w:t>
            </w:r>
          </w:p>
        </w:tc>
        <w:tc>
          <w:tcPr>
            <w:tcW w:w="600" w:type="dxa"/>
            <w:vAlign w:val="bottom"/>
          </w:tcPr>
          <w:p>
            <w:pPr>
              <w:spacing w:after="0"/>
              <w:rPr>
                <w:sz w:val="18"/>
                <w:szCs w:val="18"/>
                <w:color w:val="auto"/>
              </w:rPr>
            </w:pPr>
          </w:p>
        </w:tc>
        <w:tc>
          <w:tcPr>
            <w:tcW w:w="2840" w:type="dxa"/>
            <w:vAlign w:val="bottom"/>
            <w:gridSpan w:val="3"/>
          </w:tcPr>
          <w:p>
            <w:pPr>
              <w:jc w:val="right"/>
              <w:ind w:right="839"/>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4400" w:type="dxa"/>
            <w:vAlign w:val="bottom"/>
          </w:tcPr>
          <w:p>
            <w:pPr>
              <w:spacing w:after="0"/>
              <w:rPr>
                <w:sz w:val="18"/>
                <w:szCs w:val="18"/>
                <w:color w:val="auto"/>
              </w:rPr>
            </w:pPr>
          </w:p>
        </w:tc>
        <w:tc>
          <w:tcPr>
            <w:tcW w:w="1620" w:type="dxa"/>
            <w:vAlign w:val="bottom"/>
            <w:gridSpan w:val="2"/>
          </w:tcPr>
          <w:p>
            <w:pPr>
              <w:jc w:val="right"/>
              <w:ind w:right="299"/>
              <w:spacing w:after="0"/>
              <w:rPr>
                <w:sz w:val="20"/>
                <w:szCs w:val="20"/>
                <w:color w:val="auto"/>
              </w:rPr>
            </w:pPr>
            <w:r>
              <w:rPr>
                <w:rFonts w:ascii="Arial" w:cs="Arial" w:eastAsia="Arial" w:hAnsi="Arial"/>
                <w:sz w:val="16"/>
                <w:szCs w:val="16"/>
                <w:b w:val="1"/>
                <w:bCs w:val="1"/>
                <w:color w:val="auto"/>
              </w:rPr>
              <w:t>February 28,</w:t>
            </w:r>
          </w:p>
        </w:tc>
        <w:tc>
          <w:tcPr>
            <w:tcW w:w="1780" w:type="dxa"/>
            <w:vAlign w:val="bottom"/>
            <w:gridSpan w:val="2"/>
          </w:tcPr>
          <w:p>
            <w:pPr>
              <w:jc w:val="right"/>
              <w:ind w:right="299"/>
              <w:spacing w:after="0"/>
              <w:rPr>
                <w:sz w:val="20"/>
                <w:szCs w:val="20"/>
                <w:color w:val="auto"/>
              </w:rPr>
            </w:pPr>
            <w:r>
              <w:rPr>
                <w:rFonts w:ascii="Arial" w:cs="Arial" w:eastAsia="Arial" w:hAnsi="Arial"/>
                <w:sz w:val="16"/>
                <w:szCs w:val="16"/>
                <w:b w:val="1"/>
                <w:bCs w:val="1"/>
                <w:color w:val="auto"/>
              </w:rPr>
              <w:t>February 29,</w:t>
            </w:r>
          </w:p>
        </w:tc>
        <w:tc>
          <w:tcPr>
            <w:tcW w:w="1780" w:type="dxa"/>
            <w:vAlign w:val="bottom"/>
            <w:gridSpan w:val="2"/>
          </w:tcPr>
          <w:p>
            <w:pPr>
              <w:jc w:val="right"/>
              <w:ind w:right="299"/>
              <w:spacing w:after="0"/>
              <w:rPr>
                <w:sz w:val="20"/>
                <w:szCs w:val="20"/>
                <w:color w:val="auto"/>
              </w:rPr>
            </w:pPr>
            <w:r>
              <w:rPr>
                <w:rFonts w:ascii="Arial" w:cs="Arial" w:eastAsia="Arial" w:hAnsi="Arial"/>
                <w:sz w:val="16"/>
                <w:szCs w:val="16"/>
                <w:b w:val="1"/>
                <w:bCs w:val="1"/>
                <w:color w:val="auto"/>
              </w:rPr>
              <w:t>February 28,</w:t>
            </w:r>
          </w:p>
        </w:tc>
        <w:tc>
          <w:tcPr>
            <w:tcW w:w="1660" w:type="dxa"/>
            <w:vAlign w:val="bottom"/>
            <w:gridSpan w:val="2"/>
          </w:tcPr>
          <w:p>
            <w:pPr>
              <w:ind w:left="380"/>
              <w:spacing w:after="0"/>
              <w:rPr>
                <w:sz w:val="20"/>
                <w:szCs w:val="20"/>
                <w:color w:val="auto"/>
              </w:rPr>
            </w:pPr>
            <w:r>
              <w:rPr>
                <w:rFonts w:ascii="Arial" w:cs="Arial" w:eastAsia="Arial" w:hAnsi="Arial"/>
                <w:sz w:val="16"/>
                <w:szCs w:val="16"/>
                <w:b w:val="1"/>
                <w:bCs w:val="1"/>
                <w:color w:val="auto"/>
              </w:rPr>
              <w:t>February 29,</w:t>
            </w:r>
          </w:p>
        </w:tc>
      </w:tr>
      <w:tr>
        <w:trPr>
          <w:trHeight w:val="217"/>
        </w:trPr>
        <w:tc>
          <w:tcPr>
            <w:tcW w:w="44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2025</w:t>
            </w:r>
          </w:p>
        </w:tc>
        <w:tc>
          <w:tcPr>
            <w:tcW w:w="6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2024</w:t>
            </w:r>
          </w:p>
        </w:tc>
        <w:tc>
          <w:tcPr>
            <w:tcW w:w="6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2024</w:t>
            </w:r>
          </w:p>
        </w:tc>
      </w:tr>
      <w:tr>
        <w:trPr>
          <w:trHeight w:val="20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4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335.4</w:t>
            </w: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323.7</w:t>
            </w: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1,117.2</w:t>
            </w:r>
          </w:p>
        </w:tc>
        <w:tc>
          <w:tcPr>
            <w:tcW w:w="540" w:type="dxa"/>
            <w:vAlign w:val="bottom"/>
            <w:shd w:val="clear" w:color="auto" w:fill="CCEEFF"/>
          </w:tcPr>
          <w:p>
            <w:pPr>
              <w:ind w:left="360"/>
              <w:spacing w:after="0"/>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1,114.8</w:t>
            </w:r>
          </w:p>
        </w:tc>
      </w:tr>
      <w:tr>
        <w:trPr>
          <w:trHeight w:val="215"/>
        </w:trPr>
        <w:tc>
          <w:tcPr>
            <w:tcW w:w="4400" w:type="dxa"/>
            <w:vAlign w:val="bottom"/>
          </w:tcPr>
          <w:p>
            <w:pPr>
              <w:ind w:left="20"/>
              <w:spacing w:after="0"/>
              <w:rPr>
                <w:sz w:val="20"/>
                <w:szCs w:val="20"/>
                <w:color w:val="auto"/>
              </w:rPr>
            </w:pPr>
            <w:r>
              <w:rPr>
                <w:rFonts w:ascii="Arial" w:cs="Arial" w:eastAsia="Arial" w:hAnsi="Arial"/>
                <w:sz w:val="16"/>
                <w:szCs w:val="16"/>
                <w:color w:val="auto"/>
              </w:rPr>
              <w:t>Operating costs and expenses:</w:t>
            </w: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7"/>
        </w:trPr>
        <w:tc>
          <w:tcPr>
            <w:tcW w:w="4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Cost of goods sold</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154.6</w:t>
            </w:r>
          </w:p>
        </w:tc>
        <w:tc>
          <w:tcPr>
            <w:tcW w:w="6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148.7</w:t>
            </w:r>
          </w:p>
        </w:tc>
        <w:tc>
          <w:tcPr>
            <w:tcW w:w="6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511.5</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512.8</w:t>
            </w:r>
          </w:p>
        </w:tc>
      </w:tr>
      <w:tr>
        <w:trPr>
          <w:trHeight w:val="215"/>
        </w:trPr>
        <w:tc>
          <w:tcPr>
            <w:tcW w:w="4400" w:type="dxa"/>
            <w:vAlign w:val="bottom"/>
          </w:tcPr>
          <w:p>
            <w:pPr>
              <w:ind w:left="120"/>
              <w:spacing w:after="0"/>
              <w:rPr>
                <w:sz w:val="20"/>
                <w:szCs w:val="20"/>
                <w:color w:val="auto"/>
              </w:rPr>
            </w:pPr>
            <w:r>
              <w:rPr>
                <w:rFonts w:ascii="Arial" w:cs="Arial" w:eastAsia="Arial" w:hAnsi="Arial"/>
                <w:sz w:val="16"/>
                <w:szCs w:val="16"/>
                <w:color w:val="auto"/>
              </w:rPr>
              <w:t>Selling, general and administrative expenses</w:t>
            </w:r>
          </w:p>
        </w:tc>
        <w:tc>
          <w:tcPr>
            <w:tcW w:w="440" w:type="dxa"/>
            <w:vAlign w:val="bottom"/>
          </w:tcPr>
          <w:p>
            <w:pPr>
              <w:spacing w:after="0"/>
              <w:rPr>
                <w:sz w:val="18"/>
                <w:szCs w:val="18"/>
                <w:color w:val="auto"/>
              </w:rPr>
            </w:pPr>
          </w:p>
        </w:tc>
        <w:tc>
          <w:tcPr>
            <w:tcW w:w="1180" w:type="dxa"/>
            <w:vAlign w:val="bottom"/>
          </w:tcPr>
          <w:p>
            <w:pPr>
              <w:jc w:val="right"/>
              <w:ind w:right="419"/>
              <w:spacing w:after="0"/>
              <w:rPr>
                <w:sz w:val="20"/>
                <w:szCs w:val="20"/>
                <w:color w:val="auto"/>
              </w:rPr>
            </w:pPr>
            <w:r>
              <w:rPr>
                <w:rFonts w:ascii="Arial" w:cs="Arial" w:eastAsia="Arial" w:hAnsi="Arial"/>
                <w:sz w:val="16"/>
                <w:szCs w:val="16"/>
                <w:color w:val="auto"/>
              </w:rPr>
              <w:t>187.5</w:t>
            </w:r>
          </w:p>
        </w:tc>
        <w:tc>
          <w:tcPr>
            <w:tcW w:w="600" w:type="dxa"/>
            <w:vAlign w:val="bottom"/>
          </w:tcPr>
          <w:p>
            <w:pPr>
              <w:spacing w:after="0"/>
              <w:rPr>
                <w:sz w:val="18"/>
                <w:szCs w:val="18"/>
                <w:color w:val="auto"/>
              </w:rPr>
            </w:pPr>
          </w:p>
        </w:tc>
        <w:tc>
          <w:tcPr>
            <w:tcW w:w="1180" w:type="dxa"/>
            <w:vAlign w:val="bottom"/>
          </w:tcPr>
          <w:p>
            <w:pPr>
              <w:jc w:val="right"/>
              <w:ind w:right="419"/>
              <w:spacing w:after="0"/>
              <w:rPr>
                <w:sz w:val="20"/>
                <w:szCs w:val="20"/>
                <w:color w:val="auto"/>
              </w:rPr>
            </w:pPr>
            <w:r>
              <w:rPr>
                <w:rFonts w:ascii="Arial" w:cs="Arial" w:eastAsia="Arial" w:hAnsi="Arial"/>
                <w:sz w:val="16"/>
                <w:szCs w:val="16"/>
                <w:color w:val="auto"/>
              </w:rPr>
              <w:t>194.8</w:t>
            </w:r>
          </w:p>
        </w:tc>
        <w:tc>
          <w:tcPr>
            <w:tcW w:w="600" w:type="dxa"/>
            <w:vAlign w:val="bottom"/>
          </w:tcPr>
          <w:p>
            <w:pPr>
              <w:spacing w:after="0"/>
              <w:rPr>
                <w:sz w:val="18"/>
                <w:szCs w:val="18"/>
                <w:color w:val="auto"/>
              </w:rPr>
            </w:pPr>
          </w:p>
        </w:tc>
        <w:tc>
          <w:tcPr>
            <w:tcW w:w="1180" w:type="dxa"/>
            <w:vAlign w:val="bottom"/>
          </w:tcPr>
          <w:p>
            <w:pPr>
              <w:jc w:val="right"/>
              <w:ind w:right="439"/>
              <w:spacing w:after="0"/>
              <w:rPr>
                <w:sz w:val="20"/>
                <w:szCs w:val="20"/>
                <w:color w:val="auto"/>
              </w:rPr>
            </w:pPr>
            <w:r>
              <w:rPr>
                <w:rFonts w:ascii="Arial" w:cs="Arial" w:eastAsia="Arial" w:hAnsi="Arial"/>
                <w:sz w:val="16"/>
                <w:szCs w:val="16"/>
                <w:color w:val="auto"/>
              </w:rPr>
              <w:t>594.5</w:t>
            </w:r>
          </w:p>
        </w:tc>
        <w:tc>
          <w:tcPr>
            <w:tcW w:w="540" w:type="dxa"/>
            <w:vAlign w:val="bottom"/>
          </w:tcPr>
          <w:p>
            <w:pPr>
              <w:spacing w:after="0"/>
              <w:rPr>
                <w:sz w:val="18"/>
                <w:szCs w:val="18"/>
                <w:color w:val="auto"/>
              </w:rPr>
            </w:pPr>
          </w:p>
        </w:tc>
        <w:tc>
          <w:tcPr>
            <w:tcW w:w="1120" w:type="dxa"/>
            <w:vAlign w:val="bottom"/>
          </w:tcPr>
          <w:p>
            <w:pPr>
              <w:jc w:val="right"/>
              <w:ind w:right="399"/>
              <w:spacing w:after="0"/>
              <w:rPr>
                <w:sz w:val="20"/>
                <w:szCs w:val="20"/>
                <w:color w:val="auto"/>
              </w:rPr>
            </w:pPr>
            <w:r>
              <w:rPr>
                <w:rFonts w:ascii="Arial" w:cs="Arial" w:eastAsia="Arial" w:hAnsi="Arial"/>
                <w:sz w:val="16"/>
                <w:szCs w:val="16"/>
                <w:color w:val="auto"/>
              </w:rPr>
              <w:t>592.1</w:t>
            </w:r>
          </w:p>
        </w:tc>
      </w:tr>
      <w:tr>
        <w:trPr>
          <w:trHeight w:val="217"/>
        </w:trPr>
        <w:tc>
          <w:tcPr>
            <w:tcW w:w="4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16.9</w:t>
            </w:r>
          </w:p>
        </w:tc>
        <w:tc>
          <w:tcPr>
            <w:tcW w:w="6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14.6</w:t>
            </w:r>
          </w:p>
        </w:tc>
        <w:tc>
          <w:tcPr>
            <w:tcW w:w="6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48.5</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42.1</w:t>
            </w:r>
          </w:p>
        </w:tc>
      </w:tr>
      <w:tr>
        <w:trPr>
          <w:trHeight w:val="215"/>
        </w:trPr>
        <w:tc>
          <w:tcPr>
            <w:tcW w:w="44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Asset impairments and write downs</w:t>
            </w: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0.3</w:t>
            </w:r>
          </w:p>
        </w:tc>
        <w:tc>
          <w:tcPr>
            <w:tcW w:w="6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0.5</w:t>
            </w:r>
          </w:p>
        </w:tc>
        <w:tc>
          <w:tcPr>
            <w:tcW w:w="6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0.4</w:t>
            </w: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0.5</w:t>
            </w:r>
          </w:p>
        </w:tc>
      </w:tr>
      <w:tr>
        <w:trPr>
          <w:trHeight w:val="209"/>
        </w:trPr>
        <w:tc>
          <w:tcPr>
            <w:tcW w:w="4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operating costs and expenses</w:t>
            </w:r>
          </w:p>
        </w:tc>
        <w:tc>
          <w:tcPr>
            <w:tcW w:w="4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359.3</w:t>
            </w:r>
          </w:p>
        </w:tc>
        <w:tc>
          <w:tcPr>
            <w:tcW w:w="6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358.6</w:t>
            </w:r>
          </w:p>
        </w:tc>
        <w:tc>
          <w:tcPr>
            <w:tcW w:w="6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1,154.9</w:t>
            </w:r>
          </w:p>
        </w:tc>
        <w:tc>
          <w:tcPr>
            <w:tcW w:w="5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1,147.5</w:t>
            </w:r>
          </w:p>
        </w:tc>
      </w:tr>
      <w:tr>
        <w:trPr>
          <w:trHeight w:val="210"/>
        </w:trPr>
        <w:tc>
          <w:tcPr>
            <w:tcW w:w="440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440" w:type="dxa"/>
            <w:vAlign w:val="bottom"/>
          </w:tcPr>
          <w:p>
            <w:pPr>
              <w:spacing w:after="0"/>
              <w:rPr>
                <w:sz w:val="18"/>
                <w:szCs w:val="18"/>
                <w:color w:val="auto"/>
              </w:rPr>
            </w:pPr>
          </w:p>
        </w:tc>
        <w:tc>
          <w:tcPr>
            <w:tcW w:w="1180" w:type="dxa"/>
            <w:vAlign w:val="bottom"/>
          </w:tcPr>
          <w:p>
            <w:pPr>
              <w:jc w:val="right"/>
              <w:ind w:right="379"/>
              <w:spacing w:after="0"/>
              <w:rPr>
                <w:sz w:val="20"/>
                <w:szCs w:val="20"/>
                <w:color w:val="auto"/>
              </w:rPr>
            </w:pPr>
            <w:r>
              <w:rPr>
                <w:rFonts w:ascii="Arial" w:cs="Arial" w:eastAsia="Arial" w:hAnsi="Arial"/>
                <w:sz w:val="16"/>
                <w:szCs w:val="16"/>
                <w:b w:val="1"/>
                <w:bCs w:val="1"/>
                <w:color w:val="auto"/>
              </w:rPr>
              <w:t>(23.9)</w:t>
            </w:r>
          </w:p>
        </w:tc>
        <w:tc>
          <w:tcPr>
            <w:tcW w:w="600" w:type="dxa"/>
            <w:vAlign w:val="bottom"/>
          </w:tcPr>
          <w:p>
            <w:pPr>
              <w:spacing w:after="0"/>
              <w:rPr>
                <w:sz w:val="18"/>
                <w:szCs w:val="18"/>
                <w:color w:val="auto"/>
              </w:rPr>
            </w:pPr>
          </w:p>
        </w:tc>
        <w:tc>
          <w:tcPr>
            <w:tcW w:w="1180" w:type="dxa"/>
            <w:vAlign w:val="bottom"/>
          </w:tcPr>
          <w:p>
            <w:pPr>
              <w:jc w:val="right"/>
              <w:ind w:right="359"/>
              <w:spacing w:after="0"/>
              <w:rPr>
                <w:sz w:val="20"/>
                <w:szCs w:val="20"/>
                <w:color w:val="auto"/>
              </w:rPr>
            </w:pPr>
            <w:r>
              <w:rPr>
                <w:rFonts w:ascii="Arial" w:cs="Arial" w:eastAsia="Arial" w:hAnsi="Arial"/>
                <w:sz w:val="16"/>
                <w:szCs w:val="16"/>
                <w:b w:val="1"/>
                <w:bCs w:val="1"/>
                <w:color w:val="auto"/>
              </w:rPr>
              <w:t>(34.9)</w:t>
            </w:r>
          </w:p>
        </w:tc>
        <w:tc>
          <w:tcPr>
            <w:tcW w:w="600" w:type="dxa"/>
            <w:vAlign w:val="bottom"/>
          </w:tcPr>
          <w:p>
            <w:pPr>
              <w:spacing w:after="0"/>
              <w:rPr>
                <w:sz w:val="18"/>
                <w:szCs w:val="18"/>
                <w:color w:val="auto"/>
              </w:rPr>
            </w:pPr>
          </w:p>
        </w:tc>
        <w:tc>
          <w:tcPr>
            <w:tcW w:w="1180" w:type="dxa"/>
            <w:vAlign w:val="bottom"/>
          </w:tcPr>
          <w:p>
            <w:pPr>
              <w:jc w:val="right"/>
              <w:ind w:right="399"/>
              <w:spacing w:after="0"/>
              <w:rPr>
                <w:sz w:val="20"/>
                <w:szCs w:val="20"/>
                <w:color w:val="auto"/>
              </w:rPr>
            </w:pPr>
            <w:r>
              <w:rPr>
                <w:rFonts w:ascii="Arial" w:cs="Arial" w:eastAsia="Arial" w:hAnsi="Arial"/>
                <w:sz w:val="16"/>
                <w:szCs w:val="16"/>
                <w:b w:val="1"/>
                <w:bCs w:val="1"/>
                <w:color w:val="auto"/>
              </w:rPr>
              <w:t>(37.7)</w:t>
            </w:r>
          </w:p>
        </w:tc>
        <w:tc>
          <w:tcPr>
            <w:tcW w:w="540" w:type="dxa"/>
            <w:vAlign w:val="bottom"/>
          </w:tcPr>
          <w:p>
            <w:pPr>
              <w:spacing w:after="0"/>
              <w:rPr>
                <w:sz w:val="18"/>
                <w:szCs w:val="18"/>
                <w:color w:val="auto"/>
              </w:rPr>
            </w:pPr>
          </w:p>
        </w:tc>
        <w:tc>
          <w:tcPr>
            <w:tcW w:w="1120" w:type="dxa"/>
            <w:vAlign w:val="bottom"/>
          </w:tcPr>
          <w:p>
            <w:pPr>
              <w:jc w:val="right"/>
              <w:ind w:right="359"/>
              <w:spacing w:after="0"/>
              <w:rPr>
                <w:sz w:val="20"/>
                <w:szCs w:val="20"/>
                <w:color w:val="auto"/>
              </w:rPr>
            </w:pPr>
            <w:r>
              <w:rPr>
                <w:rFonts w:ascii="Arial" w:cs="Arial" w:eastAsia="Arial" w:hAnsi="Arial"/>
                <w:sz w:val="16"/>
                <w:szCs w:val="16"/>
                <w:b w:val="1"/>
                <w:bCs w:val="1"/>
                <w:color w:val="auto"/>
              </w:rPr>
              <w:t>(32.7)</w:t>
            </w:r>
          </w:p>
        </w:tc>
      </w:tr>
      <w:tr>
        <w:trPr>
          <w:trHeight w:val="216"/>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 (expense), net</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(4.3)</w:t>
            </w:r>
          </w:p>
        </w:tc>
        <w:tc>
          <w:tcPr>
            <w:tcW w:w="6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0.6</w:t>
            </w:r>
          </w:p>
        </w:tc>
        <w:tc>
          <w:tcPr>
            <w:tcW w:w="6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(11.7)</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2.4</w:t>
            </w:r>
          </w:p>
        </w:tc>
      </w:tr>
      <w:tr>
        <w:trPr>
          <w:trHeight w:val="215"/>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components of net periodic benefit (cost)</w:t>
            </w: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(0.2)</w:t>
            </w:r>
          </w:p>
        </w:tc>
        <w:tc>
          <w:tcPr>
            <w:tcW w:w="6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(0.3)</w:t>
            </w:r>
          </w:p>
        </w:tc>
        <w:tc>
          <w:tcPr>
            <w:tcW w:w="6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(0.8)</w:t>
            </w: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(0.8)</w:t>
            </w:r>
          </w:p>
        </w:tc>
      </w:tr>
      <w:tr>
        <w:trPr>
          <w:trHeight w:val="23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(loss) before income taxes</w:t>
            </w:r>
          </w:p>
        </w:tc>
        <w:tc>
          <w:tcPr>
            <w:tcW w:w="44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(28.4)</w:t>
            </w:r>
          </w:p>
        </w:tc>
        <w:tc>
          <w:tcPr>
            <w:tcW w:w="6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(34.6)</w:t>
            </w:r>
          </w:p>
        </w:tc>
        <w:tc>
          <w:tcPr>
            <w:tcW w:w="6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(50.2)</w:t>
            </w:r>
          </w:p>
        </w:tc>
        <w:tc>
          <w:tcPr>
            <w:tcW w:w="5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(31.1)</w:t>
            </w:r>
          </w:p>
        </w:tc>
      </w:tr>
      <w:tr>
        <w:trPr>
          <w:trHeight w:val="215"/>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Provision (benefit) for income taxes</w:t>
            </w: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(24.8)</w:t>
            </w:r>
          </w:p>
        </w:tc>
        <w:tc>
          <w:tcPr>
            <w:tcW w:w="6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(8.1)</w:t>
            </w:r>
          </w:p>
        </w:tc>
        <w:tc>
          <w:tcPr>
            <w:tcW w:w="6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(32.9)</w:t>
            </w: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(7.3)</w:t>
            </w:r>
          </w:p>
        </w:tc>
      </w:tr>
      <w:tr>
        <w:trPr>
          <w:trHeight w:val="210"/>
        </w:trPr>
        <w:tc>
          <w:tcPr>
            <w:tcW w:w="4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4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(3.6)</w:t>
            </w:r>
          </w:p>
        </w:tc>
        <w:tc>
          <w:tcPr>
            <w:tcW w:w="6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(26.5)</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(17.3)</w:t>
            </w:r>
          </w:p>
        </w:tc>
        <w:tc>
          <w:tcPr>
            <w:tcW w:w="5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(23.8)</w:t>
            </w:r>
          </w:p>
        </w:tc>
      </w:tr>
      <w:tr>
        <w:trPr>
          <w:trHeight w:val="156"/>
        </w:trPr>
        <w:tc>
          <w:tcPr>
            <w:tcW w:w="4400" w:type="dxa"/>
            <w:vAlign w:val="bottom"/>
          </w:tcPr>
          <w:p>
            <w:pPr>
              <w:ind w:left="20"/>
              <w:spacing w:after="0" w:line="155" w:lineRule="exact"/>
              <w:rPr>
                <w:sz w:val="20"/>
                <w:szCs w:val="20"/>
                <w:color w:val="auto"/>
              </w:rPr>
            </w:pPr>
            <w:r>
              <w:rPr>
                <w:rFonts w:ascii="Arial" w:cs="Arial" w:eastAsia="Arial" w:hAnsi="Arial"/>
                <w:sz w:val="16"/>
                <w:szCs w:val="16"/>
                <w:b w:val="1"/>
                <w:bCs w:val="1"/>
                <w:color w:val="auto"/>
              </w:rPr>
              <w:t>Basic and diluted earnings (loss) per share of Class A</w:t>
            </w:r>
          </w:p>
        </w:tc>
        <w:tc>
          <w:tcPr>
            <w:tcW w:w="4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16"/>
        </w:trPr>
        <w:tc>
          <w:tcPr>
            <w:tcW w:w="4400" w:type="dxa"/>
            <w:vAlign w:val="bottom"/>
          </w:tcPr>
          <w:p>
            <w:pPr>
              <w:ind w:left="20"/>
              <w:spacing w:after="0"/>
              <w:rPr>
                <w:sz w:val="20"/>
                <w:szCs w:val="20"/>
                <w:color w:val="auto"/>
              </w:rPr>
            </w:pPr>
            <w:r>
              <w:rPr>
                <w:rFonts w:ascii="Arial" w:cs="Arial" w:eastAsia="Arial" w:hAnsi="Arial"/>
                <w:sz w:val="16"/>
                <w:szCs w:val="16"/>
                <w:b w:val="1"/>
                <w:bCs w:val="1"/>
                <w:color w:val="auto"/>
              </w:rPr>
              <w:t>and Common Stock</w:t>
            </w: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4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(0.13)</w:t>
            </w: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(0.91)</w:t>
            </w: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(0.61)</w:t>
            </w:r>
          </w:p>
        </w:tc>
        <w:tc>
          <w:tcPr>
            <w:tcW w:w="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(0.80)</w:t>
            </w:r>
          </w:p>
        </w:tc>
      </w:tr>
      <w:tr>
        <w:trPr>
          <w:trHeight w:val="215"/>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Diluted</w:t>
            </w:r>
          </w:p>
        </w:tc>
        <w:tc>
          <w:tcPr>
            <w:tcW w:w="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(0.13)</w:t>
            </w:r>
          </w:p>
        </w:tc>
        <w:tc>
          <w:tcPr>
            <w:tcW w:w="6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(0.91)</w:t>
            </w: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(0.61)</w:t>
            </w:r>
          </w:p>
        </w:tc>
        <w:tc>
          <w:tcPr>
            <w:tcW w:w="54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(0.80)</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ind w:lef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620395</wp:posOffset>
            </wp:positionV>
            <wp:extent cx="71151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255"/>
                    </a:xfrm>
                    <a:prstGeom prst="rect">
                      <a:avLst/>
                    </a:prstGeom>
                    <a:noFill/>
                  </pic:spPr>
                </pic:pic>
              </a:graphicData>
            </a:graphic>
          </wp:anchor>
        </w:drawing>
        <w:t>SCHOLASTIC CORPORATION</w:t>
      </w:r>
    </w:p>
    <w:p>
      <w:pPr>
        <w:ind w:left="40" w:right="2760"/>
        <w:spacing w:after="0" w:line="244" w:lineRule="auto"/>
        <w:rPr>
          <w:sz w:val="20"/>
          <w:szCs w:val="20"/>
          <w:color w:val="auto"/>
        </w:rPr>
      </w:pPr>
      <w:r>
        <w:rPr>
          <w:rFonts w:ascii="Arial" w:cs="Arial" w:eastAsia="Arial" w:hAnsi="Arial"/>
          <w:sz w:val="18"/>
          <w:szCs w:val="18"/>
          <w:b w:val="1"/>
          <w:bCs w:val="1"/>
          <w:color w:val="auto"/>
        </w:rPr>
        <w:t>CONDENSED CONSOLIDATED STATEMENTS OF COMPREHENSIVE INCOME (LOSS) - UNAUDITED (Dollar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-8890</wp:posOffset>
            </wp:positionV>
            <wp:extent cx="71151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960" w:type="dxa"/>
            <w:vAlign w:val="bottom"/>
            <w:gridSpan w:val="3"/>
          </w:tcPr>
          <w:p>
            <w:pPr>
              <w:jc w:val="right"/>
              <w:ind w:right="719"/>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Pr>
          <w:p>
            <w:pPr>
              <w:spacing w:after="0"/>
              <w:rPr>
                <w:sz w:val="18"/>
                <w:szCs w:val="18"/>
                <w:color w:val="auto"/>
              </w:rPr>
            </w:pPr>
          </w:p>
        </w:tc>
        <w:tc>
          <w:tcPr>
            <w:tcW w:w="2980" w:type="dxa"/>
            <w:vAlign w:val="bottom"/>
            <w:gridSpan w:val="3"/>
          </w:tcPr>
          <w:p>
            <w:pPr>
              <w:jc w:val="right"/>
              <w:ind w:right="799"/>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4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rPr>
              <w:t>February 28,</w:t>
            </w:r>
          </w:p>
        </w:tc>
        <w:tc>
          <w:tcPr>
            <w:tcW w:w="400" w:type="dxa"/>
            <w:vAlign w:val="bottom"/>
          </w:tcPr>
          <w:p>
            <w:pPr>
              <w:spacing w:after="0"/>
              <w:rPr>
                <w:sz w:val="18"/>
                <w:szCs w:val="18"/>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rPr>
              <w:t>February 29,</w:t>
            </w:r>
          </w:p>
        </w:tc>
        <w:tc>
          <w:tcPr>
            <w:tcW w:w="420" w:type="dxa"/>
            <w:vAlign w:val="bottom"/>
          </w:tcPr>
          <w:p>
            <w:pPr>
              <w:spacing w:after="0"/>
              <w:rPr>
                <w:sz w:val="18"/>
                <w:szCs w:val="18"/>
                <w:color w:val="auto"/>
              </w:rPr>
            </w:pPr>
          </w:p>
        </w:tc>
        <w:tc>
          <w:tcPr>
            <w:tcW w:w="1280" w:type="dxa"/>
            <w:vAlign w:val="bottom"/>
          </w:tcPr>
          <w:p>
            <w:pPr>
              <w:jc w:val="right"/>
              <w:ind w:right="219"/>
              <w:spacing w:after="0"/>
              <w:rPr>
                <w:sz w:val="20"/>
                <w:szCs w:val="20"/>
                <w:color w:val="auto"/>
              </w:rPr>
            </w:pPr>
            <w:r>
              <w:rPr>
                <w:rFonts w:ascii="Arial" w:cs="Arial" w:eastAsia="Arial" w:hAnsi="Arial"/>
                <w:sz w:val="16"/>
                <w:szCs w:val="16"/>
                <w:b w:val="1"/>
                <w:bCs w:val="1"/>
                <w:color w:val="auto"/>
              </w:rPr>
              <w:t>February 28,</w:t>
            </w:r>
          </w:p>
        </w:tc>
        <w:tc>
          <w:tcPr>
            <w:tcW w:w="400" w:type="dxa"/>
            <w:vAlign w:val="bottom"/>
          </w:tcPr>
          <w:p>
            <w:pPr>
              <w:spacing w:after="0"/>
              <w:rPr>
                <w:sz w:val="18"/>
                <w:szCs w:val="18"/>
                <w:color w:val="auto"/>
              </w:rPr>
            </w:pPr>
          </w:p>
        </w:tc>
        <w:tc>
          <w:tcPr>
            <w:tcW w:w="1300" w:type="dxa"/>
            <w:vAlign w:val="bottom"/>
          </w:tcPr>
          <w:p>
            <w:pPr>
              <w:jc w:val="right"/>
              <w:ind w:right="219"/>
              <w:spacing w:after="0"/>
              <w:rPr>
                <w:sz w:val="20"/>
                <w:szCs w:val="20"/>
                <w:color w:val="auto"/>
              </w:rPr>
            </w:pPr>
            <w:r>
              <w:rPr>
                <w:rFonts w:ascii="Arial" w:cs="Arial" w:eastAsia="Arial" w:hAnsi="Arial"/>
                <w:sz w:val="16"/>
                <w:szCs w:val="16"/>
                <w:b w:val="1"/>
                <w:bCs w:val="1"/>
                <w:color w:val="auto"/>
              </w:rPr>
              <w:t>February 29,</w:t>
            </w:r>
          </w:p>
        </w:tc>
      </w:tr>
      <w:tr>
        <w:trPr>
          <w:trHeight w:val="217"/>
        </w:trPr>
        <w:tc>
          <w:tcPr>
            <w:tcW w:w="43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4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r>
      <w:tr>
        <w:trPr>
          <w:trHeight w:val="209"/>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(3.6)</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(26.5)</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(17.3)</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(23.8)</w:t>
            </w:r>
          </w:p>
        </w:tc>
      </w:tr>
      <w:tr>
        <w:trPr>
          <w:trHeight w:val="215"/>
        </w:trPr>
        <w:tc>
          <w:tcPr>
            <w:tcW w:w="4320" w:type="dxa"/>
            <w:vAlign w:val="bottom"/>
          </w:tcPr>
          <w:p>
            <w:pPr>
              <w:ind w:left="20"/>
              <w:spacing w:after="0"/>
              <w:rPr>
                <w:sz w:val="20"/>
                <w:szCs w:val="20"/>
                <w:color w:val="auto"/>
              </w:rPr>
            </w:pPr>
            <w:r>
              <w:rPr>
                <w:rFonts w:ascii="Arial" w:cs="Arial" w:eastAsia="Arial" w:hAnsi="Arial"/>
                <w:sz w:val="16"/>
                <w:szCs w:val="16"/>
                <w:color w:val="auto"/>
              </w:rPr>
              <w:t>Other comprehensive income (loss), net:</w:t>
            </w: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7"/>
        </w:trPr>
        <w:tc>
          <w:tcPr>
            <w:tcW w:w="43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Foreign currency translation adjustments</w:t>
            </w:r>
          </w:p>
        </w:tc>
        <w:tc>
          <w:tcPr>
            <w:tcW w:w="5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(8.0)</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(0.4)</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(11.7)</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1.6</w:t>
            </w:r>
          </w:p>
        </w:tc>
      </w:tr>
      <w:tr>
        <w:trPr>
          <w:trHeight w:val="215"/>
        </w:trPr>
        <w:tc>
          <w:tcPr>
            <w:tcW w:w="43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Pension and postretirement adjustments (net of tax)</w:t>
            </w:r>
          </w:p>
        </w:tc>
        <w:tc>
          <w:tcPr>
            <w:tcW w:w="5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0.1</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0.2</w:t>
            </w:r>
          </w:p>
        </w:tc>
        <w:tc>
          <w:tcPr>
            <w:tcW w:w="4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0.5</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0.5</w:t>
            </w:r>
          </w:p>
        </w:tc>
      </w:tr>
      <w:tr>
        <w:trPr>
          <w:trHeight w:val="210"/>
        </w:trPr>
        <w:tc>
          <w:tcPr>
            <w:tcW w:w="4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other comprehensive income (loss), net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(7.9)</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(0.2)</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(11.2)</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2.1</w:t>
            </w:r>
          </w:p>
        </w:tc>
      </w:tr>
      <w:tr>
        <w:trPr>
          <w:trHeight w:val="209"/>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(11.5)</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(26.7)</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(28.5)</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(21.7)</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4" w:name="page5"/>
    <w:bookmarkEnd w:id="4"/>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SCHOLASTIC CORPORATION</w:t>
      </w:r>
    </w:p>
    <w:p>
      <w:pPr>
        <w:ind w:left="20"/>
        <w:spacing w:after="0" w:line="203" w:lineRule="auto"/>
        <w:rPr>
          <w:sz w:val="20"/>
          <w:szCs w:val="20"/>
          <w:color w:val="auto"/>
        </w:rPr>
      </w:pPr>
      <w:r>
        <w:rPr>
          <w:rFonts w:ascii="Arial" w:cs="Arial" w:eastAsia="Arial" w:hAnsi="Arial"/>
          <w:sz w:val="18"/>
          <w:szCs w:val="18"/>
          <w:b w:val="1"/>
          <w:bCs w:val="1"/>
          <w:color w:val="auto"/>
        </w:rPr>
        <w:t>CONDENSED CONSOLIDATED BALANCE SHEETS - UNAUDITED</w:t>
      </w:r>
    </w:p>
    <w:p>
      <w:pPr>
        <w:ind w:left="20"/>
        <w:spacing w:after="0"/>
        <w:rPr>
          <w:sz w:val="20"/>
          <w:szCs w:val="20"/>
          <w:color w:val="auto"/>
        </w:rPr>
      </w:pPr>
      <w:r>
        <w:rPr>
          <w:rFonts w:ascii="Arial" w:cs="Arial" w:eastAsia="Arial" w:hAnsi="Arial"/>
          <w:sz w:val="18"/>
          <w:szCs w:val="18"/>
          <w:b w:val="1"/>
          <w:b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40" w:type="dxa"/>
            <w:vAlign w:val="bottom"/>
          </w:tcPr>
          <w:p>
            <w:pPr>
              <w:spacing w:after="0"/>
              <w:rPr>
                <w:sz w:val="19"/>
                <w:szCs w:val="19"/>
                <w:color w:val="auto"/>
              </w:rPr>
            </w:pPr>
          </w:p>
        </w:tc>
        <w:tc>
          <w:tcPr>
            <w:tcW w:w="182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auto"/>
              </w:rPr>
              <w:t>February 28, 2025</w:t>
            </w:r>
          </w:p>
        </w:tc>
        <w:tc>
          <w:tcPr>
            <w:tcW w:w="162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May 31, 2024</w:t>
            </w:r>
          </w:p>
        </w:tc>
        <w:tc>
          <w:tcPr>
            <w:tcW w:w="186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February 29, 2024</w:t>
            </w:r>
          </w:p>
        </w:tc>
        <w:tc>
          <w:tcPr>
            <w:tcW w:w="0" w:type="dxa"/>
            <w:vAlign w:val="bottom"/>
          </w:tcPr>
          <w:p>
            <w:pPr>
              <w:spacing w:after="0"/>
              <w:rPr>
                <w:sz w:val="1"/>
                <w:szCs w:val="1"/>
                <w:color w:val="auto"/>
              </w:rPr>
            </w:pPr>
          </w:p>
        </w:tc>
      </w:tr>
      <w:tr>
        <w:trPr>
          <w:trHeight w:val="247"/>
        </w:trPr>
        <w:tc>
          <w:tcPr>
            <w:tcW w:w="594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2"/>
          </w:tcPr>
          <w:p>
            <w:pPr>
              <w:jc w:val="right"/>
              <w:ind w:right="459"/>
              <w:spacing w:after="0"/>
              <w:rPr>
                <w:sz w:val="20"/>
                <w:szCs w:val="20"/>
                <w:color w:val="auto"/>
              </w:rPr>
            </w:pPr>
            <w:r>
              <w:rPr>
                <w:rFonts w:ascii="Arial" w:cs="Arial" w:eastAsia="Arial" w:hAnsi="Arial"/>
                <w:sz w:val="16"/>
                <w:szCs w:val="16"/>
                <w:b w:val="1"/>
                <w:bCs w:val="1"/>
                <w:color w:val="auto"/>
              </w:rPr>
              <w:t>(unaudited)</w:t>
            </w:r>
          </w:p>
        </w:tc>
        <w:tc>
          <w:tcPr>
            <w:tcW w:w="4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(audited)</w:t>
            </w:r>
          </w:p>
        </w:tc>
        <w:tc>
          <w:tcPr>
            <w:tcW w:w="4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(unaudited)</w:t>
            </w:r>
          </w:p>
        </w:tc>
        <w:tc>
          <w:tcPr>
            <w:tcW w:w="0" w:type="dxa"/>
            <w:vAlign w:val="bottom"/>
          </w:tcPr>
          <w:p>
            <w:pPr>
              <w:spacing w:after="0"/>
              <w:rPr>
                <w:sz w:val="1"/>
                <w:szCs w:val="1"/>
                <w:color w:val="auto"/>
              </w:rPr>
            </w:pPr>
          </w:p>
        </w:tc>
      </w:tr>
      <w:tr>
        <w:trPr>
          <w:trHeight w:val="237"/>
        </w:trPr>
        <w:tc>
          <w:tcPr>
            <w:tcW w:w="594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Assets:</w:t>
            </w:r>
          </w:p>
        </w:tc>
        <w:tc>
          <w:tcPr>
            <w:tcW w:w="5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9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539"/>
              <w:spacing w:after="0"/>
              <w:rPr>
                <w:sz w:val="20"/>
                <w:szCs w:val="20"/>
                <w:color w:val="auto"/>
              </w:rPr>
            </w:pPr>
            <w:r>
              <w:rPr>
                <w:rFonts w:ascii="Arial" w:cs="Arial" w:eastAsia="Arial" w:hAnsi="Arial"/>
                <w:sz w:val="16"/>
                <w:szCs w:val="16"/>
                <w:color w:val="auto"/>
              </w:rPr>
              <w:t>94.7</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79"/>
              <w:spacing w:after="0"/>
              <w:rPr>
                <w:sz w:val="20"/>
                <w:szCs w:val="20"/>
                <w:color w:val="auto"/>
              </w:rPr>
            </w:pPr>
            <w:r>
              <w:rPr>
                <w:rFonts w:ascii="Arial" w:cs="Arial" w:eastAsia="Arial" w:hAnsi="Arial"/>
                <w:sz w:val="16"/>
                <w:szCs w:val="16"/>
                <w:color w:val="auto"/>
              </w:rPr>
              <w:t>113.7</w:t>
            </w: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439"/>
              <w:spacing w:after="0"/>
              <w:rPr>
                <w:sz w:val="20"/>
                <w:szCs w:val="20"/>
                <w:color w:val="auto"/>
              </w:rPr>
            </w:pPr>
            <w:r>
              <w:rPr>
                <w:rFonts w:ascii="Arial" w:cs="Arial" w:eastAsia="Arial" w:hAnsi="Arial"/>
                <w:sz w:val="16"/>
                <w:szCs w:val="16"/>
                <w:color w:val="auto"/>
              </w:rPr>
              <w:t>110.4</w:t>
            </w:r>
          </w:p>
        </w:tc>
        <w:tc>
          <w:tcPr>
            <w:tcW w:w="0" w:type="dxa"/>
            <w:vAlign w:val="bottom"/>
          </w:tcPr>
          <w:p>
            <w:pPr>
              <w:spacing w:after="0"/>
              <w:rPr>
                <w:sz w:val="1"/>
                <w:szCs w:val="1"/>
                <w:color w:val="auto"/>
              </w:rPr>
            </w:pPr>
          </w:p>
        </w:tc>
      </w:tr>
      <w:tr>
        <w:trPr>
          <w:trHeight w:val="217"/>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 net</w:t>
            </w: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255.9</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235.0</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253.0</w:t>
            </w:r>
          </w:p>
        </w:tc>
        <w:tc>
          <w:tcPr>
            <w:tcW w:w="0" w:type="dxa"/>
            <w:vAlign w:val="bottom"/>
          </w:tcPr>
          <w:p>
            <w:pPr>
              <w:spacing w:after="0"/>
              <w:rPr>
                <w:sz w:val="1"/>
                <w:szCs w:val="1"/>
                <w:color w:val="auto"/>
              </w:rPr>
            </w:pPr>
          </w:p>
        </w:tc>
      </w:tr>
      <w:tr>
        <w:trPr>
          <w:trHeight w:val="215"/>
        </w:trPr>
        <w:tc>
          <w:tcPr>
            <w:tcW w:w="5940" w:type="dxa"/>
            <w:vAlign w:val="bottom"/>
          </w:tcPr>
          <w:p>
            <w:pPr>
              <w:ind w:left="20"/>
              <w:spacing w:after="0"/>
              <w:rPr>
                <w:sz w:val="20"/>
                <w:szCs w:val="20"/>
                <w:color w:val="auto"/>
              </w:rPr>
            </w:pPr>
            <w:r>
              <w:rPr>
                <w:rFonts w:ascii="Arial" w:cs="Arial" w:eastAsia="Arial" w:hAnsi="Arial"/>
                <w:sz w:val="16"/>
                <w:szCs w:val="16"/>
                <w:color w:val="auto"/>
              </w:rPr>
              <w:t>Inventories, net</w:t>
            </w:r>
          </w:p>
        </w:tc>
        <w:tc>
          <w:tcPr>
            <w:tcW w:w="520" w:type="dxa"/>
            <w:vAlign w:val="bottom"/>
          </w:tcPr>
          <w:p>
            <w:pPr>
              <w:spacing w:after="0"/>
              <w:rPr>
                <w:sz w:val="18"/>
                <w:szCs w:val="18"/>
                <w:color w:val="auto"/>
              </w:rPr>
            </w:pPr>
          </w:p>
        </w:tc>
        <w:tc>
          <w:tcPr>
            <w:tcW w:w="1300" w:type="dxa"/>
            <w:vAlign w:val="bottom"/>
          </w:tcPr>
          <w:p>
            <w:pPr>
              <w:jc w:val="right"/>
              <w:ind w:right="539"/>
              <w:spacing w:after="0"/>
              <w:rPr>
                <w:sz w:val="20"/>
                <w:szCs w:val="20"/>
                <w:color w:val="auto"/>
              </w:rPr>
            </w:pPr>
            <w:r>
              <w:rPr>
                <w:rFonts w:ascii="Arial" w:cs="Arial" w:eastAsia="Arial" w:hAnsi="Arial"/>
                <w:sz w:val="16"/>
                <w:szCs w:val="16"/>
                <w:color w:val="auto"/>
              </w:rPr>
              <w:t>270.8</w:t>
            </w:r>
          </w:p>
        </w:tc>
        <w:tc>
          <w:tcPr>
            <w:tcW w:w="440" w:type="dxa"/>
            <w:vAlign w:val="bottom"/>
          </w:tcPr>
          <w:p>
            <w:pPr>
              <w:spacing w:after="0"/>
              <w:rPr>
                <w:sz w:val="18"/>
                <w:szCs w:val="18"/>
                <w:color w:val="auto"/>
              </w:rPr>
            </w:pPr>
          </w:p>
        </w:tc>
        <w:tc>
          <w:tcPr>
            <w:tcW w:w="1180" w:type="dxa"/>
            <w:vAlign w:val="bottom"/>
          </w:tcPr>
          <w:p>
            <w:pPr>
              <w:jc w:val="right"/>
              <w:ind w:right="379"/>
              <w:spacing w:after="0"/>
              <w:rPr>
                <w:sz w:val="20"/>
                <w:szCs w:val="20"/>
                <w:color w:val="auto"/>
              </w:rPr>
            </w:pPr>
            <w:r>
              <w:rPr>
                <w:rFonts w:ascii="Arial" w:cs="Arial" w:eastAsia="Arial" w:hAnsi="Arial"/>
                <w:sz w:val="16"/>
                <w:szCs w:val="16"/>
                <w:color w:val="auto"/>
              </w:rPr>
              <w:t>264.2</w:t>
            </w:r>
          </w:p>
        </w:tc>
        <w:tc>
          <w:tcPr>
            <w:tcW w:w="460" w:type="dxa"/>
            <w:vAlign w:val="bottom"/>
          </w:tcPr>
          <w:p>
            <w:pPr>
              <w:spacing w:after="0"/>
              <w:rPr>
                <w:sz w:val="18"/>
                <w:szCs w:val="18"/>
                <w:color w:val="auto"/>
              </w:rPr>
            </w:pPr>
          </w:p>
        </w:tc>
        <w:tc>
          <w:tcPr>
            <w:tcW w:w="1400" w:type="dxa"/>
            <w:vAlign w:val="bottom"/>
          </w:tcPr>
          <w:p>
            <w:pPr>
              <w:jc w:val="right"/>
              <w:ind w:right="439"/>
              <w:spacing w:after="0"/>
              <w:rPr>
                <w:sz w:val="20"/>
                <w:szCs w:val="20"/>
                <w:color w:val="auto"/>
              </w:rPr>
            </w:pPr>
            <w:r>
              <w:rPr>
                <w:rFonts w:ascii="Arial" w:cs="Arial" w:eastAsia="Arial" w:hAnsi="Arial"/>
                <w:sz w:val="16"/>
                <w:szCs w:val="16"/>
                <w:color w:val="auto"/>
              </w:rPr>
              <w:t>282.5</w:t>
            </w:r>
          </w:p>
        </w:tc>
        <w:tc>
          <w:tcPr>
            <w:tcW w:w="0" w:type="dxa"/>
            <w:vAlign w:val="bottom"/>
          </w:tcPr>
          <w:p>
            <w:pPr>
              <w:spacing w:after="0"/>
              <w:rPr>
                <w:sz w:val="1"/>
                <w:szCs w:val="1"/>
                <w:color w:val="auto"/>
              </w:rPr>
            </w:pPr>
          </w:p>
        </w:tc>
      </w:tr>
      <w:tr>
        <w:trPr>
          <w:trHeight w:val="217"/>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receivable</w:t>
            </w: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51.6</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15.2</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215"/>
        </w:trPr>
        <w:tc>
          <w:tcPr>
            <w:tcW w:w="5940" w:type="dxa"/>
            <w:vAlign w:val="bottom"/>
          </w:tcPr>
          <w:p>
            <w:pPr>
              <w:ind w:left="20"/>
              <w:spacing w:after="0"/>
              <w:rPr>
                <w:sz w:val="20"/>
                <w:szCs w:val="20"/>
                <w:color w:val="auto"/>
              </w:rPr>
            </w:pPr>
            <w:r>
              <w:rPr>
                <w:rFonts w:ascii="Arial" w:cs="Arial" w:eastAsia="Arial" w:hAnsi="Arial"/>
                <w:sz w:val="16"/>
                <w:szCs w:val="16"/>
                <w:color w:val="auto"/>
              </w:rPr>
              <w:t>Tax credit receivable</w:t>
            </w:r>
          </w:p>
        </w:tc>
        <w:tc>
          <w:tcPr>
            <w:tcW w:w="520" w:type="dxa"/>
            <w:vAlign w:val="bottom"/>
          </w:tcPr>
          <w:p>
            <w:pPr>
              <w:spacing w:after="0"/>
              <w:rPr>
                <w:sz w:val="18"/>
                <w:szCs w:val="18"/>
                <w:color w:val="auto"/>
              </w:rPr>
            </w:pPr>
          </w:p>
        </w:tc>
        <w:tc>
          <w:tcPr>
            <w:tcW w:w="1300" w:type="dxa"/>
            <w:vAlign w:val="bottom"/>
          </w:tcPr>
          <w:p>
            <w:pPr>
              <w:jc w:val="right"/>
              <w:ind w:right="539"/>
              <w:spacing w:after="0"/>
              <w:rPr>
                <w:sz w:val="20"/>
                <w:szCs w:val="20"/>
                <w:color w:val="auto"/>
              </w:rPr>
            </w:pPr>
            <w:r>
              <w:rPr>
                <w:rFonts w:ascii="Arial" w:cs="Arial" w:eastAsia="Arial" w:hAnsi="Arial"/>
                <w:sz w:val="16"/>
                <w:szCs w:val="16"/>
                <w:color w:val="auto"/>
              </w:rPr>
              <w:t>19.8</w:t>
            </w:r>
          </w:p>
        </w:tc>
        <w:tc>
          <w:tcPr>
            <w:tcW w:w="440" w:type="dxa"/>
            <w:vAlign w:val="bottom"/>
          </w:tcPr>
          <w:p>
            <w:pPr>
              <w:spacing w:after="0"/>
              <w:rPr>
                <w:sz w:val="18"/>
                <w:szCs w:val="18"/>
                <w:color w:val="auto"/>
              </w:rPr>
            </w:pPr>
          </w:p>
        </w:tc>
        <w:tc>
          <w:tcPr>
            <w:tcW w:w="11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40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5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64.2</w:t>
            </w:r>
          </w:p>
        </w:tc>
        <w:tc>
          <w:tcPr>
            <w:tcW w:w="4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48.8</w:t>
            </w:r>
          </w:p>
        </w:tc>
        <w:tc>
          <w:tcPr>
            <w:tcW w:w="4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52.9</w:t>
            </w:r>
          </w:p>
        </w:tc>
        <w:tc>
          <w:tcPr>
            <w:tcW w:w="0" w:type="dxa"/>
            <w:vAlign w:val="bottom"/>
          </w:tcPr>
          <w:p>
            <w:pPr>
              <w:spacing w:after="0"/>
              <w:rPr>
                <w:sz w:val="1"/>
                <w:szCs w:val="1"/>
                <w:color w:val="auto"/>
              </w:rPr>
            </w:pPr>
          </w:p>
        </w:tc>
      </w:tr>
      <w:tr>
        <w:trPr>
          <w:trHeight w:val="233"/>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current assets</w:t>
            </w:r>
          </w:p>
        </w:tc>
        <w:tc>
          <w:tcPr>
            <w:tcW w:w="5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757.0</w:t>
            </w:r>
          </w:p>
        </w:tc>
        <w:tc>
          <w:tcPr>
            <w:tcW w:w="4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676.9</w:t>
            </w:r>
          </w:p>
        </w:tc>
        <w:tc>
          <w:tcPr>
            <w:tcW w:w="4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728.7</w:t>
            </w:r>
          </w:p>
        </w:tc>
        <w:tc>
          <w:tcPr>
            <w:tcW w:w="0" w:type="dxa"/>
            <w:vAlign w:val="bottom"/>
          </w:tcPr>
          <w:p>
            <w:pPr>
              <w:spacing w:after="0"/>
              <w:rPr>
                <w:sz w:val="1"/>
                <w:szCs w:val="1"/>
                <w:color w:val="auto"/>
              </w:rPr>
            </w:pPr>
          </w:p>
        </w:tc>
      </w:tr>
      <w:tr>
        <w:trPr>
          <w:trHeight w:val="240"/>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Noncurrent Assets:</w:t>
            </w:r>
          </w:p>
        </w:tc>
        <w:tc>
          <w:tcPr>
            <w:tcW w:w="5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94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520" w:type="dxa"/>
            <w:vAlign w:val="bottom"/>
          </w:tcPr>
          <w:p>
            <w:pPr>
              <w:spacing w:after="0"/>
              <w:rPr>
                <w:sz w:val="18"/>
                <w:szCs w:val="18"/>
                <w:color w:val="auto"/>
              </w:rPr>
            </w:pPr>
          </w:p>
        </w:tc>
        <w:tc>
          <w:tcPr>
            <w:tcW w:w="1300" w:type="dxa"/>
            <w:vAlign w:val="bottom"/>
          </w:tcPr>
          <w:p>
            <w:pPr>
              <w:jc w:val="right"/>
              <w:ind w:right="539"/>
              <w:spacing w:after="0"/>
              <w:rPr>
                <w:sz w:val="20"/>
                <w:szCs w:val="20"/>
                <w:color w:val="auto"/>
              </w:rPr>
            </w:pPr>
            <w:r>
              <w:rPr>
                <w:rFonts w:ascii="Arial" w:cs="Arial" w:eastAsia="Arial" w:hAnsi="Arial"/>
                <w:sz w:val="16"/>
                <w:szCs w:val="16"/>
                <w:color w:val="auto"/>
              </w:rPr>
              <w:t>517.1</w:t>
            </w:r>
          </w:p>
        </w:tc>
        <w:tc>
          <w:tcPr>
            <w:tcW w:w="440" w:type="dxa"/>
            <w:vAlign w:val="bottom"/>
          </w:tcPr>
          <w:p>
            <w:pPr>
              <w:spacing w:after="0"/>
              <w:rPr>
                <w:sz w:val="18"/>
                <w:szCs w:val="18"/>
                <w:color w:val="auto"/>
              </w:rPr>
            </w:pPr>
          </w:p>
        </w:tc>
        <w:tc>
          <w:tcPr>
            <w:tcW w:w="1180" w:type="dxa"/>
            <w:vAlign w:val="bottom"/>
          </w:tcPr>
          <w:p>
            <w:pPr>
              <w:jc w:val="right"/>
              <w:ind w:right="379"/>
              <w:spacing w:after="0"/>
              <w:rPr>
                <w:sz w:val="20"/>
                <w:szCs w:val="20"/>
                <w:color w:val="auto"/>
              </w:rPr>
            </w:pPr>
            <w:r>
              <w:rPr>
                <w:rFonts w:ascii="Arial" w:cs="Arial" w:eastAsia="Arial" w:hAnsi="Arial"/>
                <w:sz w:val="16"/>
                <w:szCs w:val="16"/>
                <w:color w:val="auto"/>
              </w:rPr>
              <w:t>511.9</w:t>
            </w:r>
          </w:p>
        </w:tc>
        <w:tc>
          <w:tcPr>
            <w:tcW w:w="460" w:type="dxa"/>
            <w:vAlign w:val="bottom"/>
          </w:tcPr>
          <w:p>
            <w:pPr>
              <w:spacing w:after="0"/>
              <w:rPr>
                <w:sz w:val="18"/>
                <w:szCs w:val="18"/>
                <w:color w:val="auto"/>
              </w:rPr>
            </w:pPr>
          </w:p>
        </w:tc>
        <w:tc>
          <w:tcPr>
            <w:tcW w:w="1400" w:type="dxa"/>
            <w:vAlign w:val="bottom"/>
          </w:tcPr>
          <w:p>
            <w:pPr>
              <w:jc w:val="right"/>
              <w:ind w:right="439"/>
              <w:spacing w:after="0"/>
              <w:rPr>
                <w:sz w:val="20"/>
                <w:szCs w:val="20"/>
                <w:color w:val="auto"/>
              </w:rPr>
            </w:pPr>
            <w:r>
              <w:rPr>
                <w:rFonts w:ascii="Arial" w:cs="Arial" w:eastAsia="Arial" w:hAnsi="Arial"/>
                <w:sz w:val="16"/>
                <w:szCs w:val="16"/>
                <w:color w:val="auto"/>
              </w:rPr>
              <w:t>512.6</w:t>
            </w:r>
          </w:p>
        </w:tc>
        <w:tc>
          <w:tcPr>
            <w:tcW w:w="0" w:type="dxa"/>
            <w:vAlign w:val="bottom"/>
          </w:tcPr>
          <w:p>
            <w:pPr>
              <w:spacing w:after="0"/>
              <w:rPr>
                <w:sz w:val="1"/>
                <w:szCs w:val="1"/>
                <w:color w:val="auto"/>
              </w:rPr>
            </w:pPr>
          </w:p>
        </w:tc>
      </w:tr>
      <w:tr>
        <w:trPr>
          <w:trHeight w:val="217"/>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Prepublication costs, net</w:t>
            </w: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47.6</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49.5</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54.0</w:t>
            </w:r>
          </w:p>
        </w:tc>
        <w:tc>
          <w:tcPr>
            <w:tcW w:w="0" w:type="dxa"/>
            <w:vAlign w:val="bottom"/>
          </w:tcPr>
          <w:p>
            <w:pPr>
              <w:spacing w:after="0"/>
              <w:rPr>
                <w:sz w:val="1"/>
                <w:szCs w:val="1"/>
                <w:color w:val="auto"/>
              </w:rPr>
            </w:pPr>
          </w:p>
        </w:tc>
      </w:tr>
      <w:tr>
        <w:trPr>
          <w:trHeight w:val="215"/>
        </w:trPr>
        <w:tc>
          <w:tcPr>
            <w:tcW w:w="5940" w:type="dxa"/>
            <w:vAlign w:val="bottom"/>
          </w:tcPr>
          <w:p>
            <w:pPr>
              <w:ind w:left="20"/>
              <w:spacing w:after="0"/>
              <w:rPr>
                <w:sz w:val="20"/>
                <w:szCs w:val="20"/>
                <w:color w:val="auto"/>
              </w:rPr>
            </w:pPr>
            <w:r>
              <w:rPr>
                <w:rFonts w:ascii="Arial" w:cs="Arial" w:eastAsia="Arial" w:hAnsi="Arial"/>
                <w:sz w:val="16"/>
                <w:szCs w:val="16"/>
                <w:color w:val="auto"/>
              </w:rPr>
              <w:t>Investment in film and television programs, net</w:t>
            </w:r>
          </w:p>
        </w:tc>
        <w:tc>
          <w:tcPr>
            <w:tcW w:w="520" w:type="dxa"/>
            <w:vAlign w:val="bottom"/>
          </w:tcPr>
          <w:p>
            <w:pPr>
              <w:spacing w:after="0"/>
              <w:rPr>
                <w:sz w:val="18"/>
                <w:szCs w:val="18"/>
                <w:color w:val="auto"/>
              </w:rPr>
            </w:pPr>
          </w:p>
        </w:tc>
        <w:tc>
          <w:tcPr>
            <w:tcW w:w="1300" w:type="dxa"/>
            <w:vAlign w:val="bottom"/>
          </w:tcPr>
          <w:p>
            <w:pPr>
              <w:jc w:val="right"/>
              <w:ind w:right="539"/>
              <w:spacing w:after="0"/>
              <w:rPr>
                <w:sz w:val="20"/>
                <w:szCs w:val="20"/>
                <w:color w:val="auto"/>
              </w:rPr>
            </w:pPr>
            <w:r>
              <w:rPr>
                <w:rFonts w:ascii="Arial" w:cs="Arial" w:eastAsia="Arial" w:hAnsi="Arial"/>
                <w:sz w:val="16"/>
                <w:szCs w:val="16"/>
                <w:color w:val="auto"/>
              </w:rPr>
              <w:t>37.5</w:t>
            </w:r>
          </w:p>
        </w:tc>
        <w:tc>
          <w:tcPr>
            <w:tcW w:w="440" w:type="dxa"/>
            <w:vAlign w:val="bottom"/>
          </w:tcPr>
          <w:p>
            <w:pPr>
              <w:spacing w:after="0"/>
              <w:rPr>
                <w:sz w:val="18"/>
                <w:szCs w:val="18"/>
                <w:color w:val="auto"/>
              </w:rPr>
            </w:pPr>
          </w:p>
        </w:tc>
        <w:tc>
          <w:tcPr>
            <w:tcW w:w="11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40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 net</w:t>
            </w: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98.8</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99.1</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91.6</w:t>
            </w:r>
          </w:p>
        </w:tc>
        <w:tc>
          <w:tcPr>
            <w:tcW w:w="0" w:type="dxa"/>
            <w:vAlign w:val="bottom"/>
          </w:tcPr>
          <w:p>
            <w:pPr>
              <w:spacing w:after="0"/>
              <w:rPr>
                <w:sz w:val="1"/>
                <w:szCs w:val="1"/>
                <w:color w:val="auto"/>
              </w:rPr>
            </w:pPr>
          </w:p>
        </w:tc>
      </w:tr>
      <w:tr>
        <w:trPr>
          <w:trHeight w:val="215"/>
        </w:trPr>
        <w:tc>
          <w:tcPr>
            <w:tcW w:w="5940" w:type="dxa"/>
            <w:vAlign w:val="bottom"/>
          </w:tcPr>
          <w:p>
            <w:pPr>
              <w:ind w:left="20"/>
              <w:spacing w:after="0"/>
              <w:rPr>
                <w:sz w:val="20"/>
                <w:szCs w:val="20"/>
                <w:color w:val="auto"/>
              </w:rPr>
            </w:pPr>
            <w:r>
              <w:rPr>
                <w:rFonts w:ascii="Arial" w:cs="Arial" w:eastAsia="Arial" w:hAnsi="Arial"/>
                <w:sz w:val="16"/>
                <w:szCs w:val="16"/>
                <w:color w:val="auto"/>
              </w:rPr>
              <w:t>Royalty advances, net</w:t>
            </w:r>
          </w:p>
        </w:tc>
        <w:tc>
          <w:tcPr>
            <w:tcW w:w="520" w:type="dxa"/>
            <w:vAlign w:val="bottom"/>
          </w:tcPr>
          <w:p>
            <w:pPr>
              <w:spacing w:after="0"/>
              <w:rPr>
                <w:sz w:val="18"/>
                <w:szCs w:val="18"/>
                <w:color w:val="auto"/>
              </w:rPr>
            </w:pPr>
          </w:p>
        </w:tc>
        <w:tc>
          <w:tcPr>
            <w:tcW w:w="1300" w:type="dxa"/>
            <w:vAlign w:val="bottom"/>
          </w:tcPr>
          <w:p>
            <w:pPr>
              <w:jc w:val="right"/>
              <w:ind w:right="539"/>
              <w:spacing w:after="0"/>
              <w:rPr>
                <w:sz w:val="20"/>
                <w:szCs w:val="20"/>
                <w:color w:val="auto"/>
              </w:rPr>
            </w:pPr>
            <w:r>
              <w:rPr>
                <w:rFonts w:ascii="Arial" w:cs="Arial" w:eastAsia="Arial" w:hAnsi="Arial"/>
                <w:sz w:val="16"/>
                <w:szCs w:val="16"/>
                <w:color w:val="auto"/>
              </w:rPr>
              <w:t>85.9</w:t>
            </w:r>
          </w:p>
        </w:tc>
        <w:tc>
          <w:tcPr>
            <w:tcW w:w="440" w:type="dxa"/>
            <w:vAlign w:val="bottom"/>
          </w:tcPr>
          <w:p>
            <w:pPr>
              <w:spacing w:after="0"/>
              <w:rPr>
                <w:sz w:val="18"/>
                <w:szCs w:val="18"/>
                <w:color w:val="auto"/>
              </w:rPr>
            </w:pPr>
          </w:p>
        </w:tc>
        <w:tc>
          <w:tcPr>
            <w:tcW w:w="1180" w:type="dxa"/>
            <w:vAlign w:val="bottom"/>
          </w:tcPr>
          <w:p>
            <w:pPr>
              <w:jc w:val="right"/>
              <w:ind w:right="379"/>
              <w:spacing w:after="0"/>
              <w:rPr>
                <w:sz w:val="20"/>
                <w:szCs w:val="20"/>
                <w:color w:val="auto"/>
              </w:rPr>
            </w:pPr>
            <w:r>
              <w:rPr>
                <w:rFonts w:ascii="Arial" w:cs="Arial" w:eastAsia="Arial" w:hAnsi="Arial"/>
                <w:sz w:val="16"/>
                <w:szCs w:val="16"/>
                <w:color w:val="auto"/>
              </w:rPr>
              <w:t>57.8</w:t>
            </w:r>
          </w:p>
        </w:tc>
        <w:tc>
          <w:tcPr>
            <w:tcW w:w="460" w:type="dxa"/>
            <w:vAlign w:val="bottom"/>
          </w:tcPr>
          <w:p>
            <w:pPr>
              <w:spacing w:after="0"/>
              <w:rPr>
                <w:sz w:val="18"/>
                <w:szCs w:val="18"/>
                <w:color w:val="auto"/>
              </w:rPr>
            </w:pPr>
          </w:p>
        </w:tc>
        <w:tc>
          <w:tcPr>
            <w:tcW w:w="1400" w:type="dxa"/>
            <w:vAlign w:val="bottom"/>
          </w:tcPr>
          <w:p>
            <w:pPr>
              <w:jc w:val="right"/>
              <w:ind w:right="439"/>
              <w:spacing w:after="0"/>
              <w:rPr>
                <w:sz w:val="20"/>
                <w:szCs w:val="20"/>
                <w:color w:val="auto"/>
              </w:rPr>
            </w:pPr>
            <w:r>
              <w:rPr>
                <w:rFonts w:ascii="Arial" w:cs="Arial" w:eastAsia="Arial" w:hAnsi="Arial"/>
                <w:sz w:val="16"/>
                <w:szCs w:val="16"/>
                <w:color w:val="auto"/>
              </w:rPr>
              <w:t>56.2</w:t>
            </w:r>
          </w:p>
        </w:tc>
        <w:tc>
          <w:tcPr>
            <w:tcW w:w="0" w:type="dxa"/>
            <w:vAlign w:val="bottom"/>
          </w:tcPr>
          <w:p>
            <w:pPr>
              <w:spacing w:after="0"/>
              <w:rPr>
                <w:sz w:val="1"/>
                <w:szCs w:val="1"/>
                <w:color w:val="auto"/>
              </w:rPr>
            </w:pPr>
          </w:p>
        </w:tc>
      </w:tr>
      <w:tr>
        <w:trPr>
          <w:trHeight w:val="217"/>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200.0</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132.8</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132.8</w:t>
            </w:r>
          </w:p>
        </w:tc>
        <w:tc>
          <w:tcPr>
            <w:tcW w:w="0" w:type="dxa"/>
            <w:vAlign w:val="bottom"/>
          </w:tcPr>
          <w:p>
            <w:pPr>
              <w:spacing w:after="0"/>
              <w:rPr>
                <w:sz w:val="1"/>
                <w:szCs w:val="1"/>
                <w:color w:val="auto"/>
              </w:rPr>
            </w:pPr>
          </w:p>
        </w:tc>
      </w:tr>
      <w:tr>
        <w:trPr>
          <w:trHeight w:val="215"/>
        </w:trPr>
        <w:tc>
          <w:tcPr>
            <w:tcW w:w="5940" w:type="dxa"/>
            <w:vAlign w:val="bottom"/>
          </w:tcPr>
          <w:p>
            <w:pPr>
              <w:ind w:left="20"/>
              <w:spacing w:after="0"/>
              <w:rPr>
                <w:sz w:val="20"/>
                <w:szCs w:val="20"/>
                <w:color w:val="auto"/>
              </w:rPr>
            </w:pPr>
            <w:r>
              <w:rPr>
                <w:rFonts w:ascii="Arial" w:cs="Arial" w:eastAsia="Arial" w:hAnsi="Arial"/>
                <w:sz w:val="16"/>
                <w:szCs w:val="16"/>
                <w:color w:val="auto"/>
              </w:rPr>
              <w:t>Other intangible assets, net</w:t>
            </w:r>
          </w:p>
        </w:tc>
        <w:tc>
          <w:tcPr>
            <w:tcW w:w="520" w:type="dxa"/>
            <w:vAlign w:val="bottom"/>
          </w:tcPr>
          <w:p>
            <w:pPr>
              <w:spacing w:after="0"/>
              <w:rPr>
                <w:sz w:val="18"/>
                <w:szCs w:val="18"/>
                <w:color w:val="auto"/>
              </w:rPr>
            </w:pPr>
          </w:p>
        </w:tc>
        <w:tc>
          <w:tcPr>
            <w:tcW w:w="1300" w:type="dxa"/>
            <w:vAlign w:val="bottom"/>
          </w:tcPr>
          <w:p>
            <w:pPr>
              <w:jc w:val="right"/>
              <w:ind w:right="539"/>
              <w:spacing w:after="0"/>
              <w:rPr>
                <w:sz w:val="20"/>
                <w:szCs w:val="20"/>
                <w:color w:val="auto"/>
              </w:rPr>
            </w:pPr>
            <w:r>
              <w:rPr>
                <w:rFonts w:ascii="Arial" w:cs="Arial" w:eastAsia="Arial" w:hAnsi="Arial"/>
                <w:sz w:val="16"/>
                <w:szCs w:val="16"/>
                <w:color w:val="auto"/>
              </w:rPr>
              <w:t>83.4</w:t>
            </w:r>
          </w:p>
        </w:tc>
        <w:tc>
          <w:tcPr>
            <w:tcW w:w="440" w:type="dxa"/>
            <w:vAlign w:val="bottom"/>
          </w:tcPr>
          <w:p>
            <w:pPr>
              <w:spacing w:after="0"/>
              <w:rPr>
                <w:sz w:val="18"/>
                <w:szCs w:val="18"/>
                <w:color w:val="auto"/>
              </w:rPr>
            </w:pPr>
          </w:p>
        </w:tc>
        <w:tc>
          <w:tcPr>
            <w:tcW w:w="1180" w:type="dxa"/>
            <w:vAlign w:val="bottom"/>
          </w:tcPr>
          <w:p>
            <w:pPr>
              <w:jc w:val="right"/>
              <w:ind w:right="379"/>
              <w:spacing w:after="0"/>
              <w:rPr>
                <w:sz w:val="20"/>
                <w:szCs w:val="20"/>
                <w:color w:val="auto"/>
              </w:rPr>
            </w:pPr>
            <w:r>
              <w:rPr>
                <w:rFonts w:ascii="Arial" w:cs="Arial" w:eastAsia="Arial" w:hAnsi="Arial"/>
                <w:sz w:val="16"/>
                <w:szCs w:val="16"/>
                <w:color w:val="auto"/>
              </w:rPr>
              <w:t>10.3</w:t>
            </w:r>
          </w:p>
        </w:tc>
        <w:tc>
          <w:tcPr>
            <w:tcW w:w="460" w:type="dxa"/>
            <w:vAlign w:val="bottom"/>
          </w:tcPr>
          <w:p>
            <w:pPr>
              <w:spacing w:after="0"/>
              <w:rPr>
                <w:sz w:val="18"/>
                <w:szCs w:val="18"/>
                <w:color w:val="auto"/>
              </w:rPr>
            </w:pPr>
          </w:p>
        </w:tc>
        <w:tc>
          <w:tcPr>
            <w:tcW w:w="1400" w:type="dxa"/>
            <w:vAlign w:val="bottom"/>
          </w:tcPr>
          <w:p>
            <w:pPr>
              <w:jc w:val="right"/>
              <w:ind w:right="439"/>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17"/>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deferred income taxes</w:t>
            </w: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23.0</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23.1</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15"/>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assets and deferred charges</w:t>
            </w:r>
          </w:p>
        </w:tc>
        <w:tc>
          <w:tcPr>
            <w:tcW w:w="5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111.0</w:t>
            </w: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109.8</w:t>
            </w:r>
          </w:p>
        </w:tc>
        <w:tc>
          <w:tcPr>
            <w:tcW w:w="4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104.3</w:t>
            </w:r>
          </w:p>
        </w:tc>
        <w:tc>
          <w:tcPr>
            <w:tcW w:w="0" w:type="dxa"/>
            <w:vAlign w:val="bottom"/>
          </w:tcPr>
          <w:p>
            <w:pPr>
              <w:spacing w:after="0"/>
              <w:rPr>
                <w:sz w:val="1"/>
                <w:szCs w:val="1"/>
                <w:color w:val="auto"/>
              </w:rPr>
            </w:pPr>
          </w:p>
        </w:tc>
      </w:tr>
      <w:tr>
        <w:trPr>
          <w:trHeight w:val="233"/>
        </w:trPr>
        <w:tc>
          <w:tcPr>
            <w:tcW w:w="5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noncurrent assets</w:t>
            </w:r>
          </w:p>
        </w:tc>
        <w:tc>
          <w:tcPr>
            <w:tcW w:w="5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1,204.3</w:t>
            </w:r>
          </w:p>
        </w:tc>
        <w:tc>
          <w:tcPr>
            <w:tcW w:w="4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994.3</w:t>
            </w:r>
          </w:p>
        </w:tc>
        <w:tc>
          <w:tcPr>
            <w:tcW w:w="4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986.5</w:t>
            </w:r>
          </w:p>
        </w:tc>
        <w:tc>
          <w:tcPr>
            <w:tcW w:w="0" w:type="dxa"/>
            <w:vAlign w:val="bottom"/>
          </w:tcPr>
          <w:p>
            <w:pPr>
              <w:spacing w:after="0"/>
              <w:rPr>
                <w:sz w:val="1"/>
                <w:szCs w:val="1"/>
                <w:color w:val="auto"/>
              </w:rPr>
            </w:pPr>
          </w:p>
        </w:tc>
      </w:tr>
      <w:tr>
        <w:trPr>
          <w:trHeight w:val="236"/>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assets</w:t>
            </w: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1,961.3</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1,671.2</w:t>
            </w: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1,715.2</w:t>
            </w:r>
          </w:p>
        </w:tc>
        <w:tc>
          <w:tcPr>
            <w:tcW w:w="0" w:type="dxa"/>
            <w:vAlign w:val="bottom"/>
          </w:tcPr>
          <w:p>
            <w:pPr>
              <w:spacing w:after="0"/>
              <w:rPr>
                <w:sz w:val="1"/>
                <w:szCs w:val="1"/>
                <w:color w:val="auto"/>
              </w:rPr>
            </w:pPr>
          </w:p>
        </w:tc>
      </w:tr>
      <w:tr>
        <w:trPr>
          <w:trHeight w:val="240"/>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5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94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Lines of credit and current portion of long-term debt</w:t>
            </w:r>
          </w:p>
        </w:tc>
        <w:tc>
          <w:tcPr>
            <w:tcW w:w="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5.8</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6.0</w:t>
            </w: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215"/>
        </w:trPr>
        <w:tc>
          <w:tcPr>
            <w:tcW w:w="5940" w:type="dxa"/>
            <w:vAlign w:val="bottom"/>
          </w:tcPr>
          <w:p>
            <w:pPr>
              <w:ind w:left="20"/>
              <w:spacing w:after="0"/>
              <w:rPr>
                <w:sz w:val="20"/>
                <w:szCs w:val="20"/>
                <w:color w:val="auto"/>
              </w:rPr>
            </w:pPr>
            <w:r>
              <w:rPr>
                <w:rFonts w:ascii="Arial" w:cs="Arial" w:eastAsia="Arial" w:hAnsi="Arial"/>
                <w:sz w:val="16"/>
                <w:szCs w:val="16"/>
                <w:color w:val="auto"/>
              </w:rPr>
              <w:t>Film related obligations</w:t>
            </w:r>
          </w:p>
        </w:tc>
        <w:tc>
          <w:tcPr>
            <w:tcW w:w="520" w:type="dxa"/>
            <w:vAlign w:val="bottom"/>
          </w:tcPr>
          <w:p>
            <w:pPr>
              <w:spacing w:after="0"/>
              <w:rPr>
                <w:sz w:val="18"/>
                <w:szCs w:val="18"/>
                <w:color w:val="auto"/>
              </w:rPr>
            </w:pPr>
          </w:p>
        </w:tc>
        <w:tc>
          <w:tcPr>
            <w:tcW w:w="1300" w:type="dxa"/>
            <w:vAlign w:val="bottom"/>
          </w:tcPr>
          <w:p>
            <w:pPr>
              <w:jc w:val="right"/>
              <w:ind w:right="539"/>
              <w:spacing w:after="0"/>
              <w:rPr>
                <w:sz w:val="20"/>
                <w:szCs w:val="20"/>
                <w:color w:val="auto"/>
              </w:rPr>
            </w:pPr>
            <w:r>
              <w:rPr>
                <w:rFonts w:ascii="Arial" w:cs="Arial" w:eastAsia="Arial" w:hAnsi="Arial"/>
                <w:sz w:val="16"/>
                <w:szCs w:val="16"/>
                <w:color w:val="auto"/>
              </w:rPr>
              <w:t>18.8</w:t>
            </w:r>
          </w:p>
        </w:tc>
        <w:tc>
          <w:tcPr>
            <w:tcW w:w="440" w:type="dxa"/>
            <w:vAlign w:val="bottom"/>
          </w:tcPr>
          <w:p>
            <w:pPr>
              <w:spacing w:after="0"/>
              <w:rPr>
                <w:sz w:val="18"/>
                <w:szCs w:val="18"/>
                <w:color w:val="auto"/>
              </w:rPr>
            </w:pPr>
          </w:p>
        </w:tc>
        <w:tc>
          <w:tcPr>
            <w:tcW w:w="11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40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133.5</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138.5</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126.1</w:t>
            </w:r>
          </w:p>
        </w:tc>
        <w:tc>
          <w:tcPr>
            <w:tcW w:w="0" w:type="dxa"/>
            <w:vAlign w:val="bottom"/>
          </w:tcPr>
          <w:p>
            <w:pPr>
              <w:spacing w:after="0"/>
              <w:rPr>
                <w:sz w:val="1"/>
                <w:szCs w:val="1"/>
                <w:color w:val="auto"/>
              </w:rPr>
            </w:pPr>
          </w:p>
        </w:tc>
      </w:tr>
      <w:tr>
        <w:trPr>
          <w:trHeight w:val="215"/>
        </w:trPr>
        <w:tc>
          <w:tcPr>
            <w:tcW w:w="5940" w:type="dxa"/>
            <w:vAlign w:val="bottom"/>
          </w:tcPr>
          <w:p>
            <w:pPr>
              <w:ind w:left="20"/>
              <w:spacing w:after="0"/>
              <w:rPr>
                <w:sz w:val="20"/>
                <w:szCs w:val="20"/>
                <w:color w:val="auto"/>
              </w:rPr>
            </w:pPr>
            <w:r>
              <w:rPr>
                <w:rFonts w:ascii="Arial" w:cs="Arial" w:eastAsia="Arial" w:hAnsi="Arial"/>
                <w:sz w:val="16"/>
                <w:szCs w:val="16"/>
                <w:color w:val="auto"/>
              </w:rPr>
              <w:t>Accrued royalties</w:t>
            </w:r>
          </w:p>
        </w:tc>
        <w:tc>
          <w:tcPr>
            <w:tcW w:w="520" w:type="dxa"/>
            <w:vAlign w:val="bottom"/>
          </w:tcPr>
          <w:p>
            <w:pPr>
              <w:spacing w:after="0"/>
              <w:rPr>
                <w:sz w:val="18"/>
                <w:szCs w:val="18"/>
                <w:color w:val="auto"/>
              </w:rPr>
            </w:pPr>
          </w:p>
        </w:tc>
        <w:tc>
          <w:tcPr>
            <w:tcW w:w="1300" w:type="dxa"/>
            <w:vAlign w:val="bottom"/>
          </w:tcPr>
          <w:p>
            <w:pPr>
              <w:jc w:val="right"/>
              <w:ind w:right="539"/>
              <w:spacing w:after="0"/>
              <w:rPr>
                <w:sz w:val="20"/>
                <w:szCs w:val="20"/>
                <w:color w:val="auto"/>
              </w:rPr>
            </w:pPr>
            <w:r>
              <w:rPr>
                <w:rFonts w:ascii="Arial" w:cs="Arial" w:eastAsia="Arial" w:hAnsi="Arial"/>
                <w:sz w:val="16"/>
                <w:szCs w:val="16"/>
                <w:color w:val="auto"/>
              </w:rPr>
              <w:t>85.1</w:t>
            </w:r>
          </w:p>
        </w:tc>
        <w:tc>
          <w:tcPr>
            <w:tcW w:w="440" w:type="dxa"/>
            <w:vAlign w:val="bottom"/>
          </w:tcPr>
          <w:p>
            <w:pPr>
              <w:spacing w:after="0"/>
              <w:rPr>
                <w:sz w:val="18"/>
                <w:szCs w:val="18"/>
                <w:color w:val="auto"/>
              </w:rPr>
            </w:pPr>
          </w:p>
        </w:tc>
        <w:tc>
          <w:tcPr>
            <w:tcW w:w="1180" w:type="dxa"/>
            <w:vAlign w:val="bottom"/>
          </w:tcPr>
          <w:p>
            <w:pPr>
              <w:jc w:val="right"/>
              <w:ind w:right="379"/>
              <w:spacing w:after="0"/>
              <w:rPr>
                <w:sz w:val="20"/>
                <w:szCs w:val="20"/>
                <w:color w:val="auto"/>
              </w:rPr>
            </w:pPr>
            <w:r>
              <w:rPr>
                <w:rFonts w:ascii="Arial" w:cs="Arial" w:eastAsia="Arial" w:hAnsi="Arial"/>
                <w:sz w:val="16"/>
                <w:szCs w:val="16"/>
                <w:color w:val="auto"/>
              </w:rPr>
              <w:t>48.5</w:t>
            </w:r>
          </w:p>
        </w:tc>
        <w:tc>
          <w:tcPr>
            <w:tcW w:w="460" w:type="dxa"/>
            <w:vAlign w:val="bottom"/>
          </w:tcPr>
          <w:p>
            <w:pPr>
              <w:spacing w:after="0"/>
              <w:rPr>
                <w:sz w:val="18"/>
                <w:szCs w:val="18"/>
                <w:color w:val="auto"/>
              </w:rPr>
            </w:pPr>
          </w:p>
        </w:tc>
        <w:tc>
          <w:tcPr>
            <w:tcW w:w="1400" w:type="dxa"/>
            <w:vAlign w:val="bottom"/>
          </w:tcPr>
          <w:p>
            <w:pPr>
              <w:jc w:val="right"/>
              <w:ind w:right="439"/>
              <w:spacing w:after="0"/>
              <w:rPr>
                <w:sz w:val="20"/>
                <w:szCs w:val="20"/>
                <w:color w:val="auto"/>
              </w:rPr>
            </w:pPr>
            <w:r>
              <w:rPr>
                <w:rFonts w:ascii="Arial" w:cs="Arial" w:eastAsia="Arial" w:hAnsi="Arial"/>
                <w:sz w:val="16"/>
                <w:szCs w:val="16"/>
                <w:color w:val="auto"/>
              </w:rPr>
              <w:t>75.1</w:t>
            </w:r>
          </w:p>
        </w:tc>
        <w:tc>
          <w:tcPr>
            <w:tcW w:w="0" w:type="dxa"/>
            <w:vAlign w:val="bottom"/>
          </w:tcPr>
          <w:p>
            <w:pPr>
              <w:spacing w:after="0"/>
              <w:rPr>
                <w:sz w:val="1"/>
                <w:szCs w:val="1"/>
                <w:color w:val="auto"/>
              </w:rPr>
            </w:pPr>
          </w:p>
        </w:tc>
      </w:tr>
      <w:tr>
        <w:trPr>
          <w:trHeight w:val="217"/>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w:t>
            </w: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205.2</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161.1</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193.8</w:t>
            </w:r>
          </w:p>
        </w:tc>
        <w:tc>
          <w:tcPr>
            <w:tcW w:w="0" w:type="dxa"/>
            <w:vAlign w:val="bottom"/>
          </w:tcPr>
          <w:p>
            <w:pPr>
              <w:spacing w:after="0"/>
              <w:rPr>
                <w:sz w:val="1"/>
                <w:szCs w:val="1"/>
                <w:color w:val="auto"/>
              </w:rPr>
            </w:pPr>
          </w:p>
        </w:tc>
      </w:tr>
      <w:tr>
        <w:trPr>
          <w:trHeight w:val="215"/>
        </w:trPr>
        <w:tc>
          <w:tcPr>
            <w:tcW w:w="5940" w:type="dxa"/>
            <w:vAlign w:val="bottom"/>
          </w:tcPr>
          <w:p>
            <w:pPr>
              <w:ind w:left="20"/>
              <w:spacing w:after="0"/>
              <w:rPr>
                <w:sz w:val="20"/>
                <w:szCs w:val="20"/>
                <w:color w:val="auto"/>
              </w:rPr>
            </w:pPr>
            <w:r>
              <w:rPr>
                <w:rFonts w:ascii="Arial" w:cs="Arial" w:eastAsia="Arial" w:hAnsi="Arial"/>
                <w:sz w:val="16"/>
                <w:szCs w:val="16"/>
                <w:color w:val="auto"/>
              </w:rPr>
              <w:t>Other accrued expenses</w:t>
            </w:r>
          </w:p>
        </w:tc>
        <w:tc>
          <w:tcPr>
            <w:tcW w:w="520" w:type="dxa"/>
            <w:vAlign w:val="bottom"/>
          </w:tcPr>
          <w:p>
            <w:pPr>
              <w:spacing w:after="0"/>
              <w:rPr>
                <w:sz w:val="18"/>
                <w:szCs w:val="18"/>
                <w:color w:val="auto"/>
              </w:rPr>
            </w:pPr>
          </w:p>
        </w:tc>
        <w:tc>
          <w:tcPr>
            <w:tcW w:w="1300" w:type="dxa"/>
            <w:vAlign w:val="bottom"/>
          </w:tcPr>
          <w:p>
            <w:pPr>
              <w:jc w:val="right"/>
              <w:ind w:right="539"/>
              <w:spacing w:after="0"/>
              <w:rPr>
                <w:sz w:val="20"/>
                <w:szCs w:val="20"/>
                <w:color w:val="auto"/>
              </w:rPr>
            </w:pPr>
            <w:r>
              <w:rPr>
                <w:rFonts w:ascii="Arial" w:cs="Arial" w:eastAsia="Arial" w:hAnsi="Arial"/>
                <w:sz w:val="16"/>
                <w:szCs w:val="16"/>
                <w:color w:val="auto"/>
              </w:rPr>
              <w:t>140.2</w:t>
            </w:r>
          </w:p>
        </w:tc>
        <w:tc>
          <w:tcPr>
            <w:tcW w:w="440" w:type="dxa"/>
            <w:vAlign w:val="bottom"/>
          </w:tcPr>
          <w:p>
            <w:pPr>
              <w:spacing w:after="0"/>
              <w:rPr>
                <w:sz w:val="18"/>
                <w:szCs w:val="18"/>
                <w:color w:val="auto"/>
              </w:rPr>
            </w:pPr>
          </w:p>
        </w:tc>
        <w:tc>
          <w:tcPr>
            <w:tcW w:w="1180" w:type="dxa"/>
            <w:vAlign w:val="bottom"/>
          </w:tcPr>
          <w:p>
            <w:pPr>
              <w:jc w:val="right"/>
              <w:ind w:right="379"/>
              <w:spacing w:after="0"/>
              <w:rPr>
                <w:sz w:val="20"/>
                <w:szCs w:val="20"/>
                <w:color w:val="auto"/>
              </w:rPr>
            </w:pPr>
            <w:r>
              <w:rPr>
                <w:rFonts w:ascii="Arial" w:cs="Arial" w:eastAsia="Arial" w:hAnsi="Arial"/>
                <w:sz w:val="16"/>
                <w:szCs w:val="16"/>
                <w:color w:val="auto"/>
              </w:rPr>
              <w:t>156.3</w:t>
            </w:r>
          </w:p>
        </w:tc>
        <w:tc>
          <w:tcPr>
            <w:tcW w:w="460" w:type="dxa"/>
            <w:vAlign w:val="bottom"/>
          </w:tcPr>
          <w:p>
            <w:pPr>
              <w:spacing w:after="0"/>
              <w:rPr>
                <w:sz w:val="18"/>
                <w:szCs w:val="18"/>
                <w:color w:val="auto"/>
              </w:rPr>
            </w:pPr>
          </w:p>
        </w:tc>
        <w:tc>
          <w:tcPr>
            <w:tcW w:w="1400" w:type="dxa"/>
            <w:vAlign w:val="bottom"/>
          </w:tcPr>
          <w:p>
            <w:pPr>
              <w:jc w:val="right"/>
              <w:ind w:right="439"/>
              <w:spacing w:after="0"/>
              <w:rPr>
                <w:sz w:val="20"/>
                <w:szCs w:val="20"/>
                <w:color w:val="auto"/>
              </w:rPr>
            </w:pPr>
            <w:r>
              <w:rPr>
                <w:rFonts w:ascii="Arial" w:cs="Arial" w:eastAsia="Arial" w:hAnsi="Arial"/>
                <w:sz w:val="16"/>
                <w:szCs w:val="16"/>
                <w:color w:val="auto"/>
              </w:rPr>
              <w:t>156.7</w:t>
            </w:r>
          </w:p>
        </w:tc>
        <w:tc>
          <w:tcPr>
            <w:tcW w:w="0" w:type="dxa"/>
            <w:vAlign w:val="bottom"/>
          </w:tcPr>
          <w:p>
            <w:pPr>
              <w:spacing w:after="0"/>
              <w:rPr>
                <w:sz w:val="1"/>
                <w:szCs w:val="1"/>
                <w:color w:val="auto"/>
              </w:rPr>
            </w:pPr>
          </w:p>
        </w:tc>
      </w:tr>
      <w:tr>
        <w:trPr>
          <w:trHeight w:val="217"/>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income taxes</w:t>
            </w: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2.6</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1.9</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5"/>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Operating lease liabilities</w:t>
            </w:r>
          </w:p>
        </w:tc>
        <w:tc>
          <w:tcPr>
            <w:tcW w:w="5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25.5</w:t>
            </w: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22.4</w:t>
            </w:r>
          </w:p>
        </w:tc>
        <w:tc>
          <w:tcPr>
            <w:tcW w:w="4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33"/>
        </w:trPr>
        <w:tc>
          <w:tcPr>
            <w:tcW w:w="5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current liabilities</w:t>
            </w:r>
          </w:p>
        </w:tc>
        <w:tc>
          <w:tcPr>
            <w:tcW w:w="5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616.7</w:t>
            </w:r>
          </w:p>
        </w:tc>
        <w:tc>
          <w:tcPr>
            <w:tcW w:w="4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534.7</w:t>
            </w:r>
          </w:p>
        </w:tc>
        <w:tc>
          <w:tcPr>
            <w:tcW w:w="4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608.5</w:t>
            </w:r>
          </w:p>
        </w:tc>
        <w:tc>
          <w:tcPr>
            <w:tcW w:w="0" w:type="dxa"/>
            <w:vAlign w:val="bottom"/>
          </w:tcPr>
          <w:p>
            <w:pPr>
              <w:spacing w:after="0"/>
              <w:rPr>
                <w:sz w:val="1"/>
                <w:szCs w:val="1"/>
                <w:color w:val="auto"/>
              </w:rPr>
            </w:pPr>
          </w:p>
        </w:tc>
      </w:tr>
      <w:tr>
        <w:trPr>
          <w:trHeight w:val="237"/>
        </w:trPr>
        <w:tc>
          <w:tcPr>
            <w:tcW w:w="5940" w:type="dxa"/>
            <w:vAlign w:val="bottom"/>
          </w:tcPr>
          <w:p>
            <w:pPr>
              <w:ind w:left="20"/>
              <w:spacing w:after="0"/>
              <w:rPr>
                <w:sz w:val="20"/>
                <w:szCs w:val="20"/>
                <w:color w:val="auto"/>
              </w:rPr>
            </w:pPr>
            <w:r>
              <w:rPr>
                <w:rFonts w:ascii="Arial" w:cs="Arial" w:eastAsia="Arial" w:hAnsi="Arial"/>
                <w:sz w:val="16"/>
                <w:szCs w:val="16"/>
                <w:b w:val="1"/>
                <w:bCs w:val="1"/>
                <w:color w:val="auto"/>
              </w:rPr>
              <w:t>Noncurrent Liabilities:</w:t>
            </w:r>
          </w:p>
        </w:tc>
        <w:tc>
          <w:tcPr>
            <w:tcW w:w="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275.0</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940" w:type="dxa"/>
            <w:vAlign w:val="bottom"/>
          </w:tcPr>
          <w:p>
            <w:pPr>
              <w:ind w:left="20"/>
              <w:spacing w:after="0"/>
              <w:rPr>
                <w:sz w:val="20"/>
                <w:szCs w:val="20"/>
                <w:color w:val="auto"/>
              </w:rPr>
            </w:pPr>
            <w:r>
              <w:rPr>
                <w:rFonts w:ascii="Arial" w:cs="Arial" w:eastAsia="Arial" w:hAnsi="Arial"/>
                <w:sz w:val="16"/>
                <w:szCs w:val="16"/>
                <w:color w:val="auto"/>
              </w:rPr>
              <w:t>Operating lease liabilities</w:t>
            </w:r>
          </w:p>
        </w:tc>
        <w:tc>
          <w:tcPr>
            <w:tcW w:w="520" w:type="dxa"/>
            <w:vAlign w:val="bottom"/>
          </w:tcPr>
          <w:p>
            <w:pPr>
              <w:spacing w:after="0"/>
              <w:rPr>
                <w:sz w:val="18"/>
                <w:szCs w:val="18"/>
                <w:color w:val="auto"/>
              </w:rPr>
            </w:pPr>
          </w:p>
        </w:tc>
        <w:tc>
          <w:tcPr>
            <w:tcW w:w="1300" w:type="dxa"/>
            <w:vAlign w:val="bottom"/>
          </w:tcPr>
          <w:p>
            <w:pPr>
              <w:jc w:val="right"/>
              <w:ind w:right="539"/>
              <w:spacing w:after="0"/>
              <w:rPr>
                <w:sz w:val="20"/>
                <w:szCs w:val="20"/>
                <w:color w:val="auto"/>
              </w:rPr>
            </w:pPr>
            <w:r>
              <w:rPr>
                <w:rFonts w:ascii="Arial" w:cs="Arial" w:eastAsia="Arial" w:hAnsi="Arial"/>
                <w:sz w:val="16"/>
                <w:szCs w:val="16"/>
                <w:color w:val="auto"/>
              </w:rPr>
              <w:t>84.4</w:t>
            </w:r>
          </w:p>
        </w:tc>
        <w:tc>
          <w:tcPr>
            <w:tcW w:w="440" w:type="dxa"/>
            <w:vAlign w:val="bottom"/>
          </w:tcPr>
          <w:p>
            <w:pPr>
              <w:spacing w:after="0"/>
              <w:rPr>
                <w:sz w:val="18"/>
                <w:szCs w:val="18"/>
                <w:color w:val="auto"/>
              </w:rPr>
            </w:pPr>
          </w:p>
        </w:tc>
        <w:tc>
          <w:tcPr>
            <w:tcW w:w="1180" w:type="dxa"/>
            <w:vAlign w:val="bottom"/>
          </w:tcPr>
          <w:p>
            <w:pPr>
              <w:jc w:val="right"/>
              <w:ind w:right="379"/>
              <w:spacing w:after="0"/>
              <w:rPr>
                <w:sz w:val="20"/>
                <w:szCs w:val="20"/>
                <w:color w:val="auto"/>
              </w:rPr>
            </w:pPr>
            <w:r>
              <w:rPr>
                <w:rFonts w:ascii="Arial" w:cs="Arial" w:eastAsia="Arial" w:hAnsi="Arial"/>
                <w:sz w:val="16"/>
                <w:szCs w:val="16"/>
                <w:color w:val="auto"/>
              </w:rPr>
              <w:t>89.2</w:t>
            </w:r>
          </w:p>
        </w:tc>
        <w:tc>
          <w:tcPr>
            <w:tcW w:w="460" w:type="dxa"/>
            <w:vAlign w:val="bottom"/>
          </w:tcPr>
          <w:p>
            <w:pPr>
              <w:spacing w:after="0"/>
              <w:rPr>
                <w:sz w:val="18"/>
                <w:szCs w:val="18"/>
                <w:color w:val="auto"/>
              </w:rPr>
            </w:pPr>
          </w:p>
        </w:tc>
        <w:tc>
          <w:tcPr>
            <w:tcW w:w="1400" w:type="dxa"/>
            <w:vAlign w:val="bottom"/>
          </w:tcPr>
          <w:p>
            <w:pPr>
              <w:jc w:val="right"/>
              <w:ind w:right="439"/>
              <w:spacing w:after="0"/>
              <w:rPr>
                <w:sz w:val="20"/>
                <w:szCs w:val="20"/>
                <w:color w:val="auto"/>
              </w:rPr>
            </w:pPr>
            <w:r>
              <w:rPr>
                <w:rFonts w:ascii="Arial" w:cs="Arial" w:eastAsia="Arial" w:hAnsi="Arial"/>
                <w:sz w:val="16"/>
                <w:szCs w:val="16"/>
                <w:color w:val="auto"/>
              </w:rPr>
              <w:t>79.4</w:t>
            </w:r>
          </w:p>
        </w:tc>
        <w:tc>
          <w:tcPr>
            <w:tcW w:w="0" w:type="dxa"/>
            <w:vAlign w:val="bottom"/>
          </w:tcPr>
          <w:p>
            <w:pPr>
              <w:spacing w:after="0"/>
              <w:rPr>
                <w:sz w:val="1"/>
                <w:szCs w:val="1"/>
                <w:color w:val="auto"/>
              </w:rPr>
            </w:pPr>
          </w:p>
        </w:tc>
      </w:tr>
      <w:tr>
        <w:trPr>
          <w:trHeight w:val="216"/>
        </w:trPr>
        <w:tc>
          <w:tcPr>
            <w:tcW w:w="5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5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43.9</w:t>
            </w:r>
          </w:p>
        </w:tc>
        <w:tc>
          <w:tcPr>
            <w:tcW w:w="4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29.2</w:t>
            </w:r>
          </w:p>
        </w:tc>
        <w:tc>
          <w:tcPr>
            <w:tcW w:w="4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29.7</w:t>
            </w:r>
          </w:p>
        </w:tc>
        <w:tc>
          <w:tcPr>
            <w:tcW w:w="0" w:type="dxa"/>
            <w:vAlign w:val="bottom"/>
          </w:tcPr>
          <w:p>
            <w:pPr>
              <w:spacing w:after="0"/>
              <w:rPr>
                <w:sz w:val="1"/>
                <w:szCs w:val="1"/>
                <w:color w:val="auto"/>
              </w:rPr>
            </w:pPr>
          </w:p>
        </w:tc>
      </w:tr>
      <w:tr>
        <w:trPr>
          <w:trHeight w:val="233"/>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noncurrent liabilities</w:t>
            </w:r>
          </w:p>
        </w:tc>
        <w:tc>
          <w:tcPr>
            <w:tcW w:w="5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403.3</w:t>
            </w:r>
          </w:p>
        </w:tc>
        <w:tc>
          <w:tcPr>
            <w:tcW w:w="4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118.4</w:t>
            </w:r>
          </w:p>
        </w:tc>
        <w:tc>
          <w:tcPr>
            <w:tcW w:w="4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109.1</w:t>
            </w:r>
          </w:p>
        </w:tc>
        <w:tc>
          <w:tcPr>
            <w:tcW w:w="0" w:type="dxa"/>
            <w:vAlign w:val="bottom"/>
          </w:tcPr>
          <w:p>
            <w:pPr>
              <w:spacing w:after="0"/>
              <w:rPr>
                <w:sz w:val="1"/>
                <w:szCs w:val="1"/>
                <w:color w:val="auto"/>
              </w:rPr>
            </w:pPr>
          </w:p>
        </w:tc>
      </w:tr>
      <w:tr>
        <w:trPr>
          <w:trHeight w:val="240"/>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Commitments and Contingencies (see Note 5)</w:t>
            </w:r>
          </w:p>
        </w:tc>
        <w:tc>
          <w:tcPr>
            <w:tcW w:w="52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w:t>
            </w:r>
          </w:p>
        </w:tc>
        <w:tc>
          <w:tcPr>
            <w:tcW w:w="44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w:t>
            </w:r>
          </w:p>
        </w:tc>
        <w:tc>
          <w:tcPr>
            <w:tcW w:w="46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9"/>
        </w:trPr>
        <w:tc>
          <w:tcPr>
            <w:tcW w:w="5940" w:type="dxa"/>
            <w:vAlign w:val="bottom"/>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594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rPr>
              <w:t>Preferred Stock, $1.00 par value: Authorized, 2.0 shares; Issued and</w:t>
            </w:r>
          </w:p>
        </w:tc>
        <w:tc>
          <w:tcPr>
            <w:tcW w:w="5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vMerge w:val="restart"/>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vMerge w:val="restart"/>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4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vMerge w:val="restart"/>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none</w:t>
            </w:r>
          </w:p>
        </w:tc>
        <w:tc>
          <w:tcPr>
            <w:tcW w:w="520" w:type="dxa"/>
            <w:vAlign w:val="bottom"/>
            <w:vMerge w:val="continue"/>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940" w:type="dxa"/>
            <w:vAlign w:val="bottom"/>
          </w:tcPr>
          <w:p>
            <w:pPr>
              <w:ind w:left="20"/>
              <w:spacing w:after="0" w:line="162" w:lineRule="exact"/>
              <w:rPr>
                <w:sz w:val="20"/>
                <w:szCs w:val="20"/>
                <w:color w:val="auto"/>
              </w:rPr>
            </w:pPr>
            <w:r>
              <w:rPr>
                <w:rFonts w:ascii="Arial" w:cs="Arial" w:eastAsia="Arial" w:hAnsi="Arial"/>
                <w:sz w:val="16"/>
                <w:szCs w:val="16"/>
                <w:color w:val="auto"/>
              </w:rPr>
              <w:t>Class A Stock, $0.01 par value: Authorized, 3.2 shares; Issued and Outstanding,</w:t>
            </w:r>
          </w:p>
        </w:tc>
        <w:tc>
          <w:tcPr>
            <w:tcW w:w="520" w:type="dxa"/>
            <w:vAlign w:val="bottom"/>
          </w:tcPr>
          <w:p>
            <w:pPr>
              <w:spacing w:after="0"/>
              <w:rPr>
                <w:sz w:val="14"/>
                <w:szCs w:val="14"/>
                <w:color w:val="auto"/>
              </w:rPr>
            </w:pPr>
          </w:p>
        </w:tc>
        <w:tc>
          <w:tcPr>
            <w:tcW w:w="1300" w:type="dxa"/>
            <w:vAlign w:val="bottom"/>
            <w:vMerge w:val="restart"/>
          </w:tcPr>
          <w:p>
            <w:pPr>
              <w:jc w:val="right"/>
              <w:ind w:right="539"/>
              <w:spacing w:after="0"/>
              <w:rPr>
                <w:sz w:val="20"/>
                <w:szCs w:val="20"/>
                <w:color w:val="auto"/>
              </w:rPr>
            </w:pPr>
            <w:r>
              <w:rPr>
                <w:rFonts w:ascii="Arial" w:cs="Arial" w:eastAsia="Arial" w:hAnsi="Arial"/>
                <w:sz w:val="16"/>
                <w:szCs w:val="16"/>
                <w:color w:val="auto"/>
              </w:rPr>
              <w:t>0.0</w:t>
            </w:r>
          </w:p>
        </w:tc>
        <w:tc>
          <w:tcPr>
            <w:tcW w:w="440" w:type="dxa"/>
            <w:vAlign w:val="bottom"/>
          </w:tcPr>
          <w:p>
            <w:pPr>
              <w:spacing w:after="0"/>
              <w:rPr>
                <w:sz w:val="14"/>
                <w:szCs w:val="14"/>
                <w:color w:val="auto"/>
              </w:rPr>
            </w:pPr>
          </w:p>
        </w:tc>
        <w:tc>
          <w:tcPr>
            <w:tcW w:w="1180" w:type="dxa"/>
            <w:vAlign w:val="bottom"/>
            <w:vMerge w:val="restart"/>
          </w:tcPr>
          <w:p>
            <w:pPr>
              <w:jc w:val="right"/>
              <w:ind w:right="379"/>
              <w:spacing w:after="0"/>
              <w:rPr>
                <w:sz w:val="20"/>
                <w:szCs w:val="20"/>
                <w:color w:val="auto"/>
              </w:rPr>
            </w:pPr>
            <w:r>
              <w:rPr>
                <w:rFonts w:ascii="Arial" w:cs="Arial" w:eastAsia="Arial" w:hAnsi="Arial"/>
                <w:sz w:val="16"/>
                <w:szCs w:val="16"/>
                <w:color w:val="auto"/>
              </w:rPr>
              <w:t>0.0</w:t>
            </w:r>
          </w:p>
        </w:tc>
        <w:tc>
          <w:tcPr>
            <w:tcW w:w="460" w:type="dxa"/>
            <w:vAlign w:val="bottom"/>
          </w:tcPr>
          <w:p>
            <w:pPr>
              <w:spacing w:after="0"/>
              <w:rPr>
                <w:sz w:val="14"/>
                <w:szCs w:val="14"/>
                <w:color w:val="auto"/>
              </w:rPr>
            </w:pPr>
          </w:p>
        </w:tc>
        <w:tc>
          <w:tcPr>
            <w:tcW w:w="1400" w:type="dxa"/>
            <w:vAlign w:val="bottom"/>
            <w:vMerge w:val="restart"/>
          </w:tcPr>
          <w:p>
            <w:pPr>
              <w:jc w:val="right"/>
              <w:ind w:right="439"/>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5"/>
        </w:trPr>
        <w:tc>
          <w:tcPr>
            <w:tcW w:w="5940" w:type="dxa"/>
            <w:vAlign w:val="bottom"/>
          </w:tcPr>
          <w:p>
            <w:pPr>
              <w:ind w:left="20"/>
              <w:spacing w:after="0"/>
              <w:rPr>
                <w:sz w:val="20"/>
                <w:szCs w:val="20"/>
                <w:color w:val="auto"/>
              </w:rPr>
            </w:pPr>
            <w:r>
              <w:rPr>
                <w:rFonts w:ascii="Arial" w:cs="Arial" w:eastAsia="Arial" w:hAnsi="Arial"/>
                <w:sz w:val="16"/>
                <w:szCs w:val="16"/>
                <w:color w:val="auto"/>
              </w:rPr>
              <w:t>0.8 shares</w:t>
            </w:r>
          </w:p>
        </w:tc>
        <w:tc>
          <w:tcPr>
            <w:tcW w:w="5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94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Common Stock, $0.01 par value: Authorized, 70.0 shares; Issued, 42.9 shares;</w:t>
            </w:r>
          </w:p>
        </w:tc>
        <w:tc>
          <w:tcPr>
            <w:tcW w:w="5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ind w:right="539"/>
              <w:spacing w:after="0"/>
              <w:rPr>
                <w:sz w:val="20"/>
                <w:szCs w:val="20"/>
                <w:color w:val="auto"/>
              </w:rPr>
            </w:pPr>
            <w:r>
              <w:rPr>
                <w:rFonts w:ascii="Arial" w:cs="Arial" w:eastAsia="Arial" w:hAnsi="Arial"/>
                <w:sz w:val="16"/>
                <w:szCs w:val="16"/>
                <w:color w:val="auto"/>
              </w:rPr>
              <w:t>0.4</w:t>
            </w:r>
          </w:p>
        </w:tc>
        <w:tc>
          <w:tcPr>
            <w:tcW w:w="4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379"/>
              <w:spacing w:after="0"/>
              <w:rPr>
                <w:sz w:val="20"/>
                <w:szCs w:val="20"/>
                <w:color w:val="auto"/>
              </w:rPr>
            </w:pPr>
            <w:r>
              <w:rPr>
                <w:rFonts w:ascii="Arial" w:cs="Arial" w:eastAsia="Arial" w:hAnsi="Arial"/>
                <w:sz w:val="16"/>
                <w:szCs w:val="16"/>
                <w:color w:val="auto"/>
              </w:rPr>
              <w:t>0.4</w:t>
            </w:r>
          </w:p>
        </w:tc>
        <w:tc>
          <w:tcPr>
            <w:tcW w:w="46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ind w:right="439"/>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25.9, 27.4, and 27.8 shares, respectively</w:t>
            </w:r>
          </w:p>
        </w:tc>
        <w:tc>
          <w:tcPr>
            <w:tcW w:w="52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4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520" w:type="dxa"/>
            <w:vAlign w:val="bottom"/>
          </w:tcPr>
          <w:p>
            <w:pPr>
              <w:spacing w:after="0"/>
              <w:rPr>
                <w:sz w:val="18"/>
                <w:szCs w:val="18"/>
                <w:color w:val="auto"/>
              </w:rPr>
            </w:pPr>
          </w:p>
        </w:tc>
        <w:tc>
          <w:tcPr>
            <w:tcW w:w="1300" w:type="dxa"/>
            <w:vAlign w:val="bottom"/>
          </w:tcPr>
          <w:p>
            <w:pPr>
              <w:jc w:val="right"/>
              <w:ind w:right="539"/>
              <w:spacing w:after="0"/>
              <w:rPr>
                <w:sz w:val="20"/>
                <w:szCs w:val="20"/>
                <w:color w:val="auto"/>
              </w:rPr>
            </w:pPr>
            <w:r>
              <w:rPr>
                <w:rFonts w:ascii="Arial" w:cs="Arial" w:eastAsia="Arial" w:hAnsi="Arial"/>
                <w:sz w:val="16"/>
                <w:szCs w:val="16"/>
                <w:color w:val="auto"/>
              </w:rPr>
              <w:t>605.3</w:t>
            </w:r>
          </w:p>
        </w:tc>
        <w:tc>
          <w:tcPr>
            <w:tcW w:w="440" w:type="dxa"/>
            <w:vAlign w:val="bottom"/>
          </w:tcPr>
          <w:p>
            <w:pPr>
              <w:spacing w:after="0"/>
              <w:rPr>
                <w:sz w:val="18"/>
                <w:szCs w:val="18"/>
                <w:color w:val="auto"/>
              </w:rPr>
            </w:pPr>
          </w:p>
        </w:tc>
        <w:tc>
          <w:tcPr>
            <w:tcW w:w="1180" w:type="dxa"/>
            <w:vAlign w:val="bottom"/>
          </w:tcPr>
          <w:p>
            <w:pPr>
              <w:jc w:val="right"/>
              <w:ind w:right="379"/>
              <w:spacing w:after="0"/>
              <w:rPr>
                <w:sz w:val="20"/>
                <w:szCs w:val="20"/>
                <w:color w:val="auto"/>
              </w:rPr>
            </w:pPr>
            <w:r>
              <w:rPr>
                <w:rFonts w:ascii="Arial" w:cs="Arial" w:eastAsia="Arial" w:hAnsi="Arial"/>
                <w:sz w:val="16"/>
                <w:szCs w:val="16"/>
                <w:color w:val="auto"/>
              </w:rPr>
              <w:t>604.6</w:t>
            </w:r>
          </w:p>
        </w:tc>
        <w:tc>
          <w:tcPr>
            <w:tcW w:w="460" w:type="dxa"/>
            <w:vAlign w:val="bottom"/>
          </w:tcPr>
          <w:p>
            <w:pPr>
              <w:spacing w:after="0"/>
              <w:rPr>
                <w:sz w:val="18"/>
                <w:szCs w:val="18"/>
                <w:color w:val="auto"/>
              </w:rPr>
            </w:pPr>
          </w:p>
        </w:tc>
        <w:tc>
          <w:tcPr>
            <w:tcW w:w="1400" w:type="dxa"/>
            <w:vAlign w:val="bottom"/>
          </w:tcPr>
          <w:p>
            <w:pPr>
              <w:jc w:val="right"/>
              <w:ind w:right="439"/>
              <w:spacing w:after="0"/>
              <w:rPr>
                <w:sz w:val="20"/>
                <w:szCs w:val="20"/>
                <w:color w:val="auto"/>
              </w:rPr>
            </w:pPr>
            <w:r>
              <w:rPr>
                <w:rFonts w:ascii="Arial" w:cs="Arial" w:eastAsia="Arial" w:hAnsi="Arial"/>
                <w:sz w:val="16"/>
                <w:szCs w:val="16"/>
                <w:color w:val="auto"/>
              </w:rPr>
              <w:t>603.0</w:t>
            </w:r>
          </w:p>
        </w:tc>
        <w:tc>
          <w:tcPr>
            <w:tcW w:w="0" w:type="dxa"/>
            <w:vAlign w:val="bottom"/>
          </w:tcPr>
          <w:p>
            <w:pPr>
              <w:spacing w:after="0"/>
              <w:rPr>
                <w:sz w:val="1"/>
                <w:szCs w:val="1"/>
                <w:color w:val="auto"/>
              </w:rPr>
            </w:pPr>
          </w:p>
        </w:tc>
      </w:tr>
      <w:tr>
        <w:trPr>
          <w:trHeight w:val="217"/>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income (loss)</w:t>
            </w: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(63.7)</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(52.5)</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(53.7)</w:t>
            </w:r>
          </w:p>
        </w:tc>
        <w:tc>
          <w:tcPr>
            <w:tcW w:w="0" w:type="dxa"/>
            <w:vAlign w:val="bottom"/>
          </w:tcPr>
          <w:p>
            <w:pPr>
              <w:spacing w:after="0"/>
              <w:rPr>
                <w:sz w:val="1"/>
                <w:szCs w:val="1"/>
                <w:color w:val="auto"/>
              </w:rPr>
            </w:pPr>
          </w:p>
        </w:tc>
      </w:tr>
      <w:tr>
        <w:trPr>
          <w:trHeight w:val="215"/>
        </w:trPr>
        <w:tc>
          <w:tcPr>
            <w:tcW w:w="5940" w:type="dxa"/>
            <w:vAlign w:val="bottom"/>
          </w:tcPr>
          <w:p>
            <w:pPr>
              <w:ind w:left="20"/>
              <w:spacing w:after="0"/>
              <w:rPr>
                <w:sz w:val="20"/>
                <w:szCs w:val="20"/>
                <w:color w:val="auto"/>
              </w:rPr>
            </w:pPr>
            <w:r>
              <w:rPr>
                <w:rFonts w:ascii="Arial" w:cs="Arial" w:eastAsia="Arial" w:hAnsi="Arial"/>
                <w:sz w:val="16"/>
                <w:szCs w:val="16"/>
                <w:color w:val="auto"/>
              </w:rPr>
              <w:t>Retained earnings</w:t>
            </w:r>
          </w:p>
        </w:tc>
        <w:tc>
          <w:tcPr>
            <w:tcW w:w="520" w:type="dxa"/>
            <w:vAlign w:val="bottom"/>
          </w:tcPr>
          <w:p>
            <w:pPr>
              <w:spacing w:after="0"/>
              <w:rPr>
                <w:sz w:val="18"/>
                <w:szCs w:val="18"/>
                <w:color w:val="auto"/>
              </w:rPr>
            </w:pPr>
          </w:p>
        </w:tc>
        <w:tc>
          <w:tcPr>
            <w:tcW w:w="1300" w:type="dxa"/>
            <w:vAlign w:val="bottom"/>
          </w:tcPr>
          <w:p>
            <w:pPr>
              <w:jc w:val="right"/>
              <w:ind w:right="539"/>
              <w:spacing w:after="0"/>
              <w:rPr>
                <w:sz w:val="20"/>
                <w:szCs w:val="20"/>
                <w:color w:val="auto"/>
              </w:rPr>
            </w:pPr>
            <w:r>
              <w:rPr>
                <w:rFonts w:ascii="Arial" w:cs="Arial" w:eastAsia="Arial" w:hAnsi="Arial"/>
                <w:sz w:val="16"/>
                <w:szCs w:val="16"/>
                <w:color w:val="auto"/>
              </w:rPr>
              <w:t>989.5</w:t>
            </w:r>
          </w:p>
        </w:tc>
        <w:tc>
          <w:tcPr>
            <w:tcW w:w="440" w:type="dxa"/>
            <w:vAlign w:val="bottom"/>
          </w:tcPr>
          <w:p>
            <w:pPr>
              <w:spacing w:after="0"/>
              <w:rPr>
                <w:sz w:val="18"/>
                <w:szCs w:val="18"/>
                <w:color w:val="auto"/>
              </w:rPr>
            </w:pPr>
          </w:p>
        </w:tc>
        <w:tc>
          <w:tcPr>
            <w:tcW w:w="1180" w:type="dxa"/>
            <w:vAlign w:val="bottom"/>
          </w:tcPr>
          <w:p>
            <w:pPr>
              <w:jc w:val="right"/>
              <w:ind w:right="379"/>
              <w:spacing w:after="0"/>
              <w:rPr>
                <w:sz w:val="20"/>
                <w:szCs w:val="20"/>
                <w:color w:val="auto"/>
              </w:rPr>
            </w:pPr>
            <w:r>
              <w:rPr>
                <w:rFonts w:ascii="Arial" w:cs="Arial" w:eastAsia="Arial" w:hAnsi="Arial"/>
                <w:sz w:val="16"/>
                <w:szCs w:val="16"/>
                <w:color w:val="auto"/>
              </w:rPr>
              <w:t>1,023.7</w:t>
            </w:r>
          </w:p>
        </w:tc>
        <w:tc>
          <w:tcPr>
            <w:tcW w:w="460" w:type="dxa"/>
            <w:vAlign w:val="bottom"/>
          </w:tcPr>
          <w:p>
            <w:pPr>
              <w:spacing w:after="0"/>
              <w:rPr>
                <w:sz w:val="18"/>
                <w:szCs w:val="18"/>
                <w:color w:val="auto"/>
              </w:rPr>
            </w:pPr>
          </w:p>
        </w:tc>
        <w:tc>
          <w:tcPr>
            <w:tcW w:w="1400" w:type="dxa"/>
            <w:vAlign w:val="bottom"/>
          </w:tcPr>
          <w:p>
            <w:pPr>
              <w:jc w:val="right"/>
              <w:ind w:right="439"/>
              <w:spacing w:after="0"/>
              <w:rPr>
                <w:sz w:val="20"/>
                <w:szCs w:val="20"/>
                <w:color w:val="auto"/>
              </w:rPr>
            </w:pPr>
            <w:r>
              <w:rPr>
                <w:rFonts w:ascii="Arial" w:cs="Arial" w:eastAsia="Arial" w:hAnsi="Arial"/>
                <w:sz w:val="16"/>
                <w:szCs w:val="16"/>
                <w:color w:val="auto"/>
              </w:rPr>
              <w:t>993.5</w:t>
            </w:r>
          </w:p>
        </w:tc>
        <w:tc>
          <w:tcPr>
            <w:tcW w:w="0" w:type="dxa"/>
            <w:vAlign w:val="bottom"/>
          </w:tcPr>
          <w:p>
            <w:pPr>
              <w:spacing w:after="0"/>
              <w:rPr>
                <w:sz w:val="1"/>
                <w:szCs w:val="1"/>
                <w:color w:val="auto"/>
              </w:rPr>
            </w:pPr>
          </w:p>
        </w:tc>
      </w:tr>
      <w:tr>
        <w:trPr>
          <w:trHeight w:val="216"/>
        </w:trPr>
        <w:tc>
          <w:tcPr>
            <w:tcW w:w="5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Treasury stock, at cost: 17.1, 15.5 and 15.1 shares, respectively</w:t>
            </w:r>
          </w:p>
        </w:tc>
        <w:tc>
          <w:tcPr>
            <w:tcW w:w="5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rPr>
              <w:t>(590.2)</w:t>
            </w:r>
          </w:p>
        </w:tc>
        <w:tc>
          <w:tcPr>
            <w:tcW w:w="4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(558.1)</w:t>
            </w:r>
          </w:p>
        </w:tc>
        <w:tc>
          <w:tcPr>
            <w:tcW w:w="4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(545.6)</w:t>
            </w:r>
          </w:p>
        </w:tc>
        <w:tc>
          <w:tcPr>
            <w:tcW w:w="0" w:type="dxa"/>
            <w:vAlign w:val="bottom"/>
          </w:tcPr>
          <w:p>
            <w:pPr>
              <w:spacing w:after="0"/>
              <w:rPr>
                <w:sz w:val="1"/>
                <w:szCs w:val="1"/>
                <w:color w:val="auto"/>
              </w:rPr>
            </w:pPr>
          </w:p>
        </w:tc>
      </w:tr>
      <w:tr>
        <w:trPr>
          <w:trHeight w:val="233"/>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stockholders’ equity</w:t>
            </w:r>
          </w:p>
        </w:tc>
        <w:tc>
          <w:tcPr>
            <w:tcW w:w="5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941.3</w:t>
            </w:r>
          </w:p>
        </w:tc>
        <w:tc>
          <w:tcPr>
            <w:tcW w:w="4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1,018.1</w:t>
            </w:r>
          </w:p>
        </w:tc>
        <w:tc>
          <w:tcPr>
            <w:tcW w:w="4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997.6</w:t>
            </w:r>
          </w:p>
        </w:tc>
        <w:tc>
          <w:tcPr>
            <w:tcW w:w="0" w:type="dxa"/>
            <w:vAlign w:val="bottom"/>
          </w:tcPr>
          <w:p>
            <w:pPr>
              <w:spacing w:after="0"/>
              <w:rPr>
                <w:sz w:val="1"/>
                <w:szCs w:val="1"/>
                <w:color w:val="auto"/>
              </w:rPr>
            </w:pPr>
          </w:p>
        </w:tc>
      </w:tr>
      <w:tr>
        <w:trPr>
          <w:trHeight w:val="236"/>
        </w:trPr>
        <w:tc>
          <w:tcPr>
            <w:tcW w:w="5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1,961.3</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1,671.2</w:t>
            </w:r>
          </w:p>
        </w:tc>
        <w:tc>
          <w:tcPr>
            <w:tcW w:w="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1,715.2</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240"/>
          </w:cols>
          <w:pgMar w:left="320" w:top="688" w:right="339" w:bottom="1440" w:gutter="0" w:footer="0" w:header="0"/>
        </w:sect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5" w:name="page6"/>
    <w:bookmarkEnd w:id="5"/>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SCHOLASTIC CORPORATION</w:t>
      </w:r>
    </w:p>
    <w:p>
      <w:pPr>
        <w:ind w:left="20" w:right="2320"/>
        <w:spacing w:after="0" w:line="244" w:lineRule="auto"/>
        <w:rPr>
          <w:sz w:val="20"/>
          <w:szCs w:val="20"/>
          <w:color w:val="auto"/>
        </w:rPr>
      </w:pPr>
      <w:r>
        <w:rPr>
          <w:rFonts w:ascii="Arial" w:cs="Arial" w:eastAsia="Arial" w:hAnsi="Arial"/>
          <w:sz w:val="18"/>
          <w:szCs w:val="18"/>
          <w:b w:val="1"/>
          <w:bCs w:val="1"/>
          <w:color w:val="auto"/>
        </w:rPr>
        <w:t>CONDENSED CONSOLIDATED STATEMENTS OF CHANGES IN STOCKHOLDERS' EQUITY - UNAUDITED (Dollar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9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jc w:val="center"/>
              <w:ind w:right="198"/>
              <w:spacing w:after="0"/>
              <w:rPr>
                <w:sz w:val="20"/>
                <w:szCs w:val="20"/>
                <w:color w:val="auto"/>
              </w:rPr>
            </w:pPr>
            <w:r>
              <w:rPr>
                <w:rFonts w:ascii="Arial" w:cs="Arial" w:eastAsia="Arial" w:hAnsi="Arial"/>
                <w:sz w:val="11"/>
                <w:szCs w:val="11"/>
                <w:b w:val="1"/>
                <w:bCs w:val="1"/>
                <w:color w:val="auto"/>
                <w:w w:val="98"/>
              </w:rPr>
              <w:t>Total</w:t>
            </w: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900" w:type="dxa"/>
            <w:vAlign w:val="bottom"/>
          </w:tcPr>
          <w:p>
            <w:pPr>
              <w:spacing w:after="0"/>
              <w:rPr>
                <w:sz w:val="10"/>
                <w:szCs w:val="10"/>
                <w:color w:val="auto"/>
              </w:rPr>
            </w:pPr>
          </w:p>
        </w:tc>
        <w:tc>
          <w:tcPr>
            <w:tcW w:w="1320" w:type="dxa"/>
            <w:vAlign w:val="bottom"/>
            <w:gridSpan w:val="3"/>
          </w:tcPr>
          <w:p>
            <w:pPr>
              <w:jc w:val="right"/>
              <w:ind w:right="257"/>
              <w:spacing w:after="0" w:line="122" w:lineRule="exact"/>
              <w:rPr>
                <w:sz w:val="20"/>
                <w:szCs w:val="20"/>
                <w:color w:val="auto"/>
              </w:rPr>
            </w:pPr>
            <w:r>
              <w:rPr>
                <w:rFonts w:ascii="Arial" w:cs="Arial" w:eastAsia="Arial" w:hAnsi="Arial"/>
                <w:sz w:val="11"/>
                <w:szCs w:val="11"/>
                <w:b w:val="1"/>
                <w:bCs w:val="1"/>
                <w:color w:val="auto"/>
              </w:rPr>
              <w:t>Class A Stock</w:t>
            </w:r>
          </w:p>
        </w:tc>
        <w:tc>
          <w:tcPr>
            <w:tcW w:w="1260" w:type="dxa"/>
            <w:vAlign w:val="bottom"/>
            <w:gridSpan w:val="3"/>
          </w:tcPr>
          <w:p>
            <w:pPr>
              <w:jc w:val="right"/>
              <w:ind w:right="177"/>
              <w:spacing w:after="0" w:line="122" w:lineRule="exact"/>
              <w:rPr>
                <w:sz w:val="20"/>
                <w:szCs w:val="20"/>
                <w:color w:val="auto"/>
              </w:rPr>
            </w:pPr>
            <w:r>
              <w:rPr>
                <w:rFonts w:ascii="Arial" w:cs="Arial" w:eastAsia="Arial" w:hAnsi="Arial"/>
                <w:sz w:val="11"/>
                <w:szCs w:val="11"/>
                <w:b w:val="1"/>
                <w:bCs w:val="1"/>
                <w:color w:val="auto"/>
              </w:rPr>
              <w:t>Common Stock</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center"/>
              <w:ind w:right="78"/>
              <w:spacing w:after="0" w:line="122" w:lineRule="exact"/>
              <w:rPr>
                <w:sz w:val="20"/>
                <w:szCs w:val="20"/>
                <w:color w:val="auto"/>
              </w:rPr>
            </w:pPr>
            <w:r>
              <w:rPr>
                <w:rFonts w:ascii="Arial" w:cs="Arial" w:eastAsia="Arial" w:hAnsi="Arial"/>
                <w:sz w:val="11"/>
                <w:szCs w:val="11"/>
                <w:b w:val="1"/>
                <w:bCs w:val="1"/>
                <w:color w:val="auto"/>
                <w:w w:val="98"/>
              </w:rPr>
              <w:t>Accumulated</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Stockholders'</w:t>
            </w: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gridSpan w:val="2"/>
            <w:vMerge w:val="restart"/>
          </w:tcPr>
          <w:p>
            <w:pPr>
              <w:jc w:val="right"/>
              <w:ind w:right="17"/>
              <w:spacing w:after="0"/>
              <w:rPr>
                <w:sz w:val="20"/>
                <w:szCs w:val="20"/>
                <w:color w:val="auto"/>
              </w:rPr>
            </w:pPr>
            <w:r>
              <w:rPr>
                <w:rFonts w:ascii="Arial" w:cs="Arial" w:eastAsia="Arial" w:hAnsi="Arial"/>
                <w:sz w:val="11"/>
                <w:szCs w:val="11"/>
                <w:b w:val="1"/>
                <w:bCs w:val="1"/>
                <w:color w:val="auto"/>
              </w:rPr>
              <w:t>Additional Paid-</w:t>
            </w:r>
          </w:p>
        </w:tc>
        <w:tc>
          <w:tcPr>
            <w:tcW w:w="140" w:type="dxa"/>
            <w:vAlign w:val="bottom"/>
          </w:tcPr>
          <w:p>
            <w:pPr>
              <w:spacing w:after="0"/>
              <w:rPr>
                <w:sz w:val="10"/>
                <w:szCs w:val="10"/>
                <w:color w:val="auto"/>
              </w:rPr>
            </w:pPr>
          </w:p>
        </w:tc>
        <w:tc>
          <w:tcPr>
            <w:tcW w:w="860" w:type="dxa"/>
            <w:vAlign w:val="bottom"/>
          </w:tcPr>
          <w:p>
            <w:pPr>
              <w:jc w:val="center"/>
              <w:ind w:right="58"/>
              <w:spacing w:after="0" w:line="122" w:lineRule="exact"/>
              <w:rPr>
                <w:sz w:val="20"/>
                <w:szCs w:val="20"/>
                <w:color w:val="auto"/>
              </w:rPr>
            </w:pPr>
            <w:r>
              <w:rPr>
                <w:rFonts w:ascii="Arial" w:cs="Arial" w:eastAsia="Arial" w:hAnsi="Arial"/>
                <w:sz w:val="11"/>
                <w:szCs w:val="11"/>
                <w:b w:val="1"/>
                <w:bCs w:val="1"/>
                <w:color w:val="auto"/>
              </w:rPr>
              <w:t>Other</w:t>
            </w:r>
          </w:p>
        </w:tc>
        <w:tc>
          <w:tcPr>
            <w:tcW w:w="180" w:type="dxa"/>
            <w:vAlign w:val="bottom"/>
          </w:tcPr>
          <w:p>
            <w:pPr>
              <w:spacing w:after="0"/>
              <w:rPr>
                <w:sz w:val="10"/>
                <w:szCs w:val="10"/>
                <w:color w:val="auto"/>
              </w:rPr>
            </w:pPr>
          </w:p>
        </w:tc>
        <w:tc>
          <w:tcPr>
            <w:tcW w:w="660" w:type="dxa"/>
            <w:vAlign w:val="bottom"/>
            <w:vMerge w:val="restart"/>
          </w:tcPr>
          <w:p>
            <w:pPr>
              <w:jc w:val="right"/>
              <w:ind w:right="98"/>
              <w:spacing w:after="0"/>
              <w:rPr>
                <w:sz w:val="20"/>
                <w:szCs w:val="20"/>
                <w:color w:val="auto"/>
              </w:rPr>
            </w:pPr>
            <w:r>
              <w:rPr>
                <w:rFonts w:ascii="Arial" w:cs="Arial" w:eastAsia="Arial" w:hAnsi="Arial"/>
                <w:sz w:val="11"/>
                <w:szCs w:val="11"/>
                <w:b w:val="1"/>
                <w:bCs w:val="1"/>
                <w:color w:val="auto"/>
              </w:rPr>
              <w:t>Retained</w:t>
            </w:r>
          </w:p>
        </w:tc>
        <w:tc>
          <w:tcPr>
            <w:tcW w:w="920" w:type="dxa"/>
            <w:vAlign w:val="bottom"/>
            <w:gridSpan w:val="2"/>
            <w:vMerge w:val="restart"/>
          </w:tcPr>
          <w:p>
            <w:pPr>
              <w:jc w:val="right"/>
              <w:ind w:right="37"/>
              <w:spacing w:after="0"/>
              <w:rPr>
                <w:sz w:val="20"/>
                <w:szCs w:val="20"/>
                <w:color w:val="auto"/>
              </w:rPr>
            </w:pPr>
            <w:r>
              <w:rPr>
                <w:rFonts w:ascii="Arial" w:cs="Arial" w:eastAsia="Arial" w:hAnsi="Arial"/>
                <w:sz w:val="11"/>
                <w:szCs w:val="11"/>
                <w:b w:val="1"/>
                <w:bCs w:val="1"/>
                <w:color w:val="auto"/>
              </w:rPr>
              <w:t>Treasury Stock</w:t>
            </w:r>
          </w:p>
        </w:tc>
        <w:tc>
          <w:tcPr>
            <w:tcW w:w="160" w:type="dxa"/>
            <w:vAlign w:val="bottom"/>
          </w:tcPr>
          <w:p>
            <w:pPr>
              <w:spacing w:after="0"/>
              <w:rPr>
                <w:sz w:val="10"/>
                <w:szCs w:val="10"/>
                <w:color w:val="auto"/>
              </w:rPr>
            </w:pPr>
          </w:p>
        </w:tc>
        <w:tc>
          <w:tcPr>
            <w:tcW w:w="840" w:type="dxa"/>
            <w:vAlign w:val="bottom"/>
          </w:tcPr>
          <w:p>
            <w:pPr>
              <w:jc w:val="center"/>
              <w:ind w:right="198"/>
              <w:spacing w:after="0" w:line="122" w:lineRule="exact"/>
              <w:rPr>
                <w:sz w:val="20"/>
                <w:szCs w:val="20"/>
                <w:color w:val="auto"/>
              </w:rPr>
            </w:pPr>
            <w:r>
              <w:rPr>
                <w:rFonts w:ascii="Arial" w:cs="Arial" w:eastAsia="Arial" w:hAnsi="Arial"/>
                <w:sz w:val="11"/>
                <w:szCs w:val="11"/>
                <w:b w:val="1"/>
                <w:bCs w:val="1"/>
                <w:color w:val="auto"/>
                <w:w w:val="97"/>
              </w:rPr>
              <w:t>Equity of</w:t>
            </w:r>
          </w:p>
        </w:tc>
        <w:tc>
          <w:tcPr>
            <w:tcW w:w="180" w:type="dxa"/>
            <w:vAlign w:val="bottom"/>
          </w:tcPr>
          <w:p>
            <w:pPr>
              <w:spacing w:after="0"/>
              <w:rPr>
                <w:sz w:val="10"/>
                <w:szCs w:val="10"/>
                <w:color w:val="auto"/>
              </w:rPr>
            </w:pPr>
          </w:p>
        </w:tc>
        <w:tc>
          <w:tcPr>
            <w:tcW w:w="940" w:type="dxa"/>
            <w:vAlign w:val="bottom"/>
            <w:vMerge w:val="restart"/>
          </w:tcPr>
          <w:p>
            <w:pPr>
              <w:jc w:val="right"/>
              <w:ind w:right="138"/>
              <w:spacing w:after="0"/>
              <w:rPr>
                <w:sz w:val="20"/>
                <w:szCs w:val="20"/>
                <w:color w:val="auto"/>
              </w:rPr>
            </w:pPr>
            <w:r>
              <w:rPr>
                <w:rFonts w:ascii="Arial" w:cs="Arial" w:eastAsia="Arial" w:hAnsi="Arial"/>
                <w:sz w:val="10"/>
                <w:szCs w:val="10"/>
                <w:b w:val="1"/>
                <w:bCs w:val="1"/>
                <w:color w:val="auto"/>
              </w:rPr>
              <w:t>Noncontrolling</w:t>
            </w:r>
          </w:p>
        </w:tc>
        <w:tc>
          <w:tcPr>
            <w:tcW w:w="160" w:type="dxa"/>
            <w:vAlign w:val="bottom"/>
          </w:tcPr>
          <w:p>
            <w:pPr>
              <w:spacing w:after="0"/>
              <w:rPr>
                <w:sz w:val="10"/>
                <w:szCs w:val="10"/>
                <w:color w:val="auto"/>
              </w:rPr>
            </w:pPr>
          </w:p>
        </w:tc>
        <w:tc>
          <w:tcPr>
            <w:tcW w:w="780" w:type="dxa"/>
            <w:vAlign w:val="bottom"/>
          </w:tcPr>
          <w:p>
            <w:pPr>
              <w:jc w:val="center"/>
              <w:ind w:right="58"/>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95"/>
        </w:trPr>
        <w:tc>
          <w:tcPr>
            <w:tcW w:w="1900" w:type="dxa"/>
            <w:vAlign w:val="bottom"/>
          </w:tcPr>
          <w:p>
            <w:pPr>
              <w:spacing w:after="0"/>
              <w:rPr>
                <w:sz w:val="8"/>
                <w:szCs w:val="8"/>
                <w:color w:val="auto"/>
              </w:rPr>
            </w:pPr>
          </w:p>
        </w:tc>
        <w:tc>
          <w:tcPr>
            <w:tcW w:w="600" w:type="dxa"/>
            <w:vAlign w:val="bottom"/>
            <w:vMerge w:val="restart"/>
          </w:tcPr>
          <w:p>
            <w:pPr>
              <w:jc w:val="right"/>
              <w:ind w:right="98"/>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8"/>
                <w:szCs w:val="8"/>
                <w:color w:val="auto"/>
              </w:rPr>
            </w:pPr>
          </w:p>
        </w:tc>
        <w:tc>
          <w:tcPr>
            <w:tcW w:w="560" w:type="dxa"/>
            <w:vAlign w:val="bottom"/>
            <w:vMerge w:val="restart"/>
          </w:tcPr>
          <w:p>
            <w:pPr>
              <w:jc w:val="right"/>
              <w:ind w:right="77"/>
              <w:spacing w:after="0"/>
              <w:rPr>
                <w:sz w:val="20"/>
                <w:szCs w:val="20"/>
                <w:color w:val="auto"/>
              </w:rPr>
            </w:pPr>
            <w:r>
              <w:rPr>
                <w:rFonts w:ascii="Arial" w:cs="Arial" w:eastAsia="Arial" w:hAnsi="Arial"/>
                <w:sz w:val="11"/>
                <w:szCs w:val="11"/>
                <w:b w:val="1"/>
                <w:bCs w:val="1"/>
                <w:color w:val="auto"/>
                <w:w w:val="96"/>
              </w:rPr>
              <w:t>Amount</w:t>
            </w:r>
          </w:p>
        </w:tc>
        <w:tc>
          <w:tcPr>
            <w:tcW w:w="580" w:type="dxa"/>
            <w:vAlign w:val="bottom"/>
            <w:vMerge w:val="restart"/>
          </w:tcPr>
          <w:p>
            <w:pPr>
              <w:jc w:val="right"/>
              <w:ind w:right="78"/>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8"/>
                <w:szCs w:val="8"/>
                <w:color w:val="auto"/>
              </w:rPr>
            </w:pPr>
          </w:p>
        </w:tc>
        <w:tc>
          <w:tcPr>
            <w:tcW w:w="520" w:type="dxa"/>
            <w:vAlign w:val="bottom"/>
            <w:vMerge w:val="restart"/>
          </w:tcPr>
          <w:p>
            <w:pPr>
              <w:jc w:val="right"/>
              <w:ind w:right="37"/>
              <w:spacing w:after="0"/>
              <w:rPr>
                <w:sz w:val="20"/>
                <w:szCs w:val="20"/>
                <w:color w:val="auto"/>
              </w:rPr>
            </w:pPr>
            <w:r>
              <w:rPr>
                <w:rFonts w:ascii="Arial" w:cs="Arial" w:eastAsia="Arial" w:hAnsi="Arial"/>
                <w:sz w:val="11"/>
                <w:szCs w:val="11"/>
                <w:b w:val="1"/>
                <w:bCs w:val="1"/>
                <w:color w:val="auto"/>
                <w:w w:val="96"/>
              </w:rPr>
              <w:t>Amount</w:t>
            </w:r>
          </w:p>
        </w:tc>
        <w:tc>
          <w:tcPr>
            <w:tcW w:w="940" w:type="dxa"/>
            <w:vAlign w:val="bottom"/>
            <w:gridSpan w:val="2"/>
            <w:vMerge w:val="continue"/>
          </w:tcPr>
          <w:p>
            <w:pPr>
              <w:spacing w:after="0"/>
              <w:rPr>
                <w:sz w:val="8"/>
                <w:szCs w:val="8"/>
                <w:color w:val="auto"/>
              </w:rPr>
            </w:pPr>
          </w:p>
        </w:tc>
        <w:tc>
          <w:tcPr>
            <w:tcW w:w="1000" w:type="dxa"/>
            <w:vAlign w:val="bottom"/>
            <w:gridSpan w:val="2"/>
          </w:tcPr>
          <w:p>
            <w:pPr>
              <w:ind w:left="100"/>
              <w:spacing w:after="0" w:line="95" w:lineRule="exact"/>
              <w:rPr>
                <w:sz w:val="20"/>
                <w:szCs w:val="20"/>
                <w:color w:val="auto"/>
              </w:rPr>
            </w:pPr>
            <w:r>
              <w:rPr>
                <w:rFonts w:ascii="Arial" w:cs="Arial" w:eastAsia="Arial" w:hAnsi="Arial"/>
                <w:sz w:val="10"/>
                <w:szCs w:val="10"/>
                <w:b w:val="1"/>
                <w:bCs w:val="1"/>
                <w:color w:val="auto"/>
              </w:rPr>
              <w:t>Comprehensive</w:t>
            </w:r>
          </w:p>
        </w:tc>
        <w:tc>
          <w:tcPr>
            <w:tcW w:w="1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jc w:val="center"/>
              <w:ind w:right="198"/>
              <w:spacing w:after="0" w:line="95" w:lineRule="exact"/>
              <w:rPr>
                <w:sz w:val="20"/>
                <w:szCs w:val="20"/>
                <w:color w:val="auto"/>
              </w:rPr>
            </w:pPr>
            <w:r>
              <w:rPr>
                <w:rFonts w:ascii="Arial" w:cs="Arial" w:eastAsia="Arial" w:hAnsi="Arial"/>
                <w:sz w:val="10"/>
                <w:szCs w:val="10"/>
                <w:b w:val="1"/>
                <w:bCs w:val="1"/>
                <w:color w:val="auto"/>
              </w:rPr>
              <w:t>Scholastic</w:t>
            </w:r>
          </w:p>
        </w:tc>
        <w:tc>
          <w:tcPr>
            <w:tcW w:w="18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jc w:val="center"/>
              <w:ind w:right="58"/>
              <w:spacing w:after="0" w:line="95"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148"/>
        </w:trPr>
        <w:tc>
          <w:tcPr>
            <w:tcW w:w="19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77"/>
              <w:spacing w:after="0"/>
              <w:rPr>
                <w:sz w:val="20"/>
                <w:szCs w:val="20"/>
                <w:color w:val="auto"/>
              </w:rPr>
            </w:pPr>
            <w:r>
              <w:rPr>
                <w:rFonts w:ascii="Arial" w:cs="Arial" w:eastAsia="Arial" w:hAnsi="Arial"/>
                <w:sz w:val="11"/>
                <w:szCs w:val="11"/>
                <w:b w:val="1"/>
                <w:bCs w:val="1"/>
                <w:color w:val="auto"/>
                <w:w w:val="96"/>
              </w:rPr>
              <w:t>in Capital</w:t>
            </w: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58"/>
              <w:spacing w:after="0"/>
              <w:rPr>
                <w:sz w:val="20"/>
                <w:szCs w:val="20"/>
                <w:color w:val="auto"/>
              </w:rPr>
            </w:pPr>
            <w:r>
              <w:rPr>
                <w:rFonts w:ascii="Arial" w:cs="Arial" w:eastAsia="Arial" w:hAnsi="Arial"/>
                <w:sz w:val="11"/>
                <w:szCs w:val="11"/>
                <w:b w:val="1"/>
                <w:bCs w:val="1"/>
                <w:color w:val="auto"/>
                <w:w w:val="99"/>
              </w:rPr>
              <w:t>Income (Loss)</w:t>
            </w: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98"/>
              <w:spacing w:after="0"/>
              <w:rPr>
                <w:sz w:val="20"/>
                <w:szCs w:val="20"/>
                <w:color w:val="auto"/>
              </w:rPr>
            </w:pPr>
            <w:r>
              <w:rPr>
                <w:rFonts w:ascii="Arial" w:cs="Arial" w:eastAsia="Arial" w:hAnsi="Arial"/>
                <w:sz w:val="11"/>
                <w:szCs w:val="11"/>
                <w:b w:val="1"/>
                <w:bCs w:val="1"/>
                <w:color w:val="auto"/>
              </w:rPr>
              <w:t>Earnings</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7"/>
              <w:spacing w:after="0"/>
              <w:rPr>
                <w:sz w:val="20"/>
                <w:szCs w:val="20"/>
                <w:color w:val="auto"/>
              </w:rPr>
            </w:pPr>
            <w:r>
              <w:rPr>
                <w:rFonts w:ascii="Arial" w:cs="Arial" w:eastAsia="Arial" w:hAnsi="Arial"/>
                <w:sz w:val="11"/>
                <w:szCs w:val="11"/>
                <w:b w:val="1"/>
                <w:bCs w:val="1"/>
                <w:color w:val="auto"/>
                <w:w w:val="97"/>
              </w:rPr>
              <w:t>At Cost</w:t>
            </w:r>
          </w:p>
        </w:tc>
        <w:tc>
          <w:tcPr>
            <w:tcW w:w="1000" w:type="dxa"/>
            <w:vAlign w:val="bottom"/>
            <w:tcBorders>
              <w:bottom w:val="single" w:sz="8" w:color="auto"/>
            </w:tcBorders>
            <w:gridSpan w:val="2"/>
          </w:tcPr>
          <w:p>
            <w:pPr>
              <w:jc w:val="center"/>
              <w:ind w:right="38"/>
              <w:spacing w:after="0"/>
              <w:rPr>
                <w:sz w:val="20"/>
                <w:szCs w:val="20"/>
                <w:color w:val="auto"/>
              </w:rPr>
            </w:pPr>
            <w:r>
              <w:rPr>
                <w:rFonts w:ascii="Arial" w:cs="Arial" w:eastAsia="Arial" w:hAnsi="Arial"/>
                <w:sz w:val="11"/>
                <w:szCs w:val="11"/>
                <w:b w:val="1"/>
                <w:bCs w:val="1"/>
                <w:color w:val="auto"/>
                <w:w w:val="98"/>
              </w:rPr>
              <w:t>Corporation</w:t>
            </w: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8"/>
              <w:spacing w:after="0"/>
              <w:rPr>
                <w:sz w:val="20"/>
                <w:szCs w:val="20"/>
                <w:color w:val="auto"/>
              </w:rPr>
            </w:pPr>
            <w:r>
              <w:rPr>
                <w:rFonts w:ascii="Arial" w:cs="Arial" w:eastAsia="Arial" w:hAnsi="Arial"/>
                <w:sz w:val="10"/>
                <w:szCs w:val="10"/>
                <w:b w:val="1"/>
                <w:bCs w:val="1"/>
                <w:color w:val="auto"/>
              </w:rPr>
              <w:t>Interest</w:t>
            </w: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58"/>
              <w:spacing w:after="0"/>
              <w:rPr>
                <w:sz w:val="20"/>
                <w:szCs w:val="20"/>
                <w:color w:val="auto"/>
              </w:rPr>
            </w:pPr>
            <w:r>
              <w:rPr>
                <w:rFonts w:ascii="Arial" w:cs="Arial" w:eastAsia="Arial" w:hAnsi="Arial"/>
                <w:sz w:val="10"/>
                <w:szCs w:val="10"/>
                <w:b w:val="1"/>
                <w:bCs w:val="1"/>
                <w:color w:val="auto"/>
                <w:w w:val="98"/>
              </w:rPr>
              <w:t>Equity</w:t>
            </w:r>
          </w:p>
        </w:tc>
        <w:tc>
          <w:tcPr>
            <w:tcW w:w="0" w:type="dxa"/>
            <w:vAlign w:val="bottom"/>
          </w:tcPr>
          <w:p>
            <w:pPr>
              <w:spacing w:after="0"/>
              <w:rPr>
                <w:sz w:val="1"/>
                <w:szCs w:val="1"/>
                <w:color w:val="auto"/>
              </w:rPr>
            </w:pPr>
          </w:p>
        </w:tc>
      </w:tr>
      <w:tr>
        <w:trPr>
          <w:trHeight w:val="168"/>
        </w:trPr>
        <w:tc>
          <w:tcPr>
            <w:tcW w:w="19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Balance at June 1, 2023</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0.0</w:t>
            </w:r>
          </w:p>
        </w:tc>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rPr>
              <w:t>30.0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632.2</w:t>
            </w:r>
          </w:p>
        </w:tc>
        <w:tc>
          <w:tcPr>
            <w:tcW w:w="140" w:type="dxa"/>
            <w:vAlign w:val="bottom"/>
            <w:tcBorders>
              <w:bottom w:val="single" w:sz="8" w:color="auto"/>
            </w:tcBorders>
          </w:tcPr>
          <w:p>
            <w:pPr>
              <w:ind w:left="80"/>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(55.8)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1,035.6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(449.5)</w:t>
            </w:r>
          </w:p>
        </w:tc>
        <w:tc>
          <w:tcPr>
            <w:tcW w:w="1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rPr>
              <w:t>1,162.9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b w:val="1"/>
                <w:bCs w:val="1"/>
                <w:color w:val="auto"/>
              </w:rPr>
              <w:t>1.6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1,164.5</w:t>
            </w:r>
          </w:p>
        </w:tc>
        <w:tc>
          <w:tcPr>
            <w:tcW w:w="0" w:type="dxa"/>
            <w:vAlign w:val="bottom"/>
          </w:tcPr>
          <w:p>
            <w:pPr>
              <w:spacing w:after="0"/>
              <w:rPr>
                <w:sz w:val="1"/>
                <w:szCs w:val="1"/>
                <w:color w:val="auto"/>
              </w:rPr>
            </w:pPr>
          </w:p>
        </w:tc>
      </w:tr>
      <w:tr>
        <w:trPr>
          <w:trHeight w:val="171"/>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6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(74.2)</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(74.2)</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(74.2)</w:t>
            </w:r>
          </w:p>
        </w:tc>
        <w:tc>
          <w:tcPr>
            <w:tcW w:w="0" w:type="dxa"/>
            <w:vAlign w:val="bottom"/>
          </w:tcPr>
          <w:p>
            <w:pPr>
              <w:spacing w:after="0"/>
              <w:rPr>
                <w:sz w:val="1"/>
                <w:szCs w:val="1"/>
                <w:color w:val="auto"/>
              </w:rPr>
            </w:pPr>
          </w:p>
        </w:tc>
      </w:tr>
      <w:tr>
        <w:trPr>
          <w:trHeight w:val="122"/>
        </w:trPr>
        <w:tc>
          <w:tcPr>
            <w:tcW w:w="1900" w:type="dxa"/>
            <w:vAlign w:val="bottom"/>
          </w:tcPr>
          <w:p>
            <w:pPr>
              <w:ind w:left="20"/>
              <w:spacing w:after="0" w:line="122" w:lineRule="exact"/>
              <w:rPr>
                <w:sz w:val="20"/>
                <w:szCs w:val="20"/>
                <w:color w:val="auto"/>
              </w:rPr>
            </w:pPr>
            <w:r>
              <w:rPr>
                <w:rFonts w:ascii="Arial" w:cs="Arial" w:eastAsia="Arial" w:hAnsi="Arial"/>
                <w:sz w:val="13"/>
                <w:szCs w:val="13"/>
                <w:color w:val="auto"/>
              </w:rPr>
              <w:t>Foreign currency translation</w:t>
            </w: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00" w:type="dxa"/>
            <w:vAlign w:val="bottom"/>
          </w:tcPr>
          <w:p>
            <w:pPr>
              <w:ind w:left="20"/>
              <w:spacing w:after="0"/>
              <w:rPr>
                <w:sz w:val="20"/>
                <w:szCs w:val="20"/>
                <w:color w:val="auto"/>
              </w:rPr>
            </w:pPr>
            <w:r>
              <w:rPr>
                <w:rFonts w:ascii="Arial" w:cs="Arial" w:eastAsia="Arial" w:hAnsi="Arial"/>
                <w:sz w:val="13"/>
                <w:szCs w:val="13"/>
                <w:color w:val="auto"/>
              </w:rPr>
              <w:t>adjustment</w:t>
            </w:r>
          </w:p>
        </w:tc>
        <w:tc>
          <w:tcPr>
            <w:tcW w:w="6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60" w:type="dxa"/>
            <w:vAlign w:val="bottom"/>
          </w:tcPr>
          <w:p>
            <w:pPr>
              <w:jc w:val="right"/>
              <w:ind w:right="38"/>
              <w:spacing w:after="0"/>
              <w:rPr>
                <w:sz w:val="20"/>
                <w:szCs w:val="20"/>
                <w:color w:val="auto"/>
              </w:rPr>
            </w:pPr>
            <w:r>
              <w:rPr>
                <w:rFonts w:ascii="Arial" w:cs="Arial" w:eastAsia="Arial" w:hAnsi="Arial"/>
                <w:sz w:val="13"/>
                <w:szCs w:val="13"/>
                <w:color w:val="auto"/>
              </w:rPr>
              <w:t>1.8</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40" w:type="dxa"/>
            <w:vAlign w:val="bottom"/>
          </w:tcPr>
          <w:p>
            <w:pPr>
              <w:jc w:val="right"/>
              <w:ind w:right="38"/>
              <w:spacing w:after="0"/>
              <w:rPr>
                <w:sz w:val="20"/>
                <w:szCs w:val="20"/>
                <w:color w:val="auto"/>
              </w:rPr>
            </w:pPr>
            <w:r>
              <w:rPr>
                <w:rFonts w:ascii="Arial" w:cs="Arial" w:eastAsia="Arial" w:hAnsi="Arial"/>
                <w:sz w:val="13"/>
                <w:szCs w:val="13"/>
                <w:color w:val="auto"/>
              </w:rPr>
              <w:t>1.8</w:t>
            </w:r>
          </w:p>
        </w:tc>
        <w:tc>
          <w:tcPr>
            <w:tcW w:w="180" w:type="dxa"/>
            <w:vAlign w:val="bottom"/>
          </w:tcPr>
          <w:p>
            <w:pPr>
              <w:spacing w:after="0"/>
              <w:rPr>
                <w:sz w:val="15"/>
                <w:szCs w:val="15"/>
                <w:color w:val="auto"/>
              </w:rPr>
            </w:pPr>
          </w:p>
        </w:tc>
        <w:tc>
          <w:tcPr>
            <w:tcW w:w="94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28"/>
        </w:trPr>
        <w:tc>
          <w:tcPr>
            <w:tcW w:w="19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Pension and post-retirement</w:t>
            </w: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(net of tax of $0.1)</w:t>
            </w:r>
          </w:p>
        </w:tc>
        <w:tc>
          <w:tcPr>
            <w:tcW w:w="6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0.2</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0.2</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71"/>
        </w:trPr>
        <w:tc>
          <w:tcPr>
            <w:tcW w:w="190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6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2.3</w:t>
            </w:r>
          </w:p>
        </w:tc>
        <w:tc>
          <w:tcPr>
            <w:tcW w:w="140" w:type="dxa"/>
            <w:vAlign w:val="bottom"/>
          </w:tcPr>
          <w:p>
            <w:pPr>
              <w:spacing w:after="0"/>
              <w:rPr>
                <w:sz w:val="14"/>
                <w:szCs w:val="14"/>
                <w:color w:val="auto"/>
              </w:rPr>
            </w:pPr>
          </w:p>
        </w:tc>
        <w:tc>
          <w:tcPr>
            <w:tcW w:w="8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ind w:right="38"/>
              <w:spacing w:after="0"/>
              <w:rPr>
                <w:sz w:val="20"/>
                <w:szCs w:val="20"/>
                <w:color w:val="auto"/>
              </w:rPr>
            </w:pPr>
            <w:r>
              <w:rPr>
                <w:rFonts w:ascii="Arial" w:cs="Arial" w:eastAsia="Arial" w:hAnsi="Arial"/>
                <w:sz w:val="13"/>
                <w:szCs w:val="13"/>
                <w:color w:val="auto"/>
              </w:rPr>
              <w:t>2.3</w:t>
            </w:r>
          </w:p>
        </w:tc>
        <w:tc>
          <w:tcPr>
            <w:tcW w:w="180" w:type="dxa"/>
            <w:vAlign w:val="bottom"/>
          </w:tcPr>
          <w:p>
            <w:pPr>
              <w:spacing w:after="0"/>
              <w:rPr>
                <w:sz w:val="14"/>
                <w:szCs w:val="14"/>
                <w:color w:val="auto"/>
              </w:rPr>
            </w:pPr>
          </w:p>
        </w:tc>
        <w:tc>
          <w:tcPr>
            <w:tcW w:w="94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26"/>
        </w:trPr>
        <w:tc>
          <w:tcPr>
            <w:tcW w:w="190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rPr>
              <w:t>Proceeds pursuant to stock-</w:t>
            </w: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based compensation plans</w:t>
            </w:r>
          </w:p>
        </w:tc>
        <w:tc>
          <w:tcPr>
            <w:tcW w:w="6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3.0</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21"/>
        </w:trPr>
        <w:tc>
          <w:tcPr>
            <w:tcW w:w="1900" w:type="dxa"/>
            <w:vAlign w:val="bottom"/>
          </w:tcPr>
          <w:p>
            <w:pPr>
              <w:ind w:left="20"/>
              <w:spacing w:after="0" w:line="122" w:lineRule="exact"/>
              <w:rPr>
                <w:sz w:val="20"/>
                <w:szCs w:val="20"/>
                <w:color w:val="auto"/>
              </w:rPr>
            </w:pPr>
            <w:r>
              <w:rPr>
                <w:rFonts w:ascii="Arial" w:cs="Arial" w:eastAsia="Arial" w:hAnsi="Arial"/>
                <w:sz w:val="13"/>
                <w:szCs w:val="13"/>
                <w:color w:val="auto"/>
              </w:rPr>
              <w:t>Purchases of treasury stock at</w:t>
            </w: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00" w:type="dxa"/>
            <w:vAlign w:val="bottom"/>
          </w:tcPr>
          <w:p>
            <w:pPr>
              <w:ind w:left="20"/>
              <w:spacing w:after="0"/>
              <w:rPr>
                <w:sz w:val="20"/>
                <w:szCs w:val="20"/>
                <w:color w:val="auto"/>
              </w:rPr>
            </w:pPr>
            <w:r>
              <w:rPr>
                <w:rFonts w:ascii="Arial" w:cs="Arial" w:eastAsia="Arial" w:hAnsi="Arial"/>
                <w:sz w:val="13"/>
                <w:szCs w:val="13"/>
                <w:color w:val="auto"/>
              </w:rPr>
              <w:t>cost</w:t>
            </w:r>
          </w:p>
        </w:tc>
        <w:tc>
          <w:tcPr>
            <w:tcW w:w="6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8"/>
              <w:spacing w:after="0"/>
              <w:rPr>
                <w:sz w:val="20"/>
                <w:szCs w:val="20"/>
                <w:color w:val="auto"/>
              </w:rPr>
            </w:pPr>
            <w:r>
              <w:rPr>
                <w:rFonts w:ascii="Arial" w:cs="Arial" w:eastAsia="Arial" w:hAnsi="Arial"/>
                <w:sz w:val="13"/>
                <w:szCs w:val="13"/>
                <w:color w:val="auto"/>
              </w:rPr>
              <w:t>(0.8)</w:t>
            </w: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(36.2)</w:t>
            </w:r>
          </w:p>
        </w:tc>
        <w:tc>
          <w:tcPr>
            <w:tcW w:w="160" w:type="dxa"/>
            <w:vAlign w:val="bottom"/>
          </w:tcPr>
          <w:p>
            <w:pPr>
              <w:spacing w:after="0"/>
              <w:rPr>
                <w:sz w:val="15"/>
                <w:szCs w:val="15"/>
                <w:color w:val="auto"/>
              </w:rPr>
            </w:pPr>
          </w:p>
        </w:tc>
        <w:tc>
          <w:tcPr>
            <w:tcW w:w="840" w:type="dxa"/>
            <w:vAlign w:val="bottom"/>
          </w:tcPr>
          <w:p>
            <w:pPr>
              <w:jc w:val="right"/>
              <w:ind w:right="18"/>
              <w:spacing w:after="0"/>
              <w:rPr>
                <w:sz w:val="20"/>
                <w:szCs w:val="20"/>
                <w:color w:val="auto"/>
              </w:rPr>
            </w:pPr>
            <w:r>
              <w:rPr>
                <w:rFonts w:ascii="Arial" w:cs="Arial" w:eastAsia="Arial" w:hAnsi="Arial"/>
                <w:sz w:val="13"/>
                <w:szCs w:val="13"/>
                <w:color w:val="auto"/>
              </w:rPr>
              <w:t>(36.2)</w:t>
            </w:r>
          </w:p>
        </w:tc>
        <w:tc>
          <w:tcPr>
            <w:tcW w:w="180" w:type="dxa"/>
            <w:vAlign w:val="bottom"/>
          </w:tcPr>
          <w:p>
            <w:pPr>
              <w:spacing w:after="0"/>
              <w:rPr>
                <w:sz w:val="15"/>
                <w:szCs w:val="15"/>
                <w:color w:val="auto"/>
              </w:rPr>
            </w:pPr>
          </w:p>
        </w:tc>
        <w:tc>
          <w:tcPr>
            <w:tcW w:w="94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(36.2)</w:t>
            </w:r>
          </w:p>
        </w:tc>
        <w:tc>
          <w:tcPr>
            <w:tcW w:w="0" w:type="dxa"/>
            <w:vAlign w:val="bottom"/>
          </w:tcPr>
          <w:p>
            <w:pPr>
              <w:spacing w:after="0"/>
              <w:rPr>
                <w:sz w:val="1"/>
                <w:szCs w:val="1"/>
                <w:color w:val="auto"/>
              </w:rPr>
            </w:pPr>
          </w:p>
        </w:tc>
      </w:tr>
      <w:tr>
        <w:trPr>
          <w:trHeight w:val="128"/>
        </w:trPr>
        <w:tc>
          <w:tcPr>
            <w:tcW w:w="19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Treasury stock issued pursuant</w:t>
            </w: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 equity-based plans</w:t>
            </w:r>
          </w:p>
        </w:tc>
        <w:tc>
          <w:tcPr>
            <w:tcW w:w="6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0.1</w:t>
            </w: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(4.3)</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5.9</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1.6</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71"/>
        </w:trPr>
        <w:tc>
          <w:tcPr>
            <w:tcW w:w="1900" w:type="dxa"/>
            <w:vAlign w:val="bottom"/>
          </w:tcPr>
          <w:p>
            <w:pPr>
              <w:ind w:left="20"/>
              <w:spacing w:after="0"/>
              <w:rPr>
                <w:sz w:val="20"/>
                <w:szCs w:val="20"/>
                <w:color w:val="auto"/>
              </w:rPr>
            </w:pPr>
            <w:r>
              <w:rPr>
                <w:rFonts w:ascii="Arial" w:cs="Arial" w:eastAsia="Arial" w:hAnsi="Arial"/>
                <w:sz w:val="13"/>
                <w:szCs w:val="13"/>
                <w:color w:val="auto"/>
              </w:rPr>
              <w:t>Dividends ($0.20 per share)</w:t>
            </w:r>
          </w:p>
        </w:tc>
        <w:tc>
          <w:tcPr>
            <w:tcW w:w="6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(6.3)</w:t>
            </w:r>
          </w:p>
        </w:tc>
        <w:tc>
          <w:tcPr>
            <w:tcW w:w="22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ind w:right="18"/>
              <w:spacing w:after="0"/>
              <w:rPr>
                <w:sz w:val="20"/>
                <w:szCs w:val="20"/>
                <w:color w:val="auto"/>
              </w:rPr>
            </w:pPr>
            <w:r>
              <w:rPr>
                <w:rFonts w:ascii="Arial" w:cs="Arial" w:eastAsia="Arial" w:hAnsi="Arial"/>
                <w:sz w:val="13"/>
                <w:szCs w:val="13"/>
                <w:color w:val="auto"/>
              </w:rPr>
              <w:t>(6.3)</w:t>
            </w:r>
          </w:p>
        </w:tc>
        <w:tc>
          <w:tcPr>
            <w:tcW w:w="180" w:type="dxa"/>
            <w:vAlign w:val="bottom"/>
          </w:tcPr>
          <w:p>
            <w:pPr>
              <w:spacing w:after="0"/>
              <w:rPr>
                <w:sz w:val="14"/>
                <w:szCs w:val="14"/>
                <w:color w:val="auto"/>
              </w:rPr>
            </w:pPr>
          </w:p>
        </w:tc>
        <w:tc>
          <w:tcPr>
            <w:tcW w:w="94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75"/>
        </w:trPr>
        <w:tc>
          <w:tcPr>
            <w:tcW w:w="1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 (noncontrolling interest)</w:t>
            </w:r>
          </w:p>
        </w:tc>
        <w:tc>
          <w:tcPr>
            <w:tcW w:w="6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(0.5)</w:t>
            </w:r>
          </w:p>
        </w:tc>
        <w:tc>
          <w:tcPr>
            <w:tcW w:w="1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(0.5)</w:t>
            </w:r>
          </w:p>
        </w:tc>
        <w:tc>
          <w:tcPr>
            <w:tcW w:w="1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(1.6)</w:t>
            </w:r>
          </w:p>
        </w:tc>
        <w:tc>
          <w:tcPr>
            <w:tcW w:w="1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72"/>
        </w:trPr>
        <w:tc>
          <w:tcPr>
            <w:tcW w:w="19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Balance at August 31, 2023</w:t>
            </w:r>
          </w:p>
        </w:tc>
        <w:tc>
          <w:tcPr>
            <w:tcW w:w="6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b w:val="1"/>
                <w:bCs w:val="1"/>
                <w:color w:val="auto"/>
              </w:rPr>
              <w:t>1.7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0.0</w:t>
            </w:r>
          </w:p>
        </w:tc>
        <w:tc>
          <w:tcPr>
            <w:tcW w:w="5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b w:val="1"/>
                <w:bCs w:val="1"/>
                <w:color w:val="auto"/>
              </w:rPr>
              <w:t>29.3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632.7</w:t>
            </w:r>
          </w:p>
        </w:tc>
        <w:tc>
          <w:tcPr>
            <w:tcW w:w="140" w:type="dxa"/>
            <w:vAlign w:val="bottom"/>
            <w:tcBorders>
              <w:bottom w:val="single" w:sz="8" w:color="auto"/>
            </w:tcBorders>
          </w:tcPr>
          <w:p>
            <w:pPr>
              <w:ind w:left="80"/>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(53.8)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955.1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(479.8)</w:t>
            </w:r>
          </w:p>
        </w:tc>
        <w:tc>
          <w:tcPr>
            <w:tcW w:w="1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rPr>
              <w:t>1,054.6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b w:val="1"/>
                <w:bCs w:val="1"/>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1,054.6</w:t>
            </w:r>
          </w:p>
        </w:tc>
        <w:tc>
          <w:tcPr>
            <w:tcW w:w="0" w:type="dxa"/>
            <w:vAlign w:val="bottom"/>
          </w:tcPr>
          <w:p>
            <w:pPr>
              <w:spacing w:after="0"/>
              <w:rPr>
                <w:sz w:val="1"/>
                <w:szCs w:val="1"/>
                <w:color w:val="auto"/>
              </w:rPr>
            </w:pPr>
          </w:p>
        </w:tc>
      </w:tr>
      <w:tr>
        <w:trPr>
          <w:trHeight w:val="171"/>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Income (loss)</w:t>
            </w:r>
          </w:p>
        </w:tc>
        <w:tc>
          <w:tcPr>
            <w:tcW w:w="6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76.9</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76.9</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76.9</w:t>
            </w:r>
          </w:p>
        </w:tc>
        <w:tc>
          <w:tcPr>
            <w:tcW w:w="0" w:type="dxa"/>
            <w:vAlign w:val="bottom"/>
          </w:tcPr>
          <w:p>
            <w:pPr>
              <w:spacing w:after="0"/>
              <w:rPr>
                <w:sz w:val="1"/>
                <w:szCs w:val="1"/>
                <w:color w:val="auto"/>
              </w:rPr>
            </w:pPr>
          </w:p>
        </w:tc>
      </w:tr>
      <w:tr>
        <w:trPr>
          <w:trHeight w:val="121"/>
        </w:trPr>
        <w:tc>
          <w:tcPr>
            <w:tcW w:w="1900" w:type="dxa"/>
            <w:vAlign w:val="bottom"/>
          </w:tcPr>
          <w:p>
            <w:pPr>
              <w:ind w:left="20"/>
              <w:spacing w:after="0" w:line="122" w:lineRule="exact"/>
              <w:rPr>
                <w:sz w:val="20"/>
                <w:szCs w:val="20"/>
                <w:color w:val="auto"/>
              </w:rPr>
            </w:pPr>
            <w:r>
              <w:rPr>
                <w:rFonts w:ascii="Arial" w:cs="Arial" w:eastAsia="Arial" w:hAnsi="Arial"/>
                <w:sz w:val="13"/>
                <w:szCs w:val="13"/>
                <w:color w:val="auto"/>
              </w:rPr>
              <w:t>Foreign currency translation</w:t>
            </w: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00" w:type="dxa"/>
            <w:vAlign w:val="bottom"/>
          </w:tcPr>
          <w:p>
            <w:pPr>
              <w:ind w:left="20"/>
              <w:spacing w:after="0"/>
              <w:rPr>
                <w:sz w:val="20"/>
                <w:szCs w:val="20"/>
                <w:color w:val="auto"/>
              </w:rPr>
            </w:pPr>
            <w:r>
              <w:rPr>
                <w:rFonts w:ascii="Arial" w:cs="Arial" w:eastAsia="Arial" w:hAnsi="Arial"/>
                <w:sz w:val="13"/>
                <w:szCs w:val="13"/>
                <w:color w:val="auto"/>
              </w:rPr>
              <w:t>adjustment</w:t>
            </w:r>
          </w:p>
        </w:tc>
        <w:tc>
          <w:tcPr>
            <w:tcW w:w="6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60" w:type="dxa"/>
            <w:vAlign w:val="bottom"/>
          </w:tcPr>
          <w:p>
            <w:pPr>
              <w:jc w:val="right"/>
              <w:ind w:right="38"/>
              <w:spacing w:after="0"/>
              <w:rPr>
                <w:sz w:val="20"/>
                <w:szCs w:val="20"/>
                <w:color w:val="auto"/>
              </w:rPr>
            </w:pPr>
            <w:r>
              <w:rPr>
                <w:rFonts w:ascii="Arial" w:cs="Arial" w:eastAsia="Arial" w:hAnsi="Arial"/>
                <w:sz w:val="13"/>
                <w:szCs w:val="13"/>
                <w:color w:val="auto"/>
              </w:rPr>
              <w:t>0.2</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40" w:type="dxa"/>
            <w:vAlign w:val="bottom"/>
          </w:tcPr>
          <w:p>
            <w:pPr>
              <w:jc w:val="right"/>
              <w:ind w:right="38"/>
              <w:spacing w:after="0"/>
              <w:rPr>
                <w:sz w:val="20"/>
                <w:szCs w:val="20"/>
                <w:color w:val="auto"/>
              </w:rPr>
            </w:pPr>
            <w:r>
              <w:rPr>
                <w:rFonts w:ascii="Arial" w:cs="Arial" w:eastAsia="Arial" w:hAnsi="Arial"/>
                <w:sz w:val="13"/>
                <w:szCs w:val="13"/>
                <w:color w:val="auto"/>
              </w:rPr>
              <w:t>0.2</w:t>
            </w:r>
          </w:p>
        </w:tc>
        <w:tc>
          <w:tcPr>
            <w:tcW w:w="180" w:type="dxa"/>
            <w:vAlign w:val="bottom"/>
          </w:tcPr>
          <w:p>
            <w:pPr>
              <w:spacing w:after="0"/>
              <w:rPr>
                <w:sz w:val="15"/>
                <w:szCs w:val="15"/>
                <w:color w:val="auto"/>
              </w:rPr>
            </w:pPr>
          </w:p>
        </w:tc>
        <w:tc>
          <w:tcPr>
            <w:tcW w:w="94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28"/>
        </w:trPr>
        <w:tc>
          <w:tcPr>
            <w:tcW w:w="19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Pension and post-retirement</w:t>
            </w: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(net of tax of $0.0)</w:t>
            </w:r>
          </w:p>
        </w:tc>
        <w:tc>
          <w:tcPr>
            <w:tcW w:w="6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0.1</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0.1</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71"/>
        </w:trPr>
        <w:tc>
          <w:tcPr>
            <w:tcW w:w="190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6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4.1</w:t>
            </w:r>
          </w:p>
        </w:tc>
        <w:tc>
          <w:tcPr>
            <w:tcW w:w="140" w:type="dxa"/>
            <w:vAlign w:val="bottom"/>
          </w:tcPr>
          <w:p>
            <w:pPr>
              <w:spacing w:after="0"/>
              <w:rPr>
                <w:sz w:val="14"/>
                <w:szCs w:val="14"/>
                <w:color w:val="auto"/>
              </w:rPr>
            </w:pPr>
          </w:p>
        </w:tc>
        <w:tc>
          <w:tcPr>
            <w:tcW w:w="8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ind w:right="38"/>
              <w:spacing w:after="0"/>
              <w:rPr>
                <w:sz w:val="20"/>
                <w:szCs w:val="20"/>
                <w:color w:val="auto"/>
              </w:rPr>
            </w:pPr>
            <w:r>
              <w:rPr>
                <w:rFonts w:ascii="Arial" w:cs="Arial" w:eastAsia="Arial" w:hAnsi="Arial"/>
                <w:sz w:val="13"/>
                <w:szCs w:val="13"/>
                <w:color w:val="auto"/>
              </w:rPr>
              <w:t>4.1</w:t>
            </w:r>
          </w:p>
        </w:tc>
        <w:tc>
          <w:tcPr>
            <w:tcW w:w="180" w:type="dxa"/>
            <w:vAlign w:val="bottom"/>
          </w:tcPr>
          <w:p>
            <w:pPr>
              <w:spacing w:after="0"/>
              <w:rPr>
                <w:sz w:val="14"/>
                <w:szCs w:val="14"/>
                <w:color w:val="auto"/>
              </w:rPr>
            </w:pPr>
          </w:p>
        </w:tc>
        <w:tc>
          <w:tcPr>
            <w:tcW w:w="94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26"/>
        </w:trPr>
        <w:tc>
          <w:tcPr>
            <w:tcW w:w="190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rPr>
              <w:t>Proceeds pursuant to stock-</w:t>
            </w: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based compensation plans</w:t>
            </w:r>
          </w:p>
        </w:tc>
        <w:tc>
          <w:tcPr>
            <w:tcW w:w="6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0.6</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0.6</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22"/>
        </w:trPr>
        <w:tc>
          <w:tcPr>
            <w:tcW w:w="1900" w:type="dxa"/>
            <w:vAlign w:val="bottom"/>
          </w:tcPr>
          <w:p>
            <w:pPr>
              <w:ind w:left="20"/>
              <w:spacing w:after="0" w:line="122" w:lineRule="exact"/>
              <w:rPr>
                <w:sz w:val="20"/>
                <w:szCs w:val="20"/>
                <w:color w:val="auto"/>
              </w:rPr>
            </w:pPr>
            <w:r>
              <w:rPr>
                <w:rFonts w:ascii="Arial" w:cs="Arial" w:eastAsia="Arial" w:hAnsi="Arial"/>
                <w:sz w:val="13"/>
                <w:szCs w:val="13"/>
                <w:color w:val="auto"/>
              </w:rPr>
              <w:t>Purchases of treasury stock at</w:t>
            </w: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00" w:type="dxa"/>
            <w:vAlign w:val="bottom"/>
          </w:tcPr>
          <w:p>
            <w:pPr>
              <w:ind w:left="20"/>
              <w:spacing w:after="0"/>
              <w:rPr>
                <w:sz w:val="20"/>
                <w:szCs w:val="20"/>
                <w:color w:val="auto"/>
              </w:rPr>
            </w:pPr>
            <w:r>
              <w:rPr>
                <w:rFonts w:ascii="Arial" w:cs="Arial" w:eastAsia="Arial" w:hAnsi="Arial"/>
                <w:sz w:val="13"/>
                <w:szCs w:val="13"/>
                <w:color w:val="auto"/>
              </w:rPr>
              <w:t>cost</w:t>
            </w:r>
          </w:p>
        </w:tc>
        <w:tc>
          <w:tcPr>
            <w:tcW w:w="6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8"/>
              <w:spacing w:after="0"/>
              <w:rPr>
                <w:sz w:val="20"/>
                <w:szCs w:val="20"/>
                <w:color w:val="auto"/>
              </w:rPr>
            </w:pPr>
            <w:r>
              <w:rPr>
                <w:rFonts w:ascii="Arial" w:cs="Arial" w:eastAsia="Arial" w:hAnsi="Arial"/>
                <w:sz w:val="13"/>
                <w:szCs w:val="13"/>
                <w:color w:val="auto"/>
              </w:rPr>
              <w:t>(1.4)</w:t>
            </w: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(52.3)</w:t>
            </w:r>
          </w:p>
        </w:tc>
        <w:tc>
          <w:tcPr>
            <w:tcW w:w="160" w:type="dxa"/>
            <w:vAlign w:val="bottom"/>
          </w:tcPr>
          <w:p>
            <w:pPr>
              <w:spacing w:after="0"/>
              <w:rPr>
                <w:sz w:val="15"/>
                <w:szCs w:val="15"/>
                <w:color w:val="auto"/>
              </w:rPr>
            </w:pPr>
          </w:p>
        </w:tc>
        <w:tc>
          <w:tcPr>
            <w:tcW w:w="840" w:type="dxa"/>
            <w:vAlign w:val="bottom"/>
          </w:tcPr>
          <w:p>
            <w:pPr>
              <w:jc w:val="right"/>
              <w:ind w:right="18"/>
              <w:spacing w:after="0"/>
              <w:rPr>
                <w:sz w:val="20"/>
                <w:szCs w:val="20"/>
                <w:color w:val="auto"/>
              </w:rPr>
            </w:pPr>
            <w:r>
              <w:rPr>
                <w:rFonts w:ascii="Arial" w:cs="Arial" w:eastAsia="Arial" w:hAnsi="Arial"/>
                <w:sz w:val="13"/>
                <w:szCs w:val="13"/>
                <w:color w:val="auto"/>
              </w:rPr>
              <w:t>(52.3)</w:t>
            </w:r>
          </w:p>
        </w:tc>
        <w:tc>
          <w:tcPr>
            <w:tcW w:w="180" w:type="dxa"/>
            <w:vAlign w:val="bottom"/>
          </w:tcPr>
          <w:p>
            <w:pPr>
              <w:spacing w:after="0"/>
              <w:rPr>
                <w:sz w:val="15"/>
                <w:szCs w:val="15"/>
                <w:color w:val="auto"/>
              </w:rPr>
            </w:pPr>
          </w:p>
        </w:tc>
        <w:tc>
          <w:tcPr>
            <w:tcW w:w="94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(52.3)</w:t>
            </w:r>
          </w:p>
        </w:tc>
        <w:tc>
          <w:tcPr>
            <w:tcW w:w="0" w:type="dxa"/>
            <w:vAlign w:val="bottom"/>
          </w:tcPr>
          <w:p>
            <w:pPr>
              <w:spacing w:after="0"/>
              <w:rPr>
                <w:sz w:val="1"/>
                <w:szCs w:val="1"/>
                <w:color w:val="auto"/>
              </w:rPr>
            </w:pPr>
          </w:p>
        </w:tc>
      </w:tr>
      <w:tr>
        <w:trPr>
          <w:trHeight w:val="128"/>
        </w:trPr>
        <w:tc>
          <w:tcPr>
            <w:tcW w:w="19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Treasury stock issued pursuant</w:t>
            </w: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 equity-based plans</w:t>
            </w:r>
          </w:p>
        </w:tc>
        <w:tc>
          <w:tcPr>
            <w:tcW w:w="6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0.3</w:t>
            </w: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(6.6)</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7.5</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0.9</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171"/>
        </w:trPr>
        <w:tc>
          <w:tcPr>
            <w:tcW w:w="19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Dividends ($0.20 per share)</w:t>
            </w:r>
          </w:p>
        </w:tc>
        <w:tc>
          <w:tcPr>
            <w:tcW w:w="6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(6.0)</w:t>
            </w: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72"/>
        </w:trPr>
        <w:tc>
          <w:tcPr>
            <w:tcW w:w="1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w w:val="99"/>
              </w:rPr>
              <w:t>Balance at November 30, 2023</w:t>
            </w:r>
          </w:p>
        </w:tc>
        <w:tc>
          <w:tcPr>
            <w:tcW w:w="6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b w:val="1"/>
                <w:bCs w:val="1"/>
                <w:color w:val="auto"/>
              </w:rPr>
              <w:t>1.7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0.0</w:t>
            </w:r>
          </w:p>
        </w:tc>
        <w:tc>
          <w:tcPr>
            <w:tcW w:w="5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b w:val="1"/>
                <w:bCs w:val="1"/>
                <w:color w:val="auto"/>
              </w:rPr>
              <w:t>28.2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0.4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630.8</w:t>
            </w:r>
          </w:p>
        </w:tc>
        <w:tc>
          <w:tcPr>
            <w:tcW w:w="1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(53.5)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1,026.0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(524.6)</w:t>
            </w:r>
          </w:p>
        </w:tc>
        <w:tc>
          <w:tcPr>
            <w:tcW w:w="1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1,079.1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b w:val="1"/>
                <w:bCs w:val="1"/>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1,079.1</w:t>
            </w:r>
          </w:p>
        </w:tc>
        <w:tc>
          <w:tcPr>
            <w:tcW w:w="0" w:type="dxa"/>
            <w:vAlign w:val="bottom"/>
          </w:tcPr>
          <w:p>
            <w:pPr>
              <w:spacing w:after="0"/>
              <w:rPr>
                <w:sz w:val="1"/>
                <w:szCs w:val="1"/>
                <w:color w:val="auto"/>
              </w:rPr>
            </w:pPr>
          </w:p>
        </w:tc>
      </w:tr>
      <w:tr>
        <w:trPr>
          <w:trHeight w:val="169"/>
        </w:trPr>
        <w:tc>
          <w:tcPr>
            <w:tcW w:w="1900" w:type="dxa"/>
            <w:vAlign w:val="bottom"/>
          </w:tcPr>
          <w:p>
            <w:pPr>
              <w:ind w:left="20"/>
              <w:spacing w:after="0"/>
              <w:rPr>
                <w:sz w:val="20"/>
                <w:szCs w:val="20"/>
                <w:color w:val="auto"/>
              </w:rPr>
            </w:pPr>
            <w:r>
              <w:rPr>
                <w:rFonts w:ascii="Arial" w:cs="Arial" w:eastAsia="Arial" w:hAnsi="Arial"/>
                <w:sz w:val="13"/>
                <w:szCs w:val="13"/>
                <w:b w:val="1"/>
                <w:bCs w:val="1"/>
                <w:color w:val="auto"/>
              </w:rPr>
              <w:t>Net Income (loss)</w:t>
            </w:r>
          </w:p>
        </w:tc>
        <w:tc>
          <w:tcPr>
            <w:tcW w:w="6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(26.5)</w:t>
            </w:r>
          </w:p>
        </w:tc>
        <w:tc>
          <w:tcPr>
            <w:tcW w:w="22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ind w:right="18"/>
              <w:spacing w:after="0"/>
              <w:rPr>
                <w:sz w:val="20"/>
                <w:szCs w:val="20"/>
                <w:color w:val="auto"/>
              </w:rPr>
            </w:pPr>
            <w:r>
              <w:rPr>
                <w:rFonts w:ascii="Arial" w:cs="Arial" w:eastAsia="Arial" w:hAnsi="Arial"/>
                <w:sz w:val="13"/>
                <w:szCs w:val="13"/>
                <w:color w:val="auto"/>
              </w:rPr>
              <w:t>(26.5)</w:t>
            </w:r>
          </w:p>
        </w:tc>
        <w:tc>
          <w:tcPr>
            <w:tcW w:w="180" w:type="dxa"/>
            <w:vAlign w:val="bottom"/>
          </w:tcPr>
          <w:p>
            <w:pPr>
              <w:spacing w:after="0"/>
              <w:rPr>
                <w:sz w:val="14"/>
                <w:szCs w:val="14"/>
                <w:color w:val="auto"/>
              </w:rPr>
            </w:pPr>
          </w:p>
        </w:tc>
        <w:tc>
          <w:tcPr>
            <w:tcW w:w="94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(26.5)</w:t>
            </w:r>
          </w:p>
        </w:tc>
        <w:tc>
          <w:tcPr>
            <w:tcW w:w="0" w:type="dxa"/>
            <w:vAlign w:val="bottom"/>
          </w:tcPr>
          <w:p>
            <w:pPr>
              <w:spacing w:after="0"/>
              <w:rPr>
                <w:sz w:val="1"/>
                <w:szCs w:val="1"/>
                <w:color w:val="auto"/>
              </w:rPr>
            </w:pPr>
          </w:p>
        </w:tc>
      </w:tr>
      <w:tr>
        <w:trPr>
          <w:trHeight w:val="123"/>
        </w:trPr>
        <w:tc>
          <w:tcPr>
            <w:tcW w:w="1900" w:type="dxa"/>
            <w:vAlign w:val="bottom"/>
            <w:shd w:val="clear" w:color="auto" w:fill="CCEEFF"/>
          </w:tcPr>
          <w:p>
            <w:pPr>
              <w:ind w:left="20"/>
              <w:spacing w:after="0" w:line="123" w:lineRule="exact"/>
              <w:rPr>
                <w:sz w:val="20"/>
                <w:szCs w:val="20"/>
                <w:color w:val="auto"/>
              </w:rPr>
            </w:pPr>
            <w:r>
              <w:rPr>
                <w:rFonts w:ascii="Arial" w:cs="Arial" w:eastAsia="Arial" w:hAnsi="Arial"/>
                <w:sz w:val="13"/>
                <w:szCs w:val="13"/>
                <w:color w:val="auto"/>
              </w:rPr>
              <w:t>Foreign currency translation</w:t>
            </w: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w:t>
            </w:r>
          </w:p>
        </w:tc>
        <w:tc>
          <w:tcPr>
            <w:tcW w:w="6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(0.4)</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22"/>
        </w:trPr>
        <w:tc>
          <w:tcPr>
            <w:tcW w:w="1900" w:type="dxa"/>
            <w:vAlign w:val="bottom"/>
          </w:tcPr>
          <w:p>
            <w:pPr>
              <w:ind w:left="20"/>
              <w:spacing w:after="0" w:line="122" w:lineRule="exact"/>
              <w:rPr>
                <w:sz w:val="20"/>
                <w:szCs w:val="20"/>
                <w:color w:val="auto"/>
              </w:rPr>
            </w:pPr>
            <w:r>
              <w:rPr>
                <w:rFonts w:ascii="Arial" w:cs="Arial" w:eastAsia="Arial" w:hAnsi="Arial"/>
                <w:sz w:val="13"/>
                <w:szCs w:val="13"/>
                <w:color w:val="auto"/>
              </w:rPr>
              <w:t>Pension and post-retirement</w:t>
            </w: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00" w:type="dxa"/>
            <w:vAlign w:val="bottom"/>
          </w:tcPr>
          <w:p>
            <w:pPr>
              <w:ind w:left="20"/>
              <w:spacing w:after="0"/>
              <w:rPr>
                <w:sz w:val="20"/>
                <w:szCs w:val="20"/>
                <w:color w:val="auto"/>
              </w:rPr>
            </w:pPr>
            <w:r>
              <w:rPr>
                <w:rFonts w:ascii="Arial" w:cs="Arial" w:eastAsia="Arial" w:hAnsi="Arial"/>
                <w:sz w:val="13"/>
                <w:szCs w:val="13"/>
                <w:color w:val="auto"/>
              </w:rPr>
              <w:t>adjustments (net of tax of $0.1)</w:t>
            </w:r>
          </w:p>
        </w:tc>
        <w:tc>
          <w:tcPr>
            <w:tcW w:w="6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60" w:type="dxa"/>
            <w:vAlign w:val="bottom"/>
          </w:tcPr>
          <w:p>
            <w:pPr>
              <w:jc w:val="right"/>
              <w:ind w:right="38"/>
              <w:spacing w:after="0"/>
              <w:rPr>
                <w:sz w:val="20"/>
                <w:szCs w:val="20"/>
                <w:color w:val="auto"/>
              </w:rPr>
            </w:pPr>
            <w:r>
              <w:rPr>
                <w:rFonts w:ascii="Arial" w:cs="Arial" w:eastAsia="Arial" w:hAnsi="Arial"/>
                <w:sz w:val="13"/>
                <w:szCs w:val="13"/>
                <w:color w:val="auto"/>
              </w:rPr>
              <w:t>0.2</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40" w:type="dxa"/>
            <w:vAlign w:val="bottom"/>
          </w:tcPr>
          <w:p>
            <w:pPr>
              <w:jc w:val="right"/>
              <w:ind w:right="38"/>
              <w:spacing w:after="0"/>
              <w:rPr>
                <w:sz w:val="20"/>
                <w:szCs w:val="20"/>
                <w:color w:val="auto"/>
              </w:rPr>
            </w:pPr>
            <w:r>
              <w:rPr>
                <w:rFonts w:ascii="Arial" w:cs="Arial" w:eastAsia="Arial" w:hAnsi="Arial"/>
                <w:sz w:val="13"/>
                <w:szCs w:val="13"/>
                <w:color w:val="auto"/>
              </w:rPr>
              <w:t>0.2</w:t>
            </w:r>
          </w:p>
        </w:tc>
        <w:tc>
          <w:tcPr>
            <w:tcW w:w="180" w:type="dxa"/>
            <w:vAlign w:val="bottom"/>
          </w:tcPr>
          <w:p>
            <w:pPr>
              <w:spacing w:after="0"/>
              <w:rPr>
                <w:sz w:val="15"/>
                <w:szCs w:val="15"/>
                <w:color w:val="auto"/>
              </w:rPr>
            </w:pPr>
          </w:p>
        </w:tc>
        <w:tc>
          <w:tcPr>
            <w:tcW w:w="94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83"/>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6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2.3</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21"/>
        </w:trPr>
        <w:tc>
          <w:tcPr>
            <w:tcW w:w="1900" w:type="dxa"/>
            <w:vAlign w:val="bottom"/>
          </w:tcPr>
          <w:p>
            <w:pPr>
              <w:ind w:left="20"/>
              <w:spacing w:after="0" w:line="122" w:lineRule="exact"/>
              <w:rPr>
                <w:sz w:val="20"/>
                <w:szCs w:val="20"/>
                <w:color w:val="auto"/>
              </w:rPr>
            </w:pPr>
            <w:r>
              <w:rPr>
                <w:rFonts w:ascii="Arial" w:cs="Arial" w:eastAsia="Arial" w:hAnsi="Arial"/>
                <w:sz w:val="13"/>
                <w:szCs w:val="13"/>
                <w:color w:val="auto"/>
              </w:rPr>
              <w:t>Proceeds pursuant to stock-</w:t>
            </w: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00" w:type="dxa"/>
            <w:vAlign w:val="bottom"/>
          </w:tcPr>
          <w:p>
            <w:pPr>
              <w:ind w:left="20"/>
              <w:spacing w:after="0"/>
              <w:rPr>
                <w:sz w:val="20"/>
                <w:szCs w:val="20"/>
                <w:color w:val="auto"/>
              </w:rPr>
            </w:pPr>
            <w:r>
              <w:rPr>
                <w:rFonts w:ascii="Arial" w:cs="Arial" w:eastAsia="Arial" w:hAnsi="Arial"/>
                <w:sz w:val="13"/>
                <w:szCs w:val="13"/>
                <w:color w:val="auto"/>
              </w:rPr>
              <w:t>based compensation plans</w:t>
            </w:r>
          </w:p>
        </w:tc>
        <w:tc>
          <w:tcPr>
            <w:tcW w:w="6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2.5</w:t>
            </w:r>
          </w:p>
        </w:tc>
        <w:tc>
          <w:tcPr>
            <w:tcW w:w="140" w:type="dxa"/>
            <w:vAlign w:val="bottom"/>
          </w:tcPr>
          <w:p>
            <w:pPr>
              <w:spacing w:after="0"/>
              <w:rPr>
                <w:sz w:val="15"/>
                <w:szCs w:val="15"/>
                <w:color w:val="auto"/>
              </w:rPr>
            </w:pPr>
          </w:p>
        </w:tc>
        <w:tc>
          <w:tcPr>
            <w:tcW w:w="8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40" w:type="dxa"/>
            <w:vAlign w:val="bottom"/>
          </w:tcPr>
          <w:p>
            <w:pPr>
              <w:jc w:val="right"/>
              <w:ind w:right="38"/>
              <w:spacing w:after="0"/>
              <w:rPr>
                <w:sz w:val="20"/>
                <w:szCs w:val="20"/>
                <w:color w:val="auto"/>
              </w:rPr>
            </w:pPr>
            <w:r>
              <w:rPr>
                <w:rFonts w:ascii="Arial" w:cs="Arial" w:eastAsia="Arial" w:hAnsi="Arial"/>
                <w:sz w:val="13"/>
                <w:szCs w:val="13"/>
                <w:color w:val="auto"/>
              </w:rPr>
              <w:t>2.5</w:t>
            </w:r>
          </w:p>
        </w:tc>
        <w:tc>
          <w:tcPr>
            <w:tcW w:w="180" w:type="dxa"/>
            <w:vAlign w:val="bottom"/>
          </w:tcPr>
          <w:p>
            <w:pPr>
              <w:spacing w:after="0"/>
              <w:rPr>
                <w:sz w:val="15"/>
                <w:szCs w:val="15"/>
                <w:color w:val="auto"/>
              </w:rPr>
            </w:pPr>
          </w:p>
        </w:tc>
        <w:tc>
          <w:tcPr>
            <w:tcW w:w="94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29"/>
        </w:trPr>
        <w:tc>
          <w:tcPr>
            <w:tcW w:w="19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Purchases of treasury stock at</w:t>
            </w: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w:t>
            </w:r>
          </w:p>
        </w:tc>
        <w:tc>
          <w:tcPr>
            <w:tcW w:w="6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(1.4)</w:t>
            </w: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(54.2)</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(54.2)</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w:t>
            </w:r>
          </w:p>
        </w:tc>
        <w:tc>
          <w:tcPr>
            <w:tcW w:w="0" w:type="dxa"/>
            <w:vAlign w:val="bottom"/>
          </w:tcPr>
          <w:p>
            <w:pPr>
              <w:spacing w:after="0"/>
              <w:rPr>
                <w:sz w:val="1"/>
                <w:szCs w:val="1"/>
                <w:color w:val="auto"/>
              </w:rPr>
            </w:pPr>
          </w:p>
        </w:tc>
      </w:tr>
      <w:tr>
        <w:trPr>
          <w:trHeight w:val="122"/>
        </w:trPr>
        <w:tc>
          <w:tcPr>
            <w:tcW w:w="1900" w:type="dxa"/>
            <w:vAlign w:val="bottom"/>
          </w:tcPr>
          <w:p>
            <w:pPr>
              <w:ind w:left="20"/>
              <w:spacing w:after="0" w:line="122" w:lineRule="exact"/>
              <w:rPr>
                <w:sz w:val="20"/>
                <w:szCs w:val="20"/>
                <w:color w:val="auto"/>
              </w:rPr>
            </w:pPr>
            <w:r>
              <w:rPr>
                <w:rFonts w:ascii="Arial" w:cs="Arial" w:eastAsia="Arial" w:hAnsi="Arial"/>
                <w:sz w:val="13"/>
                <w:szCs w:val="13"/>
                <w:color w:val="auto"/>
              </w:rPr>
              <w:t>Treasury stock issued pursuant</w:t>
            </w: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00" w:type="dxa"/>
            <w:vAlign w:val="bottom"/>
          </w:tcPr>
          <w:p>
            <w:pPr>
              <w:ind w:left="20"/>
              <w:spacing w:after="0"/>
              <w:rPr>
                <w:sz w:val="20"/>
                <w:szCs w:val="20"/>
                <w:color w:val="auto"/>
              </w:rPr>
            </w:pPr>
            <w:r>
              <w:rPr>
                <w:rFonts w:ascii="Arial" w:cs="Arial" w:eastAsia="Arial" w:hAnsi="Arial"/>
                <w:sz w:val="13"/>
                <w:szCs w:val="13"/>
                <w:color w:val="auto"/>
              </w:rPr>
              <w:t>to equity-based plans</w:t>
            </w:r>
          </w:p>
        </w:tc>
        <w:tc>
          <w:tcPr>
            <w:tcW w:w="6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8"/>
              <w:spacing w:after="0"/>
              <w:rPr>
                <w:sz w:val="20"/>
                <w:szCs w:val="20"/>
                <w:color w:val="auto"/>
              </w:rPr>
            </w:pPr>
            <w:r>
              <w:rPr>
                <w:rFonts w:ascii="Arial" w:cs="Arial" w:eastAsia="Arial" w:hAnsi="Arial"/>
                <w:sz w:val="13"/>
                <w:szCs w:val="13"/>
                <w:color w:val="auto"/>
              </w:rPr>
              <w:t>0.1</w:t>
            </w: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(4.0)</w:t>
            </w:r>
          </w:p>
        </w:tc>
        <w:tc>
          <w:tcPr>
            <w:tcW w:w="140" w:type="dxa"/>
            <w:vAlign w:val="bottom"/>
          </w:tcPr>
          <w:p>
            <w:pPr>
              <w:spacing w:after="0"/>
              <w:rPr>
                <w:sz w:val="15"/>
                <w:szCs w:val="15"/>
                <w:color w:val="auto"/>
              </w:rPr>
            </w:pPr>
          </w:p>
        </w:tc>
        <w:tc>
          <w:tcPr>
            <w:tcW w:w="8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4.6</w:t>
            </w:r>
          </w:p>
        </w:tc>
        <w:tc>
          <w:tcPr>
            <w:tcW w:w="160" w:type="dxa"/>
            <w:vAlign w:val="bottom"/>
          </w:tcPr>
          <w:p>
            <w:pPr>
              <w:spacing w:after="0"/>
              <w:rPr>
                <w:sz w:val="15"/>
                <w:szCs w:val="15"/>
                <w:color w:val="auto"/>
              </w:rPr>
            </w:pPr>
          </w:p>
        </w:tc>
        <w:tc>
          <w:tcPr>
            <w:tcW w:w="840" w:type="dxa"/>
            <w:vAlign w:val="bottom"/>
          </w:tcPr>
          <w:p>
            <w:pPr>
              <w:jc w:val="right"/>
              <w:ind w:right="38"/>
              <w:spacing w:after="0"/>
              <w:rPr>
                <w:sz w:val="20"/>
                <w:szCs w:val="20"/>
                <w:color w:val="auto"/>
              </w:rPr>
            </w:pPr>
            <w:r>
              <w:rPr>
                <w:rFonts w:ascii="Arial" w:cs="Arial" w:eastAsia="Arial" w:hAnsi="Arial"/>
                <w:sz w:val="13"/>
                <w:szCs w:val="13"/>
                <w:color w:val="auto"/>
              </w:rPr>
              <w:t>0.6</w:t>
            </w:r>
          </w:p>
        </w:tc>
        <w:tc>
          <w:tcPr>
            <w:tcW w:w="180" w:type="dxa"/>
            <w:vAlign w:val="bottom"/>
          </w:tcPr>
          <w:p>
            <w:pPr>
              <w:spacing w:after="0"/>
              <w:rPr>
                <w:sz w:val="15"/>
                <w:szCs w:val="15"/>
                <w:color w:val="auto"/>
              </w:rPr>
            </w:pPr>
          </w:p>
        </w:tc>
        <w:tc>
          <w:tcPr>
            <w:tcW w:w="94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83"/>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Dividends ($0.20 per share)</w:t>
            </w:r>
          </w:p>
        </w:tc>
        <w:tc>
          <w:tcPr>
            <w:tcW w:w="6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(6.0)</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71"/>
        </w:trPr>
        <w:tc>
          <w:tcPr>
            <w:tcW w:w="19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 (share conversion)</w:t>
            </w:r>
          </w:p>
        </w:tc>
        <w:tc>
          <w:tcPr>
            <w:tcW w:w="60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(0.9)</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0.9</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(28.6)</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28.6</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1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February 29, 2024</w:t>
            </w:r>
          </w:p>
        </w:tc>
        <w:tc>
          <w:tcPr>
            <w:tcW w:w="6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b w:val="1"/>
                <w:bCs w:val="1"/>
                <w:color w:val="auto"/>
              </w:rPr>
              <w:t>0.8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0.0</w:t>
            </w:r>
          </w:p>
        </w:tc>
        <w:tc>
          <w:tcPr>
            <w:tcW w:w="5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b w:val="1"/>
                <w:bCs w:val="1"/>
                <w:color w:val="auto"/>
              </w:rPr>
              <w:t>27.8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0.4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603.0</w:t>
            </w:r>
          </w:p>
        </w:tc>
        <w:tc>
          <w:tcPr>
            <w:tcW w:w="1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(53.7)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993.5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(545.6)</w:t>
            </w:r>
          </w:p>
        </w:tc>
        <w:tc>
          <w:tcPr>
            <w:tcW w:w="1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997.6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b w:val="1"/>
                <w:bCs w:val="1"/>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997.6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26"/>
        </w:trPr>
        <w:tc>
          <w:tcPr>
            <w:tcW w:w="1900" w:type="dxa"/>
            <w:vAlign w:val="bottom"/>
          </w:tcPr>
          <w:p>
            <w:pPr>
              <w:spacing w:after="0"/>
              <w:rPr>
                <w:sz w:val="10"/>
                <w:szCs w:val="10"/>
                <w:color w:val="auto"/>
              </w:rPr>
            </w:pPr>
          </w:p>
        </w:tc>
        <w:tc>
          <w:tcPr>
            <w:tcW w:w="1280" w:type="dxa"/>
            <w:vAlign w:val="bottom"/>
            <w:gridSpan w:val="3"/>
            <w:vMerge w:val="restart"/>
          </w:tcPr>
          <w:p>
            <w:pPr>
              <w:jc w:val="right"/>
              <w:ind w:right="237"/>
              <w:spacing w:after="0"/>
              <w:rPr>
                <w:sz w:val="20"/>
                <w:szCs w:val="20"/>
                <w:color w:val="auto"/>
              </w:rPr>
            </w:pPr>
            <w:r>
              <w:rPr>
                <w:rFonts w:ascii="Arial" w:cs="Arial" w:eastAsia="Arial" w:hAnsi="Arial"/>
                <w:sz w:val="11"/>
                <w:szCs w:val="11"/>
                <w:b w:val="1"/>
                <w:bCs w:val="1"/>
                <w:color w:val="auto"/>
              </w:rPr>
              <w:t>Class A Stock</w:t>
            </w:r>
          </w:p>
        </w:tc>
        <w:tc>
          <w:tcPr>
            <w:tcW w:w="1300" w:type="dxa"/>
            <w:vAlign w:val="bottom"/>
            <w:gridSpan w:val="3"/>
            <w:vMerge w:val="restart"/>
          </w:tcPr>
          <w:p>
            <w:pPr>
              <w:jc w:val="right"/>
              <w:ind w:right="197"/>
              <w:spacing w:after="0"/>
              <w:rPr>
                <w:sz w:val="20"/>
                <w:szCs w:val="20"/>
                <w:color w:val="auto"/>
              </w:rPr>
            </w:pPr>
            <w:r>
              <w:rPr>
                <w:rFonts w:ascii="Arial" w:cs="Arial" w:eastAsia="Arial" w:hAnsi="Arial"/>
                <w:sz w:val="11"/>
                <w:szCs w:val="11"/>
                <w:b w:val="1"/>
                <w:bCs w:val="1"/>
                <w:color w:val="auto"/>
              </w:rPr>
              <w:t>Common Stock</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jc w:val="center"/>
              <w:ind w:right="198"/>
              <w:spacing w:after="0"/>
              <w:rPr>
                <w:sz w:val="20"/>
                <w:szCs w:val="20"/>
                <w:color w:val="auto"/>
              </w:rPr>
            </w:pPr>
            <w:r>
              <w:rPr>
                <w:rFonts w:ascii="Arial" w:cs="Arial" w:eastAsia="Arial" w:hAnsi="Arial"/>
                <w:sz w:val="11"/>
                <w:szCs w:val="11"/>
                <w:b w:val="1"/>
                <w:bCs w:val="1"/>
                <w:color w:val="auto"/>
                <w:w w:val="98"/>
              </w:rPr>
              <w:t>Total</w:t>
            </w: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90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jc w:val="center"/>
              <w:ind w:right="78"/>
              <w:spacing w:after="0" w:line="108" w:lineRule="exact"/>
              <w:rPr>
                <w:sz w:val="20"/>
                <w:szCs w:val="20"/>
                <w:color w:val="auto"/>
              </w:rPr>
            </w:pPr>
            <w:r>
              <w:rPr>
                <w:rFonts w:ascii="Arial" w:cs="Arial" w:eastAsia="Arial" w:hAnsi="Arial"/>
                <w:sz w:val="11"/>
                <w:szCs w:val="11"/>
                <w:b w:val="1"/>
                <w:bCs w:val="1"/>
                <w:color w:val="auto"/>
                <w:w w:val="98"/>
              </w:rPr>
              <w:t>Accumulated</w:t>
            </w: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0" w:type="dxa"/>
            <w:vAlign w:val="bottom"/>
            <w:gridSpan w:val="2"/>
          </w:tcPr>
          <w:p>
            <w:pPr>
              <w:ind w:left="100"/>
              <w:spacing w:after="0" w:line="108" w:lineRule="exact"/>
              <w:rPr>
                <w:sz w:val="20"/>
                <w:szCs w:val="20"/>
                <w:color w:val="auto"/>
              </w:rPr>
            </w:pPr>
            <w:r>
              <w:rPr>
                <w:rFonts w:ascii="Arial" w:cs="Arial" w:eastAsia="Arial" w:hAnsi="Arial"/>
                <w:sz w:val="11"/>
                <w:szCs w:val="11"/>
                <w:b w:val="1"/>
                <w:bCs w:val="1"/>
                <w:color w:val="auto"/>
              </w:rPr>
              <w:t>Stockholders'</w:t>
            </w: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gridSpan w:val="2"/>
            <w:vMerge w:val="restart"/>
          </w:tcPr>
          <w:p>
            <w:pPr>
              <w:jc w:val="right"/>
              <w:ind w:right="17"/>
              <w:spacing w:after="0"/>
              <w:rPr>
                <w:sz w:val="20"/>
                <w:szCs w:val="20"/>
                <w:color w:val="auto"/>
              </w:rPr>
            </w:pPr>
            <w:r>
              <w:rPr>
                <w:rFonts w:ascii="Arial" w:cs="Arial" w:eastAsia="Arial" w:hAnsi="Arial"/>
                <w:sz w:val="11"/>
                <w:szCs w:val="11"/>
                <w:b w:val="1"/>
                <w:bCs w:val="1"/>
                <w:color w:val="auto"/>
              </w:rPr>
              <w:t>Additional Paid-</w:t>
            </w:r>
          </w:p>
        </w:tc>
        <w:tc>
          <w:tcPr>
            <w:tcW w:w="140" w:type="dxa"/>
            <w:vAlign w:val="bottom"/>
          </w:tcPr>
          <w:p>
            <w:pPr>
              <w:spacing w:after="0"/>
              <w:rPr>
                <w:sz w:val="11"/>
                <w:szCs w:val="11"/>
                <w:color w:val="auto"/>
              </w:rPr>
            </w:pPr>
          </w:p>
        </w:tc>
        <w:tc>
          <w:tcPr>
            <w:tcW w:w="860" w:type="dxa"/>
            <w:vAlign w:val="bottom"/>
          </w:tcPr>
          <w:p>
            <w:pPr>
              <w:jc w:val="center"/>
              <w:ind w:right="58"/>
              <w:spacing w:after="0"/>
              <w:rPr>
                <w:sz w:val="20"/>
                <w:szCs w:val="20"/>
                <w:color w:val="auto"/>
              </w:rPr>
            </w:pPr>
            <w:r>
              <w:rPr>
                <w:rFonts w:ascii="Arial" w:cs="Arial" w:eastAsia="Arial" w:hAnsi="Arial"/>
                <w:sz w:val="11"/>
                <w:szCs w:val="11"/>
                <w:b w:val="1"/>
                <w:bCs w:val="1"/>
                <w:color w:val="auto"/>
              </w:rPr>
              <w:t>Other</w:t>
            </w:r>
          </w:p>
        </w:tc>
        <w:tc>
          <w:tcPr>
            <w:tcW w:w="180" w:type="dxa"/>
            <w:vAlign w:val="bottom"/>
          </w:tcPr>
          <w:p>
            <w:pPr>
              <w:spacing w:after="0"/>
              <w:rPr>
                <w:sz w:val="11"/>
                <w:szCs w:val="11"/>
                <w:color w:val="auto"/>
              </w:rPr>
            </w:pPr>
          </w:p>
        </w:tc>
        <w:tc>
          <w:tcPr>
            <w:tcW w:w="660" w:type="dxa"/>
            <w:vAlign w:val="bottom"/>
            <w:vMerge w:val="restart"/>
          </w:tcPr>
          <w:p>
            <w:pPr>
              <w:jc w:val="right"/>
              <w:ind w:right="98"/>
              <w:spacing w:after="0"/>
              <w:rPr>
                <w:sz w:val="20"/>
                <w:szCs w:val="20"/>
                <w:color w:val="auto"/>
              </w:rPr>
            </w:pPr>
            <w:r>
              <w:rPr>
                <w:rFonts w:ascii="Arial" w:cs="Arial" w:eastAsia="Arial" w:hAnsi="Arial"/>
                <w:sz w:val="11"/>
                <w:szCs w:val="11"/>
                <w:b w:val="1"/>
                <w:bCs w:val="1"/>
                <w:color w:val="auto"/>
              </w:rPr>
              <w:t>Retained</w:t>
            </w:r>
          </w:p>
        </w:tc>
        <w:tc>
          <w:tcPr>
            <w:tcW w:w="920" w:type="dxa"/>
            <w:vAlign w:val="bottom"/>
            <w:gridSpan w:val="2"/>
            <w:vMerge w:val="restart"/>
          </w:tcPr>
          <w:p>
            <w:pPr>
              <w:jc w:val="right"/>
              <w:ind w:right="37"/>
              <w:spacing w:after="0"/>
              <w:rPr>
                <w:sz w:val="20"/>
                <w:szCs w:val="20"/>
                <w:color w:val="auto"/>
              </w:rPr>
            </w:pPr>
            <w:r>
              <w:rPr>
                <w:rFonts w:ascii="Arial" w:cs="Arial" w:eastAsia="Arial" w:hAnsi="Arial"/>
                <w:sz w:val="11"/>
                <w:szCs w:val="11"/>
                <w:b w:val="1"/>
                <w:bCs w:val="1"/>
                <w:color w:val="auto"/>
              </w:rPr>
              <w:t>Treasury Stock</w:t>
            </w:r>
          </w:p>
        </w:tc>
        <w:tc>
          <w:tcPr>
            <w:tcW w:w="160" w:type="dxa"/>
            <w:vAlign w:val="bottom"/>
          </w:tcPr>
          <w:p>
            <w:pPr>
              <w:spacing w:after="0"/>
              <w:rPr>
                <w:sz w:val="11"/>
                <w:szCs w:val="11"/>
                <w:color w:val="auto"/>
              </w:rPr>
            </w:pPr>
          </w:p>
        </w:tc>
        <w:tc>
          <w:tcPr>
            <w:tcW w:w="840" w:type="dxa"/>
            <w:vAlign w:val="bottom"/>
          </w:tcPr>
          <w:p>
            <w:pPr>
              <w:jc w:val="center"/>
              <w:ind w:right="198"/>
              <w:spacing w:after="0"/>
              <w:rPr>
                <w:sz w:val="20"/>
                <w:szCs w:val="20"/>
                <w:color w:val="auto"/>
              </w:rPr>
            </w:pPr>
            <w:r>
              <w:rPr>
                <w:rFonts w:ascii="Arial" w:cs="Arial" w:eastAsia="Arial" w:hAnsi="Arial"/>
                <w:sz w:val="11"/>
                <w:szCs w:val="11"/>
                <w:b w:val="1"/>
                <w:bCs w:val="1"/>
                <w:color w:val="auto"/>
                <w:w w:val="97"/>
              </w:rPr>
              <w:t>Equity of</w:t>
            </w:r>
          </w:p>
        </w:tc>
        <w:tc>
          <w:tcPr>
            <w:tcW w:w="180" w:type="dxa"/>
            <w:vAlign w:val="bottom"/>
          </w:tcPr>
          <w:p>
            <w:pPr>
              <w:spacing w:after="0"/>
              <w:rPr>
                <w:sz w:val="11"/>
                <w:szCs w:val="11"/>
                <w:color w:val="auto"/>
              </w:rPr>
            </w:pPr>
          </w:p>
        </w:tc>
        <w:tc>
          <w:tcPr>
            <w:tcW w:w="92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Noncontrolling</w:t>
            </w:r>
          </w:p>
        </w:tc>
        <w:tc>
          <w:tcPr>
            <w:tcW w:w="180" w:type="dxa"/>
            <w:vAlign w:val="bottom"/>
          </w:tcPr>
          <w:p>
            <w:pPr>
              <w:spacing w:after="0"/>
              <w:rPr>
                <w:sz w:val="11"/>
                <w:szCs w:val="11"/>
                <w:color w:val="auto"/>
              </w:rPr>
            </w:pPr>
          </w:p>
        </w:tc>
        <w:tc>
          <w:tcPr>
            <w:tcW w:w="780" w:type="dxa"/>
            <w:vAlign w:val="bottom"/>
          </w:tcPr>
          <w:p>
            <w:pPr>
              <w:jc w:val="center"/>
              <w:ind w:right="58"/>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95"/>
        </w:trPr>
        <w:tc>
          <w:tcPr>
            <w:tcW w:w="1900" w:type="dxa"/>
            <w:vAlign w:val="bottom"/>
          </w:tcPr>
          <w:p>
            <w:pPr>
              <w:spacing w:after="0"/>
              <w:rPr>
                <w:sz w:val="8"/>
                <w:szCs w:val="8"/>
                <w:color w:val="auto"/>
              </w:rPr>
            </w:pPr>
          </w:p>
        </w:tc>
        <w:tc>
          <w:tcPr>
            <w:tcW w:w="560" w:type="dxa"/>
            <w:vAlign w:val="bottom"/>
            <w:vMerge w:val="restart"/>
          </w:tcPr>
          <w:p>
            <w:pPr>
              <w:jc w:val="right"/>
              <w:ind w:right="58"/>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rPr>
                <w:sz w:val="8"/>
                <w:szCs w:val="8"/>
                <w:color w:val="auto"/>
              </w:rPr>
            </w:pPr>
          </w:p>
        </w:tc>
        <w:tc>
          <w:tcPr>
            <w:tcW w:w="540" w:type="dxa"/>
            <w:vAlign w:val="bottom"/>
            <w:vMerge w:val="restart"/>
          </w:tcPr>
          <w:p>
            <w:pPr>
              <w:jc w:val="right"/>
              <w:ind w:right="57"/>
              <w:spacing w:after="0"/>
              <w:rPr>
                <w:sz w:val="20"/>
                <w:szCs w:val="20"/>
                <w:color w:val="auto"/>
              </w:rPr>
            </w:pPr>
            <w:r>
              <w:rPr>
                <w:rFonts w:ascii="Arial" w:cs="Arial" w:eastAsia="Arial" w:hAnsi="Arial"/>
                <w:sz w:val="11"/>
                <w:szCs w:val="11"/>
                <w:b w:val="1"/>
                <w:bCs w:val="1"/>
                <w:color w:val="auto"/>
                <w:w w:val="96"/>
              </w:rPr>
              <w:t>Amount</w:t>
            </w:r>
          </w:p>
        </w:tc>
        <w:tc>
          <w:tcPr>
            <w:tcW w:w="600" w:type="dxa"/>
            <w:vAlign w:val="bottom"/>
            <w:vMerge w:val="restart"/>
          </w:tcPr>
          <w:p>
            <w:pPr>
              <w:jc w:val="right"/>
              <w:ind w:right="78"/>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8"/>
                <w:szCs w:val="8"/>
                <w:color w:val="auto"/>
              </w:rPr>
            </w:pPr>
          </w:p>
        </w:tc>
        <w:tc>
          <w:tcPr>
            <w:tcW w:w="540" w:type="dxa"/>
            <w:vAlign w:val="bottom"/>
            <w:vMerge w:val="restart"/>
          </w:tcPr>
          <w:p>
            <w:pPr>
              <w:jc w:val="right"/>
              <w:ind w:right="37"/>
              <w:spacing w:after="0"/>
              <w:rPr>
                <w:sz w:val="20"/>
                <w:szCs w:val="20"/>
                <w:color w:val="auto"/>
              </w:rPr>
            </w:pPr>
            <w:r>
              <w:rPr>
                <w:rFonts w:ascii="Arial" w:cs="Arial" w:eastAsia="Arial" w:hAnsi="Arial"/>
                <w:sz w:val="11"/>
                <w:szCs w:val="11"/>
                <w:b w:val="1"/>
                <w:bCs w:val="1"/>
                <w:color w:val="auto"/>
              </w:rPr>
              <w:t>Amount</w:t>
            </w:r>
          </w:p>
        </w:tc>
        <w:tc>
          <w:tcPr>
            <w:tcW w:w="940" w:type="dxa"/>
            <w:vAlign w:val="bottom"/>
            <w:gridSpan w:val="2"/>
            <w:vMerge w:val="continue"/>
          </w:tcPr>
          <w:p>
            <w:pPr>
              <w:spacing w:after="0"/>
              <w:rPr>
                <w:sz w:val="8"/>
                <w:szCs w:val="8"/>
                <w:color w:val="auto"/>
              </w:rPr>
            </w:pPr>
          </w:p>
        </w:tc>
        <w:tc>
          <w:tcPr>
            <w:tcW w:w="1000" w:type="dxa"/>
            <w:vAlign w:val="bottom"/>
            <w:gridSpan w:val="2"/>
          </w:tcPr>
          <w:p>
            <w:pPr>
              <w:jc w:val="center"/>
              <w:spacing w:after="0" w:line="95" w:lineRule="exact"/>
              <w:rPr>
                <w:sz w:val="20"/>
                <w:szCs w:val="20"/>
                <w:color w:val="auto"/>
              </w:rPr>
            </w:pPr>
            <w:r>
              <w:rPr>
                <w:rFonts w:ascii="Arial" w:cs="Arial" w:eastAsia="Arial" w:hAnsi="Arial"/>
                <w:sz w:val="10"/>
                <w:szCs w:val="10"/>
                <w:b w:val="1"/>
                <w:bCs w:val="1"/>
                <w:color w:val="auto"/>
              </w:rPr>
              <w:t>Comprehensive</w:t>
            </w:r>
          </w:p>
        </w:tc>
        <w:tc>
          <w:tcPr>
            <w:tcW w:w="1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jc w:val="center"/>
              <w:ind w:right="198"/>
              <w:spacing w:after="0" w:line="95" w:lineRule="exact"/>
              <w:rPr>
                <w:sz w:val="20"/>
                <w:szCs w:val="20"/>
                <w:color w:val="auto"/>
              </w:rPr>
            </w:pPr>
            <w:r>
              <w:rPr>
                <w:rFonts w:ascii="Arial" w:cs="Arial" w:eastAsia="Arial" w:hAnsi="Arial"/>
                <w:sz w:val="10"/>
                <w:szCs w:val="10"/>
                <w:b w:val="1"/>
                <w:bCs w:val="1"/>
                <w:color w:val="auto"/>
              </w:rPr>
              <w:t>Scholastic</w:t>
            </w:r>
          </w:p>
        </w:tc>
        <w:tc>
          <w:tcPr>
            <w:tcW w:w="18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jc w:val="center"/>
              <w:ind w:right="58"/>
              <w:spacing w:after="0" w:line="95"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148"/>
        </w:trPr>
        <w:tc>
          <w:tcPr>
            <w:tcW w:w="19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77"/>
              <w:spacing w:after="0"/>
              <w:rPr>
                <w:sz w:val="20"/>
                <w:szCs w:val="20"/>
                <w:color w:val="auto"/>
              </w:rPr>
            </w:pPr>
            <w:r>
              <w:rPr>
                <w:rFonts w:ascii="Arial" w:cs="Arial" w:eastAsia="Arial" w:hAnsi="Arial"/>
                <w:sz w:val="11"/>
                <w:szCs w:val="11"/>
                <w:b w:val="1"/>
                <w:bCs w:val="1"/>
                <w:color w:val="auto"/>
                <w:w w:val="96"/>
              </w:rPr>
              <w:t>in Capital</w:t>
            </w: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58"/>
              <w:spacing w:after="0"/>
              <w:rPr>
                <w:sz w:val="20"/>
                <w:szCs w:val="20"/>
                <w:color w:val="auto"/>
              </w:rPr>
            </w:pPr>
            <w:r>
              <w:rPr>
                <w:rFonts w:ascii="Arial" w:cs="Arial" w:eastAsia="Arial" w:hAnsi="Arial"/>
                <w:sz w:val="11"/>
                <w:szCs w:val="11"/>
                <w:b w:val="1"/>
                <w:bCs w:val="1"/>
                <w:color w:val="auto"/>
                <w:w w:val="99"/>
              </w:rPr>
              <w:t>Income (Loss)</w:t>
            </w: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98"/>
              <w:spacing w:after="0"/>
              <w:rPr>
                <w:sz w:val="20"/>
                <w:szCs w:val="20"/>
                <w:color w:val="auto"/>
              </w:rPr>
            </w:pPr>
            <w:r>
              <w:rPr>
                <w:rFonts w:ascii="Arial" w:cs="Arial" w:eastAsia="Arial" w:hAnsi="Arial"/>
                <w:sz w:val="11"/>
                <w:szCs w:val="11"/>
                <w:b w:val="1"/>
                <w:bCs w:val="1"/>
                <w:color w:val="auto"/>
              </w:rPr>
              <w:t>Earnings</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7"/>
              <w:spacing w:after="0"/>
              <w:rPr>
                <w:sz w:val="20"/>
                <w:szCs w:val="20"/>
                <w:color w:val="auto"/>
              </w:rPr>
            </w:pPr>
            <w:r>
              <w:rPr>
                <w:rFonts w:ascii="Arial" w:cs="Arial" w:eastAsia="Arial" w:hAnsi="Arial"/>
                <w:sz w:val="11"/>
                <w:szCs w:val="11"/>
                <w:b w:val="1"/>
                <w:bCs w:val="1"/>
                <w:color w:val="auto"/>
                <w:w w:val="97"/>
              </w:rPr>
              <w:t>At Cost</w:t>
            </w:r>
          </w:p>
        </w:tc>
        <w:tc>
          <w:tcPr>
            <w:tcW w:w="1000" w:type="dxa"/>
            <w:vAlign w:val="bottom"/>
            <w:tcBorders>
              <w:bottom w:val="single" w:sz="8" w:color="auto"/>
            </w:tcBorders>
            <w:gridSpan w:val="2"/>
          </w:tcPr>
          <w:p>
            <w:pPr>
              <w:jc w:val="center"/>
              <w:ind w:right="38"/>
              <w:spacing w:after="0"/>
              <w:rPr>
                <w:sz w:val="20"/>
                <w:szCs w:val="20"/>
                <w:color w:val="auto"/>
              </w:rPr>
            </w:pPr>
            <w:r>
              <w:rPr>
                <w:rFonts w:ascii="Arial" w:cs="Arial" w:eastAsia="Arial" w:hAnsi="Arial"/>
                <w:sz w:val="11"/>
                <w:szCs w:val="11"/>
                <w:b w:val="1"/>
                <w:bCs w:val="1"/>
                <w:color w:val="auto"/>
                <w:w w:val="98"/>
              </w:rPr>
              <w:t>Corporation</w:t>
            </w: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0"/>
                <w:szCs w:val="10"/>
                <w:b w:val="1"/>
                <w:bCs w:val="1"/>
                <w:color w:val="auto"/>
              </w:rPr>
              <w:t>Interest</w:t>
            </w: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58"/>
              <w:spacing w:after="0"/>
              <w:rPr>
                <w:sz w:val="20"/>
                <w:szCs w:val="20"/>
                <w:color w:val="auto"/>
              </w:rPr>
            </w:pPr>
            <w:r>
              <w:rPr>
                <w:rFonts w:ascii="Arial" w:cs="Arial" w:eastAsia="Arial" w:hAnsi="Arial"/>
                <w:sz w:val="10"/>
                <w:szCs w:val="10"/>
                <w:b w:val="1"/>
                <w:bCs w:val="1"/>
                <w:color w:val="auto"/>
                <w:w w:val="98"/>
              </w:rPr>
              <w:t>Equity</w:t>
            </w:r>
          </w:p>
        </w:tc>
        <w:tc>
          <w:tcPr>
            <w:tcW w:w="0" w:type="dxa"/>
            <w:vAlign w:val="bottom"/>
          </w:tcPr>
          <w:p>
            <w:pPr>
              <w:spacing w:after="0"/>
              <w:rPr>
                <w:sz w:val="1"/>
                <w:szCs w:val="1"/>
                <w:color w:val="auto"/>
              </w:rPr>
            </w:pPr>
          </w:p>
        </w:tc>
      </w:tr>
      <w:tr>
        <w:trPr>
          <w:trHeight w:val="168"/>
        </w:trPr>
        <w:tc>
          <w:tcPr>
            <w:tcW w:w="19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Balance at June 1, 2024</w:t>
            </w:r>
          </w:p>
        </w:tc>
        <w:tc>
          <w:tcPr>
            <w:tcW w:w="56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rPr>
              <w:t>0.8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0.0</w:t>
            </w:r>
          </w:p>
        </w:tc>
        <w:tc>
          <w:tcPr>
            <w:tcW w:w="60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rPr>
              <w:t>27.4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604.6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(52.5)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1,023.7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(558.1)</w:t>
            </w:r>
          </w:p>
        </w:tc>
        <w:tc>
          <w:tcPr>
            <w:tcW w:w="1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rPr>
              <w:t>1,018.1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tcPr>
          <w:p>
            <w:pPr>
              <w:ind w:left="700"/>
              <w:spacing w:after="0"/>
              <w:rPr>
                <w:sz w:val="20"/>
                <w:szCs w:val="20"/>
                <w:color w:val="auto"/>
              </w:rPr>
            </w:pPr>
            <w:r>
              <w:rPr>
                <w:rFonts w:ascii="Arial" w:cs="Arial" w:eastAsia="Arial" w:hAnsi="Arial"/>
                <w:sz w:val="13"/>
                <w:szCs w:val="13"/>
                <w:b w:val="1"/>
                <w:bCs w:val="1"/>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1,018.1</w:t>
            </w:r>
          </w:p>
        </w:tc>
        <w:tc>
          <w:tcPr>
            <w:tcW w:w="0" w:type="dxa"/>
            <w:vAlign w:val="bottom"/>
          </w:tcPr>
          <w:p>
            <w:pPr>
              <w:spacing w:after="0"/>
              <w:rPr>
                <w:sz w:val="1"/>
                <w:szCs w:val="1"/>
                <w:color w:val="auto"/>
              </w:rPr>
            </w:pPr>
          </w:p>
        </w:tc>
      </w:tr>
      <w:tr>
        <w:trPr>
          <w:trHeight w:val="171"/>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(62.5)</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(62.5)</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(62.5)</w:t>
            </w:r>
          </w:p>
        </w:tc>
        <w:tc>
          <w:tcPr>
            <w:tcW w:w="0" w:type="dxa"/>
            <w:vAlign w:val="bottom"/>
          </w:tcPr>
          <w:p>
            <w:pPr>
              <w:spacing w:after="0"/>
              <w:rPr>
                <w:sz w:val="1"/>
                <w:szCs w:val="1"/>
                <w:color w:val="auto"/>
              </w:rPr>
            </w:pPr>
          </w:p>
        </w:tc>
      </w:tr>
      <w:tr>
        <w:trPr>
          <w:trHeight w:val="121"/>
        </w:trPr>
        <w:tc>
          <w:tcPr>
            <w:tcW w:w="1900" w:type="dxa"/>
            <w:vAlign w:val="bottom"/>
          </w:tcPr>
          <w:p>
            <w:pPr>
              <w:ind w:left="20"/>
              <w:spacing w:after="0" w:line="122" w:lineRule="exact"/>
              <w:rPr>
                <w:sz w:val="20"/>
                <w:szCs w:val="20"/>
                <w:color w:val="auto"/>
              </w:rPr>
            </w:pPr>
            <w:r>
              <w:rPr>
                <w:rFonts w:ascii="Arial" w:cs="Arial" w:eastAsia="Arial" w:hAnsi="Arial"/>
                <w:sz w:val="13"/>
                <w:szCs w:val="13"/>
                <w:color w:val="auto"/>
              </w:rPr>
              <w:t>Foreign currency translation</w:t>
            </w: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00" w:type="dxa"/>
            <w:vAlign w:val="bottom"/>
          </w:tcPr>
          <w:p>
            <w:pPr>
              <w:ind w:left="20"/>
              <w:spacing w:after="0"/>
              <w:rPr>
                <w:sz w:val="20"/>
                <w:szCs w:val="20"/>
                <w:color w:val="auto"/>
              </w:rPr>
            </w:pPr>
            <w:r>
              <w:rPr>
                <w:rFonts w:ascii="Arial" w:cs="Arial" w:eastAsia="Arial" w:hAnsi="Arial"/>
                <w:sz w:val="13"/>
                <w:szCs w:val="13"/>
                <w:color w:val="auto"/>
              </w:rPr>
              <w:t>adjustment</w:t>
            </w:r>
          </w:p>
        </w:tc>
        <w:tc>
          <w:tcPr>
            <w:tcW w:w="5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60" w:type="dxa"/>
            <w:vAlign w:val="bottom"/>
          </w:tcPr>
          <w:p>
            <w:pPr>
              <w:jc w:val="right"/>
              <w:ind w:right="38"/>
              <w:spacing w:after="0"/>
              <w:rPr>
                <w:sz w:val="20"/>
                <w:szCs w:val="20"/>
                <w:color w:val="auto"/>
              </w:rPr>
            </w:pPr>
            <w:r>
              <w:rPr>
                <w:rFonts w:ascii="Arial" w:cs="Arial" w:eastAsia="Arial" w:hAnsi="Arial"/>
                <w:sz w:val="13"/>
                <w:szCs w:val="13"/>
                <w:color w:val="auto"/>
              </w:rPr>
              <w:t>8.2</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40" w:type="dxa"/>
            <w:vAlign w:val="bottom"/>
          </w:tcPr>
          <w:p>
            <w:pPr>
              <w:jc w:val="right"/>
              <w:ind w:right="38"/>
              <w:spacing w:after="0"/>
              <w:rPr>
                <w:sz w:val="20"/>
                <w:szCs w:val="20"/>
                <w:color w:val="auto"/>
              </w:rPr>
            </w:pPr>
            <w:r>
              <w:rPr>
                <w:rFonts w:ascii="Arial" w:cs="Arial" w:eastAsia="Arial" w:hAnsi="Arial"/>
                <w:sz w:val="13"/>
                <w:szCs w:val="13"/>
                <w:color w:val="auto"/>
              </w:rPr>
              <w:t>8.2</w:t>
            </w:r>
          </w:p>
        </w:tc>
        <w:tc>
          <w:tcPr>
            <w:tcW w:w="180" w:type="dxa"/>
            <w:vAlign w:val="bottom"/>
          </w:tcPr>
          <w:p>
            <w:pPr>
              <w:spacing w:after="0"/>
              <w:rPr>
                <w:sz w:val="15"/>
                <w:szCs w:val="15"/>
                <w:color w:val="auto"/>
              </w:rPr>
            </w:pPr>
          </w:p>
        </w:tc>
        <w:tc>
          <w:tcPr>
            <w:tcW w:w="920" w:type="dxa"/>
            <w:vAlign w:val="bottom"/>
          </w:tcPr>
          <w:p>
            <w:pPr>
              <w:ind w:left="7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29"/>
        </w:trPr>
        <w:tc>
          <w:tcPr>
            <w:tcW w:w="19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Pension and post-retirement</w:t>
            </w: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(net of tax of $0.1)</w:t>
            </w: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0.2</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0.2</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71"/>
        </w:trPr>
        <w:tc>
          <w:tcPr>
            <w:tcW w:w="190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5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2.2</w:t>
            </w:r>
          </w:p>
        </w:tc>
        <w:tc>
          <w:tcPr>
            <w:tcW w:w="140" w:type="dxa"/>
            <w:vAlign w:val="bottom"/>
          </w:tcPr>
          <w:p>
            <w:pPr>
              <w:spacing w:after="0"/>
              <w:rPr>
                <w:sz w:val="14"/>
                <w:szCs w:val="14"/>
                <w:color w:val="auto"/>
              </w:rPr>
            </w:pPr>
          </w:p>
        </w:tc>
        <w:tc>
          <w:tcPr>
            <w:tcW w:w="8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ind w:right="38"/>
              <w:spacing w:after="0"/>
              <w:rPr>
                <w:sz w:val="20"/>
                <w:szCs w:val="20"/>
                <w:color w:val="auto"/>
              </w:rPr>
            </w:pPr>
            <w:r>
              <w:rPr>
                <w:rFonts w:ascii="Arial" w:cs="Arial" w:eastAsia="Arial" w:hAnsi="Arial"/>
                <w:sz w:val="13"/>
                <w:szCs w:val="13"/>
                <w:color w:val="auto"/>
              </w:rPr>
              <w:t>2.2</w:t>
            </w:r>
          </w:p>
        </w:tc>
        <w:tc>
          <w:tcPr>
            <w:tcW w:w="180" w:type="dxa"/>
            <w:vAlign w:val="bottom"/>
          </w:tcPr>
          <w:p>
            <w:pPr>
              <w:spacing w:after="0"/>
              <w:rPr>
                <w:sz w:val="14"/>
                <w:szCs w:val="14"/>
                <w:color w:val="auto"/>
              </w:rPr>
            </w:pPr>
          </w:p>
        </w:tc>
        <w:tc>
          <w:tcPr>
            <w:tcW w:w="920" w:type="dxa"/>
            <w:vAlign w:val="bottom"/>
          </w:tcPr>
          <w:p>
            <w:pPr>
              <w:ind w:left="7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26"/>
        </w:trPr>
        <w:tc>
          <w:tcPr>
            <w:tcW w:w="190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rPr>
              <w:t>Proceeds pursuant to stock-</w:t>
            </w: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based compensation plans</w:t>
            </w: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0.1</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0.1</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22"/>
        </w:trPr>
        <w:tc>
          <w:tcPr>
            <w:tcW w:w="1900" w:type="dxa"/>
            <w:vAlign w:val="bottom"/>
          </w:tcPr>
          <w:p>
            <w:pPr>
              <w:ind w:left="20"/>
              <w:spacing w:after="0" w:line="122" w:lineRule="exact"/>
              <w:rPr>
                <w:sz w:val="20"/>
                <w:szCs w:val="20"/>
                <w:color w:val="auto"/>
              </w:rPr>
            </w:pPr>
            <w:r>
              <w:rPr>
                <w:rFonts w:ascii="Arial" w:cs="Arial" w:eastAsia="Arial" w:hAnsi="Arial"/>
                <w:sz w:val="13"/>
                <w:szCs w:val="13"/>
                <w:color w:val="auto"/>
              </w:rPr>
              <w:t>Purchases of treasury stock at</w:t>
            </w: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00" w:type="dxa"/>
            <w:vAlign w:val="bottom"/>
          </w:tcPr>
          <w:p>
            <w:pPr>
              <w:ind w:left="20"/>
              <w:spacing w:after="0"/>
              <w:rPr>
                <w:sz w:val="20"/>
                <w:szCs w:val="20"/>
                <w:color w:val="auto"/>
              </w:rPr>
            </w:pPr>
            <w:r>
              <w:rPr>
                <w:rFonts w:ascii="Arial" w:cs="Arial" w:eastAsia="Arial" w:hAnsi="Arial"/>
                <w:sz w:val="13"/>
                <w:szCs w:val="13"/>
                <w:color w:val="auto"/>
              </w:rPr>
              <w:t>cost</w:t>
            </w:r>
          </w:p>
        </w:tc>
        <w:tc>
          <w:tcPr>
            <w:tcW w:w="5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8"/>
              <w:spacing w:after="0"/>
              <w:rPr>
                <w:sz w:val="20"/>
                <w:szCs w:val="20"/>
                <w:color w:val="auto"/>
              </w:rPr>
            </w:pPr>
            <w:r>
              <w:rPr>
                <w:rFonts w:ascii="Arial" w:cs="Arial" w:eastAsia="Arial" w:hAnsi="Arial"/>
                <w:sz w:val="13"/>
                <w:szCs w:val="13"/>
                <w:color w:val="auto"/>
              </w:rPr>
              <w:t>(0.2)</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(5.0)</w:t>
            </w:r>
          </w:p>
        </w:tc>
        <w:tc>
          <w:tcPr>
            <w:tcW w:w="160" w:type="dxa"/>
            <w:vAlign w:val="bottom"/>
          </w:tcPr>
          <w:p>
            <w:pPr>
              <w:spacing w:after="0"/>
              <w:rPr>
                <w:sz w:val="15"/>
                <w:szCs w:val="15"/>
                <w:color w:val="auto"/>
              </w:rPr>
            </w:pPr>
          </w:p>
        </w:tc>
        <w:tc>
          <w:tcPr>
            <w:tcW w:w="840" w:type="dxa"/>
            <w:vAlign w:val="bottom"/>
          </w:tcPr>
          <w:p>
            <w:pPr>
              <w:jc w:val="right"/>
              <w:ind w:right="18"/>
              <w:spacing w:after="0"/>
              <w:rPr>
                <w:sz w:val="20"/>
                <w:szCs w:val="20"/>
                <w:color w:val="auto"/>
              </w:rPr>
            </w:pPr>
            <w:r>
              <w:rPr>
                <w:rFonts w:ascii="Arial" w:cs="Arial" w:eastAsia="Arial" w:hAnsi="Arial"/>
                <w:sz w:val="13"/>
                <w:szCs w:val="13"/>
                <w:color w:val="auto"/>
              </w:rPr>
              <w:t>(5.0)</w:t>
            </w:r>
          </w:p>
        </w:tc>
        <w:tc>
          <w:tcPr>
            <w:tcW w:w="180" w:type="dxa"/>
            <w:vAlign w:val="bottom"/>
          </w:tcPr>
          <w:p>
            <w:pPr>
              <w:spacing w:after="0"/>
              <w:rPr>
                <w:sz w:val="15"/>
                <w:szCs w:val="15"/>
                <w:color w:val="auto"/>
              </w:rPr>
            </w:pPr>
          </w:p>
        </w:tc>
        <w:tc>
          <w:tcPr>
            <w:tcW w:w="920" w:type="dxa"/>
            <w:vAlign w:val="bottom"/>
          </w:tcPr>
          <w:p>
            <w:pPr>
              <w:ind w:left="7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28"/>
        </w:trPr>
        <w:tc>
          <w:tcPr>
            <w:tcW w:w="19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Treasury stock issued pursuant</w:t>
            </w: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 equity-based plans</w:t>
            </w: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0.1</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(0.6)</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1.6</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71"/>
        </w:trPr>
        <w:tc>
          <w:tcPr>
            <w:tcW w:w="19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Dividends ($0.20 per share)</w:t>
            </w:r>
          </w:p>
        </w:tc>
        <w:tc>
          <w:tcPr>
            <w:tcW w:w="56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(5.6)</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70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172"/>
        </w:trPr>
        <w:tc>
          <w:tcPr>
            <w:tcW w:w="1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August 31, 2024</w:t>
            </w:r>
          </w:p>
        </w:tc>
        <w:tc>
          <w:tcPr>
            <w:tcW w:w="5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0.8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0.0</w:t>
            </w:r>
          </w:p>
        </w:tc>
        <w:tc>
          <w:tcPr>
            <w:tcW w:w="6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27.3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0.4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606.3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(44.1)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955.6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(560.9)</w:t>
            </w:r>
          </w:p>
        </w:tc>
        <w:tc>
          <w:tcPr>
            <w:tcW w:w="1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957.3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3"/>
                <w:szCs w:val="13"/>
                <w:b w:val="1"/>
                <w:bCs w:val="1"/>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957.3</w:t>
            </w:r>
          </w:p>
        </w:tc>
        <w:tc>
          <w:tcPr>
            <w:tcW w:w="0" w:type="dxa"/>
            <w:vAlign w:val="bottom"/>
          </w:tcPr>
          <w:p>
            <w:pPr>
              <w:spacing w:after="0"/>
              <w:rPr>
                <w:sz w:val="1"/>
                <w:szCs w:val="1"/>
                <w:color w:val="auto"/>
              </w:rPr>
            </w:pPr>
          </w:p>
        </w:tc>
      </w:tr>
      <w:tr>
        <w:trPr>
          <w:trHeight w:val="166"/>
        </w:trPr>
        <w:tc>
          <w:tcPr>
            <w:tcW w:w="190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5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48.8</w:t>
            </w:r>
          </w:p>
        </w:tc>
        <w:tc>
          <w:tcPr>
            <w:tcW w:w="22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ind w:right="38"/>
              <w:spacing w:after="0"/>
              <w:rPr>
                <w:sz w:val="20"/>
                <w:szCs w:val="20"/>
                <w:color w:val="auto"/>
              </w:rPr>
            </w:pPr>
            <w:r>
              <w:rPr>
                <w:rFonts w:ascii="Arial" w:cs="Arial" w:eastAsia="Arial" w:hAnsi="Arial"/>
                <w:sz w:val="13"/>
                <w:szCs w:val="13"/>
                <w:color w:val="auto"/>
              </w:rPr>
              <w:t>48.8</w:t>
            </w:r>
          </w:p>
        </w:tc>
        <w:tc>
          <w:tcPr>
            <w:tcW w:w="180" w:type="dxa"/>
            <w:vAlign w:val="bottom"/>
          </w:tcPr>
          <w:p>
            <w:pPr>
              <w:spacing w:after="0"/>
              <w:rPr>
                <w:sz w:val="14"/>
                <w:szCs w:val="14"/>
                <w:color w:val="auto"/>
              </w:rPr>
            </w:pPr>
          </w:p>
        </w:tc>
        <w:tc>
          <w:tcPr>
            <w:tcW w:w="920" w:type="dxa"/>
            <w:vAlign w:val="bottom"/>
          </w:tcPr>
          <w:p>
            <w:pPr>
              <w:ind w:left="7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48.8</w:t>
            </w:r>
          </w:p>
        </w:tc>
        <w:tc>
          <w:tcPr>
            <w:tcW w:w="0" w:type="dxa"/>
            <w:vAlign w:val="bottom"/>
          </w:tcPr>
          <w:p>
            <w:pPr>
              <w:spacing w:after="0"/>
              <w:rPr>
                <w:sz w:val="1"/>
                <w:szCs w:val="1"/>
                <w:color w:val="auto"/>
              </w:rPr>
            </w:pPr>
          </w:p>
        </w:tc>
      </w:tr>
      <w:tr>
        <w:trPr>
          <w:trHeight w:val="126"/>
        </w:trPr>
        <w:tc>
          <w:tcPr>
            <w:tcW w:w="190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rPr>
              <w:t>Foreign currency translation</w:t>
            </w: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w:t>
            </w: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(11.9)</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0" w:type="dxa"/>
            <w:vAlign w:val="bottom"/>
          </w:tcPr>
          <w:p>
            <w:pPr>
              <w:spacing w:after="0"/>
              <w:rPr>
                <w:sz w:val="1"/>
                <w:szCs w:val="1"/>
                <w:color w:val="auto"/>
              </w:rPr>
            </w:pPr>
          </w:p>
        </w:tc>
      </w:tr>
      <w:tr>
        <w:trPr>
          <w:trHeight w:val="121"/>
        </w:trPr>
        <w:tc>
          <w:tcPr>
            <w:tcW w:w="1900" w:type="dxa"/>
            <w:vAlign w:val="bottom"/>
          </w:tcPr>
          <w:p>
            <w:pPr>
              <w:ind w:left="20"/>
              <w:spacing w:after="0" w:line="122" w:lineRule="exact"/>
              <w:rPr>
                <w:sz w:val="20"/>
                <w:szCs w:val="20"/>
                <w:color w:val="auto"/>
              </w:rPr>
            </w:pPr>
            <w:r>
              <w:rPr>
                <w:rFonts w:ascii="Arial" w:cs="Arial" w:eastAsia="Arial" w:hAnsi="Arial"/>
                <w:sz w:val="13"/>
                <w:szCs w:val="13"/>
                <w:color w:val="auto"/>
              </w:rPr>
              <w:t>Pension and post-retirement</w:t>
            </w: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00" w:type="dxa"/>
            <w:vAlign w:val="bottom"/>
          </w:tcPr>
          <w:p>
            <w:pPr>
              <w:ind w:left="20"/>
              <w:spacing w:after="0"/>
              <w:rPr>
                <w:sz w:val="20"/>
                <w:szCs w:val="20"/>
                <w:color w:val="auto"/>
              </w:rPr>
            </w:pPr>
            <w:r>
              <w:rPr>
                <w:rFonts w:ascii="Arial" w:cs="Arial" w:eastAsia="Arial" w:hAnsi="Arial"/>
                <w:sz w:val="13"/>
                <w:szCs w:val="13"/>
                <w:color w:val="auto"/>
              </w:rPr>
              <w:t>adjustments (net of tax of $0.0)</w:t>
            </w:r>
          </w:p>
        </w:tc>
        <w:tc>
          <w:tcPr>
            <w:tcW w:w="5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60" w:type="dxa"/>
            <w:vAlign w:val="bottom"/>
          </w:tcPr>
          <w:p>
            <w:pPr>
              <w:jc w:val="right"/>
              <w:ind w:right="38"/>
              <w:spacing w:after="0"/>
              <w:rPr>
                <w:sz w:val="20"/>
                <w:szCs w:val="20"/>
                <w:color w:val="auto"/>
              </w:rPr>
            </w:pPr>
            <w:r>
              <w:rPr>
                <w:rFonts w:ascii="Arial" w:cs="Arial" w:eastAsia="Arial" w:hAnsi="Arial"/>
                <w:sz w:val="13"/>
                <w:szCs w:val="13"/>
                <w:color w:val="auto"/>
              </w:rPr>
              <w:t>0.2</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40" w:type="dxa"/>
            <w:vAlign w:val="bottom"/>
          </w:tcPr>
          <w:p>
            <w:pPr>
              <w:jc w:val="right"/>
              <w:ind w:right="38"/>
              <w:spacing w:after="0"/>
              <w:rPr>
                <w:sz w:val="20"/>
                <w:szCs w:val="20"/>
                <w:color w:val="auto"/>
              </w:rPr>
            </w:pPr>
            <w:r>
              <w:rPr>
                <w:rFonts w:ascii="Arial" w:cs="Arial" w:eastAsia="Arial" w:hAnsi="Arial"/>
                <w:sz w:val="13"/>
                <w:szCs w:val="13"/>
                <w:color w:val="auto"/>
              </w:rPr>
              <w:t>0.2</w:t>
            </w:r>
          </w:p>
        </w:tc>
        <w:tc>
          <w:tcPr>
            <w:tcW w:w="180" w:type="dxa"/>
            <w:vAlign w:val="bottom"/>
          </w:tcPr>
          <w:p>
            <w:pPr>
              <w:spacing w:after="0"/>
              <w:rPr>
                <w:sz w:val="15"/>
                <w:szCs w:val="15"/>
                <w:color w:val="auto"/>
              </w:rPr>
            </w:pPr>
          </w:p>
        </w:tc>
        <w:tc>
          <w:tcPr>
            <w:tcW w:w="920" w:type="dxa"/>
            <w:vAlign w:val="bottom"/>
          </w:tcPr>
          <w:p>
            <w:pPr>
              <w:ind w:left="7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83"/>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2.1</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22"/>
        </w:trPr>
        <w:tc>
          <w:tcPr>
            <w:tcW w:w="1900" w:type="dxa"/>
            <w:vAlign w:val="bottom"/>
          </w:tcPr>
          <w:p>
            <w:pPr>
              <w:ind w:left="20"/>
              <w:spacing w:after="0" w:line="122" w:lineRule="exact"/>
              <w:rPr>
                <w:sz w:val="20"/>
                <w:szCs w:val="20"/>
                <w:color w:val="auto"/>
              </w:rPr>
            </w:pPr>
            <w:r>
              <w:rPr>
                <w:rFonts w:ascii="Arial" w:cs="Arial" w:eastAsia="Arial" w:hAnsi="Arial"/>
                <w:sz w:val="13"/>
                <w:szCs w:val="13"/>
                <w:color w:val="auto"/>
              </w:rPr>
              <w:t>Proceeds pursuant to stock-</w:t>
            </w: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00" w:type="dxa"/>
            <w:vAlign w:val="bottom"/>
          </w:tcPr>
          <w:p>
            <w:pPr>
              <w:ind w:left="20"/>
              <w:spacing w:after="0"/>
              <w:rPr>
                <w:sz w:val="20"/>
                <w:szCs w:val="20"/>
                <w:color w:val="auto"/>
              </w:rPr>
            </w:pPr>
            <w:r>
              <w:rPr>
                <w:rFonts w:ascii="Arial" w:cs="Arial" w:eastAsia="Arial" w:hAnsi="Arial"/>
                <w:sz w:val="13"/>
                <w:szCs w:val="13"/>
                <w:color w:val="auto"/>
              </w:rPr>
              <w:t>based compensation plans</w:t>
            </w:r>
          </w:p>
        </w:tc>
        <w:tc>
          <w:tcPr>
            <w:tcW w:w="5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(0.5)</w:t>
            </w:r>
          </w:p>
        </w:tc>
        <w:tc>
          <w:tcPr>
            <w:tcW w:w="140" w:type="dxa"/>
            <w:vAlign w:val="bottom"/>
          </w:tcPr>
          <w:p>
            <w:pPr>
              <w:spacing w:after="0"/>
              <w:rPr>
                <w:sz w:val="15"/>
                <w:szCs w:val="15"/>
                <w:color w:val="auto"/>
              </w:rPr>
            </w:pPr>
          </w:p>
        </w:tc>
        <w:tc>
          <w:tcPr>
            <w:tcW w:w="8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40" w:type="dxa"/>
            <w:vAlign w:val="bottom"/>
          </w:tcPr>
          <w:p>
            <w:pPr>
              <w:jc w:val="right"/>
              <w:ind w:right="18"/>
              <w:spacing w:after="0"/>
              <w:rPr>
                <w:sz w:val="20"/>
                <w:szCs w:val="20"/>
                <w:color w:val="auto"/>
              </w:rPr>
            </w:pPr>
            <w:r>
              <w:rPr>
                <w:rFonts w:ascii="Arial" w:cs="Arial" w:eastAsia="Arial" w:hAnsi="Arial"/>
                <w:sz w:val="13"/>
                <w:szCs w:val="13"/>
                <w:color w:val="auto"/>
              </w:rPr>
              <w:t>(0.5)</w:t>
            </w:r>
          </w:p>
        </w:tc>
        <w:tc>
          <w:tcPr>
            <w:tcW w:w="180" w:type="dxa"/>
            <w:vAlign w:val="bottom"/>
          </w:tcPr>
          <w:p>
            <w:pPr>
              <w:spacing w:after="0"/>
              <w:rPr>
                <w:sz w:val="15"/>
                <w:szCs w:val="15"/>
                <w:color w:val="auto"/>
              </w:rPr>
            </w:pPr>
          </w:p>
        </w:tc>
        <w:tc>
          <w:tcPr>
            <w:tcW w:w="920" w:type="dxa"/>
            <w:vAlign w:val="bottom"/>
          </w:tcPr>
          <w:p>
            <w:pPr>
              <w:ind w:left="7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28"/>
        </w:trPr>
        <w:tc>
          <w:tcPr>
            <w:tcW w:w="19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Purchases of treasury stock at</w:t>
            </w: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w:t>
            </w: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(0.1)</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(5.0)</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(5.0)</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22"/>
        </w:trPr>
        <w:tc>
          <w:tcPr>
            <w:tcW w:w="1900" w:type="dxa"/>
            <w:vAlign w:val="bottom"/>
          </w:tcPr>
          <w:p>
            <w:pPr>
              <w:ind w:left="20"/>
              <w:spacing w:after="0" w:line="122" w:lineRule="exact"/>
              <w:rPr>
                <w:sz w:val="20"/>
                <w:szCs w:val="20"/>
                <w:color w:val="auto"/>
              </w:rPr>
            </w:pPr>
            <w:r>
              <w:rPr>
                <w:rFonts w:ascii="Arial" w:cs="Arial" w:eastAsia="Arial" w:hAnsi="Arial"/>
                <w:sz w:val="13"/>
                <w:szCs w:val="13"/>
                <w:color w:val="auto"/>
              </w:rPr>
              <w:t>Treasury stock issued pursuant</w:t>
            </w: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00" w:type="dxa"/>
            <w:vAlign w:val="bottom"/>
          </w:tcPr>
          <w:p>
            <w:pPr>
              <w:ind w:left="20"/>
              <w:spacing w:after="0"/>
              <w:rPr>
                <w:sz w:val="20"/>
                <w:szCs w:val="20"/>
                <w:color w:val="auto"/>
              </w:rPr>
            </w:pPr>
            <w:r>
              <w:rPr>
                <w:rFonts w:ascii="Arial" w:cs="Arial" w:eastAsia="Arial" w:hAnsi="Arial"/>
                <w:sz w:val="13"/>
                <w:szCs w:val="13"/>
                <w:color w:val="auto"/>
              </w:rPr>
              <w:t>to equity-based plans</w:t>
            </w:r>
          </w:p>
        </w:tc>
        <w:tc>
          <w:tcPr>
            <w:tcW w:w="5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38"/>
              <w:spacing w:after="0"/>
              <w:rPr>
                <w:sz w:val="20"/>
                <w:szCs w:val="20"/>
                <w:color w:val="auto"/>
              </w:rPr>
            </w:pPr>
            <w:r>
              <w:rPr>
                <w:rFonts w:ascii="Arial" w:cs="Arial" w:eastAsia="Arial" w:hAnsi="Arial"/>
                <w:sz w:val="13"/>
                <w:szCs w:val="13"/>
                <w:color w:val="auto"/>
              </w:rPr>
              <w:t>0.1</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(4.4)</w:t>
            </w:r>
          </w:p>
        </w:tc>
        <w:tc>
          <w:tcPr>
            <w:tcW w:w="140" w:type="dxa"/>
            <w:vAlign w:val="bottom"/>
          </w:tcPr>
          <w:p>
            <w:pPr>
              <w:spacing w:after="0"/>
              <w:rPr>
                <w:sz w:val="15"/>
                <w:szCs w:val="15"/>
                <w:color w:val="auto"/>
              </w:rPr>
            </w:pPr>
          </w:p>
        </w:tc>
        <w:tc>
          <w:tcPr>
            <w:tcW w:w="8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5.1</w:t>
            </w:r>
          </w:p>
        </w:tc>
        <w:tc>
          <w:tcPr>
            <w:tcW w:w="160" w:type="dxa"/>
            <w:vAlign w:val="bottom"/>
          </w:tcPr>
          <w:p>
            <w:pPr>
              <w:spacing w:after="0"/>
              <w:rPr>
                <w:sz w:val="15"/>
                <w:szCs w:val="15"/>
                <w:color w:val="auto"/>
              </w:rPr>
            </w:pPr>
          </w:p>
        </w:tc>
        <w:tc>
          <w:tcPr>
            <w:tcW w:w="840" w:type="dxa"/>
            <w:vAlign w:val="bottom"/>
          </w:tcPr>
          <w:p>
            <w:pPr>
              <w:jc w:val="right"/>
              <w:ind w:right="38"/>
              <w:spacing w:after="0"/>
              <w:rPr>
                <w:sz w:val="20"/>
                <w:szCs w:val="20"/>
                <w:color w:val="auto"/>
              </w:rPr>
            </w:pPr>
            <w:r>
              <w:rPr>
                <w:rFonts w:ascii="Arial" w:cs="Arial" w:eastAsia="Arial" w:hAnsi="Arial"/>
                <w:sz w:val="13"/>
                <w:szCs w:val="13"/>
                <w:color w:val="auto"/>
              </w:rPr>
              <w:t>0.7</w:t>
            </w:r>
          </w:p>
        </w:tc>
        <w:tc>
          <w:tcPr>
            <w:tcW w:w="180" w:type="dxa"/>
            <w:vAlign w:val="bottom"/>
          </w:tcPr>
          <w:p>
            <w:pPr>
              <w:spacing w:after="0"/>
              <w:rPr>
                <w:sz w:val="15"/>
                <w:szCs w:val="15"/>
                <w:color w:val="auto"/>
              </w:rPr>
            </w:pPr>
          </w:p>
        </w:tc>
        <w:tc>
          <w:tcPr>
            <w:tcW w:w="920" w:type="dxa"/>
            <w:vAlign w:val="bottom"/>
          </w:tcPr>
          <w:p>
            <w:pPr>
              <w:ind w:left="7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78"/>
        </w:trPr>
        <w:tc>
          <w:tcPr>
            <w:tcW w:w="1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Dividends ($0.20 per share)</w:t>
            </w:r>
          </w:p>
        </w:tc>
        <w:tc>
          <w:tcPr>
            <w:tcW w:w="5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2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(5.7)</w:t>
            </w:r>
          </w:p>
        </w:tc>
        <w:tc>
          <w:tcPr>
            <w:tcW w:w="1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72"/>
        </w:trPr>
        <w:tc>
          <w:tcPr>
            <w:tcW w:w="19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9"/>
              </w:rPr>
              <w:t>Balance at November 30, 2024</w:t>
            </w:r>
          </w:p>
        </w:tc>
        <w:tc>
          <w:tcPr>
            <w:tcW w:w="56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rPr>
              <w:t>0.8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0.0</w:t>
            </w:r>
          </w:p>
        </w:tc>
        <w:tc>
          <w:tcPr>
            <w:tcW w:w="60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rPr>
              <w:t>27.3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603.5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(55.8)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998.7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(560.8)</w:t>
            </w:r>
          </w:p>
        </w:tc>
        <w:tc>
          <w:tcPr>
            <w:tcW w:w="1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rPr>
              <w:t>986.0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tcPr>
          <w:p>
            <w:pPr>
              <w:ind w:left="700"/>
              <w:spacing w:after="0"/>
              <w:rPr>
                <w:sz w:val="20"/>
                <w:szCs w:val="20"/>
                <w:color w:val="auto"/>
              </w:rPr>
            </w:pPr>
            <w:r>
              <w:rPr>
                <w:rFonts w:ascii="Arial" w:cs="Arial" w:eastAsia="Arial" w:hAnsi="Arial"/>
                <w:sz w:val="13"/>
                <w:szCs w:val="13"/>
                <w:b w:val="1"/>
                <w:bCs w:val="1"/>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986.0</w:t>
            </w:r>
          </w:p>
        </w:tc>
        <w:tc>
          <w:tcPr>
            <w:tcW w:w="0" w:type="dxa"/>
            <w:vAlign w:val="bottom"/>
          </w:tcPr>
          <w:p>
            <w:pPr>
              <w:spacing w:after="0"/>
              <w:rPr>
                <w:sz w:val="1"/>
                <w:szCs w:val="1"/>
                <w:color w:val="auto"/>
              </w:rPr>
            </w:pPr>
          </w:p>
        </w:tc>
      </w:tr>
      <w:tr>
        <w:trPr>
          <w:trHeight w:val="171"/>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(3.6)</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22"/>
        </w:trPr>
        <w:tc>
          <w:tcPr>
            <w:tcW w:w="1900" w:type="dxa"/>
            <w:vAlign w:val="bottom"/>
          </w:tcPr>
          <w:p>
            <w:pPr>
              <w:ind w:left="20"/>
              <w:spacing w:after="0" w:line="122" w:lineRule="exact"/>
              <w:rPr>
                <w:sz w:val="20"/>
                <w:szCs w:val="20"/>
                <w:color w:val="auto"/>
              </w:rPr>
            </w:pPr>
            <w:r>
              <w:rPr>
                <w:rFonts w:ascii="Arial" w:cs="Arial" w:eastAsia="Arial" w:hAnsi="Arial"/>
                <w:sz w:val="13"/>
                <w:szCs w:val="13"/>
                <w:color w:val="auto"/>
              </w:rPr>
              <w:t>Foreign currency translation</w:t>
            </w: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00" w:type="dxa"/>
            <w:vAlign w:val="bottom"/>
          </w:tcPr>
          <w:p>
            <w:pPr>
              <w:ind w:left="20"/>
              <w:spacing w:after="0"/>
              <w:rPr>
                <w:sz w:val="20"/>
                <w:szCs w:val="20"/>
                <w:color w:val="auto"/>
              </w:rPr>
            </w:pPr>
            <w:r>
              <w:rPr>
                <w:rFonts w:ascii="Arial" w:cs="Arial" w:eastAsia="Arial" w:hAnsi="Arial"/>
                <w:sz w:val="13"/>
                <w:szCs w:val="13"/>
                <w:color w:val="auto"/>
              </w:rPr>
              <w:t>adjustment</w:t>
            </w:r>
          </w:p>
        </w:tc>
        <w:tc>
          <w:tcPr>
            <w:tcW w:w="5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(8.0)</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40" w:type="dxa"/>
            <w:vAlign w:val="bottom"/>
          </w:tcPr>
          <w:p>
            <w:pPr>
              <w:jc w:val="right"/>
              <w:ind w:right="18"/>
              <w:spacing w:after="0"/>
              <w:rPr>
                <w:sz w:val="20"/>
                <w:szCs w:val="20"/>
                <w:color w:val="auto"/>
              </w:rPr>
            </w:pPr>
            <w:r>
              <w:rPr>
                <w:rFonts w:ascii="Arial" w:cs="Arial" w:eastAsia="Arial" w:hAnsi="Arial"/>
                <w:sz w:val="13"/>
                <w:szCs w:val="13"/>
                <w:color w:val="auto"/>
              </w:rPr>
              <w:t>(8.0)</w:t>
            </w:r>
          </w:p>
        </w:tc>
        <w:tc>
          <w:tcPr>
            <w:tcW w:w="180" w:type="dxa"/>
            <w:vAlign w:val="bottom"/>
          </w:tcPr>
          <w:p>
            <w:pPr>
              <w:spacing w:after="0"/>
              <w:rPr>
                <w:sz w:val="15"/>
                <w:szCs w:val="15"/>
                <w:color w:val="auto"/>
              </w:rPr>
            </w:pPr>
          </w:p>
        </w:tc>
        <w:tc>
          <w:tcPr>
            <w:tcW w:w="920" w:type="dxa"/>
            <w:vAlign w:val="bottom"/>
          </w:tcPr>
          <w:p>
            <w:pPr>
              <w:ind w:left="7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28"/>
        </w:trPr>
        <w:tc>
          <w:tcPr>
            <w:tcW w:w="19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Pension and post-retirement</w:t>
            </w: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(net of tax of $0.1)</w:t>
            </w: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0.1</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0.1</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71"/>
        </w:trPr>
        <w:tc>
          <w:tcPr>
            <w:tcW w:w="190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5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2.4</w:t>
            </w:r>
          </w:p>
        </w:tc>
        <w:tc>
          <w:tcPr>
            <w:tcW w:w="140" w:type="dxa"/>
            <w:vAlign w:val="bottom"/>
          </w:tcPr>
          <w:p>
            <w:pPr>
              <w:spacing w:after="0"/>
              <w:rPr>
                <w:sz w:val="14"/>
                <w:szCs w:val="14"/>
                <w:color w:val="auto"/>
              </w:rPr>
            </w:pPr>
          </w:p>
        </w:tc>
        <w:tc>
          <w:tcPr>
            <w:tcW w:w="8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ind w:right="38"/>
              <w:spacing w:after="0"/>
              <w:rPr>
                <w:sz w:val="20"/>
                <w:szCs w:val="20"/>
                <w:color w:val="auto"/>
              </w:rPr>
            </w:pPr>
            <w:r>
              <w:rPr>
                <w:rFonts w:ascii="Arial" w:cs="Arial" w:eastAsia="Arial" w:hAnsi="Arial"/>
                <w:sz w:val="13"/>
                <w:szCs w:val="13"/>
                <w:color w:val="auto"/>
              </w:rPr>
              <w:t>2.4</w:t>
            </w:r>
          </w:p>
        </w:tc>
        <w:tc>
          <w:tcPr>
            <w:tcW w:w="180" w:type="dxa"/>
            <w:vAlign w:val="bottom"/>
          </w:tcPr>
          <w:p>
            <w:pPr>
              <w:spacing w:after="0"/>
              <w:rPr>
                <w:sz w:val="14"/>
                <w:szCs w:val="14"/>
                <w:color w:val="auto"/>
              </w:rPr>
            </w:pPr>
          </w:p>
        </w:tc>
        <w:tc>
          <w:tcPr>
            <w:tcW w:w="920" w:type="dxa"/>
            <w:vAlign w:val="bottom"/>
          </w:tcPr>
          <w:p>
            <w:pPr>
              <w:ind w:left="7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26"/>
        </w:trPr>
        <w:tc>
          <w:tcPr>
            <w:tcW w:w="190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rPr>
              <w:t>Proceeds pursuant to stock-</w:t>
            </w: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based compensation plans</w:t>
            </w: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0.1</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0.1</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22"/>
        </w:trPr>
        <w:tc>
          <w:tcPr>
            <w:tcW w:w="1900" w:type="dxa"/>
            <w:vAlign w:val="bottom"/>
          </w:tcPr>
          <w:p>
            <w:pPr>
              <w:ind w:left="20"/>
              <w:spacing w:after="0" w:line="122" w:lineRule="exact"/>
              <w:rPr>
                <w:sz w:val="20"/>
                <w:szCs w:val="20"/>
                <w:color w:val="auto"/>
              </w:rPr>
            </w:pPr>
            <w:r>
              <w:rPr>
                <w:rFonts w:ascii="Arial" w:cs="Arial" w:eastAsia="Arial" w:hAnsi="Arial"/>
                <w:sz w:val="13"/>
                <w:szCs w:val="13"/>
                <w:color w:val="auto"/>
              </w:rPr>
              <w:t>Purchases of treasury stock at</w:t>
            </w: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00" w:type="dxa"/>
            <w:vAlign w:val="bottom"/>
          </w:tcPr>
          <w:p>
            <w:pPr>
              <w:ind w:left="20"/>
              <w:spacing w:after="0"/>
              <w:rPr>
                <w:sz w:val="20"/>
                <w:szCs w:val="20"/>
                <w:color w:val="auto"/>
              </w:rPr>
            </w:pPr>
            <w:r>
              <w:rPr>
                <w:rFonts w:ascii="Arial" w:cs="Arial" w:eastAsia="Arial" w:hAnsi="Arial"/>
                <w:sz w:val="13"/>
                <w:szCs w:val="13"/>
                <w:color w:val="auto"/>
              </w:rPr>
              <w:t>cost</w:t>
            </w:r>
          </w:p>
        </w:tc>
        <w:tc>
          <w:tcPr>
            <w:tcW w:w="5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8"/>
              <w:spacing w:after="0"/>
              <w:rPr>
                <w:sz w:val="20"/>
                <w:szCs w:val="20"/>
                <w:color w:val="auto"/>
              </w:rPr>
            </w:pPr>
            <w:r>
              <w:rPr>
                <w:rFonts w:ascii="Arial" w:cs="Arial" w:eastAsia="Arial" w:hAnsi="Arial"/>
                <w:sz w:val="13"/>
                <w:szCs w:val="13"/>
                <w:color w:val="auto"/>
              </w:rPr>
              <w:t>(1.5)</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(30.6)</w:t>
            </w:r>
          </w:p>
        </w:tc>
        <w:tc>
          <w:tcPr>
            <w:tcW w:w="160" w:type="dxa"/>
            <w:vAlign w:val="bottom"/>
          </w:tcPr>
          <w:p>
            <w:pPr>
              <w:spacing w:after="0"/>
              <w:rPr>
                <w:sz w:val="15"/>
                <w:szCs w:val="15"/>
                <w:color w:val="auto"/>
              </w:rPr>
            </w:pPr>
          </w:p>
        </w:tc>
        <w:tc>
          <w:tcPr>
            <w:tcW w:w="840" w:type="dxa"/>
            <w:vAlign w:val="bottom"/>
          </w:tcPr>
          <w:p>
            <w:pPr>
              <w:jc w:val="right"/>
              <w:ind w:right="18"/>
              <w:spacing w:after="0"/>
              <w:rPr>
                <w:sz w:val="20"/>
                <w:szCs w:val="20"/>
                <w:color w:val="auto"/>
              </w:rPr>
            </w:pPr>
            <w:r>
              <w:rPr>
                <w:rFonts w:ascii="Arial" w:cs="Arial" w:eastAsia="Arial" w:hAnsi="Arial"/>
                <w:sz w:val="13"/>
                <w:szCs w:val="13"/>
                <w:color w:val="auto"/>
              </w:rPr>
              <w:t>(30.6)</w:t>
            </w:r>
          </w:p>
        </w:tc>
        <w:tc>
          <w:tcPr>
            <w:tcW w:w="180" w:type="dxa"/>
            <w:vAlign w:val="bottom"/>
          </w:tcPr>
          <w:p>
            <w:pPr>
              <w:spacing w:after="0"/>
              <w:rPr>
                <w:sz w:val="15"/>
                <w:szCs w:val="15"/>
                <w:color w:val="auto"/>
              </w:rPr>
            </w:pPr>
          </w:p>
        </w:tc>
        <w:tc>
          <w:tcPr>
            <w:tcW w:w="920" w:type="dxa"/>
            <w:vAlign w:val="bottom"/>
          </w:tcPr>
          <w:p>
            <w:pPr>
              <w:ind w:left="7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(30.6)</w:t>
            </w:r>
          </w:p>
        </w:tc>
        <w:tc>
          <w:tcPr>
            <w:tcW w:w="0" w:type="dxa"/>
            <w:vAlign w:val="bottom"/>
          </w:tcPr>
          <w:p>
            <w:pPr>
              <w:spacing w:after="0"/>
              <w:rPr>
                <w:sz w:val="1"/>
                <w:szCs w:val="1"/>
                <w:color w:val="auto"/>
              </w:rPr>
            </w:pPr>
          </w:p>
        </w:tc>
      </w:tr>
      <w:tr>
        <w:trPr>
          <w:trHeight w:val="129"/>
        </w:trPr>
        <w:tc>
          <w:tcPr>
            <w:tcW w:w="19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Treasury stock issued pursuant</w:t>
            </w: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 equity-based plans</w:t>
            </w: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0.1</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(0.7)</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0.5</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71"/>
        </w:trPr>
        <w:tc>
          <w:tcPr>
            <w:tcW w:w="19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Dividends ($0.20 per share)</w:t>
            </w:r>
          </w:p>
        </w:tc>
        <w:tc>
          <w:tcPr>
            <w:tcW w:w="56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(5.6)</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70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172"/>
        </w:trPr>
        <w:tc>
          <w:tcPr>
            <w:tcW w:w="1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February 28, 2025</w:t>
            </w:r>
          </w:p>
        </w:tc>
        <w:tc>
          <w:tcPr>
            <w:tcW w:w="5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0.8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0.0</w:t>
            </w:r>
          </w:p>
        </w:tc>
        <w:tc>
          <w:tcPr>
            <w:tcW w:w="6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25.9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0.4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605.3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(63.7)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989.5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(590.2)</w:t>
            </w:r>
          </w:p>
        </w:tc>
        <w:tc>
          <w:tcPr>
            <w:tcW w:w="1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941.3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3"/>
                <w:szCs w:val="13"/>
                <w:b w:val="1"/>
                <w:bCs w:val="1"/>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941.3</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 w:name="page8"/>
    <w:bookmarkEnd w:id="7"/>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151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8255"/>
                    </a:xfrm>
                    <a:prstGeom prst="rect">
                      <a:avLst/>
                    </a:prstGeom>
                    <a:noFill/>
                  </pic:spPr>
                </pic:pic>
              </a:graphicData>
            </a:graphic>
          </wp:anchor>
        </w:drawing>
        <w:t>SCHOLASTIC CORPORATION</w:t>
      </w:r>
    </w:p>
    <w:p>
      <w:pPr>
        <w:ind w:left="20" w:right="4520"/>
        <w:spacing w:after="0" w:line="244" w:lineRule="auto"/>
        <w:rPr>
          <w:sz w:val="20"/>
          <w:szCs w:val="20"/>
          <w:color w:val="auto"/>
        </w:rPr>
      </w:pPr>
      <w:r>
        <w:rPr>
          <w:rFonts w:ascii="Arial" w:cs="Arial" w:eastAsia="Arial" w:hAnsi="Arial"/>
          <w:sz w:val="18"/>
          <w:szCs w:val="18"/>
          <w:b w:val="1"/>
          <w:bCs w:val="1"/>
          <w:color w:val="auto"/>
        </w:rPr>
        <w:t>CONDENSED CONSOLIDATED STATEMENTS OF CASH FLOWS – UNAUDITED (Dollar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151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920" w:type="dxa"/>
            <w:vAlign w:val="bottom"/>
            <w:gridSpan w:val="3"/>
          </w:tcPr>
          <w:p>
            <w:pPr>
              <w:jc w:val="right"/>
              <w:ind w:right="899"/>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7520" w:type="dxa"/>
            <w:vAlign w:val="bottom"/>
          </w:tcPr>
          <w:p>
            <w:pPr>
              <w:spacing w:after="0"/>
              <w:rPr>
                <w:sz w:val="18"/>
                <w:szCs w:val="18"/>
                <w:color w:val="auto"/>
              </w:rPr>
            </w:pPr>
          </w:p>
        </w:tc>
        <w:tc>
          <w:tcPr>
            <w:tcW w:w="1980" w:type="dxa"/>
            <w:vAlign w:val="bottom"/>
            <w:gridSpan w:val="2"/>
          </w:tcPr>
          <w:p>
            <w:pPr>
              <w:ind w:left="620"/>
              <w:spacing w:after="0"/>
              <w:rPr>
                <w:sz w:val="20"/>
                <w:szCs w:val="20"/>
                <w:color w:val="auto"/>
              </w:rPr>
            </w:pPr>
            <w:r>
              <w:rPr>
                <w:rFonts w:ascii="Arial" w:cs="Arial" w:eastAsia="Arial" w:hAnsi="Arial"/>
                <w:sz w:val="16"/>
                <w:szCs w:val="16"/>
                <w:b w:val="1"/>
                <w:bCs w:val="1"/>
                <w:color w:val="auto"/>
              </w:rPr>
              <w:t>February 28,</w:t>
            </w:r>
          </w:p>
        </w:tc>
        <w:tc>
          <w:tcPr>
            <w:tcW w:w="1740" w:type="dxa"/>
            <w:vAlign w:val="bottom"/>
            <w:gridSpan w:val="2"/>
          </w:tcPr>
          <w:p>
            <w:pPr>
              <w:ind w:left="420"/>
              <w:spacing w:after="0"/>
              <w:rPr>
                <w:sz w:val="20"/>
                <w:szCs w:val="20"/>
                <w:color w:val="auto"/>
              </w:rPr>
            </w:pPr>
            <w:r>
              <w:rPr>
                <w:rFonts w:ascii="Arial" w:cs="Arial" w:eastAsia="Arial" w:hAnsi="Arial"/>
                <w:sz w:val="16"/>
                <w:szCs w:val="16"/>
                <w:b w:val="1"/>
                <w:bCs w:val="1"/>
                <w:color w:val="auto"/>
              </w:rPr>
              <w:t>February 29,</w:t>
            </w:r>
          </w:p>
        </w:tc>
      </w:tr>
      <w:tr>
        <w:trPr>
          <w:trHeight w:val="217"/>
        </w:trPr>
        <w:tc>
          <w:tcPr>
            <w:tcW w:w="75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2025</w:t>
            </w:r>
          </w:p>
        </w:tc>
        <w:tc>
          <w:tcPr>
            <w:tcW w:w="6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2024</w:t>
            </w:r>
          </w:p>
        </w:tc>
      </w:tr>
      <w:tr>
        <w:trPr>
          <w:trHeight w:val="210"/>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 operating activities:</w:t>
            </w:r>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800" w:type="dxa"/>
            <w:vAlign w:val="bottom"/>
          </w:tcPr>
          <w:p>
            <w:pPr>
              <w:ind w:left="600"/>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439"/>
              <w:spacing w:after="0"/>
              <w:rPr>
                <w:sz w:val="20"/>
                <w:szCs w:val="20"/>
                <w:color w:val="auto"/>
              </w:rPr>
            </w:pPr>
            <w:r>
              <w:rPr>
                <w:rFonts w:ascii="Arial" w:cs="Arial" w:eastAsia="Arial" w:hAnsi="Arial"/>
                <w:sz w:val="16"/>
                <w:szCs w:val="16"/>
                <w:b w:val="1"/>
                <w:bCs w:val="1"/>
                <w:color w:val="auto"/>
              </w:rPr>
              <w:t>(17.3)</w:t>
            </w:r>
          </w:p>
        </w:tc>
        <w:tc>
          <w:tcPr>
            <w:tcW w:w="600" w:type="dxa"/>
            <w:vAlign w:val="bottom"/>
          </w:tcPr>
          <w:p>
            <w:pPr>
              <w:ind w:left="40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399"/>
              <w:spacing w:after="0"/>
              <w:rPr>
                <w:sz w:val="20"/>
                <w:szCs w:val="20"/>
                <w:color w:val="auto"/>
              </w:rPr>
            </w:pPr>
            <w:r>
              <w:rPr>
                <w:rFonts w:ascii="Arial" w:cs="Arial" w:eastAsia="Arial" w:hAnsi="Arial"/>
                <w:sz w:val="16"/>
                <w:szCs w:val="16"/>
                <w:b w:val="1"/>
                <w:bCs w:val="1"/>
                <w:color w:val="auto"/>
              </w:rPr>
              <w:t>(23.8)</w:t>
            </w: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provided by (used in) operating activities:</w:t>
            </w:r>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5"/>
        </w:trPr>
        <w:tc>
          <w:tcPr>
            <w:tcW w:w="7520" w:type="dxa"/>
            <w:vAlign w:val="bottom"/>
          </w:tcPr>
          <w:p>
            <w:pPr>
              <w:ind w:left="160"/>
              <w:spacing w:after="0"/>
              <w:rPr>
                <w:sz w:val="20"/>
                <w:szCs w:val="20"/>
                <w:color w:val="auto"/>
              </w:rPr>
            </w:pPr>
            <w:r>
              <w:rPr>
                <w:rFonts w:ascii="Arial" w:cs="Arial" w:eastAsia="Arial" w:hAnsi="Arial"/>
                <w:sz w:val="16"/>
                <w:szCs w:val="16"/>
                <w:color w:val="auto"/>
              </w:rPr>
              <w:t>Provision for losses on accounts receivable</w:t>
            </w:r>
          </w:p>
        </w:tc>
        <w:tc>
          <w:tcPr>
            <w:tcW w:w="800" w:type="dxa"/>
            <w:vAlign w:val="bottom"/>
          </w:tcPr>
          <w:p>
            <w:pPr>
              <w:spacing w:after="0"/>
              <w:rPr>
                <w:sz w:val="18"/>
                <w:szCs w:val="18"/>
                <w:color w:val="auto"/>
              </w:rPr>
            </w:pPr>
          </w:p>
        </w:tc>
        <w:tc>
          <w:tcPr>
            <w:tcW w:w="1180" w:type="dxa"/>
            <w:vAlign w:val="bottom"/>
          </w:tcPr>
          <w:p>
            <w:pPr>
              <w:jc w:val="right"/>
              <w:ind w:right="479"/>
              <w:spacing w:after="0"/>
              <w:rPr>
                <w:sz w:val="20"/>
                <w:szCs w:val="20"/>
                <w:color w:val="auto"/>
              </w:rPr>
            </w:pPr>
            <w:r>
              <w:rPr>
                <w:rFonts w:ascii="Arial" w:cs="Arial" w:eastAsia="Arial" w:hAnsi="Arial"/>
                <w:sz w:val="16"/>
                <w:szCs w:val="16"/>
                <w:color w:val="auto"/>
              </w:rPr>
              <w:t>3.9</w:t>
            </w:r>
          </w:p>
        </w:tc>
        <w:tc>
          <w:tcPr>
            <w:tcW w:w="600" w:type="dxa"/>
            <w:vAlign w:val="bottom"/>
          </w:tcPr>
          <w:p>
            <w:pPr>
              <w:spacing w:after="0"/>
              <w:rPr>
                <w:sz w:val="18"/>
                <w:szCs w:val="18"/>
                <w:color w:val="auto"/>
              </w:rPr>
            </w:pPr>
          </w:p>
        </w:tc>
        <w:tc>
          <w:tcPr>
            <w:tcW w:w="1140" w:type="dxa"/>
            <w:vAlign w:val="bottom"/>
          </w:tcPr>
          <w:p>
            <w:pPr>
              <w:jc w:val="right"/>
              <w:ind w:right="439"/>
              <w:spacing w:after="0"/>
              <w:rPr>
                <w:sz w:val="20"/>
                <w:szCs w:val="20"/>
                <w:color w:val="auto"/>
              </w:rPr>
            </w:pPr>
            <w:r>
              <w:rPr>
                <w:rFonts w:ascii="Arial" w:cs="Arial" w:eastAsia="Arial" w:hAnsi="Arial"/>
                <w:sz w:val="16"/>
                <w:szCs w:val="16"/>
                <w:color w:val="auto"/>
              </w:rPr>
              <w:t>4.0</w:t>
            </w:r>
          </w:p>
        </w:tc>
      </w:tr>
      <w:tr>
        <w:trPr>
          <w:trHeight w:val="217"/>
        </w:trPr>
        <w:tc>
          <w:tcPr>
            <w:tcW w:w="75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Provision for losses on inventory</w:t>
            </w:r>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12.6</w:t>
            </w: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15.7</w:t>
            </w:r>
          </w:p>
        </w:tc>
      </w:tr>
      <w:tr>
        <w:trPr>
          <w:trHeight w:val="215"/>
        </w:trPr>
        <w:tc>
          <w:tcPr>
            <w:tcW w:w="7520" w:type="dxa"/>
            <w:vAlign w:val="bottom"/>
          </w:tcPr>
          <w:p>
            <w:pPr>
              <w:ind w:left="160"/>
              <w:spacing w:after="0"/>
              <w:rPr>
                <w:sz w:val="20"/>
                <w:szCs w:val="20"/>
                <w:color w:val="auto"/>
              </w:rPr>
            </w:pPr>
            <w:r>
              <w:rPr>
                <w:rFonts w:ascii="Arial" w:cs="Arial" w:eastAsia="Arial" w:hAnsi="Arial"/>
                <w:sz w:val="16"/>
                <w:szCs w:val="16"/>
                <w:color w:val="auto"/>
              </w:rPr>
              <w:t>Provision for losses on royalty advances</w:t>
            </w:r>
          </w:p>
        </w:tc>
        <w:tc>
          <w:tcPr>
            <w:tcW w:w="800" w:type="dxa"/>
            <w:vAlign w:val="bottom"/>
          </w:tcPr>
          <w:p>
            <w:pPr>
              <w:spacing w:after="0"/>
              <w:rPr>
                <w:sz w:val="18"/>
                <w:szCs w:val="18"/>
                <w:color w:val="auto"/>
              </w:rPr>
            </w:pPr>
          </w:p>
        </w:tc>
        <w:tc>
          <w:tcPr>
            <w:tcW w:w="1180" w:type="dxa"/>
            <w:vAlign w:val="bottom"/>
          </w:tcPr>
          <w:p>
            <w:pPr>
              <w:jc w:val="right"/>
              <w:ind w:right="479"/>
              <w:spacing w:after="0"/>
              <w:rPr>
                <w:sz w:val="20"/>
                <w:szCs w:val="20"/>
                <w:color w:val="auto"/>
              </w:rPr>
            </w:pPr>
            <w:r>
              <w:rPr>
                <w:rFonts w:ascii="Arial" w:cs="Arial" w:eastAsia="Arial" w:hAnsi="Arial"/>
                <w:sz w:val="16"/>
                <w:szCs w:val="16"/>
                <w:color w:val="auto"/>
              </w:rPr>
              <w:t>2.4</w:t>
            </w:r>
          </w:p>
        </w:tc>
        <w:tc>
          <w:tcPr>
            <w:tcW w:w="600" w:type="dxa"/>
            <w:vAlign w:val="bottom"/>
          </w:tcPr>
          <w:p>
            <w:pPr>
              <w:spacing w:after="0"/>
              <w:rPr>
                <w:sz w:val="18"/>
                <w:szCs w:val="18"/>
                <w:color w:val="auto"/>
              </w:rPr>
            </w:pPr>
          </w:p>
        </w:tc>
        <w:tc>
          <w:tcPr>
            <w:tcW w:w="1140" w:type="dxa"/>
            <w:vAlign w:val="bottom"/>
          </w:tcPr>
          <w:p>
            <w:pPr>
              <w:jc w:val="right"/>
              <w:ind w:right="439"/>
              <w:spacing w:after="0"/>
              <w:rPr>
                <w:sz w:val="20"/>
                <w:szCs w:val="20"/>
                <w:color w:val="auto"/>
              </w:rPr>
            </w:pPr>
            <w:r>
              <w:rPr>
                <w:rFonts w:ascii="Arial" w:cs="Arial" w:eastAsia="Arial" w:hAnsi="Arial"/>
                <w:sz w:val="16"/>
                <w:szCs w:val="16"/>
                <w:color w:val="auto"/>
              </w:rPr>
              <w:t>2.2</w:t>
            </w:r>
          </w:p>
        </w:tc>
      </w:tr>
      <w:tr>
        <w:trPr>
          <w:trHeight w:val="217"/>
        </w:trPr>
        <w:tc>
          <w:tcPr>
            <w:tcW w:w="75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Amortization of prepublication costs</w:t>
            </w:r>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16.4</w:t>
            </w: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19.9</w:t>
            </w:r>
          </w:p>
        </w:tc>
      </w:tr>
      <w:tr>
        <w:trPr>
          <w:trHeight w:val="215"/>
        </w:trPr>
        <w:tc>
          <w:tcPr>
            <w:tcW w:w="7520" w:type="dxa"/>
            <w:vAlign w:val="bottom"/>
          </w:tcPr>
          <w:p>
            <w:pPr>
              <w:ind w:left="160"/>
              <w:spacing w:after="0"/>
              <w:rPr>
                <w:sz w:val="20"/>
                <w:szCs w:val="20"/>
                <w:color w:val="auto"/>
              </w:rPr>
            </w:pPr>
            <w:r>
              <w:rPr>
                <w:rFonts w:ascii="Arial" w:cs="Arial" w:eastAsia="Arial" w:hAnsi="Arial"/>
                <w:sz w:val="16"/>
                <w:szCs w:val="16"/>
                <w:color w:val="auto"/>
              </w:rPr>
              <w:t>Amortization of film and television programs</w:t>
            </w:r>
          </w:p>
        </w:tc>
        <w:tc>
          <w:tcPr>
            <w:tcW w:w="800" w:type="dxa"/>
            <w:vAlign w:val="bottom"/>
          </w:tcPr>
          <w:p>
            <w:pPr>
              <w:spacing w:after="0"/>
              <w:rPr>
                <w:sz w:val="18"/>
                <w:szCs w:val="18"/>
                <w:color w:val="auto"/>
              </w:rPr>
            </w:pPr>
          </w:p>
        </w:tc>
        <w:tc>
          <w:tcPr>
            <w:tcW w:w="1180" w:type="dxa"/>
            <w:vAlign w:val="bottom"/>
          </w:tcPr>
          <w:p>
            <w:pPr>
              <w:jc w:val="right"/>
              <w:ind w:right="479"/>
              <w:spacing w:after="0"/>
              <w:rPr>
                <w:sz w:val="20"/>
                <w:szCs w:val="20"/>
                <w:color w:val="auto"/>
              </w:rPr>
            </w:pPr>
            <w:r>
              <w:rPr>
                <w:rFonts w:ascii="Arial" w:cs="Arial" w:eastAsia="Arial" w:hAnsi="Arial"/>
                <w:sz w:val="16"/>
                <w:szCs w:val="16"/>
                <w:color w:val="auto"/>
              </w:rPr>
              <w:t>8.2</w:t>
            </w:r>
          </w:p>
        </w:tc>
        <w:tc>
          <w:tcPr>
            <w:tcW w:w="600" w:type="dxa"/>
            <w:vAlign w:val="bottom"/>
          </w:tcPr>
          <w:p>
            <w:pPr>
              <w:spacing w:after="0"/>
              <w:rPr>
                <w:sz w:val="18"/>
                <w:szCs w:val="18"/>
                <w:color w:val="auto"/>
              </w:rPr>
            </w:pPr>
          </w:p>
        </w:tc>
        <w:tc>
          <w:tcPr>
            <w:tcW w:w="1140" w:type="dxa"/>
            <w:vAlign w:val="bottom"/>
          </w:tcPr>
          <w:p>
            <w:pPr>
              <w:jc w:val="right"/>
              <w:ind w:right="439"/>
              <w:spacing w:after="0"/>
              <w:rPr>
                <w:sz w:val="20"/>
                <w:szCs w:val="20"/>
                <w:color w:val="auto"/>
              </w:rPr>
            </w:pPr>
            <w:r>
              <w:rPr>
                <w:rFonts w:ascii="Arial" w:cs="Arial" w:eastAsia="Arial" w:hAnsi="Arial"/>
                <w:sz w:val="16"/>
                <w:szCs w:val="16"/>
                <w:color w:val="auto"/>
              </w:rPr>
              <w:t>—</w:t>
            </w:r>
          </w:p>
        </w:tc>
      </w:tr>
      <w:tr>
        <w:trPr>
          <w:trHeight w:val="217"/>
        </w:trPr>
        <w:tc>
          <w:tcPr>
            <w:tcW w:w="75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Depreciation and amortization</w:t>
            </w:r>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57.8</w:t>
            </w: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49.2</w:t>
            </w:r>
          </w:p>
        </w:tc>
      </w:tr>
      <w:tr>
        <w:trPr>
          <w:trHeight w:val="215"/>
        </w:trPr>
        <w:tc>
          <w:tcPr>
            <w:tcW w:w="7520" w:type="dxa"/>
            <w:vAlign w:val="bottom"/>
          </w:tcPr>
          <w:p>
            <w:pPr>
              <w:ind w:left="160"/>
              <w:spacing w:after="0"/>
              <w:rPr>
                <w:sz w:val="20"/>
                <w:szCs w:val="20"/>
                <w:color w:val="auto"/>
              </w:rPr>
            </w:pPr>
            <w:r>
              <w:rPr>
                <w:rFonts w:ascii="Arial" w:cs="Arial" w:eastAsia="Arial" w:hAnsi="Arial"/>
                <w:sz w:val="16"/>
                <w:szCs w:val="16"/>
                <w:color w:val="auto"/>
              </w:rPr>
              <w:t>Amortization of pension and postretirement plans</w:t>
            </w:r>
          </w:p>
        </w:tc>
        <w:tc>
          <w:tcPr>
            <w:tcW w:w="800" w:type="dxa"/>
            <w:vAlign w:val="bottom"/>
          </w:tcPr>
          <w:p>
            <w:pPr>
              <w:spacing w:after="0"/>
              <w:rPr>
                <w:sz w:val="18"/>
                <w:szCs w:val="18"/>
                <w:color w:val="auto"/>
              </w:rPr>
            </w:pPr>
          </w:p>
        </w:tc>
        <w:tc>
          <w:tcPr>
            <w:tcW w:w="1180" w:type="dxa"/>
            <w:vAlign w:val="bottom"/>
          </w:tcPr>
          <w:p>
            <w:pPr>
              <w:jc w:val="right"/>
              <w:ind w:right="479"/>
              <w:spacing w:after="0"/>
              <w:rPr>
                <w:sz w:val="20"/>
                <w:szCs w:val="20"/>
                <w:color w:val="auto"/>
              </w:rPr>
            </w:pPr>
            <w:r>
              <w:rPr>
                <w:rFonts w:ascii="Arial" w:cs="Arial" w:eastAsia="Arial" w:hAnsi="Arial"/>
                <w:sz w:val="16"/>
                <w:szCs w:val="16"/>
                <w:color w:val="auto"/>
              </w:rPr>
              <w:t>0.3</w:t>
            </w:r>
          </w:p>
        </w:tc>
        <w:tc>
          <w:tcPr>
            <w:tcW w:w="600" w:type="dxa"/>
            <w:vAlign w:val="bottom"/>
          </w:tcPr>
          <w:p>
            <w:pPr>
              <w:spacing w:after="0"/>
              <w:rPr>
                <w:sz w:val="18"/>
                <w:szCs w:val="18"/>
                <w:color w:val="auto"/>
              </w:rPr>
            </w:pPr>
          </w:p>
        </w:tc>
        <w:tc>
          <w:tcPr>
            <w:tcW w:w="1140" w:type="dxa"/>
            <w:vAlign w:val="bottom"/>
          </w:tcPr>
          <w:p>
            <w:pPr>
              <w:jc w:val="right"/>
              <w:ind w:right="439"/>
              <w:spacing w:after="0"/>
              <w:rPr>
                <w:sz w:val="20"/>
                <w:szCs w:val="20"/>
                <w:color w:val="auto"/>
              </w:rPr>
            </w:pPr>
            <w:r>
              <w:rPr>
                <w:rFonts w:ascii="Arial" w:cs="Arial" w:eastAsia="Arial" w:hAnsi="Arial"/>
                <w:sz w:val="16"/>
                <w:szCs w:val="16"/>
                <w:color w:val="auto"/>
              </w:rPr>
              <w:t>0.3</w:t>
            </w:r>
          </w:p>
        </w:tc>
      </w:tr>
      <w:tr>
        <w:trPr>
          <w:trHeight w:val="217"/>
        </w:trPr>
        <w:tc>
          <w:tcPr>
            <w:tcW w:w="75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Deferred income taxes</w:t>
            </w:r>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0.0</w:t>
            </w: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0.2</w:t>
            </w:r>
          </w:p>
        </w:tc>
      </w:tr>
      <w:tr>
        <w:trPr>
          <w:trHeight w:val="215"/>
        </w:trPr>
        <w:tc>
          <w:tcPr>
            <w:tcW w:w="7520" w:type="dxa"/>
            <w:vAlign w:val="bottom"/>
          </w:tcPr>
          <w:p>
            <w:pPr>
              <w:ind w:left="160"/>
              <w:spacing w:after="0"/>
              <w:rPr>
                <w:sz w:val="20"/>
                <w:szCs w:val="20"/>
                <w:color w:val="auto"/>
              </w:rPr>
            </w:pPr>
            <w:r>
              <w:rPr>
                <w:rFonts w:ascii="Arial" w:cs="Arial" w:eastAsia="Arial" w:hAnsi="Arial"/>
                <w:sz w:val="16"/>
                <w:szCs w:val="16"/>
                <w:color w:val="auto"/>
              </w:rPr>
              <w:t>Stock-based compensation</w:t>
            </w:r>
          </w:p>
        </w:tc>
        <w:tc>
          <w:tcPr>
            <w:tcW w:w="800" w:type="dxa"/>
            <w:vAlign w:val="bottom"/>
          </w:tcPr>
          <w:p>
            <w:pPr>
              <w:spacing w:after="0"/>
              <w:rPr>
                <w:sz w:val="18"/>
                <w:szCs w:val="18"/>
                <w:color w:val="auto"/>
              </w:rPr>
            </w:pPr>
          </w:p>
        </w:tc>
        <w:tc>
          <w:tcPr>
            <w:tcW w:w="1180" w:type="dxa"/>
            <w:vAlign w:val="bottom"/>
          </w:tcPr>
          <w:p>
            <w:pPr>
              <w:jc w:val="right"/>
              <w:ind w:right="479"/>
              <w:spacing w:after="0"/>
              <w:rPr>
                <w:sz w:val="20"/>
                <w:szCs w:val="20"/>
                <w:color w:val="auto"/>
              </w:rPr>
            </w:pPr>
            <w:r>
              <w:rPr>
                <w:rFonts w:ascii="Arial" w:cs="Arial" w:eastAsia="Arial" w:hAnsi="Arial"/>
                <w:sz w:val="16"/>
                <w:szCs w:val="16"/>
                <w:color w:val="auto"/>
              </w:rPr>
              <w:t>6.7</w:t>
            </w:r>
          </w:p>
        </w:tc>
        <w:tc>
          <w:tcPr>
            <w:tcW w:w="600" w:type="dxa"/>
            <w:vAlign w:val="bottom"/>
          </w:tcPr>
          <w:p>
            <w:pPr>
              <w:spacing w:after="0"/>
              <w:rPr>
                <w:sz w:val="18"/>
                <w:szCs w:val="18"/>
                <w:color w:val="auto"/>
              </w:rPr>
            </w:pPr>
          </w:p>
        </w:tc>
        <w:tc>
          <w:tcPr>
            <w:tcW w:w="1140" w:type="dxa"/>
            <w:vAlign w:val="bottom"/>
          </w:tcPr>
          <w:p>
            <w:pPr>
              <w:jc w:val="right"/>
              <w:ind w:right="439"/>
              <w:spacing w:after="0"/>
              <w:rPr>
                <w:sz w:val="20"/>
                <w:szCs w:val="20"/>
                <w:color w:val="auto"/>
              </w:rPr>
            </w:pPr>
            <w:r>
              <w:rPr>
                <w:rFonts w:ascii="Arial" w:cs="Arial" w:eastAsia="Arial" w:hAnsi="Arial"/>
                <w:sz w:val="16"/>
                <w:szCs w:val="16"/>
                <w:color w:val="auto"/>
              </w:rPr>
              <w:t>8.7</w:t>
            </w:r>
          </w:p>
        </w:tc>
      </w:tr>
      <w:tr>
        <w:trPr>
          <w:trHeight w:val="217"/>
        </w:trPr>
        <w:tc>
          <w:tcPr>
            <w:tcW w:w="75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Income from equity-method investments</w:t>
            </w:r>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(0.8)</w:t>
            </w: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(0.1)</w:t>
            </w:r>
          </w:p>
        </w:tc>
      </w:tr>
      <w:tr>
        <w:trPr>
          <w:trHeight w:val="215"/>
        </w:trPr>
        <w:tc>
          <w:tcPr>
            <w:tcW w:w="7520" w:type="dxa"/>
            <w:vAlign w:val="bottom"/>
          </w:tcPr>
          <w:p>
            <w:pPr>
              <w:ind w:left="160"/>
              <w:spacing w:after="0"/>
              <w:rPr>
                <w:sz w:val="20"/>
                <w:szCs w:val="20"/>
                <w:color w:val="auto"/>
              </w:rPr>
            </w:pPr>
            <w:r>
              <w:rPr>
                <w:rFonts w:ascii="Arial" w:cs="Arial" w:eastAsia="Arial" w:hAnsi="Arial"/>
                <w:sz w:val="16"/>
                <w:szCs w:val="16"/>
                <w:color w:val="auto"/>
              </w:rPr>
              <w:t>Non cash write off related to asset impairments and write downs</w:t>
            </w:r>
          </w:p>
        </w:tc>
        <w:tc>
          <w:tcPr>
            <w:tcW w:w="800" w:type="dxa"/>
            <w:vAlign w:val="bottom"/>
          </w:tcPr>
          <w:p>
            <w:pPr>
              <w:spacing w:after="0"/>
              <w:rPr>
                <w:sz w:val="18"/>
                <w:szCs w:val="18"/>
                <w:color w:val="auto"/>
              </w:rPr>
            </w:pPr>
          </w:p>
        </w:tc>
        <w:tc>
          <w:tcPr>
            <w:tcW w:w="1180" w:type="dxa"/>
            <w:vAlign w:val="bottom"/>
          </w:tcPr>
          <w:p>
            <w:pPr>
              <w:jc w:val="right"/>
              <w:ind w:right="479"/>
              <w:spacing w:after="0"/>
              <w:rPr>
                <w:sz w:val="20"/>
                <w:szCs w:val="20"/>
                <w:color w:val="auto"/>
              </w:rPr>
            </w:pPr>
            <w:r>
              <w:rPr>
                <w:rFonts w:ascii="Arial" w:cs="Arial" w:eastAsia="Arial" w:hAnsi="Arial"/>
                <w:sz w:val="16"/>
                <w:szCs w:val="16"/>
                <w:color w:val="auto"/>
              </w:rPr>
              <w:t>0.4</w:t>
            </w:r>
          </w:p>
        </w:tc>
        <w:tc>
          <w:tcPr>
            <w:tcW w:w="600" w:type="dxa"/>
            <w:vAlign w:val="bottom"/>
          </w:tcPr>
          <w:p>
            <w:pPr>
              <w:spacing w:after="0"/>
              <w:rPr>
                <w:sz w:val="18"/>
                <w:szCs w:val="18"/>
                <w:color w:val="auto"/>
              </w:rPr>
            </w:pPr>
          </w:p>
        </w:tc>
        <w:tc>
          <w:tcPr>
            <w:tcW w:w="1140" w:type="dxa"/>
            <w:vAlign w:val="bottom"/>
          </w:tcPr>
          <w:p>
            <w:pPr>
              <w:jc w:val="right"/>
              <w:ind w:right="439"/>
              <w:spacing w:after="0"/>
              <w:rPr>
                <w:sz w:val="20"/>
                <w:szCs w:val="20"/>
                <w:color w:val="auto"/>
              </w:rPr>
            </w:pPr>
            <w:r>
              <w:rPr>
                <w:rFonts w:ascii="Arial" w:cs="Arial" w:eastAsia="Arial" w:hAnsi="Arial"/>
                <w:sz w:val="16"/>
                <w:szCs w:val="16"/>
                <w:color w:val="auto"/>
              </w:rPr>
              <w:t>0.5</w:t>
            </w:r>
          </w:p>
        </w:tc>
      </w:tr>
      <w:tr>
        <w:trPr>
          <w:trHeight w:val="217"/>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assets and liabilities, net of amounts acquired:</w:t>
            </w:r>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5"/>
        </w:trPr>
        <w:tc>
          <w:tcPr>
            <w:tcW w:w="7520" w:type="dxa"/>
            <w:vAlign w:val="bottom"/>
          </w:tcPr>
          <w:p>
            <w:pPr>
              <w:ind w:left="160"/>
              <w:spacing w:after="0"/>
              <w:rPr>
                <w:sz w:val="20"/>
                <w:szCs w:val="20"/>
                <w:color w:val="auto"/>
              </w:rPr>
            </w:pPr>
            <w:r>
              <w:rPr>
                <w:rFonts w:ascii="Arial" w:cs="Arial" w:eastAsia="Arial" w:hAnsi="Arial"/>
                <w:sz w:val="16"/>
                <w:szCs w:val="16"/>
                <w:color w:val="auto"/>
              </w:rPr>
              <w:t>Accounts receivable</w:t>
            </w:r>
          </w:p>
        </w:tc>
        <w:tc>
          <w:tcPr>
            <w:tcW w:w="800" w:type="dxa"/>
            <w:vAlign w:val="bottom"/>
          </w:tcPr>
          <w:p>
            <w:pPr>
              <w:spacing w:after="0"/>
              <w:rPr>
                <w:sz w:val="18"/>
                <w:szCs w:val="18"/>
                <w:color w:val="auto"/>
              </w:rPr>
            </w:pPr>
          </w:p>
        </w:tc>
        <w:tc>
          <w:tcPr>
            <w:tcW w:w="1180" w:type="dxa"/>
            <w:vAlign w:val="bottom"/>
          </w:tcPr>
          <w:p>
            <w:pPr>
              <w:jc w:val="right"/>
              <w:ind w:right="439"/>
              <w:spacing w:after="0"/>
              <w:rPr>
                <w:sz w:val="20"/>
                <w:szCs w:val="20"/>
                <w:color w:val="auto"/>
              </w:rPr>
            </w:pPr>
            <w:r>
              <w:rPr>
                <w:rFonts w:ascii="Arial" w:cs="Arial" w:eastAsia="Arial" w:hAnsi="Arial"/>
                <w:sz w:val="16"/>
                <w:szCs w:val="16"/>
                <w:color w:val="auto"/>
              </w:rPr>
              <w:t>(11.0)</w:t>
            </w:r>
          </w:p>
        </w:tc>
        <w:tc>
          <w:tcPr>
            <w:tcW w:w="600" w:type="dxa"/>
            <w:vAlign w:val="bottom"/>
          </w:tcPr>
          <w:p>
            <w:pPr>
              <w:spacing w:after="0"/>
              <w:rPr>
                <w:sz w:val="18"/>
                <w:szCs w:val="18"/>
                <w:color w:val="auto"/>
              </w:rPr>
            </w:pPr>
          </w:p>
        </w:tc>
        <w:tc>
          <w:tcPr>
            <w:tcW w:w="1140" w:type="dxa"/>
            <w:vAlign w:val="bottom"/>
          </w:tcPr>
          <w:p>
            <w:pPr>
              <w:jc w:val="right"/>
              <w:ind w:right="439"/>
              <w:spacing w:after="0"/>
              <w:rPr>
                <w:sz w:val="20"/>
                <w:szCs w:val="20"/>
                <w:color w:val="auto"/>
              </w:rPr>
            </w:pPr>
            <w:r>
              <w:rPr>
                <w:rFonts w:ascii="Arial" w:cs="Arial" w:eastAsia="Arial" w:hAnsi="Arial"/>
                <w:sz w:val="16"/>
                <w:szCs w:val="16"/>
                <w:color w:val="auto"/>
              </w:rPr>
              <w:t>21.2</w:t>
            </w:r>
          </w:p>
        </w:tc>
      </w:tr>
      <w:tr>
        <w:trPr>
          <w:trHeight w:val="217"/>
        </w:trPr>
        <w:tc>
          <w:tcPr>
            <w:tcW w:w="75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Inventories</w:t>
            </w:r>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(22.1)</w:t>
            </w: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36.7</w:t>
            </w:r>
          </w:p>
        </w:tc>
      </w:tr>
      <w:tr>
        <w:trPr>
          <w:trHeight w:val="215"/>
        </w:trPr>
        <w:tc>
          <w:tcPr>
            <w:tcW w:w="7520" w:type="dxa"/>
            <w:vAlign w:val="bottom"/>
          </w:tcPr>
          <w:p>
            <w:pPr>
              <w:ind w:left="160"/>
              <w:spacing w:after="0"/>
              <w:rPr>
                <w:sz w:val="20"/>
                <w:szCs w:val="20"/>
                <w:color w:val="auto"/>
              </w:rPr>
            </w:pPr>
            <w:r>
              <w:rPr>
                <w:rFonts w:ascii="Arial" w:cs="Arial" w:eastAsia="Arial" w:hAnsi="Arial"/>
                <w:sz w:val="16"/>
                <w:szCs w:val="16"/>
                <w:color w:val="auto"/>
              </w:rPr>
              <w:t>Income tax receivable</w:t>
            </w:r>
          </w:p>
        </w:tc>
        <w:tc>
          <w:tcPr>
            <w:tcW w:w="800" w:type="dxa"/>
            <w:vAlign w:val="bottom"/>
          </w:tcPr>
          <w:p>
            <w:pPr>
              <w:spacing w:after="0"/>
              <w:rPr>
                <w:sz w:val="18"/>
                <w:szCs w:val="18"/>
                <w:color w:val="auto"/>
              </w:rPr>
            </w:pPr>
          </w:p>
        </w:tc>
        <w:tc>
          <w:tcPr>
            <w:tcW w:w="1180" w:type="dxa"/>
            <w:vAlign w:val="bottom"/>
          </w:tcPr>
          <w:p>
            <w:pPr>
              <w:jc w:val="right"/>
              <w:ind w:right="439"/>
              <w:spacing w:after="0"/>
              <w:rPr>
                <w:sz w:val="20"/>
                <w:szCs w:val="20"/>
                <w:color w:val="auto"/>
              </w:rPr>
            </w:pPr>
            <w:r>
              <w:rPr>
                <w:rFonts w:ascii="Arial" w:cs="Arial" w:eastAsia="Arial" w:hAnsi="Arial"/>
                <w:sz w:val="16"/>
                <w:szCs w:val="16"/>
                <w:color w:val="auto"/>
              </w:rPr>
              <w:t>(36.0)</w:t>
            </w:r>
          </w:p>
        </w:tc>
        <w:tc>
          <w:tcPr>
            <w:tcW w:w="600" w:type="dxa"/>
            <w:vAlign w:val="bottom"/>
          </w:tcPr>
          <w:p>
            <w:pPr>
              <w:spacing w:after="0"/>
              <w:rPr>
                <w:sz w:val="18"/>
                <w:szCs w:val="18"/>
                <w:color w:val="auto"/>
              </w:rPr>
            </w:pPr>
          </w:p>
        </w:tc>
        <w:tc>
          <w:tcPr>
            <w:tcW w:w="1140" w:type="dxa"/>
            <w:vAlign w:val="bottom"/>
          </w:tcPr>
          <w:p>
            <w:pPr>
              <w:jc w:val="right"/>
              <w:ind w:right="399"/>
              <w:spacing w:after="0"/>
              <w:rPr>
                <w:sz w:val="20"/>
                <w:szCs w:val="20"/>
                <w:color w:val="auto"/>
              </w:rPr>
            </w:pPr>
            <w:r>
              <w:rPr>
                <w:rFonts w:ascii="Arial" w:cs="Arial" w:eastAsia="Arial" w:hAnsi="Arial"/>
                <w:sz w:val="16"/>
                <w:szCs w:val="16"/>
                <w:color w:val="auto"/>
              </w:rPr>
              <w:t>(21.0)</w:t>
            </w:r>
          </w:p>
        </w:tc>
      </w:tr>
      <w:tr>
        <w:trPr>
          <w:trHeight w:val="217"/>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 credit receivable</w:t>
            </w:r>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12.1</w:t>
            </w: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r>
      <w:tr>
        <w:trPr>
          <w:trHeight w:val="215"/>
        </w:trPr>
        <w:tc>
          <w:tcPr>
            <w:tcW w:w="7520" w:type="dxa"/>
            <w:vAlign w:val="bottom"/>
          </w:tcPr>
          <w:p>
            <w:pPr>
              <w:ind w:left="160"/>
              <w:spacing w:after="0"/>
              <w:rPr>
                <w:sz w:val="20"/>
                <w:szCs w:val="20"/>
                <w:color w:val="auto"/>
              </w:rPr>
            </w:pPr>
            <w:r>
              <w:rPr>
                <w:rFonts w:ascii="Arial" w:cs="Arial" w:eastAsia="Arial" w:hAnsi="Arial"/>
                <w:sz w:val="16"/>
                <w:szCs w:val="16"/>
                <w:color w:val="auto"/>
              </w:rPr>
              <w:t>Prepaid expenses and other current assets</w:t>
            </w:r>
          </w:p>
        </w:tc>
        <w:tc>
          <w:tcPr>
            <w:tcW w:w="800" w:type="dxa"/>
            <w:vAlign w:val="bottom"/>
          </w:tcPr>
          <w:p>
            <w:pPr>
              <w:spacing w:after="0"/>
              <w:rPr>
                <w:sz w:val="18"/>
                <w:szCs w:val="18"/>
                <w:color w:val="auto"/>
              </w:rPr>
            </w:pPr>
          </w:p>
        </w:tc>
        <w:tc>
          <w:tcPr>
            <w:tcW w:w="1180" w:type="dxa"/>
            <w:vAlign w:val="bottom"/>
          </w:tcPr>
          <w:p>
            <w:pPr>
              <w:jc w:val="right"/>
              <w:ind w:right="439"/>
              <w:spacing w:after="0"/>
              <w:rPr>
                <w:sz w:val="20"/>
                <w:szCs w:val="20"/>
                <w:color w:val="auto"/>
              </w:rPr>
            </w:pPr>
            <w:r>
              <w:rPr>
                <w:rFonts w:ascii="Arial" w:cs="Arial" w:eastAsia="Arial" w:hAnsi="Arial"/>
                <w:sz w:val="16"/>
                <w:szCs w:val="16"/>
                <w:color w:val="auto"/>
              </w:rPr>
              <w:t>(13.8)</w:t>
            </w:r>
          </w:p>
        </w:tc>
        <w:tc>
          <w:tcPr>
            <w:tcW w:w="600" w:type="dxa"/>
            <w:vAlign w:val="bottom"/>
          </w:tcPr>
          <w:p>
            <w:pPr>
              <w:spacing w:after="0"/>
              <w:rPr>
                <w:sz w:val="18"/>
                <w:szCs w:val="18"/>
                <w:color w:val="auto"/>
              </w:rPr>
            </w:pPr>
          </w:p>
        </w:tc>
        <w:tc>
          <w:tcPr>
            <w:tcW w:w="1140" w:type="dxa"/>
            <w:vAlign w:val="bottom"/>
          </w:tcPr>
          <w:p>
            <w:pPr>
              <w:jc w:val="right"/>
              <w:ind w:right="399"/>
              <w:spacing w:after="0"/>
              <w:rPr>
                <w:sz w:val="20"/>
                <w:szCs w:val="20"/>
                <w:color w:val="auto"/>
              </w:rPr>
            </w:pPr>
            <w:r>
              <w:rPr>
                <w:rFonts w:ascii="Arial" w:cs="Arial" w:eastAsia="Arial" w:hAnsi="Arial"/>
                <w:sz w:val="16"/>
                <w:szCs w:val="16"/>
                <w:color w:val="auto"/>
              </w:rPr>
              <w:t>(5.8)</w:t>
            </w:r>
          </w:p>
        </w:tc>
      </w:tr>
      <w:tr>
        <w:trPr>
          <w:trHeight w:val="217"/>
        </w:trPr>
        <w:tc>
          <w:tcPr>
            <w:tcW w:w="75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Investment in film and television programs</w:t>
            </w:r>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(8.2)</w:t>
            </w: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r>
      <w:tr>
        <w:trPr>
          <w:trHeight w:val="215"/>
        </w:trPr>
        <w:tc>
          <w:tcPr>
            <w:tcW w:w="7520" w:type="dxa"/>
            <w:vAlign w:val="bottom"/>
          </w:tcPr>
          <w:p>
            <w:pPr>
              <w:ind w:left="160"/>
              <w:spacing w:after="0"/>
              <w:rPr>
                <w:sz w:val="20"/>
                <w:szCs w:val="20"/>
                <w:color w:val="auto"/>
              </w:rPr>
            </w:pPr>
            <w:r>
              <w:rPr>
                <w:rFonts w:ascii="Arial" w:cs="Arial" w:eastAsia="Arial" w:hAnsi="Arial"/>
                <w:sz w:val="16"/>
                <w:szCs w:val="16"/>
                <w:color w:val="auto"/>
              </w:rPr>
              <w:t>Royalty advances</w:t>
            </w:r>
          </w:p>
        </w:tc>
        <w:tc>
          <w:tcPr>
            <w:tcW w:w="800" w:type="dxa"/>
            <w:vAlign w:val="bottom"/>
          </w:tcPr>
          <w:p>
            <w:pPr>
              <w:spacing w:after="0"/>
              <w:rPr>
                <w:sz w:val="18"/>
                <w:szCs w:val="18"/>
                <w:color w:val="auto"/>
              </w:rPr>
            </w:pPr>
          </w:p>
        </w:tc>
        <w:tc>
          <w:tcPr>
            <w:tcW w:w="1180" w:type="dxa"/>
            <w:vAlign w:val="bottom"/>
          </w:tcPr>
          <w:p>
            <w:pPr>
              <w:jc w:val="right"/>
              <w:ind w:right="439"/>
              <w:spacing w:after="0"/>
              <w:rPr>
                <w:sz w:val="20"/>
                <w:szCs w:val="20"/>
                <w:color w:val="auto"/>
              </w:rPr>
            </w:pPr>
            <w:r>
              <w:rPr>
                <w:rFonts w:ascii="Arial" w:cs="Arial" w:eastAsia="Arial" w:hAnsi="Arial"/>
                <w:sz w:val="16"/>
                <w:szCs w:val="16"/>
                <w:color w:val="auto"/>
              </w:rPr>
              <w:t>(30.8)</w:t>
            </w:r>
          </w:p>
        </w:tc>
        <w:tc>
          <w:tcPr>
            <w:tcW w:w="600" w:type="dxa"/>
            <w:vAlign w:val="bottom"/>
          </w:tcPr>
          <w:p>
            <w:pPr>
              <w:spacing w:after="0"/>
              <w:rPr>
                <w:sz w:val="18"/>
                <w:szCs w:val="18"/>
                <w:color w:val="auto"/>
              </w:rPr>
            </w:pPr>
          </w:p>
        </w:tc>
        <w:tc>
          <w:tcPr>
            <w:tcW w:w="1140" w:type="dxa"/>
            <w:vAlign w:val="bottom"/>
          </w:tcPr>
          <w:p>
            <w:pPr>
              <w:jc w:val="right"/>
              <w:ind w:right="399"/>
              <w:spacing w:after="0"/>
              <w:rPr>
                <w:sz w:val="20"/>
                <w:szCs w:val="20"/>
                <w:color w:val="auto"/>
              </w:rPr>
            </w:pPr>
            <w:r>
              <w:rPr>
                <w:rFonts w:ascii="Arial" w:cs="Arial" w:eastAsia="Arial" w:hAnsi="Arial"/>
                <w:sz w:val="16"/>
                <w:szCs w:val="16"/>
                <w:color w:val="auto"/>
              </w:rPr>
              <w:t>(1.5)</w:t>
            </w:r>
          </w:p>
        </w:tc>
      </w:tr>
      <w:tr>
        <w:trPr>
          <w:trHeight w:val="217"/>
        </w:trPr>
        <w:tc>
          <w:tcPr>
            <w:tcW w:w="75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Accounts payable</w:t>
            </w:r>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(6.4)</w:t>
            </w: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(44.6)</w:t>
            </w:r>
          </w:p>
        </w:tc>
      </w:tr>
      <w:tr>
        <w:trPr>
          <w:trHeight w:val="215"/>
        </w:trPr>
        <w:tc>
          <w:tcPr>
            <w:tcW w:w="7520" w:type="dxa"/>
            <w:vAlign w:val="bottom"/>
          </w:tcPr>
          <w:p>
            <w:pPr>
              <w:ind w:left="160"/>
              <w:spacing w:after="0"/>
              <w:rPr>
                <w:sz w:val="20"/>
                <w:szCs w:val="20"/>
                <w:color w:val="auto"/>
              </w:rPr>
            </w:pPr>
            <w:r>
              <w:rPr>
                <w:rFonts w:ascii="Arial" w:cs="Arial" w:eastAsia="Arial" w:hAnsi="Arial"/>
                <w:sz w:val="16"/>
                <w:szCs w:val="16"/>
                <w:color w:val="auto"/>
              </w:rPr>
              <w:t>Accrued royalties</w:t>
            </w:r>
          </w:p>
        </w:tc>
        <w:tc>
          <w:tcPr>
            <w:tcW w:w="800" w:type="dxa"/>
            <w:vAlign w:val="bottom"/>
          </w:tcPr>
          <w:p>
            <w:pPr>
              <w:spacing w:after="0"/>
              <w:rPr>
                <w:sz w:val="18"/>
                <w:szCs w:val="18"/>
                <w:color w:val="auto"/>
              </w:rPr>
            </w:pPr>
          </w:p>
        </w:tc>
        <w:tc>
          <w:tcPr>
            <w:tcW w:w="1180" w:type="dxa"/>
            <w:vAlign w:val="bottom"/>
          </w:tcPr>
          <w:p>
            <w:pPr>
              <w:jc w:val="right"/>
              <w:ind w:right="479"/>
              <w:spacing w:after="0"/>
              <w:rPr>
                <w:sz w:val="20"/>
                <w:szCs w:val="20"/>
                <w:color w:val="auto"/>
              </w:rPr>
            </w:pPr>
            <w:r>
              <w:rPr>
                <w:rFonts w:ascii="Arial" w:cs="Arial" w:eastAsia="Arial" w:hAnsi="Arial"/>
                <w:sz w:val="16"/>
                <w:szCs w:val="16"/>
                <w:color w:val="auto"/>
              </w:rPr>
              <w:t>30.8</w:t>
            </w:r>
          </w:p>
        </w:tc>
        <w:tc>
          <w:tcPr>
            <w:tcW w:w="600" w:type="dxa"/>
            <w:vAlign w:val="bottom"/>
          </w:tcPr>
          <w:p>
            <w:pPr>
              <w:spacing w:after="0"/>
              <w:rPr>
                <w:sz w:val="18"/>
                <w:szCs w:val="18"/>
                <w:color w:val="auto"/>
              </w:rPr>
            </w:pPr>
          </w:p>
        </w:tc>
        <w:tc>
          <w:tcPr>
            <w:tcW w:w="1140" w:type="dxa"/>
            <w:vAlign w:val="bottom"/>
          </w:tcPr>
          <w:p>
            <w:pPr>
              <w:jc w:val="right"/>
              <w:ind w:right="439"/>
              <w:spacing w:after="0"/>
              <w:rPr>
                <w:sz w:val="20"/>
                <w:szCs w:val="20"/>
                <w:color w:val="auto"/>
              </w:rPr>
            </w:pPr>
            <w:r>
              <w:rPr>
                <w:rFonts w:ascii="Arial" w:cs="Arial" w:eastAsia="Arial" w:hAnsi="Arial"/>
                <w:sz w:val="16"/>
                <w:szCs w:val="16"/>
                <w:color w:val="auto"/>
              </w:rPr>
              <w:t>22.3</w:t>
            </w:r>
          </w:p>
        </w:tc>
      </w:tr>
      <w:tr>
        <w:trPr>
          <w:trHeight w:val="217"/>
        </w:trPr>
        <w:tc>
          <w:tcPr>
            <w:tcW w:w="75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Deferred revenue</w:t>
            </w:r>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34.1</w:t>
            </w: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24.7</w:t>
            </w:r>
          </w:p>
        </w:tc>
      </w:tr>
      <w:tr>
        <w:trPr>
          <w:trHeight w:val="215"/>
        </w:trPr>
        <w:tc>
          <w:tcPr>
            <w:tcW w:w="7520" w:type="dxa"/>
            <w:vAlign w:val="bottom"/>
          </w:tcPr>
          <w:p>
            <w:pPr>
              <w:ind w:left="160"/>
              <w:spacing w:after="0"/>
              <w:rPr>
                <w:sz w:val="20"/>
                <w:szCs w:val="20"/>
                <w:color w:val="auto"/>
              </w:rPr>
            </w:pPr>
            <w:r>
              <w:rPr>
                <w:rFonts w:ascii="Arial" w:cs="Arial" w:eastAsia="Arial" w:hAnsi="Arial"/>
                <w:sz w:val="16"/>
                <w:szCs w:val="16"/>
                <w:color w:val="auto"/>
              </w:rPr>
              <w:t>Other accrued expenses</w:t>
            </w:r>
          </w:p>
        </w:tc>
        <w:tc>
          <w:tcPr>
            <w:tcW w:w="800" w:type="dxa"/>
            <w:vAlign w:val="bottom"/>
          </w:tcPr>
          <w:p>
            <w:pPr>
              <w:spacing w:after="0"/>
              <w:rPr>
                <w:sz w:val="18"/>
                <w:szCs w:val="18"/>
                <w:color w:val="auto"/>
              </w:rPr>
            </w:pPr>
          </w:p>
        </w:tc>
        <w:tc>
          <w:tcPr>
            <w:tcW w:w="1180" w:type="dxa"/>
            <w:vAlign w:val="bottom"/>
          </w:tcPr>
          <w:p>
            <w:pPr>
              <w:jc w:val="right"/>
              <w:ind w:right="439"/>
              <w:spacing w:after="0"/>
              <w:rPr>
                <w:sz w:val="20"/>
                <w:szCs w:val="20"/>
                <w:color w:val="auto"/>
              </w:rPr>
            </w:pPr>
            <w:r>
              <w:rPr>
                <w:rFonts w:ascii="Arial" w:cs="Arial" w:eastAsia="Arial" w:hAnsi="Arial"/>
                <w:sz w:val="16"/>
                <w:szCs w:val="16"/>
                <w:color w:val="auto"/>
              </w:rPr>
              <w:t>(25.0)</w:t>
            </w:r>
          </w:p>
        </w:tc>
        <w:tc>
          <w:tcPr>
            <w:tcW w:w="600" w:type="dxa"/>
            <w:vAlign w:val="bottom"/>
          </w:tcPr>
          <w:p>
            <w:pPr>
              <w:spacing w:after="0"/>
              <w:rPr>
                <w:sz w:val="18"/>
                <w:szCs w:val="18"/>
                <w:color w:val="auto"/>
              </w:rPr>
            </w:pPr>
          </w:p>
        </w:tc>
        <w:tc>
          <w:tcPr>
            <w:tcW w:w="1140" w:type="dxa"/>
            <w:vAlign w:val="bottom"/>
          </w:tcPr>
          <w:p>
            <w:pPr>
              <w:jc w:val="right"/>
              <w:ind w:right="399"/>
              <w:spacing w:after="0"/>
              <w:rPr>
                <w:sz w:val="20"/>
                <w:szCs w:val="20"/>
                <w:color w:val="auto"/>
              </w:rPr>
            </w:pPr>
            <w:r>
              <w:rPr>
                <w:rFonts w:ascii="Arial" w:cs="Arial" w:eastAsia="Arial" w:hAnsi="Arial"/>
                <w:sz w:val="16"/>
                <w:szCs w:val="16"/>
                <w:color w:val="auto"/>
              </w:rPr>
              <w:t>(15.3)</w:t>
            </w:r>
          </w:p>
        </w:tc>
      </w:tr>
      <w:tr>
        <w:trPr>
          <w:trHeight w:val="217"/>
        </w:trPr>
        <w:tc>
          <w:tcPr>
            <w:tcW w:w="75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Accrued income taxes</w:t>
            </w:r>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0.7</w:t>
            </w: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(10.6)</w:t>
            </w:r>
          </w:p>
        </w:tc>
      </w:tr>
      <w:tr>
        <w:trPr>
          <w:trHeight w:val="215"/>
        </w:trPr>
        <w:tc>
          <w:tcPr>
            <w:tcW w:w="75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Other, net</w:t>
            </w:r>
          </w:p>
        </w:tc>
        <w:tc>
          <w:tcPr>
            <w:tcW w:w="8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2.3</w:t>
            </w:r>
          </w:p>
        </w:tc>
        <w:tc>
          <w:tcPr>
            <w:tcW w:w="6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1.8</w:t>
            </w:r>
          </w:p>
        </w:tc>
      </w:tr>
      <w:tr>
        <w:trPr>
          <w:trHeight w:val="210"/>
        </w:trPr>
        <w:tc>
          <w:tcPr>
            <w:tcW w:w="7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8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17.3</w:t>
            </w:r>
          </w:p>
        </w:tc>
        <w:tc>
          <w:tcPr>
            <w:tcW w:w="6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84.7</w:t>
            </w:r>
          </w:p>
        </w:tc>
      </w:tr>
      <w:tr>
        <w:trPr>
          <w:trHeight w:val="210"/>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Cash flows - investing activities:</w:t>
            </w: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Prepublication expenditures</w:t>
            </w:r>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(15.8)</w:t>
            </w: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(17.2)</w:t>
            </w:r>
          </w:p>
        </w:tc>
      </w:tr>
      <w:tr>
        <w:trPr>
          <w:trHeight w:val="215"/>
        </w:trPr>
        <w:tc>
          <w:tcPr>
            <w:tcW w:w="7520" w:type="dxa"/>
            <w:vAlign w:val="bottom"/>
          </w:tcPr>
          <w:p>
            <w:pPr>
              <w:ind w:left="20"/>
              <w:spacing w:after="0"/>
              <w:rPr>
                <w:sz w:val="20"/>
                <w:szCs w:val="20"/>
                <w:color w:val="auto"/>
              </w:rPr>
            </w:pPr>
            <w:r>
              <w:rPr>
                <w:rFonts w:ascii="Arial" w:cs="Arial" w:eastAsia="Arial" w:hAnsi="Arial"/>
                <w:sz w:val="16"/>
                <w:szCs w:val="16"/>
                <w:color w:val="auto"/>
              </w:rPr>
              <w:t>Additions to property, plant and equipment</w:t>
            </w:r>
          </w:p>
        </w:tc>
        <w:tc>
          <w:tcPr>
            <w:tcW w:w="800" w:type="dxa"/>
            <w:vAlign w:val="bottom"/>
          </w:tcPr>
          <w:p>
            <w:pPr>
              <w:spacing w:after="0"/>
              <w:rPr>
                <w:sz w:val="18"/>
                <w:szCs w:val="18"/>
                <w:color w:val="auto"/>
              </w:rPr>
            </w:pPr>
          </w:p>
        </w:tc>
        <w:tc>
          <w:tcPr>
            <w:tcW w:w="1180" w:type="dxa"/>
            <w:vAlign w:val="bottom"/>
          </w:tcPr>
          <w:p>
            <w:pPr>
              <w:jc w:val="right"/>
              <w:ind w:right="439"/>
              <w:spacing w:after="0"/>
              <w:rPr>
                <w:sz w:val="20"/>
                <w:szCs w:val="20"/>
                <w:color w:val="auto"/>
              </w:rPr>
            </w:pPr>
            <w:r>
              <w:rPr>
                <w:rFonts w:ascii="Arial" w:cs="Arial" w:eastAsia="Arial" w:hAnsi="Arial"/>
                <w:sz w:val="16"/>
                <w:szCs w:val="16"/>
                <w:color w:val="auto"/>
              </w:rPr>
              <w:t>(39.9)</w:t>
            </w:r>
          </w:p>
        </w:tc>
        <w:tc>
          <w:tcPr>
            <w:tcW w:w="600" w:type="dxa"/>
            <w:vAlign w:val="bottom"/>
          </w:tcPr>
          <w:p>
            <w:pPr>
              <w:spacing w:after="0"/>
              <w:rPr>
                <w:sz w:val="18"/>
                <w:szCs w:val="18"/>
                <w:color w:val="auto"/>
              </w:rPr>
            </w:pPr>
          </w:p>
        </w:tc>
        <w:tc>
          <w:tcPr>
            <w:tcW w:w="1140" w:type="dxa"/>
            <w:vAlign w:val="bottom"/>
          </w:tcPr>
          <w:p>
            <w:pPr>
              <w:jc w:val="right"/>
              <w:ind w:right="399"/>
              <w:spacing w:after="0"/>
              <w:rPr>
                <w:sz w:val="20"/>
                <w:szCs w:val="20"/>
                <w:color w:val="auto"/>
              </w:rPr>
            </w:pPr>
            <w:r>
              <w:rPr>
                <w:rFonts w:ascii="Arial" w:cs="Arial" w:eastAsia="Arial" w:hAnsi="Arial"/>
                <w:sz w:val="16"/>
                <w:szCs w:val="16"/>
                <w:color w:val="auto"/>
              </w:rPr>
              <w:t>(43.8)</w:t>
            </w:r>
          </w:p>
        </w:tc>
      </w:tr>
      <w:tr>
        <w:trPr>
          <w:trHeight w:val="217"/>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Acquisitions, net of cash acquired</w:t>
            </w:r>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(176.2)</w:t>
            </w: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(6.4)</w:t>
            </w:r>
          </w:p>
        </w:tc>
      </w:tr>
      <w:tr>
        <w:trPr>
          <w:trHeight w:val="215"/>
        </w:trPr>
        <w:tc>
          <w:tcPr>
            <w:tcW w:w="7520" w:type="dxa"/>
            <w:vAlign w:val="bottom"/>
          </w:tcPr>
          <w:p>
            <w:pPr>
              <w:ind w:left="20"/>
              <w:spacing w:after="0"/>
              <w:rPr>
                <w:sz w:val="20"/>
                <w:szCs w:val="20"/>
                <w:color w:val="auto"/>
              </w:rPr>
            </w:pPr>
            <w:r>
              <w:rPr>
                <w:rFonts w:ascii="Arial" w:cs="Arial" w:eastAsia="Arial" w:hAnsi="Arial"/>
                <w:sz w:val="16"/>
                <w:szCs w:val="16"/>
                <w:color w:val="auto"/>
              </w:rPr>
              <w:t>Purchase of noncontrolling interest</w:t>
            </w:r>
          </w:p>
        </w:tc>
        <w:tc>
          <w:tcPr>
            <w:tcW w:w="800" w:type="dxa"/>
            <w:vAlign w:val="bottom"/>
          </w:tcPr>
          <w:p>
            <w:pPr>
              <w:spacing w:after="0"/>
              <w:rPr>
                <w:sz w:val="18"/>
                <w:szCs w:val="18"/>
                <w:color w:val="auto"/>
              </w:rPr>
            </w:pPr>
          </w:p>
        </w:tc>
        <w:tc>
          <w:tcPr>
            <w:tcW w:w="118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1140" w:type="dxa"/>
            <w:vAlign w:val="bottom"/>
          </w:tcPr>
          <w:p>
            <w:pPr>
              <w:jc w:val="right"/>
              <w:ind w:right="399"/>
              <w:spacing w:after="0"/>
              <w:rPr>
                <w:sz w:val="20"/>
                <w:szCs w:val="20"/>
                <w:color w:val="auto"/>
              </w:rPr>
            </w:pPr>
            <w:r>
              <w:rPr>
                <w:rFonts w:ascii="Arial" w:cs="Arial" w:eastAsia="Arial" w:hAnsi="Arial"/>
                <w:sz w:val="16"/>
                <w:szCs w:val="16"/>
                <w:color w:val="auto"/>
              </w:rPr>
              <w:t>(2.1)</w:t>
            </w:r>
          </w:p>
        </w:tc>
      </w:tr>
      <w:tr>
        <w:trPr>
          <w:trHeight w:val="216"/>
        </w:trPr>
        <w:tc>
          <w:tcPr>
            <w:tcW w:w="7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8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(0.1)</w:t>
            </w:r>
          </w:p>
        </w:tc>
        <w:tc>
          <w:tcPr>
            <w:tcW w:w="6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r>
      <w:tr>
        <w:trPr>
          <w:trHeight w:val="209"/>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8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(232.0)</w:t>
            </w:r>
          </w:p>
        </w:tc>
        <w:tc>
          <w:tcPr>
            <w:tcW w:w="6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(69.5)</w:t>
            </w:r>
          </w:p>
        </w:tc>
      </w:tr>
      <w:tr>
        <w:trPr>
          <w:trHeight w:val="210"/>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 financing activities:</w:t>
            </w:r>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5"/>
        </w:trPr>
        <w:tc>
          <w:tcPr>
            <w:tcW w:w="7520" w:type="dxa"/>
            <w:vAlign w:val="bottom"/>
          </w:tcPr>
          <w:p>
            <w:pPr>
              <w:ind w:left="20"/>
              <w:spacing w:after="0"/>
              <w:rPr>
                <w:sz w:val="20"/>
                <w:szCs w:val="20"/>
                <w:color w:val="auto"/>
              </w:rPr>
            </w:pPr>
            <w:r>
              <w:rPr>
                <w:rFonts w:ascii="Arial" w:cs="Arial" w:eastAsia="Arial" w:hAnsi="Arial"/>
                <w:sz w:val="16"/>
                <w:szCs w:val="16"/>
                <w:color w:val="auto"/>
              </w:rPr>
              <w:t>Borrowings under lines of credit and long-term debt, net of debt issuance costs</w:t>
            </w:r>
          </w:p>
        </w:tc>
        <w:tc>
          <w:tcPr>
            <w:tcW w:w="800" w:type="dxa"/>
            <w:vAlign w:val="bottom"/>
          </w:tcPr>
          <w:p>
            <w:pPr>
              <w:spacing w:after="0"/>
              <w:rPr>
                <w:sz w:val="18"/>
                <w:szCs w:val="18"/>
                <w:color w:val="auto"/>
              </w:rPr>
            </w:pPr>
          </w:p>
        </w:tc>
        <w:tc>
          <w:tcPr>
            <w:tcW w:w="1180" w:type="dxa"/>
            <w:vAlign w:val="bottom"/>
          </w:tcPr>
          <w:p>
            <w:pPr>
              <w:jc w:val="right"/>
              <w:ind w:right="479"/>
              <w:spacing w:after="0"/>
              <w:rPr>
                <w:sz w:val="20"/>
                <w:szCs w:val="20"/>
                <w:color w:val="auto"/>
              </w:rPr>
            </w:pPr>
            <w:r>
              <w:rPr>
                <w:rFonts w:ascii="Arial" w:cs="Arial" w:eastAsia="Arial" w:hAnsi="Arial"/>
                <w:sz w:val="16"/>
                <w:szCs w:val="16"/>
                <w:color w:val="auto"/>
              </w:rPr>
              <w:t>303.1</w:t>
            </w:r>
          </w:p>
        </w:tc>
        <w:tc>
          <w:tcPr>
            <w:tcW w:w="600" w:type="dxa"/>
            <w:vAlign w:val="bottom"/>
          </w:tcPr>
          <w:p>
            <w:pPr>
              <w:spacing w:after="0"/>
              <w:rPr>
                <w:sz w:val="18"/>
                <w:szCs w:val="18"/>
                <w:color w:val="auto"/>
              </w:rPr>
            </w:pPr>
          </w:p>
        </w:tc>
        <w:tc>
          <w:tcPr>
            <w:tcW w:w="1140" w:type="dxa"/>
            <w:vAlign w:val="bottom"/>
          </w:tcPr>
          <w:p>
            <w:pPr>
              <w:jc w:val="right"/>
              <w:ind w:right="439"/>
              <w:spacing w:after="0"/>
              <w:rPr>
                <w:sz w:val="20"/>
                <w:szCs w:val="20"/>
                <w:color w:val="auto"/>
              </w:rPr>
            </w:pPr>
            <w:r>
              <w:rPr>
                <w:rFonts w:ascii="Arial" w:cs="Arial" w:eastAsia="Arial" w:hAnsi="Arial"/>
                <w:sz w:val="16"/>
                <w:szCs w:val="16"/>
                <w:color w:val="auto"/>
              </w:rPr>
              <w:t>52.9</w:t>
            </w:r>
          </w:p>
        </w:tc>
      </w:tr>
      <w:tr>
        <w:trPr>
          <w:trHeight w:val="217"/>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Repayments of lines of credit and long-term debt</w:t>
            </w:r>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(29.6)</w:t>
            </w: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(27.5)</w:t>
            </w:r>
          </w:p>
        </w:tc>
      </w:tr>
      <w:tr>
        <w:trPr>
          <w:trHeight w:val="215"/>
        </w:trPr>
        <w:tc>
          <w:tcPr>
            <w:tcW w:w="7520" w:type="dxa"/>
            <w:vAlign w:val="bottom"/>
          </w:tcPr>
          <w:p>
            <w:pPr>
              <w:ind w:left="20"/>
              <w:spacing w:after="0"/>
              <w:rPr>
                <w:sz w:val="20"/>
                <w:szCs w:val="20"/>
                <w:color w:val="auto"/>
              </w:rPr>
            </w:pPr>
            <w:r>
              <w:rPr>
                <w:rFonts w:ascii="Arial" w:cs="Arial" w:eastAsia="Arial" w:hAnsi="Arial"/>
                <w:sz w:val="16"/>
                <w:szCs w:val="16"/>
                <w:color w:val="auto"/>
              </w:rPr>
              <w:t>Borrowings under film related obligations</w:t>
            </w:r>
          </w:p>
        </w:tc>
        <w:tc>
          <w:tcPr>
            <w:tcW w:w="800" w:type="dxa"/>
            <w:vAlign w:val="bottom"/>
          </w:tcPr>
          <w:p>
            <w:pPr>
              <w:spacing w:after="0"/>
              <w:rPr>
                <w:sz w:val="18"/>
                <w:szCs w:val="18"/>
                <w:color w:val="auto"/>
              </w:rPr>
            </w:pPr>
          </w:p>
        </w:tc>
        <w:tc>
          <w:tcPr>
            <w:tcW w:w="1180" w:type="dxa"/>
            <w:vAlign w:val="bottom"/>
          </w:tcPr>
          <w:p>
            <w:pPr>
              <w:jc w:val="right"/>
              <w:ind w:right="479"/>
              <w:spacing w:after="0"/>
              <w:rPr>
                <w:sz w:val="20"/>
                <w:szCs w:val="20"/>
                <w:color w:val="auto"/>
              </w:rPr>
            </w:pPr>
            <w:r>
              <w:rPr>
                <w:rFonts w:ascii="Arial" w:cs="Arial" w:eastAsia="Arial" w:hAnsi="Arial"/>
                <w:sz w:val="16"/>
                <w:szCs w:val="16"/>
                <w:color w:val="auto"/>
              </w:rPr>
              <w:t>14.8</w:t>
            </w:r>
          </w:p>
        </w:tc>
        <w:tc>
          <w:tcPr>
            <w:tcW w:w="600" w:type="dxa"/>
            <w:vAlign w:val="bottom"/>
          </w:tcPr>
          <w:p>
            <w:pPr>
              <w:spacing w:after="0"/>
              <w:rPr>
                <w:sz w:val="18"/>
                <w:szCs w:val="18"/>
                <w:color w:val="auto"/>
              </w:rPr>
            </w:pPr>
          </w:p>
        </w:tc>
        <w:tc>
          <w:tcPr>
            <w:tcW w:w="1140" w:type="dxa"/>
            <w:vAlign w:val="bottom"/>
          </w:tcPr>
          <w:p>
            <w:pPr>
              <w:jc w:val="right"/>
              <w:ind w:right="439"/>
              <w:spacing w:after="0"/>
              <w:rPr>
                <w:sz w:val="20"/>
                <w:szCs w:val="20"/>
                <w:color w:val="auto"/>
              </w:rPr>
            </w:pPr>
            <w:r>
              <w:rPr>
                <w:rFonts w:ascii="Arial" w:cs="Arial" w:eastAsia="Arial" w:hAnsi="Arial"/>
                <w:sz w:val="16"/>
                <w:szCs w:val="16"/>
                <w:color w:val="auto"/>
              </w:rPr>
              <w:t>—</w:t>
            </w:r>
          </w:p>
        </w:tc>
      </w:tr>
      <w:tr>
        <w:trPr>
          <w:trHeight w:val="217"/>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Repayments of film related obligations</w:t>
            </w:r>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(33.4)</w:t>
            </w: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r>
      <w:tr>
        <w:trPr>
          <w:trHeight w:val="215"/>
        </w:trPr>
        <w:tc>
          <w:tcPr>
            <w:tcW w:w="7520" w:type="dxa"/>
            <w:vAlign w:val="bottom"/>
          </w:tcPr>
          <w:p>
            <w:pPr>
              <w:ind w:left="20"/>
              <w:spacing w:after="0"/>
              <w:rPr>
                <w:sz w:val="20"/>
                <w:szCs w:val="20"/>
                <w:color w:val="auto"/>
              </w:rPr>
            </w:pPr>
            <w:r>
              <w:rPr>
                <w:rFonts w:ascii="Arial" w:cs="Arial" w:eastAsia="Arial" w:hAnsi="Arial"/>
                <w:sz w:val="16"/>
                <w:szCs w:val="16"/>
                <w:color w:val="auto"/>
              </w:rPr>
              <w:t>Repayments of capital lease obligations</w:t>
            </w:r>
          </w:p>
        </w:tc>
        <w:tc>
          <w:tcPr>
            <w:tcW w:w="800" w:type="dxa"/>
            <w:vAlign w:val="bottom"/>
          </w:tcPr>
          <w:p>
            <w:pPr>
              <w:spacing w:after="0"/>
              <w:rPr>
                <w:sz w:val="18"/>
                <w:szCs w:val="18"/>
                <w:color w:val="auto"/>
              </w:rPr>
            </w:pPr>
          </w:p>
        </w:tc>
        <w:tc>
          <w:tcPr>
            <w:tcW w:w="1180" w:type="dxa"/>
            <w:vAlign w:val="bottom"/>
          </w:tcPr>
          <w:p>
            <w:pPr>
              <w:jc w:val="right"/>
              <w:ind w:right="439"/>
              <w:spacing w:after="0"/>
              <w:rPr>
                <w:sz w:val="20"/>
                <w:szCs w:val="20"/>
                <w:color w:val="auto"/>
              </w:rPr>
            </w:pPr>
            <w:r>
              <w:rPr>
                <w:rFonts w:ascii="Arial" w:cs="Arial" w:eastAsia="Arial" w:hAnsi="Arial"/>
                <w:sz w:val="16"/>
                <w:szCs w:val="16"/>
                <w:color w:val="auto"/>
              </w:rPr>
              <w:t>(1.4)</w:t>
            </w:r>
          </w:p>
        </w:tc>
        <w:tc>
          <w:tcPr>
            <w:tcW w:w="600" w:type="dxa"/>
            <w:vAlign w:val="bottom"/>
          </w:tcPr>
          <w:p>
            <w:pPr>
              <w:spacing w:after="0"/>
              <w:rPr>
                <w:sz w:val="18"/>
                <w:szCs w:val="18"/>
                <w:color w:val="auto"/>
              </w:rPr>
            </w:pPr>
          </w:p>
        </w:tc>
        <w:tc>
          <w:tcPr>
            <w:tcW w:w="1140" w:type="dxa"/>
            <w:vAlign w:val="bottom"/>
          </w:tcPr>
          <w:p>
            <w:pPr>
              <w:jc w:val="right"/>
              <w:ind w:right="399"/>
              <w:spacing w:after="0"/>
              <w:rPr>
                <w:sz w:val="20"/>
                <w:szCs w:val="20"/>
                <w:color w:val="auto"/>
              </w:rPr>
            </w:pPr>
            <w:r>
              <w:rPr>
                <w:rFonts w:ascii="Arial" w:cs="Arial" w:eastAsia="Arial" w:hAnsi="Arial"/>
                <w:sz w:val="16"/>
                <w:szCs w:val="16"/>
                <w:color w:val="auto"/>
              </w:rPr>
              <w:t>(1.7)</w:t>
            </w:r>
          </w:p>
        </w:tc>
      </w:tr>
      <w:tr>
        <w:trPr>
          <w:trHeight w:val="217"/>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Reacquisition of common stock</w:t>
            </w:r>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(40.0)</w:t>
            </w: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(143.0)</w:t>
            </w:r>
          </w:p>
        </w:tc>
      </w:tr>
      <w:tr>
        <w:trPr>
          <w:trHeight w:val="215"/>
        </w:trPr>
        <w:tc>
          <w:tcPr>
            <w:tcW w:w="7520" w:type="dxa"/>
            <w:vAlign w:val="bottom"/>
          </w:tcPr>
          <w:p>
            <w:pPr>
              <w:ind w:left="20"/>
              <w:spacing w:after="0"/>
              <w:rPr>
                <w:sz w:val="20"/>
                <w:szCs w:val="20"/>
                <w:color w:val="auto"/>
              </w:rPr>
            </w:pPr>
            <w:r>
              <w:rPr>
                <w:rFonts w:ascii="Arial" w:cs="Arial" w:eastAsia="Arial" w:hAnsi="Arial"/>
                <w:sz w:val="16"/>
                <w:szCs w:val="16"/>
                <w:color w:val="auto"/>
              </w:rPr>
              <w:t>Proceeds pursuant to stock-based compensation plans</w:t>
            </w:r>
          </w:p>
        </w:tc>
        <w:tc>
          <w:tcPr>
            <w:tcW w:w="800" w:type="dxa"/>
            <w:vAlign w:val="bottom"/>
          </w:tcPr>
          <w:p>
            <w:pPr>
              <w:spacing w:after="0"/>
              <w:rPr>
                <w:sz w:val="18"/>
                <w:szCs w:val="18"/>
                <w:color w:val="auto"/>
              </w:rPr>
            </w:pPr>
          </w:p>
        </w:tc>
        <w:tc>
          <w:tcPr>
            <w:tcW w:w="1180" w:type="dxa"/>
            <w:vAlign w:val="bottom"/>
          </w:tcPr>
          <w:p>
            <w:pPr>
              <w:jc w:val="right"/>
              <w:ind w:right="479"/>
              <w:spacing w:after="0"/>
              <w:rPr>
                <w:sz w:val="20"/>
                <w:szCs w:val="20"/>
                <w:color w:val="auto"/>
              </w:rPr>
            </w:pPr>
            <w:r>
              <w:rPr>
                <w:rFonts w:ascii="Arial" w:cs="Arial" w:eastAsia="Arial" w:hAnsi="Arial"/>
                <w:sz w:val="16"/>
                <w:szCs w:val="16"/>
                <w:color w:val="auto"/>
              </w:rPr>
              <w:t>1.2</w:t>
            </w:r>
          </w:p>
        </w:tc>
        <w:tc>
          <w:tcPr>
            <w:tcW w:w="600" w:type="dxa"/>
            <w:vAlign w:val="bottom"/>
          </w:tcPr>
          <w:p>
            <w:pPr>
              <w:spacing w:after="0"/>
              <w:rPr>
                <w:sz w:val="18"/>
                <w:szCs w:val="18"/>
                <w:color w:val="auto"/>
              </w:rPr>
            </w:pPr>
          </w:p>
        </w:tc>
        <w:tc>
          <w:tcPr>
            <w:tcW w:w="1140" w:type="dxa"/>
            <w:vAlign w:val="bottom"/>
          </w:tcPr>
          <w:p>
            <w:pPr>
              <w:jc w:val="right"/>
              <w:ind w:right="439"/>
              <w:spacing w:after="0"/>
              <w:rPr>
                <w:sz w:val="20"/>
                <w:szCs w:val="20"/>
                <w:color w:val="auto"/>
              </w:rPr>
            </w:pPr>
            <w:r>
              <w:rPr>
                <w:rFonts w:ascii="Arial" w:cs="Arial" w:eastAsia="Arial" w:hAnsi="Arial"/>
                <w:sz w:val="16"/>
                <w:szCs w:val="16"/>
                <w:color w:val="auto"/>
              </w:rPr>
              <w:t>8.7</w:t>
            </w:r>
          </w:p>
        </w:tc>
      </w:tr>
      <w:tr>
        <w:trPr>
          <w:trHeight w:val="217"/>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 of dividends</w:t>
            </w:r>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(17.0)</w:t>
            </w: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(18.9)</w:t>
            </w:r>
          </w:p>
        </w:tc>
      </w:tr>
      <w:tr>
        <w:trPr>
          <w:trHeight w:val="215"/>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8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(0.1)</w:t>
            </w:r>
          </w:p>
        </w:tc>
        <w:tc>
          <w:tcPr>
            <w:tcW w:w="6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0.1</w:t>
            </w:r>
          </w:p>
        </w:tc>
      </w:tr>
      <w:tr>
        <w:trPr>
          <w:trHeight w:val="210"/>
        </w:trPr>
        <w:tc>
          <w:tcPr>
            <w:tcW w:w="7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8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197.6</w:t>
            </w:r>
          </w:p>
        </w:tc>
        <w:tc>
          <w:tcPr>
            <w:tcW w:w="6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(129.4)</w:t>
            </w:r>
          </w:p>
        </w:tc>
      </w:tr>
      <w:tr>
        <w:trPr>
          <w:trHeight w:val="209"/>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8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(1.9)</w:t>
            </w:r>
          </w:p>
        </w:tc>
        <w:tc>
          <w:tcPr>
            <w:tcW w:w="6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0.1</w:t>
            </w:r>
          </w:p>
        </w:tc>
      </w:tr>
      <w:tr>
        <w:trPr>
          <w:trHeight w:val="210"/>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(19.0)</w:t>
            </w: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(114.1)</w:t>
            </w:r>
          </w:p>
        </w:tc>
      </w:tr>
      <w:tr>
        <w:trPr>
          <w:trHeight w:val="215"/>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8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113.7</w:t>
            </w:r>
          </w:p>
        </w:tc>
        <w:tc>
          <w:tcPr>
            <w:tcW w:w="6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224.5</w:t>
            </w:r>
          </w:p>
        </w:tc>
      </w:tr>
      <w:tr>
        <w:trPr>
          <w:trHeight w:val="210"/>
        </w:trPr>
        <w:tc>
          <w:tcPr>
            <w:tcW w:w="7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8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94.7</w:t>
            </w:r>
          </w:p>
        </w:tc>
        <w:tc>
          <w:tcPr>
            <w:tcW w:w="6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110.4</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240"/>
          </w:cols>
          <w:pgMar w:left="320" w:top="971" w:right="339" w:bottom="1440"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type w:val="continuous"/>
        </w:sectPr>
      </w:pPr>
    </w:p>
    <w:bookmarkStart w:id="8" w:name="page9"/>
    <w:bookmarkEnd w:id="8"/>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SCHOLASTIC CORPORATION</w:t>
      </w:r>
    </w:p>
    <w:p>
      <w:pPr>
        <w:ind w:left="20" w:right="4060"/>
        <w:spacing w:after="0" w:line="244" w:lineRule="auto"/>
        <w:rPr>
          <w:sz w:val="20"/>
          <w:szCs w:val="20"/>
          <w:color w:val="auto"/>
        </w:rPr>
      </w:pPr>
      <w:r>
        <w:rPr>
          <w:rFonts w:ascii="Arial" w:cs="Arial" w:eastAsia="Arial" w:hAnsi="Arial"/>
          <w:sz w:val="18"/>
          <w:szCs w:val="18"/>
          <w:b w:val="1"/>
          <w:bCs w:val="1"/>
          <w:color w:val="auto"/>
        </w:rPr>
        <w:t>NOTES TO CONDENSED CONSOLIDATED FINANCIAL STATEMENTS – UNAUDITED (Dollar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700" w:firstLine="8"/>
        <w:spacing w:after="0" w:line="530" w:lineRule="auto"/>
        <w:tabs>
          <w:tab w:leader="none" w:pos="20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BASIS OF PRESENTATION Principles of consolidation</w:t>
      </w:r>
    </w:p>
    <w:p>
      <w:pPr>
        <w:spacing w:after="0" w:line="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accompanying condensed consolidated interim financial statements (referred to as the “Financial Statements” herein) include the accounts of Scholastic Corporation (the “Corporation”) and all wholly-owned and majority-owned subsidiaries (collectively, “Scholastic” or the “Company”). The Company reviews its relationships with other entities to identify whether it is the primary beneficiary of a variable interest entity (“VIE”). If the determination is made that the Company is the primary beneficiary, then the entity is consolidated. Intercompany transactions are eliminated in consolidation.</w:t>
      </w:r>
    </w:p>
    <w:p>
      <w:pPr>
        <w:spacing w:after="0" w:line="206"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Company’s fiscal year is not a calendar year. Accordingly, references in this document to fiscal 2025 relate to the twelve-month period ending May 31, 2025. Certain prior period amounts have been reclassified to conform with the current year presentation.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On June 1, 2023, the Company acquired the remaining shares of Make Believe Ideas Limited ("MBI"), a UK-based children's book publishing company, which represented a 5.0% noncontrolling interest, increasing the Company's total ownership from 95.0% to 100%.</w:t>
      </w:r>
    </w:p>
    <w:p>
      <w:pPr>
        <w:spacing w:after="0" w:line="180"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Prior to June 1, 2023, the founder and chief executive officer of MBI retained a 5.0% noncontrolling ownership interest in MBI. The Company fully consolidated MBI as of the acquisition date and the 5.0% noncontrolling interest was classified within stockholder's equity.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Financial Statements</w:t>
      </w:r>
    </w:p>
    <w:p>
      <w:pPr>
        <w:spacing w:after="0" w:line="252"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The accompanying Financial Statements have been prepared in accordance with U.S. generally accepted accounting principles (“U.S. GAAP”) and Article 10 of Regulation S-X of the U.S. Securities and Exchange Commission (“SEC”) for interim financial information, and should be read in conjunction with the Company’s Annual Report on Form 10-K for the fiscal year ended May 31, 2024. The Financial Statements presented in this Quarterly Report on Form 10-Q are unaudited; however, in the opinion of management, the Financial Statements reflect all adjustments, consisting solely of normal, recurring adjustments, necessary for the fair presentation of the Financial Statements for the periods presented.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5"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 xml:space="preserve">The Company’s </w:t>
      </w:r>
      <w:r>
        <w:rPr>
          <w:rFonts w:ascii="Arial" w:cs="Arial" w:eastAsia="Arial" w:hAnsi="Arial"/>
          <w:sz w:val="18"/>
          <w:szCs w:val="18"/>
          <w:i w:val="1"/>
          <w:iCs w:val="1"/>
          <w:color w:val="auto"/>
        </w:rPr>
        <w:t>Children’s Book Publishing and Distribution</w:t>
      </w:r>
      <w:r>
        <w:rPr>
          <w:rFonts w:ascii="Arial" w:cs="Arial" w:eastAsia="Arial" w:hAnsi="Arial"/>
          <w:sz w:val="18"/>
          <w:szCs w:val="18"/>
          <w:color w:val="auto"/>
        </w:rPr>
        <w:t xml:space="preserve"> school-based book club and book fair channels and most of its </w:t>
      </w:r>
      <w:r>
        <w:rPr>
          <w:rFonts w:ascii="Arial" w:cs="Arial" w:eastAsia="Arial" w:hAnsi="Arial"/>
          <w:sz w:val="18"/>
          <w:szCs w:val="18"/>
          <w:i w:val="1"/>
          <w:iCs w:val="1"/>
          <w:color w:val="auto"/>
        </w:rPr>
        <w:t>Education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Solutions </w:t>
      </w:r>
      <w:r>
        <w:rPr>
          <w:rFonts w:ascii="Arial" w:cs="Arial" w:eastAsia="Arial" w:hAnsi="Arial"/>
          <w:sz w:val="18"/>
          <w:szCs w:val="18"/>
          <w:color w:val="auto"/>
        </w:rPr>
        <w:t>businesses operate on a school-year basis; therefore, the Company’s business is highly seasonal. As a result,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revenues in the first and third quarters of the fiscal year generally are lower than its revenues in the other two fiscal quarters. Typically, school-based channels and magazine revenues are minimal in the first quarter of the fiscal year as schools are not in session. Education channel revenues are generally higher in the fourth quarter. Trade channel and </w:t>
      </w:r>
      <w:r>
        <w:rPr>
          <w:rFonts w:ascii="Arial" w:cs="Arial" w:eastAsia="Arial" w:hAnsi="Arial"/>
          <w:sz w:val="18"/>
          <w:szCs w:val="18"/>
          <w:i w:val="1"/>
          <w:iCs w:val="1"/>
          <w:color w:val="auto"/>
        </w:rPr>
        <w:t>Entertainment</w:t>
      </w:r>
      <w:r>
        <w:rPr>
          <w:rFonts w:ascii="Arial" w:cs="Arial" w:eastAsia="Arial" w:hAnsi="Arial"/>
          <w:sz w:val="18"/>
          <w:szCs w:val="18"/>
          <w:color w:val="auto"/>
        </w:rPr>
        <w:t xml:space="preserve"> segment revenues can vary throughout the year due to the timing of published titles' release dates and program production deliveries and the start dates of distribution license agreements.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preparation of these Financial Statements involves the use of estimates and assumptions by management, which affects the amounts reported in the Financial Statements and accompanying notes. The Company bases its estimates on historical experience, current business factors, and various other assumptions believed to be reasonable under the circumstances, all of which are necessary in order to form a basis for determining the carrying values of certain assets and liabilities. Actual results may differ from those estimates and assumptions. On an on-going basis, the Company evaluates the adequacy of its reserves and the estimates used in these calculations, including, but not limited to:</w:t>
      </w:r>
    </w:p>
    <w:p>
      <w:pPr>
        <w:spacing w:after="0" w:line="5" w:lineRule="exact"/>
        <w:rPr>
          <w:sz w:val="20"/>
          <w:szCs w:val="20"/>
          <w:color w:val="auto"/>
        </w:rPr>
      </w:pPr>
    </w:p>
    <w:p>
      <w:pPr>
        <w:ind w:left="1780" w:hanging="476"/>
        <w:spacing w:after="0"/>
        <w:tabs>
          <w:tab w:leader="none" w:pos="1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Accounts receivable allowance for credit losses</w:t>
      </w:r>
    </w:p>
    <w:p>
      <w:pPr>
        <w:spacing w:after="0" w:line="9" w:lineRule="exact"/>
        <w:rPr>
          <w:rFonts w:ascii="Arial" w:cs="Arial" w:eastAsia="Arial" w:hAnsi="Arial"/>
          <w:sz w:val="18"/>
          <w:szCs w:val="18"/>
          <w:color w:val="auto"/>
        </w:rPr>
      </w:pPr>
    </w:p>
    <w:p>
      <w:pPr>
        <w:ind w:left="1780" w:hanging="476"/>
        <w:spacing w:after="0"/>
        <w:tabs>
          <w:tab w:leader="none" w:pos="1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Pension and postretirement benefit plans</w:t>
      </w: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61" w:right="379" w:bottom="1440" w:gutter="0" w:footer="0" w:header="0"/>
        </w:sectPr>
      </w:pPr>
    </w:p>
    <w:bookmarkStart w:id="9" w:name="page10"/>
    <w:bookmarkEnd w:id="9"/>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SCHOLASTIC CORPORATION</w:t>
      </w:r>
    </w:p>
    <w:p>
      <w:pPr>
        <w:ind w:left="20" w:right="4080"/>
        <w:spacing w:after="0" w:line="244" w:lineRule="auto"/>
        <w:rPr>
          <w:sz w:val="20"/>
          <w:szCs w:val="20"/>
          <w:color w:val="auto"/>
        </w:rPr>
      </w:pPr>
      <w:r>
        <w:rPr>
          <w:rFonts w:ascii="Arial" w:cs="Arial" w:eastAsia="Arial" w:hAnsi="Arial"/>
          <w:sz w:val="18"/>
          <w:szCs w:val="18"/>
          <w:b w:val="1"/>
          <w:bCs w:val="1"/>
          <w:color w:val="auto"/>
        </w:rPr>
        <w:t>NOTES TO CONDENSED CONSOLIDATED FINANCIAL STATEMENTS – UNAUDITED (Dollar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780" w:hanging="476"/>
        <w:spacing w:after="0"/>
        <w:tabs>
          <w:tab w:leader="none" w:pos="1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 tax positions</w:t>
      </w:r>
    </w:p>
    <w:p>
      <w:pPr>
        <w:spacing w:after="0" w:line="27" w:lineRule="exact"/>
        <w:rPr>
          <w:rFonts w:ascii="Arial" w:cs="Arial" w:eastAsia="Arial" w:hAnsi="Arial"/>
          <w:sz w:val="18"/>
          <w:szCs w:val="18"/>
          <w:color w:val="auto"/>
        </w:rPr>
      </w:pPr>
    </w:p>
    <w:p>
      <w:pPr>
        <w:ind w:left="1780" w:hanging="476"/>
        <w:spacing w:after="0"/>
        <w:tabs>
          <w:tab w:leader="none" w:pos="1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amount of future income taxes and related deductions</w:t>
      </w:r>
    </w:p>
    <w:p>
      <w:pPr>
        <w:spacing w:after="0" w:line="9" w:lineRule="exact"/>
        <w:rPr>
          <w:rFonts w:ascii="Arial" w:cs="Arial" w:eastAsia="Arial" w:hAnsi="Arial"/>
          <w:sz w:val="18"/>
          <w:szCs w:val="18"/>
          <w:color w:val="auto"/>
        </w:rPr>
      </w:pPr>
    </w:p>
    <w:p>
      <w:pPr>
        <w:ind w:left="1780" w:hanging="476"/>
        <w:spacing w:after="0"/>
        <w:tabs>
          <w:tab w:leader="none" w:pos="1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Inventory reserves</w:t>
      </w:r>
    </w:p>
    <w:p>
      <w:pPr>
        <w:spacing w:after="0" w:line="9" w:lineRule="exact"/>
        <w:rPr>
          <w:rFonts w:ascii="Arial" w:cs="Arial" w:eastAsia="Arial" w:hAnsi="Arial"/>
          <w:sz w:val="18"/>
          <w:szCs w:val="18"/>
          <w:color w:val="auto"/>
        </w:rPr>
      </w:pPr>
    </w:p>
    <w:p>
      <w:pPr>
        <w:ind w:left="1780" w:hanging="476"/>
        <w:spacing w:after="0"/>
        <w:tabs>
          <w:tab w:leader="none" w:pos="1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 of goods sold from book fair operations during interim periods based on estimated gross profit rates</w:t>
      </w:r>
    </w:p>
    <w:p>
      <w:pPr>
        <w:spacing w:after="0" w:line="9" w:lineRule="exact"/>
        <w:rPr>
          <w:rFonts w:ascii="Arial" w:cs="Arial" w:eastAsia="Arial" w:hAnsi="Arial"/>
          <w:sz w:val="18"/>
          <w:szCs w:val="18"/>
          <w:color w:val="auto"/>
        </w:rPr>
      </w:pPr>
    </w:p>
    <w:p>
      <w:pPr>
        <w:ind w:left="1780" w:hanging="476"/>
        <w:spacing w:after="0"/>
        <w:tabs>
          <w:tab w:leader="none" w:pos="1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Sales tax contingencies</w:t>
      </w:r>
    </w:p>
    <w:p>
      <w:pPr>
        <w:spacing w:after="0" w:line="9" w:lineRule="exact"/>
        <w:rPr>
          <w:rFonts w:ascii="Arial" w:cs="Arial" w:eastAsia="Arial" w:hAnsi="Arial"/>
          <w:sz w:val="18"/>
          <w:szCs w:val="18"/>
          <w:color w:val="auto"/>
        </w:rPr>
      </w:pPr>
    </w:p>
    <w:p>
      <w:pPr>
        <w:ind w:left="1780" w:hanging="476"/>
        <w:spacing w:after="0"/>
        <w:tabs>
          <w:tab w:leader="none" w:pos="1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Royalty advance reserves and royalty expense accruals</w:t>
      </w:r>
    </w:p>
    <w:p>
      <w:pPr>
        <w:spacing w:after="0" w:line="9" w:lineRule="exact"/>
        <w:rPr>
          <w:rFonts w:ascii="Arial" w:cs="Arial" w:eastAsia="Arial" w:hAnsi="Arial"/>
          <w:sz w:val="18"/>
          <w:szCs w:val="18"/>
          <w:color w:val="auto"/>
        </w:rPr>
      </w:pPr>
    </w:p>
    <w:p>
      <w:pPr>
        <w:ind w:left="1780" w:hanging="476"/>
        <w:spacing w:after="0"/>
        <w:tabs>
          <w:tab w:leader="none" w:pos="1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economic useful life of film and television program assets</w:t>
      </w:r>
    </w:p>
    <w:p>
      <w:pPr>
        <w:spacing w:after="0" w:line="9" w:lineRule="exact"/>
        <w:rPr>
          <w:rFonts w:ascii="Arial" w:cs="Arial" w:eastAsia="Arial" w:hAnsi="Arial"/>
          <w:sz w:val="18"/>
          <w:szCs w:val="18"/>
          <w:color w:val="auto"/>
        </w:rPr>
      </w:pPr>
    </w:p>
    <w:p>
      <w:pPr>
        <w:ind w:left="1780" w:hanging="476"/>
        <w:spacing w:after="0"/>
        <w:tabs>
          <w:tab w:leader="none" w:pos="1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 testing for goodwill, other intangibles and other long-lived assets and investments</w:t>
      </w:r>
    </w:p>
    <w:p>
      <w:pPr>
        <w:spacing w:after="0" w:line="9" w:lineRule="exact"/>
        <w:rPr>
          <w:rFonts w:ascii="Arial" w:cs="Arial" w:eastAsia="Arial" w:hAnsi="Arial"/>
          <w:sz w:val="18"/>
          <w:szCs w:val="18"/>
          <w:color w:val="auto"/>
        </w:rPr>
      </w:pPr>
    </w:p>
    <w:p>
      <w:pPr>
        <w:ind w:left="1780" w:hanging="476"/>
        <w:spacing w:after="0"/>
        <w:tabs>
          <w:tab w:leader="none" w:pos="1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Assets and liabilities acquired in business combinations</w:t>
      </w:r>
    </w:p>
    <w:p>
      <w:pPr>
        <w:spacing w:after="0" w:line="9" w:lineRule="exact"/>
        <w:rPr>
          <w:rFonts w:ascii="Arial" w:cs="Arial" w:eastAsia="Arial" w:hAnsi="Arial"/>
          <w:sz w:val="18"/>
          <w:szCs w:val="18"/>
          <w:color w:val="auto"/>
        </w:rPr>
      </w:pPr>
    </w:p>
    <w:p>
      <w:pPr>
        <w:ind w:left="1780" w:hanging="476"/>
        <w:spacing w:after="0"/>
        <w:tabs>
          <w:tab w:leader="none" w:pos="1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Variable consideration related to anticipated returns</w:t>
      </w:r>
    </w:p>
    <w:p>
      <w:pPr>
        <w:spacing w:after="0" w:line="9" w:lineRule="exact"/>
        <w:rPr>
          <w:rFonts w:ascii="Arial" w:cs="Arial" w:eastAsia="Arial" w:hAnsi="Arial"/>
          <w:sz w:val="18"/>
          <w:szCs w:val="18"/>
          <w:color w:val="auto"/>
        </w:rPr>
      </w:pPr>
    </w:p>
    <w:p>
      <w:pPr>
        <w:ind w:left="1780" w:hanging="476"/>
        <w:spacing w:after="0"/>
        <w:tabs>
          <w:tab w:leader="none" w:pos="1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Allocation of transaction price to contractual performance obligations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252" w:lineRule="exact"/>
        <w:rPr>
          <w:sz w:val="20"/>
          <w:szCs w:val="20"/>
          <w:color w:val="auto"/>
        </w:rPr>
      </w:pPr>
    </w:p>
    <w:p>
      <w:pPr>
        <w:jc w:val="both"/>
        <w:ind w:right="300"/>
        <w:spacing w:after="0" w:line="262" w:lineRule="auto"/>
        <w:rPr>
          <w:sz w:val="20"/>
          <w:szCs w:val="20"/>
          <w:color w:val="auto"/>
        </w:rPr>
      </w:pPr>
      <w:r>
        <w:rPr>
          <w:rFonts w:ascii="Arial" w:cs="Arial" w:eastAsia="Arial" w:hAnsi="Arial"/>
          <w:sz w:val="18"/>
          <w:szCs w:val="18"/>
          <w:color w:val="auto"/>
        </w:rPr>
        <w:t>In Notes to Consolidated Financial Statements of the Company’s Annual Report on Form 10-K for the fiscal year ended May 31, 2024 the Company included a description of its significant accounting policies. Except as set forth below, as of the date of this Quarterly Report on Form 10-Q there have been no material changes to the significant accounting policies described in the Company’s Annual Report for the fiscal year ended May 31, 2024.</w:t>
      </w:r>
    </w:p>
    <w:p>
      <w:pPr>
        <w:spacing w:after="0" w:line="203"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The below significant accounting policies relate to the Company's entertainment business, which includes the operations of 9 Story and Scholastic Entertainment Inc. ("SEI"). Refer to Note 7, "Acquisitions" for further details regarding the acquisition of 9 Story.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revenue recognition policies for its entertainment business include the following:</w:t>
      </w:r>
    </w:p>
    <w:p>
      <w:pPr>
        <w:spacing w:after="0" w:line="234" w:lineRule="exact"/>
        <w:rPr>
          <w:sz w:val="20"/>
          <w:szCs w:val="20"/>
          <w:color w:val="auto"/>
        </w:rPr>
      </w:pPr>
    </w:p>
    <w:p>
      <w:pPr>
        <w:ind w:left="180" w:right="320"/>
        <w:spacing w:after="0" w:line="276" w:lineRule="auto"/>
        <w:rPr>
          <w:sz w:val="20"/>
          <w:szCs w:val="20"/>
          <w:color w:val="auto"/>
        </w:rPr>
      </w:pPr>
      <w:r>
        <w:rPr>
          <w:rFonts w:ascii="Arial" w:cs="Arial" w:eastAsia="Arial" w:hAnsi="Arial"/>
          <w:sz w:val="16"/>
          <w:szCs w:val="16"/>
          <w:b w:val="1"/>
          <w:bCs w:val="1"/>
          <w:color w:val="auto"/>
        </w:rPr>
        <w:t xml:space="preserve">Film and TV production </w:t>
      </w:r>
      <w:r>
        <w:rPr>
          <w:rFonts w:ascii="Arial" w:cs="Arial" w:eastAsia="Arial" w:hAnsi="Arial"/>
          <w:sz w:val="17"/>
          <w:szCs w:val="17"/>
          <w:color w:val="auto"/>
        </w:rPr>
        <w:t>- Revenue is deferred during production and recognized when the film or episodes have been delivered and are</w:t>
      </w:r>
      <w:r>
        <w:rPr>
          <w:rFonts w:ascii="Arial" w:cs="Arial" w:eastAsia="Arial" w:hAnsi="Arial"/>
          <w:sz w:val="16"/>
          <w:szCs w:val="16"/>
          <w:b w:val="1"/>
          <w:bCs w:val="1"/>
          <w:color w:val="auto"/>
        </w:rPr>
        <w:t xml:space="preserve"> </w:t>
      </w:r>
      <w:r>
        <w:rPr>
          <w:rFonts w:ascii="Arial" w:cs="Arial" w:eastAsia="Arial" w:hAnsi="Arial"/>
          <w:sz w:val="17"/>
          <w:szCs w:val="17"/>
          <w:color w:val="auto"/>
        </w:rPr>
        <w:t>available for showing or exploitation.</w:t>
      </w:r>
    </w:p>
    <w:p>
      <w:pPr>
        <w:ind w:left="180" w:right="180"/>
        <w:spacing w:after="0" w:line="296" w:lineRule="auto"/>
        <w:rPr>
          <w:sz w:val="20"/>
          <w:szCs w:val="20"/>
          <w:color w:val="auto"/>
        </w:rPr>
      </w:pPr>
      <w:r>
        <w:rPr>
          <w:rFonts w:ascii="Arial" w:cs="Arial" w:eastAsia="Arial" w:hAnsi="Arial"/>
          <w:sz w:val="16"/>
          <w:szCs w:val="16"/>
          <w:b w:val="1"/>
          <w:bCs w:val="1"/>
          <w:color w:val="auto"/>
        </w:rPr>
        <w:t xml:space="preserve">Production services </w:t>
      </w:r>
      <w:r>
        <w:rPr>
          <w:rFonts w:ascii="Arial" w:cs="Arial" w:eastAsia="Arial" w:hAnsi="Arial"/>
          <w:sz w:val="17"/>
          <w:szCs w:val="17"/>
          <w:color w:val="auto"/>
        </w:rPr>
        <w:t>- Revenue is recognized using the percentage-of-completion method based on the proportion of costs incurred in the</w:t>
      </w:r>
      <w:r>
        <w:rPr>
          <w:rFonts w:ascii="Arial" w:cs="Arial" w:eastAsia="Arial" w:hAnsi="Arial"/>
          <w:sz w:val="16"/>
          <w:szCs w:val="16"/>
          <w:b w:val="1"/>
          <w:bCs w:val="1"/>
          <w:color w:val="auto"/>
        </w:rPr>
        <w:t xml:space="preserve"> </w:t>
      </w:r>
      <w:r>
        <w:rPr>
          <w:rFonts w:ascii="Arial" w:cs="Arial" w:eastAsia="Arial" w:hAnsi="Arial"/>
          <w:sz w:val="17"/>
          <w:szCs w:val="17"/>
          <w:color w:val="auto"/>
        </w:rPr>
        <w:t>current period to total expected costs.</w:t>
      </w:r>
    </w:p>
    <w:p>
      <w:pPr>
        <w:spacing w:after="0" w:line="175" w:lineRule="exact"/>
        <w:rPr>
          <w:sz w:val="20"/>
          <w:szCs w:val="20"/>
          <w:color w:val="auto"/>
        </w:rPr>
      </w:pPr>
    </w:p>
    <w:p>
      <w:pPr>
        <w:ind w:left="180" w:right="660"/>
        <w:spacing w:after="0" w:line="318" w:lineRule="auto"/>
        <w:rPr>
          <w:sz w:val="20"/>
          <w:szCs w:val="20"/>
          <w:color w:val="auto"/>
        </w:rPr>
      </w:pPr>
      <w:r>
        <w:rPr>
          <w:rFonts w:ascii="Arial" w:cs="Arial" w:eastAsia="Arial" w:hAnsi="Arial"/>
          <w:sz w:val="16"/>
          <w:szCs w:val="16"/>
          <w:b w:val="1"/>
          <w:bCs w:val="1"/>
          <w:color w:val="auto"/>
        </w:rPr>
        <w:t xml:space="preserve">Licensing </w:t>
      </w:r>
      <w:r>
        <w:rPr>
          <w:rFonts w:ascii="Arial" w:cs="Arial" w:eastAsia="Arial" w:hAnsi="Arial"/>
          <w:sz w:val="17"/>
          <w:szCs w:val="17"/>
          <w:color w:val="auto"/>
        </w:rPr>
        <w:t>- Revenue from the sale or granting of broadcast license rights to third parties is recognized when the licensed content is</w:t>
      </w:r>
      <w:r>
        <w:rPr>
          <w:rFonts w:ascii="Arial" w:cs="Arial" w:eastAsia="Arial" w:hAnsi="Arial"/>
          <w:sz w:val="16"/>
          <w:szCs w:val="16"/>
          <w:b w:val="1"/>
          <w:bCs w:val="1"/>
          <w:color w:val="auto"/>
        </w:rPr>
        <w:t xml:space="preserve"> </w:t>
      </w:r>
      <w:r>
        <w:rPr>
          <w:rFonts w:ascii="Arial" w:cs="Arial" w:eastAsia="Arial" w:hAnsi="Arial"/>
          <w:sz w:val="17"/>
          <w:szCs w:val="17"/>
          <w:color w:val="auto"/>
        </w:rPr>
        <w:t>available to the customer and the customer has the contractual right to broadcast or stream the content.</w:t>
      </w:r>
    </w:p>
    <w:p>
      <w:pPr>
        <w:spacing w:after="0" w:line="157" w:lineRule="exact"/>
        <w:rPr>
          <w:sz w:val="20"/>
          <w:szCs w:val="20"/>
          <w:color w:val="auto"/>
        </w:rPr>
      </w:pPr>
    </w:p>
    <w:p>
      <w:pPr>
        <w:ind w:left="180" w:right="200"/>
        <w:spacing w:after="0" w:line="318" w:lineRule="auto"/>
        <w:rPr>
          <w:sz w:val="20"/>
          <w:szCs w:val="20"/>
          <w:color w:val="auto"/>
        </w:rPr>
      </w:pPr>
      <w:r>
        <w:rPr>
          <w:rFonts w:ascii="Arial" w:cs="Arial" w:eastAsia="Arial" w:hAnsi="Arial"/>
          <w:sz w:val="16"/>
          <w:szCs w:val="16"/>
          <w:b w:val="1"/>
          <w:bCs w:val="1"/>
          <w:color w:val="auto"/>
        </w:rPr>
        <w:t xml:space="preserve">Royalty income </w:t>
      </w:r>
      <w:r>
        <w:rPr>
          <w:rFonts w:ascii="Arial" w:cs="Arial" w:eastAsia="Arial" w:hAnsi="Arial"/>
          <w:sz w:val="17"/>
          <w:szCs w:val="17"/>
          <w:color w:val="auto"/>
        </w:rPr>
        <w:t>- Revenue from sales and usage-based royalties related to licenses is generally recognized when the subsequent sale or</w:t>
      </w:r>
      <w:r>
        <w:rPr>
          <w:rFonts w:ascii="Arial" w:cs="Arial" w:eastAsia="Arial" w:hAnsi="Arial"/>
          <w:sz w:val="16"/>
          <w:szCs w:val="16"/>
          <w:b w:val="1"/>
          <w:bCs w:val="1"/>
          <w:color w:val="auto"/>
        </w:rPr>
        <w:t xml:space="preserve"> </w:t>
      </w:r>
      <w:r>
        <w:rPr>
          <w:rFonts w:ascii="Arial" w:cs="Arial" w:eastAsia="Arial" w:hAnsi="Arial"/>
          <w:sz w:val="17"/>
          <w:szCs w:val="17"/>
          <w:color w:val="auto"/>
        </w:rPr>
        <w:t>usage occurs.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film and television programs</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Investments in film and television programs are stated at the lower of cost or net realizable value. Investment in film and television programs includes all direct production and financing costs incurred during production and minimum guarantee payments made to acquire distribution rights. Interest costs are capitalized to the cost of the film or television program until substantially all of the activities required for delivery are complete. Investments in film and television programs are amortized using the declining-balance method with rates ranging from 50% to 90% at the time of initial episodic delivery and at rates ranging from 10% to 25% annually thereafter. The determination of the rates is based on the expected economic useful life of the film or television program and includes factors such as rights retained by the Company, the availability of rights to renew licenses for episodic television programs in various territories, and the availability of secondary market revenue. The Company regularly reviews the recoverability of these capitalized costs based on expected future cash flows.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financing and assistance</w:t>
      </w:r>
    </w:p>
    <w:p>
      <w:pPr>
        <w:spacing w:after="0" w:line="27" w:lineRule="exact"/>
        <w:rPr>
          <w:sz w:val="20"/>
          <w:szCs w:val="20"/>
          <w:color w:val="auto"/>
        </w:rPr>
      </w:pPr>
    </w:p>
    <w:p>
      <w:pPr>
        <w:jc w:val="both"/>
        <w:ind w:right="200"/>
        <w:spacing w:after="0" w:line="258" w:lineRule="auto"/>
        <w:rPr>
          <w:sz w:val="20"/>
          <w:szCs w:val="20"/>
          <w:color w:val="auto"/>
        </w:rPr>
      </w:pPr>
      <w:r>
        <w:rPr>
          <w:rFonts w:ascii="Arial" w:cs="Arial" w:eastAsia="Arial" w:hAnsi="Arial"/>
          <w:sz w:val="18"/>
          <w:szCs w:val="18"/>
          <w:color w:val="auto"/>
        </w:rPr>
        <w:t>The Company has access to government programs and tax credits that are designed to assist film, television and digital media production and distribution. Amounts received and amounts receivable which relate to the Company's film and television program assets are recorded as a reduction in the production costs of the related asset.</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61" w:right="359" w:bottom="1440" w:gutter="0" w:footer="0" w:header="0"/>
        </w:sectPr>
      </w:pPr>
    </w:p>
    <w:bookmarkStart w:id="10" w:name="page11"/>
    <w:bookmarkEnd w:id="10"/>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SCHOLASTIC CORPORATION</w:t>
      </w:r>
    </w:p>
    <w:p>
      <w:pPr>
        <w:ind w:left="20" w:right="4100"/>
        <w:spacing w:after="0" w:line="244" w:lineRule="auto"/>
        <w:rPr>
          <w:sz w:val="20"/>
          <w:szCs w:val="20"/>
          <w:color w:val="auto"/>
        </w:rPr>
      </w:pPr>
      <w:r>
        <w:rPr>
          <w:rFonts w:ascii="Arial" w:cs="Arial" w:eastAsia="Arial" w:hAnsi="Arial"/>
          <w:sz w:val="18"/>
          <w:szCs w:val="18"/>
          <w:b w:val="1"/>
          <w:bCs w:val="1"/>
          <w:color w:val="auto"/>
        </w:rPr>
        <w:t>NOTES TO CONDENSED CONSOLIDATED FINANCIAL STATEMENTS – UNAUDITED (Dollar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November 2024, Financial Accounting Standards Board ("FASB") issued Accounting Standards Update ("ASU") 2024-03, "Income Statement—Reporting Comprehensive Income—Expense Disaggregation Disclosures (Subtopic 220-40) - Disaggregation of Income Statement Expenses." This ASU improves financial reporting by requiring that public business entities disclose additional information about specific expense categories in the notes to financial statements at interim and annual reporting periods. In January 2025, the FASB issued ASU 2025-01,""Income Statement—Reporting Comprehensive Income—Expense Disaggregation Disclosures (Subtopic 220-40) - Clarifying the Effective Date" to clarify the effective date of ASU 2024 -03 for non-calendar year-end entities. ASU 2024-03 is effective for the Company's fiscal year 2028, and interim periods starting in fiscal year 2029. Early adoption is permitted. The amendments in this ASU are to be applied retrospectively to all prior periods presented in the financial statements. The Company is currently assessing the impact of the disclosure requirements on its consolidated financial statements.</w:t>
      </w:r>
    </w:p>
    <w:p>
      <w:pPr>
        <w:spacing w:after="0" w:line="20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December 2023, the FASB issued ASU 2023-09, "Income Taxes (Topic 740)." The amendments in this update enhance the transparency and decision usefulness of income tax disclosures to provide information to better assess how an entity’s operations and related tax risks and tax planning and operational opportunities affect its tax rate and prospects for future cash flows. The amendments in this ASU require more transparency about income tax information through improvements to income tax disclosures primarily related to the rate reconciliation and income taxes paid information. This ASU is effective for the Company's fiscal year 2026. The amendments are to be applied prospectively, but may be applied retrospectively to all prior periods presented in the financial statements. The Company is currently assessing the impact of the disclosure requirements on its consolidated financial statements.</w:t>
      </w:r>
    </w:p>
    <w:p>
      <w:pPr>
        <w:spacing w:after="0" w:line="2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November 2023, the FASB issued ASU 2023-07, “Segment Reporting (Topic 280) - Improvements to Reportable Segment Disclosures.” This ASU improves reportable segment disclosure requirements, primarily through enhanced disclosures about significant segment expenses. This ASU is effective for the Company's fiscal year 2025, and interim periods starting in fiscal year 2026. The amendments in this ASU are to be applied retrospectively to all prior periods presented in the financial statements. The Company is currently assessing the impact of the disclosure requirements on its consolidated financial statements.</w:t>
      </w:r>
    </w:p>
    <w:p>
      <w:pPr>
        <w:spacing w:after="0" w:line="206"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Refer to the Company’s Annual Report on Form 10-K for the fiscal year ended May 31, 2024 for more information on current applicable authoritative guidance and its impact on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11" w:name="page12"/>
    <w:bookmarkEnd w:id="11"/>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SCHOLASTIC CORPORATION</w:t>
      </w:r>
    </w:p>
    <w:p>
      <w:pPr>
        <w:ind w:left="20" w:right="4100"/>
        <w:spacing w:after="0" w:line="244" w:lineRule="auto"/>
        <w:rPr>
          <w:sz w:val="20"/>
          <w:szCs w:val="20"/>
          <w:color w:val="auto"/>
        </w:rPr>
      </w:pPr>
      <w:r>
        <w:rPr>
          <w:rFonts w:ascii="Arial" w:cs="Arial" w:eastAsia="Arial" w:hAnsi="Arial"/>
          <w:sz w:val="18"/>
          <w:szCs w:val="18"/>
          <w:b w:val="1"/>
          <w:bCs w:val="1"/>
          <w:color w:val="auto"/>
        </w:rPr>
        <w:t>NOTES TO CONDENSED CONSOLIDATED FINANCIAL STATEMENTS – UNAUDITED (Dollar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right="8740" w:firstLine="8"/>
        <w:spacing w:after="0" w:line="532" w:lineRule="auto"/>
        <w:tabs>
          <w:tab w:leader="none" w:pos="2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REVENUES Disaggregated Revenue Data</w:t>
      </w:r>
    </w:p>
    <w:p>
      <w:pPr>
        <w:spacing w:after="0"/>
        <w:rPr>
          <w:sz w:val="20"/>
          <w:szCs w:val="20"/>
          <w:color w:val="auto"/>
        </w:rPr>
      </w:pPr>
      <w:r>
        <w:rPr>
          <w:rFonts w:ascii="Arial" w:cs="Arial" w:eastAsia="Arial" w:hAnsi="Arial"/>
          <w:sz w:val="18"/>
          <w:szCs w:val="18"/>
          <w:color w:val="auto"/>
        </w:rPr>
        <w:t>The following table presents the Company’s segment revenues disaggregated by region and domestic channel:</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780" w:type="dxa"/>
            <w:vAlign w:val="bottom"/>
            <w:gridSpan w:val="3"/>
          </w:tcPr>
          <w:p>
            <w:pPr>
              <w:jc w:val="right"/>
              <w:ind w:right="779"/>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8"/>
                <w:szCs w:val="18"/>
                <w:color w:val="auto"/>
              </w:rPr>
            </w:pPr>
          </w:p>
        </w:tc>
        <w:tc>
          <w:tcPr>
            <w:tcW w:w="278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4400" w:type="dxa"/>
            <w:vAlign w:val="bottom"/>
          </w:tcPr>
          <w:p>
            <w:pPr>
              <w:spacing w:after="0"/>
              <w:rPr>
                <w:sz w:val="18"/>
                <w:szCs w:val="18"/>
                <w:color w:val="auto"/>
              </w:rPr>
            </w:pPr>
          </w:p>
        </w:tc>
        <w:tc>
          <w:tcPr>
            <w:tcW w:w="1880" w:type="dxa"/>
            <w:vAlign w:val="bottom"/>
            <w:gridSpan w:val="2"/>
          </w:tcPr>
          <w:p>
            <w:pPr>
              <w:ind w:left="580"/>
              <w:spacing w:after="0"/>
              <w:rPr>
                <w:sz w:val="20"/>
                <w:szCs w:val="20"/>
                <w:color w:val="auto"/>
              </w:rPr>
            </w:pPr>
            <w:r>
              <w:rPr>
                <w:rFonts w:ascii="Arial" w:cs="Arial" w:eastAsia="Arial" w:hAnsi="Arial"/>
                <w:sz w:val="16"/>
                <w:szCs w:val="16"/>
                <w:b w:val="1"/>
                <w:bCs w:val="1"/>
                <w:color w:val="auto"/>
              </w:rPr>
              <w:t>February 28,</w:t>
            </w:r>
          </w:p>
        </w:tc>
        <w:tc>
          <w:tcPr>
            <w:tcW w:w="1660" w:type="dxa"/>
            <w:vAlign w:val="bottom"/>
            <w:gridSpan w:val="2"/>
          </w:tcPr>
          <w:p>
            <w:pPr>
              <w:ind w:left="360"/>
              <w:spacing w:after="0"/>
              <w:rPr>
                <w:sz w:val="20"/>
                <w:szCs w:val="20"/>
                <w:color w:val="auto"/>
              </w:rPr>
            </w:pPr>
            <w:r>
              <w:rPr>
                <w:rFonts w:ascii="Arial" w:cs="Arial" w:eastAsia="Arial" w:hAnsi="Arial"/>
                <w:sz w:val="16"/>
                <w:szCs w:val="16"/>
                <w:b w:val="1"/>
                <w:bCs w:val="1"/>
                <w:color w:val="auto"/>
              </w:rPr>
              <w:t>February 29,</w:t>
            </w:r>
          </w:p>
        </w:tc>
        <w:tc>
          <w:tcPr>
            <w:tcW w:w="1660" w:type="dxa"/>
            <w:vAlign w:val="bottom"/>
            <w:gridSpan w:val="2"/>
          </w:tcPr>
          <w:p>
            <w:pPr>
              <w:ind w:left="340"/>
              <w:spacing w:after="0"/>
              <w:rPr>
                <w:sz w:val="20"/>
                <w:szCs w:val="20"/>
                <w:color w:val="auto"/>
              </w:rPr>
            </w:pPr>
            <w:r>
              <w:rPr>
                <w:rFonts w:ascii="Arial" w:cs="Arial" w:eastAsia="Arial" w:hAnsi="Arial"/>
                <w:sz w:val="16"/>
                <w:szCs w:val="16"/>
                <w:b w:val="1"/>
                <w:bCs w:val="1"/>
                <w:color w:val="auto"/>
              </w:rPr>
              <w:t>February 28,</w:t>
            </w:r>
          </w:p>
        </w:tc>
        <w:tc>
          <w:tcPr>
            <w:tcW w:w="1640" w:type="dxa"/>
            <w:vAlign w:val="bottom"/>
            <w:gridSpan w:val="2"/>
          </w:tcPr>
          <w:p>
            <w:pPr>
              <w:ind w:left="340"/>
              <w:spacing w:after="0"/>
              <w:rPr>
                <w:sz w:val="20"/>
                <w:szCs w:val="20"/>
                <w:color w:val="auto"/>
              </w:rPr>
            </w:pPr>
            <w:r>
              <w:rPr>
                <w:rFonts w:ascii="Arial" w:cs="Arial" w:eastAsia="Arial" w:hAnsi="Arial"/>
                <w:sz w:val="16"/>
                <w:szCs w:val="16"/>
                <w:b w:val="1"/>
                <w:bCs w:val="1"/>
                <w:color w:val="auto"/>
              </w:rPr>
              <w:t>February 29,</w:t>
            </w:r>
          </w:p>
        </w:tc>
      </w:tr>
      <w:tr>
        <w:trPr>
          <w:trHeight w:val="217"/>
        </w:trPr>
        <w:tc>
          <w:tcPr>
            <w:tcW w:w="4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2025</w:t>
            </w: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2024</w:t>
            </w:r>
          </w:p>
        </w:tc>
      </w:tr>
      <w:tr>
        <w:trPr>
          <w:trHeight w:val="20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Book Clubs - U.S.</w:t>
            </w:r>
          </w:p>
        </w:tc>
        <w:tc>
          <w:tcPr>
            <w:tcW w:w="7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15.2</w:t>
            </w:r>
          </w:p>
        </w:tc>
        <w:tc>
          <w:tcPr>
            <w:tcW w:w="5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13.3</w:t>
            </w:r>
          </w:p>
        </w:tc>
        <w:tc>
          <w:tcPr>
            <w:tcW w:w="5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51.1</w:t>
            </w:r>
          </w:p>
        </w:tc>
        <w:tc>
          <w:tcPr>
            <w:tcW w:w="5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48.3</w:t>
            </w:r>
          </w:p>
        </w:tc>
      </w:tr>
      <w:tr>
        <w:trPr>
          <w:trHeight w:val="215"/>
        </w:trPr>
        <w:tc>
          <w:tcPr>
            <w:tcW w:w="4400" w:type="dxa"/>
            <w:vAlign w:val="bottom"/>
          </w:tcPr>
          <w:p>
            <w:pPr>
              <w:ind w:left="20"/>
              <w:spacing w:after="0"/>
              <w:rPr>
                <w:sz w:val="20"/>
                <w:szCs w:val="20"/>
                <w:color w:val="auto"/>
              </w:rPr>
            </w:pPr>
            <w:r>
              <w:rPr>
                <w:rFonts w:ascii="Arial" w:cs="Arial" w:eastAsia="Arial" w:hAnsi="Arial"/>
                <w:sz w:val="16"/>
                <w:szCs w:val="16"/>
                <w:color w:val="auto"/>
              </w:rPr>
              <w:t>Book Fairs - U.S.</w:t>
            </w:r>
          </w:p>
        </w:tc>
        <w:tc>
          <w:tcPr>
            <w:tcW w:w="760" w:type="dxa"/>
            <w:vAlign w:val="bottom"/>
          </w:tcPr>
          <w:p>
            <w:pPr>
              <w:spacing w:after="0"/>
              <w:rPr>
                <w:sz w:val="18"/>
                <w:szCs w:val="18"/>
                <w:color w:val="auto"/>
              </w:rPr>
            </w:pPr>
          </w:p>
        </w:tc>
        <w:tc>
          <w:tcPr>
            <w:tcW w:w="1120" w:type="dxa"/>
            <w:vAlign w:val="bottom"/>
          </w:tcPr>
          <w:p>
            <w:pPr>
              <w:jc w:val="right"/>
              <w:ind w:right="419"/>
              <w:spacing w:after="0"/>
              <w:rPr>
                <w:sz w:val="20"/>
                <w:szCs w:val="20"/>
                <w:color w:val="auto"/>
              </w:rPr>
            </w:pPr>
            <w:r>
              <w:rPr>
                <w:rFonts w:ascii="Arial" w:cs="Arial" w:eastAsia="Arial" w:hAnsi="Arial"/>
                <w:sz w:val="16"/>
                <w:szCs w:val="16"/>
                <w:color w:val="auto"/>
              </w:rPr>
              <w:t>110.7</w:t>
            </w:r>
          </w:p>
        </w:tc>
        <w:tc>
          <w:tcPr>
            <w:tcW w:w="560" w:type="dxa"/>
            <w:vAlign w:val="bottom"/>
          </w:tcPr>
          <w:p>
            <w:pPr>
              <w:spacing w:after="0"/>
              <w:rPr>
                <w:sz w:val="18"/>
                <w:szCs w:val="18"/>
                <w:color w:val="auto"/>
              </w:rPr>
            </w:pPr>
          </w:p>
        </w:tc>
        <w:tc>
          <w:tcPr>
            <w:tcW w:w="1100" w:type="dxa"/>
            <w:vAlign w:val="bottom"/>
          </w:tcPr>
          <w:p>
            <w:pPr>
              <w:jc w:val="right"/>
              <w:ind w:right="399"/>
              <w:spacing w:after="0"/>
              <w:rPr>
                <w:sz w:val="20"/>
                <w:szCs w:val="20"/>
                <w:color w:val="auto"/>
              </w:rPr>
            </w:pPr>
            <w:r>
              <w:rPr>
                <w:rFonts w:ascii="Arial" w:cs="Arial" w:eastAsia="Arial" w:hAnsi="Arial"/>
                <w:sz w:val="16"/>
                <w:szCs w:val="16"/>
                <w:color w:val="auto"/>
              </w:rPr>
              <w:t>102.7</w:t>
            </w:r>
          </w:p>
        </w:tc>
        <w:tc>
          <w:tcPr>
            <w:tcW w:w="520" w:type="dxa"/>
            <w:vAlign w:val="bottom"/>
          </w:tcPr>
          <w:p>
            <w:pPr>
              <w:spacing w:after="0"/>
              <w:rPr>
                <w:sz w:val="18"/>
                <w:szCs w:val="18"/>
                <w:color w:val="auto"/>
              </w:rPr>
            </w:pPr>
          </w:p>
        </w:tc>
        <w:tc>
          <w:tcPr>
            <w:tcW w:w="1140" w:type="dxa"/>
            <w:vAlign w:val="bottom"/>
          </w:tcPr>
          <w:p>
            <w:pPr>
              <w:jc w:val="right"/>
              <w:ind w:right="439"/>
              <w:spacing w:after="0"/>
              <w:rPr>
                <w:sz w:val="20"/>
                <w:szCs w:val="20"/>
                <w:color w:val="auto"/>
              </w:rPr>
            </w:pPr>
            <w:r>
              <w:rPr>
                <w:rFonts w:ascii="Arial" w:cs="Arial" w:eastAsia="Arial" w:hAnsi="Arial"/>
                <w:sz w:val="16"/>
                <w:szCs w:val="16"/>
                <w:color w:val="auto"/>
              </w:rPr>
              <w:t>370.5</w:t>
            </w:r>
          </w:p>
        </w:tc>
        <w:tc>
          <w:tcPr>
            <w:tcW w:w="540" w:type="dxa"/>
            <w:vAlign w:val="bottom"/>
          </w:tcPr>
          <w:p>
            <w:pPr>
              <w:spacing w:after="0"/>
              <w:rPr>
                <w:sz w:val="18"/>
                <w:szCs w:val="18"/>
                <w:color w:val="auto"/>
              </w:rPr>
            </w:pPr>
          </w:p>
        </w:tc>
        <w:tc>
          <w:tcPr>
            <w:tcW w:w="1100" w:type="dxa"/>
            <w:vAlign w:val="bottom"/>
          </w:tcPr>
          <w:p>
            <w:pPr>
              <w:jc w:val="right"/>
              <w:ind w:right="399"/>
              <w:spacing w:after="0"/>
              <w:rPr>
                <w:sz w:val="20"/>
                <w:szCs w:val="20"/>
                <w:color w:val="auto"/>
              </w:rPr>
            </w:pPr>
            <w:r>
              <w:rPr>
                <w:rFonts w:ascii="Arial" w:cs="Arial" w:eastAsia="Arial" w:hAnsi="Arial"/>
                <w:sz w:val="16"/>
                <w:szCs w:val="16"/>
                <w:color w:val="auto"/>
              </w:rPr>
              <w:t>372.1</w:t>
            </w:r>
          </w:p>
        </w:tc>
      </w:tr>
      <w:tr>
        <w:trPr>
          <w:trHeight w:val="217"/>
        </w:trPr>
        <w:tc>
          <w:tcPr>
            <w:tcW w:w="440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Trade - U.S. </w:t>
            </w:r>
            <w:r>
              <w:rPr>
                <w:rFonts w:ascii="Arial" w:cs="Arial" w:eastAsia="Arial" w:hAnsi="Arial"/>
                <w:sz w:val="21"/>
                <w:szCs w:val="21"/>
                <w:color w:val="auto"/>
                <w:vertAlign w:val="superscript"/>
              </w:rPr>
              <w:t>(1)</w:t>
            </w:r>
          </w:p>
        </w:tc>
        <w:tc>
          <w:tcPr>
            <w:tcW w:w="7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68.9</w:t>
            </w: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69.5</w:t>
            </w: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218.1</w:t>
            </w: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232.2</w:t>
            </w:r>
          </w:p>
        </w:tc>
      </w:tr>
      <w:tr>
        <w:trPr>
          <w:trHeight w:val="216"/>
        </w:trPr>
        <w:tc>
          <w:tcPr>
            <w:tcW w:w="4400" w:type="dxa"/>
            <w:vAlign w:val="bottom"/>
            <w:tcBorders>
              <w:bottom w:val="single" w:sz="8" w:color="auto"/>
            </w:tcBorders>
          </w:tcPr>
          <w:p>
            <w:pPr>
              <w:ind w:left="20"/>
              <w:spacing w:after="0" w:line="216" w:lineRule="exact"/>
              <w:rPr>
                <w:sz w:val="20"/>
                <w:szCs w:val="20"/>
                <w:color w:val="auto"/>
              </w:rPr>
            </w:pPr>
            <w:r>
              <w:rPr>
                <w:rFonts w:ascii="Arial" w:cs="Arial" w:eastAsia="Arial" w:hAnsi="Arial"/>
                <w:sz w:val="16"/>
                <w:szCs w:val="16"/>
                <w:color w:val="auto"/>
              </w:rPr>
              <w:t xml:space="preserve">Trade - International </w:t>
            </w:r>
            <w:r>
              <w:rPr>
                <w:rFonts w:ascii="Arial" w:cs="Arial" w:eastAsia="Arial" w:hAnsi="Arial"/>
                <w:sz w:val="21"/>
                <w:szCs w:val="21"/>
                <w:color w:val="auto"/>
                <w:vertAlign w:val="superscript"/>
              </w:rPr>
              <w:t>(2)</w:t>
            </w:r>
          </w:p>
        </w:tc>
        <w:tc>
          <w:tcPr>
            <w:tcW w:w="7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8.5</w:t>
            </w: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7.6</w:t>
            </w:r>
          </w:p>
        </w:tc>
        <w:tc>
          <w:tcPr>
            <w:tcW w:w="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36.0</w:t>
            </w: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35.3</w:t>
            </w:r>
          </w:p>
        </w:tc>
      </w:tr>
      <w:tr>
        <w:trPr>
          <w:trHeight w:val="236"/>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Children's Book Publishing and Distribution</w:t>
            </w:r>
          </w:p>
        </w:tc>
        <w:tc>
          <w:tcPr>
            <w:tcW w:w="760" w:type="dxa"/>
            <w:vAlign w:val="bottom"/>
            <w:shd w:val="clear" w:color="auto" w:fill="CCEEFF"/>
          </w:tcPr>
          <w:p>
            <w:pPr>
              <w:ind w:left="560"/>
              <w:spacing w:after="0"/>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203.3</w:t>
            </w:r>
          </w:p>
        </w:tc>
        <w:tc>
          <w:tcPr>
            <w:tcW w:w="560" w:type="dxa"/>
            <w:vAlign w:val="bottom"/>
            <w:shd w:val="clear" w:color="auto" w:fill="CCEEFF"/>
          </w:tcPr>
          <w:p>
            <w:pPr>
              <w:ind w:left="360"/>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193.1</w:t>
            </w:r>
          </w:p>
        </w:tc>
        <w:tc>
          <w:tcPr>
            <w:tcW w:w="520" w:type="dxa"/>
            <w:vAlign w:val="bottom"/>
            <w:shd w:val="clear" w:color="auto" w:fill="CCEEFF"/>
          </w:tcPr>
          <w:p>
            <w:pPr>
              <w:ind w:left="340"/>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675.7</w:t>
            </w:r>
          </w:p>
        </w:tc>
        <w:tc>
          <w:tcPr>
            <w:tcW w:w="540" w:type="dxa"/>
            <w:vAlign w:val="bottom"/>
            <w:shd w:val="clear" w:color="auto" w:fill="CCEEFF"/>
          </w:tcPr>
          <w:p>
            <w:pPr>
              <w:ind w:left="340"/>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687.9</w:t>
            </w:r>
          </w:p>
        </w:tc>
      </w:tr>
      <w:tr>
        <w:trPr>
          <w:trHeight w:val="216"/>
        </w:trPr>
        <w:tc>
          <w:tcPr>
            <w:tcW w:w="4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5"/>
        </w:trPr>
        <w:tc>
          <w:tcPr>
            <w:tcW w:w="4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Education Solutions - U.S.</w:t>
            </w:r>
          </w:p>
        </w:tc>
        <w:tc>
          <w:tcPr>
            <w:tcW w:w="76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57.2</w:t>
            </w:r>
          </w:p>
        </w:tc>
        <w:tc>
          <w:tcPr>
            <w:tcW w:w="5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68.5</w:t>
            </w:r>
          </w:p>
        </w:tc>
        <w:tc>
          <w:tcPr>
            <w:tcW w:w="5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184.1</w:t>
            </w:r>
          </w:p>
        </w:tc>
        <w:tc>
          <w:tcPr>
            <w:tcW w:w="5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215.5</w:t>
            </w:r>
          </w:p>
        </w:tc>
      </w:tr>
      <w:tr>
        <w:trPr>
          <w:trHeight w:val="233"/>
        </w:trPr>
        <w:tc>
          <w:tcPr>
            <w:tcW w:w="4400" w:type="dxa"/>
            <w:vAlign w:val="bottom"/>
          </w:tcPr>
          <w:p>
            <w:pPr>
              <w:ind w:left="20"/>
              <w:spacing w:after="0"/>
              <w:rPr>
                <w:sz w:val="20"/>
                <w:szCs w:val="20"/>
                <w:color w:val="auto"/>
              </w:rPr>
            </w:pPr>
            <w:r>
              <w:rPr>
                <w:rFonts w:ascii="Arial" w:cs="Arial" w:eastAsia="Arial" w:hAnsi="Arial"/>
                <w:sz w:val="16"/>
                <w:szCs w:val="16"/>
                <w:b w:val="1"/>
                <w:bCs w:val="1"/>
                <w:color w:val="auto"/>
              </w:rPr>
              <w:t>Total Education Solutions</w:t>
            </w:r>
          </w:p>
        </w:tc>
        <w:tc>
          <w:tcPr>
            <w:tcW w:w="760" w:type="dxa"/>
            <w:vAlign w:val="bottom"/>
          </w:tcPr>
          <w:p>
            <w:pPr>
              <w:ind w:left="560"/>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419"/>
              <w:spacing w:after="0"/>
              <w:rPr>
                <w:sz w:val="20"/>
                <w:szCs w:val="20"/>
                <w:color w:val="auto"/>
              </w:rPr>
            </w:pPr>
            <w:r>
              <w:rPr>
                <w:rFonts w:ascii="Arial" w:cs="Arial" w:eastAsia="Arial" w:hAnsi="Arial"/>
                <w:sz w:val="16"/>
                <w:szCs w:val="16"/>
                <w:b w:val="1"/>
                <w:bCs w:val="1"/>
                <w:color w:val="auto"/>
              </w:rPr>
              <w:t>57.2</w:t>
            </w:r>
          </w:p>
        </w:tc>
        <w:tc>
          <w:tcPr>
            <w:tcW w:w="560" w:type="dxa"/>
            <w:vAlign w:val="bottom"/>
          </w:tcPr>
          <w:p>
            <w:pPr>
              <w:ind w:left="360"/>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399"/>
              <w:spacing w:after="0"/>
              <w:rPr>
                <w:sz w:val="20"/>
                <w:szCs w:val="20"/>
                <w:color w:val="auto"/>
              </w:rPr>
            </w:pPr>
            <w:r>
              <w:rPr>
                <w:rFonts w:ascii="Arial" w:cs="Arial" w:eastAsia="Arial" w:hAnsi="Arial"/>
                <w:sz w:val="16"/>
                <w:szCs w:val="16"/>
                <w:b w:val="1"/>
                <w:bCs w:val="1"/>
                <w:color w:val="auto"/>
              </w:rPr>
              <w:t>68.5</w:t>
            </w:r>
          </w:p>
        </w:tc>
        <w:tc>
          <w:tcPr>
            <w:tcW w:w="520" w:type="dxa"/>
            <w:vAlign w:val="bottom"/>
          </w:tcPr>
          <w:p>
            <w:pPr>
              <w:ind w:left="34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439"/>
              <w:spacing w:after="0"/>
              <w:rPr>
                <w:sz w:val="20"/>
                <w:szCs w:val="20"/>
                <w:color w:val="auto"/>
              </w:rPr>
            </w:pPr>
            <w:r>
              <w:rPr>
                <w:rFonts w:ascii="Arial" w:cs="Arial" w:eastAsia="Arial" w:hAnsi="Arial"/>
                <w:sz w:val="16"/>
                <w:szCs w:val="16"/>
                <w:b w:val="1"/>
                <w:bCs w:val="1"/>
                <w:color w:val="auto"/>
              </w:rPr>
              <w:t>184.1</w:t>
            </w:r>
          </w:p>
        </w:tc>
        <w:tc>
          <w:tcPr>
            <w:tcW w:w="540" w:type="dxa"/>
            <w:vAlign w:val="bottom"/>
          </w:tcPr>
          <w:p>
            <w:pPr>
              <w:ind w:left="340"/>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399"/>
              <w:spacing w:after="0"/>
              <w:rPr>
                <w:sz w:val="20"/>
                <w:szCs w:val="20"/>
                <w:color w:val="auto"/>
              </w:rPr>
            </w:pPr>
            <w:r>
              <w:rPr>
                <w:rFonts w:ascii="Arial" w:cs="Arial" w:eastAsia="Arial" w:hAnsi="Arial"/>
                <w:sz w:val="16"/>
                <w:szCs w:val="16"/>
                <w:b w:val="1"/>
                <w:bCs w:val="1"/>
                <w:color w:val="auto"/>
              </w:rPr>
              <w:t>215.5</w:t>
            </w:r>
          </w:p>
        </w:tc>
      </w:tr>
      <w:tr>
        <w:trPr>
          <w:trHeight w:val="220"/>
        </w:trPr>
        <w:tc>
          <w:tcPr>
            <w:tcW w:w="4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5"/>
        </w:trPr>
        <w:tc>
          <w:tcPr>
            <w:tcW w:w="4400" w:type="dxa"/>
            <w:vAlign w:val="bottom"/>
          </w:tcPr>
          <w:p>
            <w:pPr>
              <w:ind w:left="20"/>
              <w:spacing w:after="0"/>
              <w:rPr>
                <w:sz w:val="20"/>
                <w:szCs w:val="20"/>
                <w:color w:val="auto"/>
              </w:rPr>
            </w:pPr>
            <w:r>
              <w:rPr>
                <w:rFonts w:ascii="Arial" w:cs="Arial" w:eastAsia="Arial" w:hAnsi="Arial"/>
                <w:sz w:val="16"/>
                <w:szCs w:val="16"/>
                <w:color w:val="auto"/>
              </w:rPr>
              <w:t>Entertainment - U.S.</w:t>
            </w:r>
          </w:p>
        </w:tc>
        <w:tc>
          <w:tcPr>
            <w:tcW w:w="760" w:type="dxa"/>
            <w:vAlign w:val="bottom"/>
          </w:tcPr>
          <w:p>
            <w:pPr>
              <w:ind w:left="56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19"/>
              <w:spacing w:after="0"/>
              <w:rPr>
                <w:sz w:val="20"/>
                <w:szCs w:val="20"/>
                <w:color w:val="auto"/>
              </w:rPr>
            </w:pPr>
            <w:r>
              <w:rPr>
                <w:rFonts w:ascii="Arial" w:cs="Arial" w:eastAsia="Arial" w:hAnsi="Arial"/>
                <w:sz w:val="16"/>
                <w:szCs w:val="16"/>
                <w:color w:val="auto"/>
              </w:rPr>
              <w:t>1.0</w:t>
            </w:r>
          </w:p>
        </w:tc>
        <w:tc>
          <w:tcPr>
            <w:tcW w:w="560" w:type="dxa"/>
            <w:vAlign w:val="bottom"/>
          </w:tcPr>
          <w:p>
            <w:pPr>
              <w:ind w:left="3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9"/>
              <w:spacing w:after="0"/>
              <w:rPr>
                <w:sz w:val="20"/>
                <w:szCs w:val="20"/>
                <w:color w:val="auto"/>
              </w:rPr>
            </w:pPr>
            <w:r>
              <w:rPr>
                <w:rFonts w:ascii="Arial" w:cs="Arial" w:eastAsia="Arial" w:hAnsi="Arial"/>
                <w:sz w:val="16"/>
                <w:szCs w:val="16"/>
                <w:color w:val="auto"/>
              </w:rPr>
              <w:t>0.5</w:t>
            </w:r>
          </w:p>
        </w:tc>
        <w:tc>
          <w:tcPr>
            <w:tcW w:w="520" w:type="dxa"/>
            <w:vAlign w:val="bottom"/>
          </w:tcPr>
          <w:p>
            <w:pPr>
              <w:ind w:left="3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39"/>
              <w:spacing w:after="0"/>
              <w:rPr>
                <w:sz w:val="20"/>
                <w:szCs w:val="20"/>
                <w:color w:val="auto"/>
              </w:rPr>
            </w:pPr>
            <w:r>
              <w:rPr>
                <w:rFonts w:ascii="Arial" w:cs="Arial" w:eastAsia="Arial" w:hAnsi="Arial"/>
                <w:sz w:val="16"/>
                <w:szCs w:val="16"/>
                <w:color w:val="auto"/>
              </w:rPr>
              <w:t>3.9</w:t>
            </w:r>
          </w:p>
        </w:tc>
        <w:tc>
          <w:tcPr>
            <w:tcW w:w="540" w:type="dxa"/>
            <w:vAlign w:val="bottom"/>
          </w:tcPr>
          <w:p>
            <w:pPr>
              <w:ind w:left="3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9"/>
              <w:spacing w:after="0"/>
              <w:rPr>
                <w:sz w:val="20"/>
                <w:szCs w:val="20"/>
                <w:color w:val="auto"/>
              </w:rPr>
            </w:pPr>
            <w:r>
              <w:rPr>
                <w:rFonts w:ascii="Arial" w:cs="Arial" w:eastAsia="Arial" w:hAnsi="Arial"/>
                <w:sz w:val="16"/>
                <w:szCs w:val="16"/>
                <w:color w:val="auto"/>
              </w:rPr>
              <w:t>1.3</w:t>
            </w:r>
          </w:p>
        </w:tc>
      </w:tr>
      <w:tr>
        <w:trPr>
          <w:trHeight w:val="217"/>
        </w:trPr>
        <w:tc>
          <w:tcPr>
            <w:tcW w:w="4400" w:type="dxa"/>
            <w:vAlign w:val="bottom"/>
            <w:tcBorders>
              <w:bottom w:val="single" w:sz="8" w:color="auto"/>
            </w:tcBorders>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Entertainment - International </w:t>
            </w:r>
            <w:r>
              <w:rPr>
                <w:rFonts w:ascii="Arial" w:cs="Arial" w:eastAsia="Arial" w:hAnsi="Arial"/>
                <w:sz w:val="21"/>
                <w:szCs w:val="21"/>
                <w:color w:val="auto"/>
                <w:vertAlign w:val="superscript"/>
              </w:rPr>
              <w:t>(3)</w:t>
            </w:r>
          </w:p>
        </w:tc>
        <w:tc>
          <w:tcPr>
            <w:tcW w:w="7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11.8</w:t>
            </w:r>
          </w:p>
        </w:tc>
        <w:tc>
          <w:tcPr>
            <w:tcW w:w="5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42.3</w:t>
            </w:r>
          </w:p>
        </w:tc>
        <w:tc>
          <w:tcPr>
            <w:tcW w:w="5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r>
      <w:tr>
        <w:trPr>
          <w:trHeight w:val="237"/>
        </w:trPr>
        <w:tc>
          <w:tcPr>
            <w:tcW w:w="4400" w:type="dxa"/>
            <w:vAlign w:val="bottom"/>
          </w:tcPr>
          <w:p>
            <w:pPr>
              <w:ind w:left="20"/>
              <w:spacing w:after="0" w:line="237" w:lineRule="exact"/>
              <w:rPr>
                <w:sz w:val="20"/>
                <w:szCs w:val="20"/>
                <w:color w:val="auto"/>
              </w:rPr>
            </w:pPr>
            <w:r>
              <w:rPr>
                <w:rFonts w:ascii="Arial" w:cs="Arial" w:eastAsia="Arial" w:hAnsi="Arial"/>
                <w:sz w:val="16"/>
                <w:szCs w:val="16"/>
                <w:b w:val="1"/>
                <w:bCs w:val="1"/>
                <w:color w:val="auto"/>
              </w:rPr>
              <w:t xml:space="preserve">Total Entertainment </w:t>
            </w:r>
            <w:r>
              <w:rPr>
                <w:rFonts w:ascii="Arial" w:cs="Arial" w:eastAsia="Arial" w:hAnsi="Arial"/>
                <w:sz w:val="21"/>
                <w:szCs w:val="21"/>
                <w:b w:val="1"/>
                <w:bCs w:val="1"/>
                <w:color w:val="auto"/>
                <w:vertAlign w:val="superscript"/>
              </w:rPr>
              <w:t>(1)</w:t>
            </w:r>
          </w:p>
        </w:tc>
        <w:tc>
          <w:tcPr>
            <w:tcW w:w="760" w:type="dxa"/>
            <w:vAlign w:val="bottom"/>
          </w:tcPr>
          <w:p>
            <w:pPr>
              <w:ind w:left="560"/>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419"/>
              <w:spacing w:after="0"/>
              <w:rPr>
                <w:sz w:val="20"/>
                <w:szCs w:val="20"/>
                <w:color w:val="auto"/>
              </w:rPr>
            </w:pPr>
            <w:r>
              <w:rPr>
                <w:rFonts w:ascii="Arial" w:cs="Arial" w:eastAsia="Arial" w:hAnsi="Arial"/>
                <w:sz w:val="16"/>
                <w:szCs w:val="16"/>
                <w:b w:val="1"/>
                <w:bCs w:val="1"/>
                <w:color w:val="auto"/>
              </w:rPr>
              <w:t>12.8</w:t>
            </w:r>
          </w:p>
        </w:tc>
        <w:tc>
          <w:tcPr>
            <w:tcW w:w="560" w:type="dxa"/>
            <w:vAlign w:val="bottom"/>
          </w:tcPr>
          <w:p>
            <w:pPr>
              <w:ind w:left="360"/>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399"/>
              <w:spacing w:after="0"/>
              <w:rPr>
                <w:sz w:val="20"/>
                <w:szCs w:val="20"/>
                <w:color w:val="auto"/>
              </w:rPr>
            </w:pPr>
            <w:r>
              <w:rPr>
                <w:rFonts w:ascii="Arial" w:cs="Arial" w:eastAsia="Arial" w:hAnsi="Arial"/>
                <w:sz w:val="16"/>
                <w:szCs w:val="16"/>
                <w:b w:val="1"/>
                <w:bCs w:val="1"/>
                <w:color w:val="auto"/>
              </w:rPr>
              <w:t>0.5</w:t>
            </w:r>
          </w:p>
        </w:tc>
        <w:tc>
          <w:tcPr>
            <w:tcW w:w="520" w:type="dxa"/>
            <w:vAlign w:val="bottom"/>
          </w:tcPr>
          <w:p>
            <w:pPr>
              <w:ind w:left="34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439"/>
              <w:spacing w:after="0"/>
              <w:rPr>
                <w:sz w:val="20"/>
                <w:szCs w:val="20"/>
                <w:color w:val="auto"/>
              </w:rPr>
            </w:pPr>
            <w:r>
              <w:rPr>
                <w:rFonts w:ascii="Arial" w:cs="Arial" w:eastAsia="Arial" w:hAnsi="Arial"/>
                <w:sz w:val="16"/>
                <w:szCs w:val="16"/>
                <w:b w:val="1"/>
                <w:bCs w:val="1"/>
                <w:color w:val="auto"/>
              </w:rPr>
              <w:t>46.2</w:t>
            </w:r>
          </w:p>
        </w:tc>
        <w:tc>
          <w:tcPr>
            <w:tcW w:w="540" w:type="dxa"/>
            <w:vAlign w:val="bottom"/>
          </w:tcPr>
          <w:p>
            <w:pPr>
              <w:ind w:left="340"/>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399"/>
              <w:spacing w:after="0"/>
              <w:rPr>
                <w:sz w:val="20"/>
                <w:szCs w:val="20"/>
                <w:color w:val="auto"/>
              </w:rPr>
            </w:pPr>
            <w:r>
              <w:rPr>
                <w:rFonts w:ascii="Arial" w:cs="Arial" w:eastAsia="Arial" w:hAnsi="Arial"/>
                <w:sz w:val="16"/>
                <w:szCs w:val="16"/>
                <w:b w:val="1"/>
                <w:bCs w:val="1"/>
                <w:color w:val="auto"/>
              </w:rPr>
              <w:t>1.3</w:t>
            </w:r>
          </w:p>
        </w:tc>
      </w:tr>
      <w:tr>
        <w:trPr>
          <w:trHeight w:val="216"/>
        </w:trPr>
        <w:tc>
          <w:tcPr>
            <w:tcW w:w="4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44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International - Major Markets </w:t>
            </w:r>
            <w:r>
              <w:rPr>
                <w:rFonts w:ascii="Arial" w:cs="Arial" w:eastAsia="Arial" w:hAnsi="Arial"/>
                <w:sz w:val="21"/>
                <w:szCs w:val="21"/>
                <w:color w:val="auto"/>
                <w:vertAlign w:val="superscript"/>
              </w:rPr>
              <w:t>(4)</w:t>
            </w:r>
          </w:p>
        </w:tc>
        <w:tc>
          <w:tcPr>
            <w:tcW w:w="760" w:type="dxa"/>
            <w:vAlign w:val="bottom"/>
          </w:tcPr>
          <w:p>
            <w:pPr>
              <w:ind w:left="56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19"/>
              <w:spacing w:after="0"/>
              <w:rPr>
                <w:sz w:val="20"/>
                <w:szCs w:val="20"/>
                <w:color w:val="auto"/>
              </w:rPr>
            </w:pPr>
            <w:r>
              <w:rPr>
                <w:rFonts w:ascii="Arial" w:cs="Arial" w:eastAsia="Arial" w:hAnsi="Arial"/>
                <w:sz w:val="16"/>
                <w:szCs w:val="16"/>
                <w:color w:val="auto"/>
              </w:rPr>
              <w:t>49.7</w:t>
            </w:r>
          </w:p>
        </w:tc>
        <w:tc>
          <w:tcPr>
            <w:tcW w:w="560" w:type="dxa"/>
            <w:vAlign w:val="bottom"/>
          </w:tcPr>
          <w:p>
            <w:pPr>
              <w:ind w:left="3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9"/>
              <w:spacing w:after="0"/>
              <w:rPr>
                <w:sz w:val="20"/>
                <w:szCs w:val="20"/>
                <w:color w:val="auto"/>
              </w:rPr>
            </w:pPr>
            <w:r>
              <w:rPr>
                <w:rFonts w:ascii="Arial" w:cs="Arial" w:eastAsia="Arial" w:hAnsi="Arial"/>
                <w:sz w:val="16"/>
                <w:szCs w:val="16"/>
                <w:color w:val="auto"/>
              </w:rPr>
              <w:t>48.0</w:t>
            </w:r>
          </w:p>
        </w:tc>
        <w:tc>
          <w:tcPr>
            <w:tcW w:w="520" w:type="dxa"/>
            <w:vAlign w:val="bottom"/>
          </w:tcPr>
          <w:p>
            <w:pPr>
              <w:ind w:left="3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39"/>
              <w:spacing w:after="0"/>
              <w:rPr>
                <w:sz w:val="20"/>
                <w:szCs w:val="20"/>
                <w:color w:val="auto"/>
              </w:rPr>
            </w:pPr>
            <w:r>
              <w:rPr>
                <w:rFonts w:ascii="Arial" w:cs="Arial" w:eastAsia="Arial" w:hAnsi="Arial"/>
                <w:sz w:val="16"/>
                <w:szCs w:val="16"/>
                <w:color w:val="auto"/>
              </w:rPr>
              <w:t>173.4</w:t>
            </w:r>
          </w:p>
        </w:tc>
        <w:tc>
          <w:tcPr>
            <w:tcW w:w="540" w:type="dxa"/>
            <w:vAlign w:val="bottom"/>
          </w:tcPr>
          <w:p>
            <w:pPr>
              <w:ind w:left="3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9"/>
              <w:spacing w:after="0"/>
              <w:rPr>
                <w:sz w:val="20"/>
                <w:szCs w:val="20"/>
                <w:color w:val="auto"/>
              </w:rPr>
            </w:pPr>
            <w:r>
              <w:rPr>
                <w:rFonts w:ascii="Arial" w:cs="Arial" w:eastAsia="Arial" w:hAnsi="Arial"/>
                <w:sz w:val="16"/>
                <w:szCs w:val="16"/>
                <w:color w:val="auto"/>
              </w:rPr>
              <w:t>171.2</w:t>
            </w:r>
          </w:p>
        </w:tc>
      </w:tr>
      <w:tr>
        <w:trPr>
          <w:trHeight w:val="216"/>
        </w:trPr>
        <w:tc>
          <w:tcPr>
            <w:tcW w:w="4400" w:type="dxa"/>
            <w:vAlign w:val="bottom"/>
            <w:tcBorders>
              <w:bottom w:val="single" w:sz="8" w:color="auto"/>
            </w:tcBorders>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International - Other Markets </w:t>
            </w:r>
            <w:r>
              <w:rPr>
                <w:rFonts w:ascii="Arial" w:cs="Arial" w:eastAsia="Arial" w:hAnsi="Arial"/>
                <w:sz w:val="21"/>
                <w:szCs w:val="21"/>
                <w:color w:val="auto"/>
                <w:vertAlign w:val="superscript"/>
              </w:rPr>
              <w:t>(5)</w:t>
            </w:r>
          </w:p>
        </w:tc>
        <w:tc>
          <w:tcPr>
            <w:tcW w:w="7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9.6</w:t>
            </w:r>
          </w:p>
        </w:tc>
        <w:tc>
          <w:tcPr>
            <w:tcW w:w="5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11.1</w:t>
            </w:r>
          </w:p>
        </w:tc>
        <w:tc>
          <w:tcPr>
            <w:tcW w:w="5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29.4</w:t>
            </w:r>
          </w:p>
        </w:tc>
        <w:tc>
          <w:tcPr>
            <w:tcW w:w="5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31.6</w:t>
            </w:r>
          </w:p>
        </w:tc>
      </w:tr>
      <w:tr>
        <w:trPr>
          <w:trHeight w:val="236"/>
        </w:trPr>
        <w:tc>
          <w:tcPr>
            <w:tcW w:w="4400" w:type="dxa"/>
            <w:vAlign w:val="bottom"/>
          </w:tcPr>
          <w:p>
            <w:pPr>
              <w:ind w:left="20"/>
              <w:spacing w:after="0"/>
              <w:rPr>
                <w:sz w:val="20"/>
                <w:szCs w:val="20"/>
                <w:color w:val="auto"/>
              </w:rPr>
            </w:pPr>
            <w:r>
              <w:rPr>
                <w:rFonts w:ascii="Arial" w:cs="Arial" w:eastAsia="Arial" w:hAnsi="Arial"/>
                <w:sz w:val="16"/>
                <w:szCs w:val="16"/>
                <w:b w:val="1"/>
                <w:bCs w:val="1"/>
                <w:color w:val="auto"/>
              </w:rPr>
              <w:t>Total International</w:t>
            </w:r>
          </w:p>
        </w:tc>
        <w:tc>
          <w:tcPr>
            <w:tcW w:w="760" w:type="dxa"/>
            <w:vAlign w:val="bottom"/>
          </w:tcPr>
          <w:p>
            <w:pPr>
              <w:ind w:left="560"/>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419"/>
              <w:spacing w:after="0"/>
              <w:rPr>
                <w:sz w:val="20"/>
                <w:szCs w:val="20"/>
                <w:color w:val="auto"/>
              </w:rPr>
            </w:pPr>
            <w:r>
              <w:rPr>
                <w:rFonts w:ascii="Arial" w:cs="Arial" w:eastAsia="Arial" w:hAnsi="Arial"/>
                <w:sz w:val="16"/>
                <w:szCs w:val="16"/>
                <w:b w:val="1"/>
                <w:bCs w:val="1"/>
                <w:color w:val="auto"/>
              </w:rPr>
              <w:t>59.3</w:t>
            </w:r>
          </w:p>
        </w:tc>
        <w:tc>
          <w:tcPr>
            <w:tcW w:w="560" w:type="dxa"/>
            <w:vAlign w:val="bottom"/>
          </w:tcPr>
          <w:p>
            <w:pPr>
              <w:ind w:left="360"/>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399"/>
              <w:spacing w:after="0"/>
              <w:rPr>
                <w:sz w:val="20"/>
                <w:szCs w:val="20"/>
                <w:color w:val="auto"/>
              </w:rPr>
            </w:pPr>
            <w:r>
              <w:rPr>
                <w:rFonts w:ascii="Arial" w:cs="Arial" w:eastAsia="Arial" w:hAnsi="Arial"/>
                <w:sz w:val="16"/>
                <w:szCs w:val="16"/>
                <w:b w:val="1"/>
                <w:bCs w:val="1"/>
                <w:color w:val="auto"/>
              </w:rPr>
              <w:t>59.1</w:t>
            </w:r>
          </w:p>
        </w:tc>
        <w:tc>
          <w:tcPr>
            <w:tcW w:w="520" w:type="dxa"/>
            <w:vAlign w:val="bottom"/>
          </w:tcPr>
          <w:p>
            <w:pPr>
              <w:ind w:left="34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439"/>
              <w:spacing w:after="0"/>
              <w:rPr>
                <w:sz w:val="20"/>
                <w:szCs w:val="20"/>
                <w:color w:val="auto"/>
              </w:rPr>
            </w:pPr>
            <w:r>
              <w:rPr>
                <w:rFonts w:ascii="Arial" w:cs="Arial" w:eastAsia="Arial" w:hAnsi="Arial"/>
                <w:sz w:val="16"/>
                <w:szCs w:val="16"/>
                <w:b w:val="1"/>
                <w:bCs w:val="1"/>
                <w:color w:val="auto"/>
              </w:rPr>
              <w:t>202.8</w:t>
            </w:r>
          </w:p>
        </w:tc>
        <w:tc>
          <w:tcPr>
            <w:tcW w:w="540" w:type="dxa"/>
            <w:vAlign w:val="bottom"/>
          </w:tcPr>
          <w:p>
            <w:pPr>
              <w:ind w:left="340"/>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399"/>
              <w:spacing w:after="0"/>
              <w:rPr>
                <w:sz w:val="20"/>
                <w:szCs w:val="20"/>
                <w:color w:val="auto"/>
              </w:rPr>
            </w:pPr>
            <w:r>
              <w:rPr>
                <w:rFonts w:ascii="Arial" w:cs="Arial" w:eastAsia="Arial" w:hAnsi="Arial"/>
                <w:sz w:val="16"/>
                <w:szCs w:val="16"/>
                <w:b w:val="1"/>
                <w:bCs w:val="1"/>
                <w:color w:val="auto"/>
              </w:rPr>
              <w:t>202.8</w:t>
            </w:r>
          </w:p>
        </w:tc>
      </w:tr>
      <w:tr>
        <w:trPr>
          <w:trHeight w:val="216"/>
        </w:trPr>
        <w:tc>
          <w:tcPr>
            <w:tcW w:w="4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4400" w:type="dxa"/>
            <w:vAlign w:val="bottom"/>
            <w:tcBorders>
              <w:bottom w:val="single" w:sz="8" w:color="auto"/>
            </w:tcBorders>
          </w:tcPr>
          <w:p>
            <w:pPr>
              <w:ind w:left="20"/>
              <w:spacing w:after="0" w:line="216" w:lineRule="exact"/>
              <w:rPr>
                <w:sz w:val="20"/>
                <w:szCs w:val="20"/>
                <w:color w:val="auto"/>
              </w:rPr>
            </w:pPr>
            <w:r>
              <w:rPr>
                <w:rFonts w:ascii="Arial" w:cs="Arial" w:eastAsia="Arial" w:hAnsi="Arial"/>
                <w:sz w:val="16"/>
                <w:szCs w:val="16"/>
                <w:color w:val="auto"/>
              </w:rPr>
              <w:t xml:space="preserve">Overhead </w:t>
            </w:r>
            <w:r>
              <w:rPr>
                <w:rFonts w:ascii="Arial" w:cs="Arial" w:eastAsia="Arial" w:hAnsi="Arial"/>
                <w:sz w:val="21"/>
                <w:szCs w:val="21"/>
                <w:color w:val="auto"/>
                <w:vertAlign w:val="superscript"/>
              </w:rPr>
              <w:t>(6)</w:t>
            </w:r>
          </w:p>
        </w:tc>
        <w:tc>
          <w:tcPr>
            <w:tcW w:w="76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2.8</w:t>
            </w:r>
          </w:p>
        </w:tc>
        <w:tc>
          <w:tcPr>
            <w:tcW w:w="56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2.5</w:t>
            </w:r>
          </w:p>
        </w:tc>
        <w:tc>
          <w:tcPr>
            <w:tcW w:w="52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8.4</w:t>
            </w:r>
          </w:p>
        </w:tc>
        <w:tc>
          <w:tcPr>
            <w:tcW w:w="54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7.3</w:t>
            </w:r>
          </w:p>
        </w:tc>
      </w:tr>
      <w:tr>
        <w:trPr>
          <w:trHeight w:val="23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Overhead</w:t>
            </w:r>
          </w:p>
        </w:tc>
        <w:tc>
          <w:tcPr>
            <w:tcW w:w="760" w:type="dxa"/>
            <w:vAlign w:val="bottom"/>
            <w:shd w:val="clear" w:color="auto" w:fill="CCEEFF"/>
          </w:tcPr>
          <w:p>
            <w:pPr>
              <w:ind w:left="560"/>
              <w:spacing w:after="0"/>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2.8</w:t>
            </w:r>
          </w:p>
        </w:tc>
        <w:tc>
          <w:tcPr>
            <w:tcW w:w="560" w:type="dxa"/>
            <w:vAlign w:val="bottom"/>
            <w:shd w:val="clear" w:color="auto" w:fill="CCEEFF"/>
          </w:tcPr>
          <w:p>
            <w:pPr>
              <w:ind w:left="360"/>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2.5</w:t>
            </w:r>
          </w:p>
        </w:tc>
        <w:tc>
          <w:tcPr>
            <w:tcW w:w="520" w:type="dxa"/>
            <w:vAlign w:val="bottom"/>
            <w:shd w:val="clear" w:color="auto" w:fill="CCEEFF"/>
          </w:tcPr>
          <w:p>
            <w:pPr>
              <w:ind w:left="340"/>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8.4</w:t>
            </w:r>
          </w:p>
        </w:tc>
        <w:tc>
          <w:tcPr>
            <w:tcW w:w="540" w:type="dxa"/>
            <w:vAlign w:val="bottom"/>
            <w:shd w:val="clear" w:color="auto" w:fill="CCEEFF"/>
          </w:tcPr>
          <w:p>
            <w:pPr>
              <w:ind w:left="340"/>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7.3</w:t>
            </w:r>
          </w:p>
        </w:tc>
      </w:tr>
      <w:tr>
        <w:trPr>
          <w:trHeight w:val="216"/>
        </w:trPr>
        <w:tc>
          <w:tcPr>
            <w:tcW w:w="4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36"/>
        </w:trPr>
        <w:tc>
          <w:tcPr>
            <w:tcW w:w="4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76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335.4</w:t>
            </w:r>
          </w:p>
        </w:tc>
        <w:tc>
          <w:tcPr>
            <w:tcW w:w="5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323.7</w:t>
            </w:r>
          </w:p>
        </w:tc>
        <w:tc>
          <w:tcPr>
            <w:tcW w:w="5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1,117.2</w:t>
            </w:r>
          </w:p>
        </w:tc>
        <w:tc>
          <w:tcPr>
            <w:tcW w:w="5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1,114.8</w:t>
            </w:r>
          </w:p>
        </w:tc>
      </w:tr>
    </w:tbl>
    <w:p>
      <w:pPr>
        <w:spacing w:after="0" w:line="72" w:lineRule="exact"/>
        <w:rPr>
          <w:sz w:val="20"/>
          <w:szCs w:val="20"/>
          <w:color w:val="auto"/>
        </w:rPr>
      </w:pPr>
    </w:p>
    <w:p>
      <w:pPr>
        <w:ind w:left="260" w:right="220" w:hanging="252"/>
        <w:spacing w:after="0" w:line="272" w:lineRule="auto"/>
        <w:tabs>
          <w:tab w:leader="none" w:pos="233"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The newly formed </w:t>
      </w:r>
      <w:r>
        <w:rPr>
          <w:rFonts w:ascii="Arial" w:cs="Arial" w:eastAsia="Arial" w:hAnsi="Arial"/>
          <w:sz w:val="14"/>
          <w:szCs w:val="14"/>
          <w:i w:val="1"/>
          <w:iCs w:val="1"/>
          <w:color w:val="auto"/>
        </w:rPr>
        <w:t>Entertainment</w:t>
      </w:r>
      <w:r>
        <w:rPr>
          <w:rFonts w:ascii="Arial" w:cs="Arial" w:eastAsia="Arial" w:hAnsi="Arial"/>
          <w:sz w:val="14"/>
          <w:szCs w:val="14"/>
          <w:color w:val="auto"/>
        </w:rPr>
        <w:t xml:space="preserve"> segment includes the operations of SEI, which were included in the Children’s Book Publishing and Distribution segment in prior periods, and 9 Story. The financial results for SEI for the three and nine months ended February 29, 2024 have been reclassified to </w:t>
      </w:r>
      <w:r>
        <w:rPr>
          <w:rFonts w:ascii="Arial" w:cs="Arial" w:eastAsia="Arial" w:hAnsi="Arial"/>
          <w:sz w:val="14"/>
          <w:szCs w:val="14"/>
          <w:i w:val="1"/>
          <w:iCs w:val="1"/>
          <w:color w:val="auto"/>
        </w:rPr>
        <w:t>Entertainment</w:t>
      </w:r>
      <w:r>
        <w:rPr>
          <w:rFonts w:ascii="Arial" w:cs="Arial" w:eastAsia="Arial" w:hAnsi="Arial"/>
          <w:sz w:val="14"/>
          <w:szCs w:val="14"/>
          <w:color w:val="auto"/>
        </w:rPr>
        <w:t xml:space="preserve"> to reflect this change.</w:t>
      </w:r>
    </w:p>
    <w:p>
      <w:pPr>
        <w:ind w:left="220" w:hanging="212"/>
        <w:spacing w:after="0"/>
        <w:tabs>
          <w:tab w:leader="none" w:pos="22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Primarily includes foreign rights and certain product sales in the UK.</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Primarily includes production, distribution and licensing revenues in Canada, Ireland and Indonesia.</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Canada, UK, Australia and New Zealand.</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Primarily includes markets in Asia.</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5"/>
        </w:numPr>
        <w:rPr>
          <w:rFonts w:ascii="Arial" w:cs="Arial" w:eastAsia="Arial" w:hAnsi="Arial"/>
          <w:sz w:val="14"/>
          <w:szCs w:val="14"/>
          <w:color w:val="auto"/>
        </w:rPr>
      </w:pPr>
      <w:r>
        <w:rPr>
          <w:rFonts w:ascii="Arial" w:cs="Arial" w:eastAsia="Arial" w:hAnsi="Arial"/>
          <w:sz w:val="14"/>
          <w:szCs w:val="14"/>
          <w:color w:val="auto"/>
        </w:rPr>
        <w:t>Overhead includes rental income related to leased space in the Company's headquarters.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Returns</w:t>
      </w:r>
    </w:p>
    <w:p>
      <w:pPr>
        <w:spacing w:after="0" w:line="25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 liability for expected returns of $33.3, $33.1, and $38.3 is recorded within Other accrued expenses as of February 28, 2025, May 31, 2024, and February 29, 2024, respectively. In addition, a return asset of $3.8, $4.2, and $4.4 is recorded within Prepaid expenses and other current assets as of February 28, 2025, May 31, 2024, and February 29, 2024, respectively, for the recoverable cost of product estimated to be returned by customers.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12" w:name="page13"/>
    <w:bookmarkEnd w:id="12"/>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SCHOLASTIC CORPORATION</w:t>
      </w:r>
    </w:p>
    <w:p>
      <w:pPr>
        <w:ind w:left="20" w:right="4040"/>
        <w:spacing w:after="0" w:line="244" w:lineRule="auto"/>
        <w:rPr>
          <w:sz w:val="20"/>
          <w:szCs w:val="20"/>
          <w:color w:val="auto"/>
        </w:rPr>
      </w:pPr>
      <w:r>
        <w:rPr>
          <w:rFonts w:ascii="Arial" w:cs="Arial" w:eastAsia="Arial" w:hAnsi="Arial"/>
          <w:sz w:val="18"/>
          <w:szCs w:val="18"/>
          <w:b w:val="1"/>
          <w:bCs w:val="1"/>
          <w:color w:val="auto"/>
        </w:rPr>
        <w:t>NOTES TO CONDENSED CONSOLIDATED FINANCIAL STATEMENTS – UNAUDITED (Dollar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Liabilities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further detail regarding the Company's contract liabilities as of the dates indicated: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4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2"/>
          </w:tcPr>
          <w:p>
            <w:pPr>
              <w:jc w:val="right"/>
              <w:ind w:right="299"/>
              <w:spacing w:after="0"/>
              <w:rPr>
                <w:sz w:val="20"/>
                <w:szCs w:val="20"/>
                <w:color w:val="auto"/>
              </w:rPr>
            </w:pPr>
            <w:r>
              <w:rPr>
                <w:rFonts w:ascii="Arial" w:cs="Arial" w:eastAsia="Arial" w:hAnsi="Arial"/>
                <w:sz w:val="16"/>
                <w:szCs w:val="16"/>
                <w:b w:val="1"/>
                <w:bCs w:val="1"/>
                <w:color w:val="auto"/>
              </w:rPr>
              <w:t>February 28, 2025</w:t>
            </w:r>
          </w:p>
        </w:tc>
        <w:tc>
          <w:tcPr>
            <w:tcW w:w="182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6"/>
                <w:szCs w:val="16"/>
                <w:b w:val="1"/>
                <w:bCs w:val="1"/>
                <w:color w:val="auto"/>
              </w:rPr>
              <w:t>May 31, 2024</w:t>
            </w:r>
          </w:p>
        </w:tc>
        <w:tc>
          <w:tcPr>
            <w:tcW w:w="208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6"/>
                <w:szCs w:val="16"/>
                <w:b w:val="1"/>
                <w:bCs w:val="1"/>
                <w:color w:val="auto"/>
              </w:rPr>
              <w:t>February 29, 2024</w:t>
            </w:r>
          </w:p>
        </w:tc>
      </w:tr>
      <w:tr>
        <w:trPr>
          <w:trHeight w:val="210"/>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Book fairs incentive credits</w:t>
            </w:r>
          </w:p>
        </w:tc>
        <w:tc>
          <w:tcPr>
            <w:tcW w:w="2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116.8</w:t>
            </w:r>
          </w:p>
        </w:tc>
        <w:tc>
          <w:tcPr>
            <w:tcW w:w="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114.2</w:t>
            </w:r>
          </w:p>
        </w:tc>
        <w:tc>
          <w:tcPr>
            <w:tcW w:w="8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109.9</w:t>
            </w:r>
          </w:p>
        </w:tc>
      </w:tr>
      <w:tr>
        <w:trPr>
          <w:trHeight w:val="215"/>
        </w:trPr>
        <w:tc>
          <w:tcPr>
            <w:tcW w:w="3740" w:type="dxa"/>
            <w:vAlign w:val="bottom"/>
          </w:tcPr>
          <w:p>
            <w:pPr>
              <w:ind w:left="20"/>
              <w:spacing w:after="0"/>
              <w:rPr>
                <w:sz w:val="20"/>
                <w:szCs w:val="20"/>
                <w:color w:val="auto"/>
              </w:rPr>
            </w:pPr>
            <w:r>
              <w:rPr>
                <w:rFonts w:ascii="Arial" w:cs="Arial" w:eastAsia="Arial" w:hAnsi="Arial"/>
                <w:sz w:val="16"/>
                <w:szCs w:val="16"/>
                <w:color w:val="auto"/>
              </w:rPr>
              <w:t>Magazines+ subscriptions</w:t>
            </w:r>
          </w:p>
        </w:tc>
        <w:tc>
          <w:tcPr>
            <w:tcW w:w="2220" w:type="dxa"/>
            <w:vAlign w:val="bottom"/>
          </w:tcPr>
          <w:p>
            <w:pPr>
              <w:spacing w:after="0"/>
              <w:rPr>
                <w:sz w:val="18"/>
                <w:szCs w:val="18"/>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color w:val="auto"/>
              </w:rPr>
              <w:t>28.1</w:t>
            </w:r>
          </w:p>
        </w:tc>
        <w:tc>
          <w:tcPr>
            <w:tcW w:w="660" w:type="dxa"/>
            <w:vAlign w:val="bottom"/>
          </w:tcPr>
          <w:p>
            <w:pPr>
              <w:spacing w:after="0"/>
              <w:rPr>
                <w:sz w:val="18"/>
                <w:szCs w:val="18"/>
                <w:color w:val="auto"/>
              </w:rPr>
            </w:pPr>
          </w:p>
        </w:tc>
        <w:tc>
          <w:tcPr>
            <w:tcW w:w="1160" w:type="dxa"/>
            <w:vAlign w:val="bottom"/>
          </w:tcPr>
          <w:p>
            <w:pPr>
              <w:jc w:val="right"/>
              <w:ind w:right="459"/>
              <w:spacing w:after="0"/>
              <w:rPr>
                <w:sz w:val="20"/>
                <w:szCs w:val="20"/>
                <w:color w:val="auto"/>
              </w:rPr>
            </w:pPr>
            <w:r>
              <w:rPr>
                <w:rFonts w:ascii="Arial" w:cs="Arial" w:eastAsia="Arial" w:hAnsi="Arial"/>
                <w:sz w:val="16"/>
                <w:szCs w:val="16"/>
                <w:color w:val="auto"/>
              </w:rPr>
              <w:t>4.6</w:t>
            </w:r>
          </w:p>
        </w:tc>
        <w:tc>
          <w:tcPr>
            <w:tcW w:w="840" w:type="dxa"/>
            <w:vAlign w:val="bottom"/>
          </w:tcPr>
          <w:p>
            <w:pPr>
              <w:spacing w:after="0"/>
              <w:rPr>
                <w:sz w:val="18"/>
                <w:szCs w:val="18"/>
                <w:color w:val="auto"/>
              </w:rPr>
            </w:pPr>
          </w:p>
        </w:tc>
        <w:tc>
          <w:tcPr>
            <w:tcW w:w="1240" w:type="dxa"/>
            <w:vAlign w:val="bottom"/>
          </w:tcPr>
          <w:p>
            <w:pPr>
              <w:jc w:val="right"/>
              <w:ind w:right="559"/>
              <w:spacing w:after="0"/>
              <w:rPr>
                <w:sz w:val="20"/>
                <w:szCs w:val="20"/>
                <w:color w:val="auto"/>
              </w:rPr>
            </w:pPr>
            <w:r>
              <w:rPr>
                <w:rFonts w:ascii="Arial" w:cs="Arial" w:eastAsia="Arial" w:hAnsi="Arial"/>
                <w:sz w:val="16"/>
                <w:szCs w:val="16"/>
                <w:color w:val="auto"/>
              </w:rPr>
              <w:t>30.5</w:t>
            </w:r>
          </w:p>
        </w:tc>
      </w:tr>
      <w:tr>
        <w:trPr>
          <w:trHeight w:val="217"/>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digital subscriptions</w:t>
            </w:r>
          </w:p>
        </w:tc>
        <w:tc>
          <w:tcPr>
            <w:tcW w:w="2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15.3</w:t>
            </w: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15.6</w:t>
            </w:r>
          </w:p>
        </w:tc>
        <w:tc>
          <w:tcPr>
            <w:tcW w:w="8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16.8</w:t>
            </w:r>
          </w:p>
        </w:tc>
      </w:tr>
      <w:tr>
        <w:trPr>
          <w:trHeight w:val="216"/>
        </w:trPr>
        <w:tc>
          <w:tcPr>
            <w:tcW w:w="37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U.S. education-related </w:t>
            </w:r>
            <w:r>
              <w:rPr>
                <w:rFonts w:ascii="Arial" w:cs="Arial" w:eastAsia="Arial" w:hAnsi="Arial"/>
                <w:sz w:val="21"/>
                <w:szCs w:val="21"/>
                <w:color w:val="auto"/>
                <w:vertAlign w:val="superscript"/>
              </w:rPr>
              <w:t>(1)</w:t>
            </w:r>
          </w:p>
        </w:tc>
        <w:tc>
          <w:tcPr>
            <w:tcW w:w="2220" w:type="dxa"/>
            <w:vAlign w:val="bottom"/>
          </w:tcPr>
          <w:p>
            <w:pPr>
              <w:spacing w:after="0"/>
              <w:rPr>
                <w:sz w:val="18"/>
                <w:szCs w:val="18"/>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color w:val="auto"/>
              </w:rPr>
              <w:t>9.5</w:t>
            </w:r>
          </w:p>
        </w:tc>
        <w:tc>
          <w:tcPr>
            <w:tcW w:w="660" w:type="dxa"/>
            <w:vAlign w:val="bottom"/>
          </w:tcPr>
          <w:p>
            <w:pPr>
              <w:spacing w:after="0"/>
              <w:rPr>
                <w:sz w:val="18"/>
                <w:szCs w:val="18"/>
                <w:color w:val="auto"/>
              </w:rPr>
            </w:pPr>
          </w:p>
        </w:tc>
        <w:tc>
          <w:tcPr>
            <w:tcW w:w="1160" w:type="dxa"/>
            <w:vAlign w:val="bottom"/>
          </w:tcPr>
          <w:p>
            <w:pPr>
              <w:jc w:val="right"/>
              <w:ind w:right="459"/>
              <w:spacing w:after="0"/>
              <w:rPr>
                <w:sz w:val="20"/>
                <w:szCs w:val="20"/>
                <w:color w:val="auto"/>
              </w:rPr>
            </w:pPr>
            <w:r>
              <w:rPr>
                <w:rFonts w:ascii="Arial" w:cs="Arial" w:eastAsia="Arial" w:hAnsi="Arial"/>
                <w:sz w:val="16"/>
                <w:szCs w:val="16"/>
                <w:color w:val="auto"/>
              </w:rPr>
              <w:t>10.1</w:t>
            </w:r>
          </w:p>
        </w:tc>
        <w:tc>
          <w:tcPr>
            <w:tcW w:w="840" w:type="dxa"/>
            <w:vAlign w:val="bottom"/>
          </w:tcPr>
          <w:p>
            <w:pPr>
              <w:spacing w:after="0"/>
              <w:rPr>
                <w:sz w:val="18"/>
                <w:szCs w:val="18"/>
                <w:color w:val="auto"/>
              </w:rPr>
            </w:pPr>
          </w:p>
        </w:tc>
        <w:tc>
          <w:tcPr>
            <w:tcW w:w="1240" w:type="dxa"/>
            <w:vAlign w:val="bottom"/>
          </w:tcPr>
          <w:p>
            <w:pPr>
              <w:jc w:val="right"/>
              <w:ind w:right="559"/>
              <w:spacing w:after="0"/>
              <w:rPr>
                <w:sz w:val="20"/>
                <w:szCs w:val="20"/>
                <w:color w:val="auto"/>
              </w:rPr>
            </w:pPr>
            <w:r>
              <w:rPr>
                <w:rFonts w:ascii="Arial" w:cs="Arial" w:eastAsia="Arial" w:hAnsi="Arial"/>
                <w:sz w:val="16"/>
                <w:szCs w:val="16"/>
                <w:color w:val="auto"/>
              </w:rPr>
              <w:t>10.6</w:t>
            </w:r>
          </w:p>
        </w:tc>
      </w:tr>
      <w:tr>
        <w:trPr>
          <w:trHeight w:val="216"/>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Media-related</w:t>
            </w:r>
          </w:p>
        </w:tc>
        <w:tc>
          <w:tcPr>
            <w:tcW w:w="2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7.3</w:t>
            </w: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0.0</w:t>
            </w:r>
          </w:p>
        </w:tc>
        <w:tc>
          <w:tcPr>
            <w:tcW w:w="8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0.1</w:t>
            </w:r>
          </w:p>
        </w:tc>
      </w:tr>
      <w:tr>
        <w:trPr>
          <w:trHeight w:val="215"/>
        </w:trPr>
        <w:tc>
          <w:tcPr>
            <w:tcW w:w="3740" w:type="dxa"/>
            <w:vAlign w:val="bottom"/>
          </w:tcPr>
          <w:p>
            <w:pPr>
              <w:ind w:left="20"/>
              <w:spacing w:after="0"/>
              <w:rPr>
                <w:sz w:val="20"/>
                <w:szCs w:val="20"/>
                <w:color w:val="auto"/>
              </w:rPr>
            </w:pPr>
            <w:r>
              <w:rPr>
                <w:rFonts w:ascii="Arial" w:cs="Arial" w:eastAsia="Arial" w:hAnsi="Arial"/>
                <w:sz w:val="16"/>
                <w:szCs w:val="16"/>
                <w:color w:val="auto"/>
              </w:rPr>
              <w:t>Stored value cards</w:t>
            </w:r>
          </w:p>
        </w:tc>
        <w:tc>
          <w:tcPr>
            <w:tcW w:w="2220" w:type="dxa"/>
            <w:vAlign w:val="bottom"/>
          </w:tcPr>
          <w:p>
            <w:pPr>
              <w:spacing w:after="0"/>
              <w:rPr>
                <w:sz w:val="18"/>
                <w:szCs w:val="18"/>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color w:val="auto"/>
              </w:rPr>
              <w:t>25.8</w:t>
            </w:r>
          </w:p>
        </w:tc>
        <w:tc>
          <w:tcPr>
            <w:tcW w:w="660" w:type="dxa"/>
            <w:vAlign w:val="bottom"/>
          </w:tcPr>
          <w:p>
            <w:pPr>
              <w:spacing w:after="0"/>
              <w:rPr>
                <w:sz w:val="18"/>
                <w:szCs w:val="18"/>
                <w:color w:val="auto"/>
              </w:rPr>
            </w:pPr>
          </w:p>
        </w:tc>
        <w:tc>
          <w:tcPr>
            <w:tcW w:w="1160" w:type="dxa"/>
            <w:vAlign w:val="bottom"/>
          </w:tcPr>
          <w:p>
            <w:pPr>
              <w:jc w:val="right"/>
              <w:ind w:right="459"/>
              <w:spacing w:after="0"/>
              <w:rPr>
                <w:sz w:val="20"/>
                <w:szCs w:val="20"/>
                <w:color w:val="auto"/>
              </w:rPr>
            </w:pPr>
            <w:r>
              <w:rPr>
                <w:rFonts w:ascii="Arial" w:cs="Arial" w:eastAsia="Arial" w:hAnsi="Arial"/>
                <w:sz w:val="16"/>
                <w:szCs w:val="16"/>
                <w:color w:val="auto"/>
              </w:rPr>
              <w:t>16.7</w:t>
            </w:r>
          </w:p>
        </w:tc>
        <w:tc>
          <w:tcPr>
            <w:tcW w:w="840" w:type="dxa"/>
            <w:vAlign w:val="bottom"/>
          </w:tcPr>
          <w:p>
            <w:pPr>
              <w:spacing w:after="0"/>
              <w:rPr>
                <w:sz w:val="18"/>
                <w:szCs w:val="18"/>
                <w:color w:val="auto"/>
              </w:rPr>
            </w:pPr>
          </w:p>
        </w:tc>
        <w:tc>
          <w:tcPr>
            <w:tcW w:w="1240" w:type="dxa"/>
            <w:vAlign w:val="bottom"/>
          </w:tcPr>
          <w:p>
            <w:pPr>
              <w:jc w:val="right"/>
              <w:ind w:right="559"/>
              <w:spacing w:after="0"/>
              <w:rPr>
                <w:sz w:val="20"/>
                <w:szCs w:val="20"/>
                <w:color w:val="auto"/>
              </w:rPr>
            </w:pPr>
            <w:r>
              <w:rPr>
                <w:rFonts w:ascii="Arial" w:cs="Arial" w:eastAsia="Arial" w:hAnsi="Arial"/>
                <w:sz w:val="16"/>
                <w:szCs w:val="16"/>
                <w:color w:val="auto"/>
              </w:rPr>
              <w:t>20.1</w:t>
            </w:r>
          </w:p>
        </w:tc>
      </w:tr>
      <w:tr>
        <w:trPr>
          <w:trHeight w:val="217"/>
        </w:trPr>
        <w:tc>
          <w:tcPr>
            <w:tcW w:w="3740" w:type="dxa"/>
            <w:vAlign w:val="bottom"/>
            <w:tcBorders>
              <w:bottom w:val="single" w:sz="8" w:color="auto"/>
            </w:tcBorders>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2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7.5</w:t>
            </w:r>
          </w:p>
        </w:tc>
        <w:tc>
          <w:tcPr>
            <w:tcW w:w="6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6.4</w:t>
            </w:r>
          </w:p>
        </w:tc>
        <w:tc>
          <w:tcPr>
            <w:tcW w:w="8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rPr>
              <w:t>12.1</w:t>
            </w:r>
          </w:p>
        </w:tc>
      </w:tr>
      <w:tr>
        <w:trPr>
          <w:trHeight w:val="209"/>
        </w:trPr>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contract liabilities</w:t>
            </w:r>
          </w:p>
        </w:tc>
        <w:tc>
          <w:tcPr>
            <w:tcW w:w="2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210.3</w:t>
            </w:r>
          </w:p>
        </w:tc>
        <w:tc>
          <w:tcPr>
            <w:tcW w:w="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167.6</w:t>
            </w:r>
          </w:p>
        </w:tc>
        <w:tc>
          <w:tcPr>
            <w:tcW w:w="8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200.1</w:t>
            </w:r>
          </w:p>
        </w:tc>
      </w:tr>
    </w:tbl>
    <w:p>
      <w:pPr>
        <w:spacing w:after="0" w:line="85"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Primarily includes contract liabilities related to contracts with school districts and professional services.</w:t>
      </w:r>
    </w:p>
    <w:p>
      <w:pPr>
        <w:spacing w:after="0" w:line="15" w:lineRule="exact"/>
        <w:rPr>
          <w:rFonts w:ascii="Arial" w:cs="Arial" w:eastAsia="Arial" w:hAnsi="Arial"/>
          <w:sz w:val="14"/>
          <w:szCs w:val="14"/>
          <w:color w:val="auto"/>
        </w:rPr>
      </w:pPr>
    </w:p>
    <w:p>
      <w:pPr>
        <w:ind w:left="220" w:hanging="212"/>
        <w:spacing w:after="0"/>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Primarily includes contract liabilities related to various international products and services.</w:t>
      </w:r>
    </w:p>
    <w:p>
      <w:pPr>
        <w:spacing w:after="0" w:line="23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contract liabilities consist of advance billings and payments received from customers in excess of revenue recognized and revenue allocated to outstanding book fairs incentive credits. Contract liabilities of $205.2, $161.1 and $193.8 as of February 28, 2025, May 31, 2024 and February 29, 2024, respectively, are recorded within Deferred revenue on the Company's Condensed Consolidated Balance Sheets and are classified as short term, as substantially all of the associated performance obligations are expected to be satisfied, and related revenue recognized, within one year. The remaining $5.1, $6.5 and $6.3 of contract liabilities as of February 28, 2025, May 31, 2024 and February 29, 2024, respectively, are recorded within Other noncurrent liabilities on the Company's Condensed Consolidated Balance Sheet as the associated performance obligations are expected to be satisfied, and related revenue recognized, in excess of one year. The Company recognized revenue which was included in the opening Deferred revenue balance in the amount of $35.1 and $106.2 for the three and nine months ended February 28, 2025, respectively, and $33.0 and $113.7 for the three and nine months ended February 29, 2024,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w:t>
      </w: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recognizes an allowance for credit losses on customer receivables that are expected to be incurred over the lifetime of the receivable. Reserves for estimated credit losses are established at the time of sale and are based on relevant information about past events, current conditions, and supportable forecasts impacting its ultimate collectability, including specific reserves on a customer-by-customer basis, creditworthiness of the Company’s customers and prior collection experience. The Company reviews new information as it becomes available and makes adjustments to the reserves accordingly. At the time the Company determines that a receivable balance, or any portion thereof, is deemed to be permanently uncollectible, the balance is then written off.</w:t>
      </w:r>
    </w:p>
    <w:p>
      <w:pPr>
        <w:spacing w:after="0" w:line="209"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following table presents the change in the allowance for credit losses, which is included in Accounts Receivable, net on the Condensed Consolidated Balance Sheets: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2140" w:type="dxa"/>
            <w:vAlign w:val="bottom"/>
            <w:gridSpan w:val="2"/>
          </w:tcPr>
          <w:p>
            <w:pPr>
              <w:jc w:val="right"/>
              <w:spacing w:after="0"/>
              <w:rPr>
                <w:sz w:val="20"/>
                <w:szCs w:val="20"/>
                <w:color w:val="auto"/>
              </w:rPr>
            </w:pPr>
            <w:r>
              <w:rPr>
                <w:rFonts w:ascii="Arial" w:cs="Arial" w:eastAsia="Arial" w:hAnsi="Arial"/>
                <w:sz w:val="16"/>
                <w:szCs w:val="16"/>
                <w:b w:val="1"/>
                <w:bCs w:val="1"/>
                <w:color w:val="auto"/>
              </w:rPr>
              <w:t>Allowance for Credit</w:t>
            </w:r>
          </w:p>
        </w:tc>
      </w:tr>
      <w:tr>
        <w:trPr>
          <w:trHeight w:val="226"/>
        </w:trPr>
        <w:tc>
          <w:tcPr>
            <w:tcW w:w="3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Losses</w:t>
            </w:r>
          </w:p>
        </w:tc>
      </w:tr>
      <w:tr>
        <w:trPr>
          <w:trHeight w:val="240"/>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June 1, 2024</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14.9</w:t>
            </w:r>
          </w:p>
        </w:tc>
      </w:tr>
      <w:tr>
        <w:trPr>
          <w:trHeight w:val="215"/>
        </w:trPr>
        <w:tc>
          <w:tcPr>
            <w:tcW w:w="3100" w:type="dxa"/>
            <w:vAlign w:val="bottom"/>
          </w:tcPr>
          <w:p>
            <w:pPr>
              <w:ind w:left="20"/>
              <w:spacing w:after="0"/>
              <w:rPr>
                <w:sz w:val="20"/>
                <w:szCs w:val="20"/>
                <w:color w:val="auto"/>
              </w:rPr>
            </w:pPr>
            <w:r>
              <w:rPr>
                <w:rFonts w:ascii="Arial" w:cs="Arial" w:eastAsia="Arial" w:hAnsi="Arial"/>
                <w:sz w:val="16"/>
                <w:szCs w:val="16"/>
                <w:color w:val="auto"/>
              </w:rPr>
              <w:t>Provision (benefit)</w:t>
            </w:r>
          </w:p>
        </w:tc>
        <w:tc>
          <w:tcPr>
            <w:tcW w:w="960" w:type="dxa"/>
            <w:vAlign w:val="bottom"/>
          </w:tcPr>
          <w:p>
            <w:pPr>
              <w:spacing w:after="0"/>
              <w:rPr>
                <w:sz w:val="18"/>
                <w:szCs w:val="18"/>
                <w:color w:val="auto"/>
              </w:rPr>
            </w:pPr>
          </w:p>
        </w:tc>
        <w:tc>
          <w:tcPr>
            <w:tcW w:w="1180" w:type="dxa"/>
            <w:vAlign w:val="bottom"/>
          </w:tcPr>
          <w:p>
            <w:pPr>
              <w:jc w:val="right"/>
              <w:ind w:right="419"/>
              <w:spacing w:after="0"/>
              <w:rPr>
                <w:sz w:val="20"/>
                <w:szCs w:val="20"/>
                <w:color w:val="auto"/>
              </w:rPr>
            </w:pPr>
            <w:r>
              <w:rPr>
                <w:rFonts w:ascii="Arial" w:cs="Arial" w:eastAsia="Arial" w:hAnsi="Arial"/>
                <w:sz w:val="16"/>
                <w:szCs w:val="16"/>
                <w:color w:val="auto"/>
              </w:rPr>
              <w:t>0.9</w:t>
            </w:r>
          </w:p>
        </w:tc>
      </w:tr>
      <w:tr>
        <w:trPr>
          <w:trHeight w:val="216"/>
        </w:trPr>
        <w:tc>
          <w:tcPr>
            <w:tcW w:w="3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Write-offs and other</w:t>
            </w:r>
          </w:p>
        </w:tc>
        <w:tc>
          <w:tcPr>
            <w:tcW w:w="9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(0.4)</w:t>
            </w:r>
          </w:p>
        </w:tc>
      </w:tr>
      <w:tr>
        <w:trPr>
          <w:trHeight w:val="237"/>
        </w:trPr>
        <w:tc>
          <w:tcPr>
            <w:tcW w:w="3100" w:type="dxa"/>
            <w:vAlign w:val="bottom"/>
          </w:tcPr>
          <w:p>
            <w:pPr>
              <w:ind w:left="20"/>
              <w:spacing w:after="0"/>
              <w:rPr>
                <w:sz w:val="20"/>
                <w:szCs w:val="20"/>
                <w:color w:val="auto"/>
              </w:rPr>
            </w:pPr>
            <w:r>
              <w:rPr>
                <w:rFonts w:ascii="Arial" w:cs="Arial" w:eastAsia="Arial" w:hAnsi="Arial"/>
                <w:sz w:val="16"/>
                <w:szCs w:val="16"/>
                <w:b w:val="1"/>
                <w:bCs w:val="1"/>
                <w:color w:val="auto"/>
              </w:rPr>
              <w:t>Balance as of August 31, 2024</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419"/>
              <w:spacing w:after="0"/>
              <w:rPr>
                <w:sz w:val="20"/>
                <w:szCs w:val="20"/>
                <w:color w:val="auto"/>
              </w:rPr>
            </w:pPr>
            <w:r>
              <w:rPr>
                <w:rFonts w:ascii="Arial" w:cs="Arial" w:eastAsia="Arial" w:hAnsi="Arial"/>
                <w:sz w:val="16"/>
                <w:szCs w:val="16"/>
                <w:b w:val="1"/>
                <w:bCs w:val="1"/>
                <w:color w:val="auto"/>
              </w:rPr>
              <w:t>15.4</w:t>
            </w:r>
          </w:p>
        </w:tc>
      </w:tr>
      <w:tr>
        <w:trPr>
          <w:trHeight w:val="216"/>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(benefit)</w:t>
            </w:r>
          </w:p>
        </w:tc>
        <w:tc>
          <w:tcPr>
            <w:tcW w:w="9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2.1</w:t>
            </w:r>
          </w:p>
        </w:tc>
      </w:tr>
      <w:tr>
        <w:trPr>
          <w:trHeight w:val="215"/>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Write-offs and other</w:t>
            </w:r>
          </w:p>
        </w:tc>
        <w:tc>
          <w:tcPr>
            <w:tcW w:w="9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(2.6)</w:t>
            </w:r>
          </w:p>
        </w:tc>
      </w:tr>
      <w:tr>
        <w:trPr>
          <w:trHeight w:val="210"/>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November 30, 2024</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14.9</w:t>
            </w:r>
          </w:p>
        </w:tc>
      </w:tr>
      <w:tr>
        <w:trPr>
          <w:trHeight w:val="215"/>
        </w:trPr>
        <w:tc>
          <w:tcPr>
            <w:tcW w:w="3100" w:type="dxa"/>
            <w:vAlign w:val="bottom"/>
          </w:tcPr>
          <w:p>
            <w:pPr>
              <w:ind w:left="20"/>
              <w:spacing w:after="0"/>
              <w:rPr>
                <w:sz w:val="20"/>
                <w:szCs w:val="20"/>
                <w:color w:val="auto"/>
              </w:rPr>
            </w:pPr>
            <w:r>
              <w:rPr>
                <w:rFonts w:ascii="Arial" w:cs="Arial" w:eastAsia="Arial" w:hAnsi="Arial"/>
                <w:sz w:val="16"/>
                <w:szCs w:val="16"/>
                <w:color w:val="auto"/>
              </w:rPr>
              <w:t>Provision (benefit)</w:t>
            </w:r>
          </w:p>
        </w:tc>
        <w:tc>
          <w:tcPr>
            <w:tcW w:w="960" w:type="dxa"/>
            <w:vAlign w:val="bottom"/>
          </w:tcPr>
          <w:p>
            <w:pPr>
              <w:spacing w:after="0"/>
              <w:rPr>
                <w:sz w:val="18"/>
                <w:szCs w:val="18"/>
                <w:color w:val="auto"/>
              </w:rPr>
            </w:pPr>
          </w:p>
        </w:tc>
        <w:tc>
          <w:tcPr>
            <w:tcW w:w="1180" w:type="dxa"/>
            <w:vAlign w:val="bottom"/>
          </w:tcPr>
          <w:p>
            <w:pPr>
              <w:jc w:val="right"/>
              <w:ind w:right="419"/>
              <w:spacing w:after="0"/>
              <w:rPr>
                <w:sz w:val="20"/>
                <w:szCs w:val="20"/>
                <w:color w:val="auto"/>
              </w:rPr>
            </w:pPr>
            <w:r>
              <w:rPr>
                <w:rFonts w:ascii="Arial" w:cs="Arial" w:eastAsia="Arial" w:hAnsi="Arial"/>
                <w:sz w:val="16"/>
                <w:szCs w:val="16"/>
                <w:color w:val="auto"/>
              </w:rPr>
              <w:t>0.9</w:t>
            </w:r>
          </w:p>
        </w:tc>
      </w:tr>
      <w:tr>
        <w:trPr>
          <w:trHeight w:val="216"/>
        </w:trPr>
        <w:tc>
          <w:tcPr>
            <w:tcW w:w="3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Write-offs and other</w:t>
            </w:r>
          </w:p>
        </w:tc>
        <w:tc>
          <w:tcPr>
            <w:tcW w:w="9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(1.9)</w:t>
            </w:r>
          </w:p>
        </w:tc>
      </w:tr>
      <w:tr>
        <w:trPr>
          <w:trHeight w:val="210"/>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as of February 28, 2025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13.9</w:t>
            </w:r>
          </w:p>
        </w:tc>
      </w:tr>
    </w:tbl>
    <w:p>
      <w:pPr>
        <w:spacing w:after="0" w:line="200" w:lineRule="exact"/>
        <w:rPr>
          <w:sz w:val="20"/>
          <w:szCs w:val="20"/>
          <w:color w:val="auto"/>
        </w:rPr>
      </w:pPr>
    </w:p>
    <w:p>
      <w:pPr>
        <w:sectPr>
          <w:pgSz w:w="11900" w:h="16838" w:orient="portrait"/>
          <w:cols w:equalWidth="0" w:num="1">
            <w:col w:w="11180"/>
          </w:cols>
          <w:pgMar w:left="320" w:top="16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61" w:right="399" w:bottom="1440" w:gutter="0" w:footer="0" w:header="0"/>
          <w:type w:val="continuous"/>
        </w:sectPr>
      </w:pPr>
    </w:p>
    <w:bookmarkStart w:id="13" w:name="page14"/>
    <w:bookmarkEnd w:id="13"/>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SCHOLASTIC CORPORATION</w:t>
      </w:r>
    </w:p>
    <w:p>
      <w:pPr>
        <w:ind w:left="20" w:right="4100"/>
        <w:spacing w:after="0" w:line="244" w:lineRule="auto"/>
        <w:rPr>
          <w:sz w:val="20"/>
          <w:szCs w:val="20"/>
          <w:color w:val="auto"/>
        </w:rPr>
      </w:pPr>
      <w:r>
        <w:rPr>
          <w:rFonts w:ascii="Arial" w:cs="Arial" w:eastAsia="Arial" w:hAnsi="Arial"/>
          <w:sz w:val="18"/>
          <w:szCs w:val="18"/>
          <w:b w:val="1"/>
          <w:bCs w:val="1"/>
          <w:color w:val="auto"/>
        </w:rPr>
        <w:t>NOTES TO CONDENSED CONSOLIDATED FINANCIAL STATEMENTS – UNAUDITED (Dollar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 INFORMATION</w:t>
      </w:r>
    </w:p>
    <w:p>
      <w:pPr>
        <w:spacing w:after="0" w:line="252"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 xml:space="preserve">The Company categorizes its businesses into four reportable segments: </w:t>
      </w:r>
      <w:r>
        <w:rPr>
          <w:rFonts w:ascii="Arial" w:cs="Arial" w:eastAsia="Arial" w:hAnsi="Arial"/>
          <w:sz w:val="18"/>
          <w:szCs w:val="18"/>
          <w:i w:val="1"/>
          <w:iCs w:val="1"/>
          <w:color w:val="auto"/>
        </w:rPr>
        <w:t>Children’s Book Publishing and Distribution, Education Solutions,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Entertainment </w:t>
      </w:r>
      <w:r>
        <w:rPr>
          <w:rFonts w:ascii="Arial" w:cs="Arial" w:eastAsia="Arial" w:hAnsi="Arial"/>
          <w:sz w:val="18"/>
          <w:szCs w:val="18"/>
          <w:color w:val="auto"/>
        </w:rPr>
        <w:t>and</w:t>
      </w:r>
      <w:r>
        <w:rPr>
          <w:rFonts w:ascii="Arial" w:cs="Arial" w:eastAsia="Arial" w:hAnsi="Arial"/>
          <w:sz w:val="18"/>
          <w:szCs w:val="18"/>
          <w:i w:val="1"/>
          <w:iCs w:val="1"/>
          <w:color w:val="auto"/>
        </w:rPr>
        <w:t xml:space="preserve"> International</w:t>
      </w:r>
      <w:r>
        <w:rPr>
          <w:rFonts w:ascii="Arial" w:cs="Arial" w:eastAsia="Arial" w:hAnsi="Arial"/>
          <w:sz w:val="18"/>
          <w:szCs w:val="18"/>
          <w:color w:val="auto"/>
        </w:rPr>
        <w:t>.</w:t>
      </w:r>
    </w:p>
    <w:p>
      <w:pPr>
        <w:spacing w:after="0" w:line="153" w:lineRule="exact"/>
        <w:rPr>
          <w:sz w:val="20"/>
          <w:szCs w:val="20"/>
          <w:color w:val="auto"/>
        </w:rPr>
      </w:pPr>
    </w:p>
    <w:p>
      <w:pPr>
        <w:ind w:left="580" w:right="160" w:hanging="329"/>
        <w:spacing w:after="0" w:line="262" w:lineRule="auto"/>
        <w:tabs>
          <w:tab w:leader="none" w:pos="56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Children’s Book Publishing and Distribution </w:t>
      </w:r>
      <w:r>
        <w:rPr>
          <w:rFonts w:ascii="Arial" w:cs="Arial" w:eastAsia="Arial" w:hAnsi="Arial"/>
          <w:sz w:val="18"/>
          <w:szCs w:val="18"/>
          <w:color w:val="auto"/>
        </w:rPr>
        <w:t>operates as an integrated business which includes the publication and distribution of</w:t>
      </w:r>
      <w:r>
        <w:rPr>
          <w:rFonts w:ascii="Arial" w:cs="Arial" w:eastAsia="Arial" w:hAnsi="Arial"/>
          <w:sz w:val="18"/>
          <w:szCs w:val="18"/>
          <w:b w:val="1"/>
          <w:bCs w:val="1"/>
          <w:color w:val="auto"/>
        </w:rPr>
        <w:t xml:space="preserve"> </w:t>
      </w:r>
      <w:r>
        <w:rPr>
          <w:rFonts w:ascii="Arial" w:cs="Arial" w:eastAsia="Arial" w:hAnsi="Arial"/>
          <w:sz w:val="18"/>
          <w:szCs w:val="18"/>
          <w:color w:val="auto"/>
        </w:rPr>
        <w:t>children’s books, ebooks, media and interactive products primarily in the United States through its School Reading Events business, which includes the book clubs and book fairs channels, and through the trade channel. This segment is comprised of two operating segments.</w:t>
      </w:r>
    </w:p>
    <w:p>
      <w:pPr>
        <w:spacing w:after="0" w:line="203" w:lineRule="exact"/>
        <w:rPr>
          <w:rFonts w:ascii="Arial" w:cs="Arial" w:eastAsia="Arial" w:hAnsi="Arial"/>
          <w:sz w:val="18"/>
          <w:szCs w:val="18"/>
          <w:b w:val="1"/>
          <w:bCs w:val="1"/>
          <w:color w:val="auto"/>
        </w:rPr>
      </w:pPr>
    </w:p>
    <w:p>
      <w:pPr>
        <w:ind w:left="580" w:right="40" w:hanging="329"/>
        <w:spacing w:after="0" w:line="268" w:lineRule="auto"/>
        <w:tabs>
          <w:tab w:leader="none" w:pos="56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Education Solutions </w:t>
      </w:r>
      <w:r>
        <w:rPr>
          <w:rFonts w:ascii="Arial" w:cs="Arial" w:eastAsia="Arial" w:hAnsi="Arial"/>
          <w:sz w:val="18"/>
          <w:szCs w:val="18"/>
          <w:color w:val="auto"/>
        </w:rPr>
        <w:t>includes the publication and distribution to schools and libraries of children’s books, classroom magazines, print</w:t>
      </w:r>
      <w:r>
        <w:rPr>
          <w:rFonts w:ascii="Arial" w:cs="Arial" w:eastAsia="Arial" w:hAnsi="Arial"/>
          <w:sz w:val="18"/>
          <w:szCs w:val="18"/>
          <w:b w:val="1"/>
          <w:bCs w:val="1"/>
          <w:color w:val="auto"/>
        </w:rPr>
        <w:t xml:space="preserve"> </w:t>
      </w:r>
      <w:r>
        <w:rPr>
          <w:rFonts w:ascii="Arial" w:cs="Arial" w:eastAsia="Arial" w:hAnsi="Arial"/>
          <w:sz w:val="18"/>
          <w:szCs w:val="18"/>
          <w:color w:val="auto"/>
        </w:rPr>
        <w:t>and digital supplemental and core classroom materials and related support services and print and online reference and non-fiction products for grades pre-kindergarten to 12 in the United States. This segment is comprised of one operating segment.</w:t>
      </w:r>
    </w:p>
    <w:p>
      <w:pPr>
        <w:spacing w:after="0" w:line="197" w:lineRule="exact"/>
        <w:rPr>
          <w:rFonts w:ascii="Arial" w:cs="Arial" w:eastAsia="Arial" w:hAnsi="Arial"/>
          <w:sz w:val="18"/>
          <w:szCs w:val="18"/>
          <w:b w:val="1"/>
          <w:bCs w:val="1"/>
          <w:color w:val="auto"/>
        </w:rPr>
      </w:pPr>
    </w:p>
    <w:p>
      <w:pPr>
        <w:ind w:left="580" w:right="60" w:hanging="329"/>
        <w:spacing w:after="0" w:line="287" w:lineRule="auto"/>
        <w:tabs>
          <w:tab w:leader="none" w:pos="56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Entertainment </w:t>
      </w:r>
      <w:r>
        <w:rPr>
          <w:rFonts w:ascii="Arial" w:cs="Arial" w:eastAsia="Arial" w:hAnsi="Arial"/>
          <w:sz w:val="18"/>
          <w:szCs w:val="18"/>
          <w:color w:val="auto"/>
        </w:rPr>
        <w:t>includes the development, production, distribution and licensing of children and family film and television content. This</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is comprised of one operating segment.</w:t>
      </w:r>
    </w:p>
    <w:p>
      <w:pPr>
        <w:spacing w:after="0" w:line="179" w:lineRule="exact"/>
        <w:rPr>
          <w:rFonts w:ascii="Arial" w:cs="Arial" w:eastAsia="Arial" w:hAnsi="Arial"/>
          <w:sz w:val="18"/>
          <w:szCs w:val="18"/>
          <w:b w:val="1"/>
          <w:bCs w:val="1"/>
          <w:color w:val="auto"/>
        </w:rPr>
      </w:pPr>
    </w:p>
    <w:p>
      <w:pPr>
        <w:ind w:left="580" w:right="860" w:hanging="329"/>
        <w:spacing w:after="0" w:line="287" w:lineRule="auto"/>
        <w:tabs>
          <w:tab w:leader="none" w:pos="56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International </w:t>
      </w:r>
      <w:r>
        <w:rPr>
          <w:rFonts w:ascii="Arial" w:cs="Arial" w:eastAsia="Arial" w:hAnsi="Arial"/>
          <w:sz w:val="18"/>
          <w:szCs w:val="18"/>
          <w:color w:val="auto"/>
        </w:rPr>
        <w:t>includes the publication and distribution of products and services outside the United States by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operations and its export businesses. This segment is comprised of three operating segments.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revenue and operating income (loss) by segment for the periods indicated: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40" w:type="dxa"/>
            <w:vAlign w:val="bottom"/>
            <w:gridSpan w:val="3"/>
          </w:tcPr>
          <w:p>
            <w:pPr>
              <w:jc w:val="right"/>
              <w:ind w:right="679"/>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18"/>
                <w:szCs w:val="18"/>
                <w:color w:val="auto"/>
              </w:rPr>
            </w:pPr>
          </w:p>
        </w:tc>
        <w:tc>
          <w:tcPr>
            <w:tcW w:w="2660" w:type="dxa"/>
            <w:vAlign w:val="bottom"/>
            <w:gridSpan w:val="3"/>
          </w:tcPr>
          <w:p>
            <w:pPr>
              <w:jc w:val="right"/>
              <w:ind w:right="739"/>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3960" w:type="dxa"/>
            <w:vAlign w:val="bottom"/>
          </w:tcPr>
          <w:p>
            <w:pPr>
              <w:spacing w:after="0"/>
              <w:rPr>
                <w:sz w:val="18"/>
                <w:szCs w:val="18"/>
                <w:color w:val="auto"/>
              </w:rPr>
            </w:pPr>
          </w:p>
        </w:tc>
        <w:tc>
          <w:tcPr>
            <w:tcW w:w="1940" w:type="dxa"/>
            <w:vAlign w:val="bottom"/>
            <w:gridSpan w:val="2"/>
          </w:tcPr>
          <w:p>
            <w:pPr>
              <w:ind w:left="660"/>
              <w:spacing w:after="0"/>
              <w:rPr>
                <w:sz w:val="20"/>
                <w:szCs w:val="20"/>
                <w:color w:val="auto"/>
              </w:rPr>
            </w:pPr>
            <w:r>
              <w:rPr>
                <w:rFonts w:ascii="Arial" w:cs="Arial" w:eastAsia="Arial" w:hAnsi="Arial"/>
                <w:sz w:val="16"/>
                <w:szCs w:val="16"/>
                <w:b w:val="1"/>
                <w:bCs w:val="1"/>
                <w:color w:val="auto"/>
              </w:rPr>
              <w:t>February 28,</w:t>
            </w:r>
          </w:p>
        </w:tc>
        <w:tc>
          <w:tcPr>
            <w:tcW w:w="1560" w:type="dxa"/>
            <w:vAlign w:val="bottom"/>
            <w:gridSpan w:val="2"/>
          </w:tcPr>
          <w:p>
            <w:pPr>
              <w:ind w:left="300"/>
              <w:spacing w:after="0"/>
              <w:rPr>
                <w:sz w:val="20"/>
                <w:szCs w:val="20"/>
                <w:color w:val="auto"/>
              </w:rPr>
            </w:pPr>
            <w:r>
              <w:rPr>
                <w:rFonts w:ascii="Arial" w:cs="Arial" w:eastAsia="Arial" w:hAnsi="Arial"/>
                <w:sz w:val="16"/>
                <w:szCs w:val="16"/>
                <w:b w:val="1"/>
                <w:bCs w:val="1"/>
                <w:color w:val="auto"/>
              </w:rPr>
              <w:t>February 29,</w:t>
            </w:r>
          </w:p>
        </w:tc>
        <w:tc>
          <w:tcPr>
            <w:tcW w:w="1560" w:type="dxa"/>
            <w:vAlign w:val="bottom"/>
            <w:gridSpan w:val="2"/>
          </w:tcPr>
          <w:p>
            <w:pPr>
              <w:ind w:left="300"/>
              <w:spacing w:after="0"/>
              <w:rPr>
                <w:sz w:val="20"/>
                <w:szCs w:val="20"/>
                <w:color w:val="auto"/>
              </w:rPr>
            </w:pPr>
            <w:r>
              <w:rPr>
                <w:rFonts w:ascii="Arial" w:cs="Arial" w:eastAsia="Arial" w:hAnsi="Arial"/>
                <w:sz w:val="16"/>
                <w:szCs w:val="16"/>
                <w:b w:val="1"/>
                <w:bCs w:val="1"/>
                <w:color w:val="auto"/>
              </w:rPr>
              <w:t>February 28,</w:t>
            </w:r>
          </w:p>
        </w:tc>
        <w:tc>
          <w:tcPr>
            <w:tcW w:w="1580" w:type="dxa"/>
            <w:vAlign w:val="bottom"/>
            <w:gridSpan w:val="2"/>
          </w:tcPr>
          <w:p>
            <w:pPr>
              <w:ind w:left="300"/>
              <w:spacing w:after="0"/>
              <w:rPr>
                <w:sz w:val="20"/>
                <w:szCs w:val="20"/>
                <w:color w:val="auto"/>
              </w:rPr>
            </w:pPr>
            <w:r>
              <w:rPr>
                <w:rFonts w:ascii="Arial" w:cs="Arial" w:eastAsia="Arial" w:hAnsi="Arial"/>
                <w:sz w:val="16"/>
                <w:szCs w:val="16"/>
                <w:b w:val="1"/>
                <w:bCs w:val="1"/>
                <w:color w:val="auto"/>
              </w:rPr>
              <w:t>February 29,</w:t>
            </w:r>
          </w:p>
        </w:tc>
      </w:tr>
      <w:tr>
        <w:trPr>
          <w:trHeight w:val="217"/>
        </w:trPr>
        <w:tc>
          <w:tcPr>
            <w:tcW w:w="39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2024</w:t>
            </w:r>
          </w:p>
        </w:tc>
      </w:tr>
      <w:tr>
        <w:trPr>
          <w:trHeight w:val="210"/>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8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39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Children's Book Publishing and Distribution </w:t>
            </w:r>
            <w:r>
              <w:rPr>
                <w:rFonts w:ascii="Arial" w:cs="Arial" w:eastAsia="Arial" w:hAnsi="Arial"/>
                <w:sz w:val="21"/>
                <w:szCs w:val="21"/>
                <w:color w:val="auto"/>
                <w:vertAlign w:val="superscript"/>
              </w:rPr>
              <w:t>(1)</w:t>
            </w:r>
          </w:p>
        </w:tc>
        <w:tc>
          <w:tcPr>
            <w:tcW w:w="860" w:type="dxa"/>
            <w:vAlign w:val="bottom"/>
          </w:tcPr>
          <w:p>
            <w:pPr>
              <w:ind w:left="6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19"/>
              <w:spacing w:after="0"/>
              <w:rPr>
                <w:sz w:val="20"/>
                <w:szCs w:val="20"/>
                <w:color w:val="auto"/>
              </w:rPr>
            </w:pPr>
            <w:r>
              <w:rPr>
                <w:rFonts w:ascii="Arial" w:cs="Arial" w:eastAsia="Arial" w:hAnsi="Arial"/>
                <w:sz w:val="16"/>
                <w:szCs w:val="16"/>
                <w:color w:val="auto"/>
              </w:rPr>
              <w:t>203.3</w:t>
            </w:r>
          </w:p>
        </w:tc>
        <w:tc>
          <w:tcPr>
            <w:tcW w:w="500" w:type="dxa"/>
            <w:vAlign w:val="bottom"/>
          </w:tcPr>
          <w:p>
            <w:pPr>
              <w:ind w:left="30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193.1</w:t>
            </w:r>
          </w:p>
        </w:tc>
        <w:tc>
          <w:tcPr>
            <w:tcW w:w="480" w:type="dxa"/>
            <w:vAlign w:val="bottom"/>
          </w:tcPr>
          <w:p>
            <w:pPr>
              <w:ind w:left="3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9"/>
              <w:spacing w:after="0"/>
              <w:rPr>
                <w:sz w:val="20"/>
                <w:szCs w:val="20"/>
                <w:color w:val="auto"/>
              </w:rPr>
            </w:pPr>
            <w:r>
              <w:rPr>
                <w:rFonts w:ascii="Arial" w:cs="Arial" w:eastAsia="Arial" w:hAnsi="Arial"/>
                <w:sz w:val="16"/>
                <w:szCs w:val="16"/>
                <w:color w:val="auto"/>
              </w:rPr>
              <w:t>675.7</w:t>
            </w:r>
          </w:p>
        </w:tc>
        <w:tc>
          <w:tcPr>
            <w:tcW w:w="480" w:type="dxa"/>
            <w:vAlign w:val="bottom"/>
          </w:tcPr>
          <w:p>
            <w:pPr>
              <w:ind w:left="3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19"/>
              <w:spacing w:after="0"/>
              <w:rPr>
                <w:sz w:val="20"/>
                <w:szCs w:val="20"/>
                <w:color w:val="auto"/>
              </w:rPr>
            </w:pPr>
            <w:r>
              <w:rPr>
                <w:rFonts w:ascii="Arial" w:cs="Arial" w:eastAsia="Arial" w:hAnsi="Arial"/>
                <w:sz w:val="16"/>
                <w:szCs w:val="16"/>
                <w:color w:val="auto"/>
              </w:rPr>
              <w:t>687.9</w:t>
            </w: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Education Solutions</w:t>
            </w:r>
          </w:p>
        </w:tc>
        <w:tc>
          <w:tcPr>
            <w:tcW w:w="8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57.2</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68.5</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184.1</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215.5</w:t>
            </w:r>
          </w:p>
        </w:tc>
      </w:tr>
      <w:tr>
        <w:trPr>
          <w:trHeight w:val="216"/>
        </w:trPr>
        <w:tc>
          <w:tcPr>
            <w:tcW w:w="39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Entertainment </w:t>
            </w:r>
            <w:r>
              <w:rPr>
                <w:rFonts w:ascii="Arial" w:cs="Arial" w:eastAsia="Arial" w:hAnsi="Arial"/>
                <w:sz w:val="21"/>
                <w:szCs w:val="21"/>
                <w:color w:val="auto"/>
                <w:vertAlign w:val="superscript"/>
              </w:rPr>
              <w:t>(1)</w:t>
            </w:r>
          </w:p>
        </w:tc>
        <w:tc>
          <w:tcPr>
            <w:tcW w:w="860" w:type="dxa"/>
            <w:vAlign w:val="bottom"/>
          </w:tcPr>
          <w:p>
            <w:pPr>
              <w:spacing w:after="0"/>
              <w:rPr>
                <w:sz w:val="18"/>
                <w:szCs w:val="18"/>
                <w:color w:val="auto"/>
              </w:rPr>
            </w:pPr>
          </w:p>
        </w:tc>
        <w:tc>
          <w:tcPr>
            <w:tcW w:w="1080" w:type="dxa"/>
            <w:vAlign w:val="bottom"/>
          </w:tcPr>
          <w:p>
            <w:pPr>
              <w:jc w:val="right"/>
              <w:ind w:right="419"/>
              <w:spacing w:after="0"/>
              <w:rPr>
                <w:sz w:val="20"/>
                <w:szCs w:val="20"/>
                <w:color w:val="auto"/>
              </w:rPr>
            </w:pPr>
            <w:r>
              <w:rPr>
                <w:rFonts w:ascii="Arial" w:cs="Arial" w:eastAsia="Arial" w:hAnsi="Arial"/>
                <w:sz w:val="16"/>
                <w:szCs w:val="16"/>
                <w:color w:val="auto"/>
              </w:rPr>
              <w:t>12.8</w:t>
            </w:r>
          </w:p>
        </w:tc>
        <w:tc>
          <w:tcPr>
            <w:tcW w:w="50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0.5</w:t>
            </w:r>
          </w:p>
        </w:tc>
        <w:tc>
          <w:tcPr>
            <w:tcW w:w="480" w:type="dxa"/>
            <w:vAlign w:val="bottom"/>
          </w:tcPr>
          <w:p>
            <w:pPr>
              <w:spacing w:after="0"/>
              <w:rPr>
                <w:sz w:val="18"/>
                <w:szCs w:val="18"/>
                <w:color w:val="auto"/>
              </w:rPr>
            </w:pPr>
          </w:p>
        </w:tc>
        <w:tc>
          <w:tcPr>
            <w:tcW w:w="1080" w:type="dxa"/>
            <w:vAlign w:val="bottom"/>
          </w:tcPr>
          <w:p>
            <w:pPr>
              <w:jc w:val="right"/>
              <w:ind w:right="399"/>
              <w:spacing w:after="0"/>
              <w:rPr>
                <w:sz w:val="20"/>
                <w:szCs w:val="20"/>
                <w:color w:val="auto"/>
              </w:rPr>
            </w:pPr>
            <w:r>
              <w:rPr>
                <w:rFonts w:ascii="Arial" w:cs="Arial" w:eastAsia="Arial" w:hAnsi="Arial"/>
                <w:sz w:val="16"/>
                <w:szCs w:val="16"/>
                <w:color w:val="auto"/>
              </w:rPr>
              <w:t>46.2</w:t>
            </w:r>
          </w:p>
        </w:tc>
        <w:tc>
          <w:tcPr>
            <w:tcW w:w="480" w:type="dxa"/>
            <w:vAlign w:val="bottom"/>
          </w:tcPr>
          <w:p>
            <w:pPr>
              <w:spacing w:after="0"/>
              <w:rPr>
                <w:sz w:val="18"/>
                <w:szCs w:val="18"/>
                <w:color w:val="auto"/>
              </w:rPr>
            </w:pPr>
          </w:p>
        </w:tc>
        <w:tc>
          <w:tcPr>
            <w:tcW w:w="1100" w:type="dxa"/>
            <w:vAlign w:val="bottom"/>
          </w:tcPr>
          <w:p>
            <w:pPr>
              <w:jc w:val="right"/>
              <w:ind w:right="419"/>
              <w:spacing w:after="0"/>
              <w:rPr>
                <w:sz w:val="20"/>
                <w:szCs w:val="20"/>
                <w:color w:val="auto"/>
              </w:rPr>
            </w:pPr>
            <w:r>
              <w:rPr>
                <w:rFonts w:ascii="Arial" w:cs="Arial" w:eastAsia="Arial" w:hAnsi="Arial"/>
                <w:sz w:val="16"/>
                <w:szCs w:val="16"/>
                <w:color w:val="auto"/>
              </w:rPr>
              <w:t>1.3</w:t>
            </w: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International</w:t>
            </w:r>
          </w:p>
        </w:tc>
        <w:tc>
          <w:tcPr>
            <w:tcW w:w="8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59.3</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59.1</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202.8</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202.8</w:t>
            </w:r>
          </w:p>
        </w:tc>
      </w:tr>
      <w:tr>
        <w:trPr>
          <w:trHeight w:val="216"/>
        </w:trPr>
        <w:tc>
          <w:tcPr>
            <w:tcW w:w="3960" w:type="dxa"/>
            <w:vAlign w:val="bottom"/>
            <w:tcBorders>
              <w:bottom w:val="single" w:sz="8" w:color="auto"/>
            </w:tcBorders>
          </w:tcPr>
          <w:p>
            <w:pPr>
              <w:ind w:left="20"/>
              <w:spacing w:after="0" w:line="216" w:lineRule="exact"/>
              <w:rPr>
                <w:sz w:val="20"/>
                <w:szCs w:val="20"/>
                <w:color w:val="auto"/>
              </w:rPr>
            </w:pPr>
            <w:r>
              <w:rPr>
                <w:rFonts w:ascii="Arial" w:cs="Arial" w:eastAsia="Arial" w:hAnsi="Arial"/>
                <w:sz w:val="16"/>
                <w:szCs w:val="16"/>
                <w:color w:val="auto"/>
              </w:rPr>
              <w:t xml:space="preserve">Overhead </w:t>
            </w:r>
            <w:r>
              <w:rPr>
                <w:rFonts w:ascii="Arial" w:cs="Arial" w:eastAsia="Arial" w:hAnsi="Arial"/>
                <w:sz w:val="21"/>
                <w:szCs w:val="21"/>
                <w:color w:val="auto"/>
                <w:vertAlign w:val="superscript"/>
              </w:rPr>
              <w:t>(2)</w:t>
            </w:r>
          </w:p>
        </w:tc>
        <w:tc>
          <w:tcPr>
            <w:tcW w:w="8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2.8</w:t>
            </w: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2.5</w:t>
            </w: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8.4</w:t>
            </w: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7.3</w:t>
            </w:r>
          </w:p>
        </w:tc>
      </w:tr>
      <w:tr>
        <w:trPr>
          <w:trHeight w:val="233"/>
        </w:trPr>
        <w:tc>
          <w:tcPr>
            <w:tcW w:w="3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86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335.4</w:t>
            </w:r>
          </w:p>
        </w:tc>
        <w:tc>
          <w:tcPr>
            <w:tcW w:w="5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323.7</w:t>
            </w:r>
          </w:p>
        </w:tc>
        <w:tc>
          <w:tcPr>
            <w:tcW w:w="4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1,117.2</w:t>
            </w:r>
          </w:p>
        </w:tc>
        <w:tc>
          <w:tcPr>
            <w:tcW w:w="4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1,114.8</w:t>
            </w:r>
          </w:p>
        </w:tc>
      </w:tr>
      <w:tr>
        <w:trPr>
          <w:trHeight w:val="200"/>
        </w:trPr>
        <w:tc>
          <w:tcPr>
            <w:tcW w:w="39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237"/>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8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16"/>
        </w:trPr>
        <w:tc>
          <w:tcPr>
            <w:tcW w:w="39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Children's Book Publishing and Distribution </w:t>
            </w:r>
            <w:r>
              <w:rPr>
                <w:rFonts w:ascii="Arial" w:cs="Arial" w:eastAsia="Arial" w:hAnsi="Arial"/>
                <w:sz w:val="21"/>
                <w:szCs w:val="21"/>
                <w:color w:val="auto"/>
                <w:vertAlign w:val="superscript"/>
              </w:rPr>
              <w:t>(1)</w:t>
            </w:r>
          </w:p>
        </w:tc>
        <w:tc>
          <w:tcPr>
            <w:tcW w:w="860" w:type="dxa"/>
            <w:vAlign w:val="bottom"/>
          </w:tcPr>
          <w:p>
            <w:pPr>
              <w:ind w:left="6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19"/>
              <w:spacing w:after="0"/>
              <w:rPr>
                <w:sz w:val="20"/>
                <w:szCs w:val="20"/>
                <w:color w:val="auto"/>
              </w:rPr>
            </w:pPr>
            <w:r>
              <w:rPr>
                <w:rFonts w:ascii="Arial" w:cs="Arial" w:eastAsia="Arial" w:hAnsi="Arial"/>
                <w:sz w:val="16"/>
                <w:szCs w:val="16"/>
                <w:color w:val="auto"/>
              </w:rPr>
              <w:t>7.6</w:t>
            </w:r>
          </w:p>
        </w:tc>
        <w:tc>
          <w:tcPr>
            <w:tcW w:w="500" w:type="dxa"/>
            <w:vAlign w:val="bottom"/>
          </w:tcPr>
          <w:p>
            <w:pPr>
              <w:ind w:left="30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2.3</w:t>
            </w:r>
          </w:p>
        </w:tc>
        <w:tc>
          <w:tcPr>
            <w:tcW w:w="480" w:type="dxa"/>
            <w:vAlign w:val="bottom"/>
          </w:tcPr>
          <w:p>
            <w:pPr>
              <w:ind w:left="3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9"/>
              <w:spacing w:after="0"/>
              <w:rPr>
                <w:sz w:val="20"/>
                <w:szCs w:val="20"/>
                <w:color w:val="auto"/>
              </w:rPr>
            </w:pPr>
            <w:r>
              <w:rPr>
                <w:rFonts w:ascii="Arial" w:cs="Arial" w:eastAsia="Arial" w:hAnsi="Arial"/>
                <w:sz w:val="16"/>
                <w:szCs w:val="16"/>
                <w:color w:val="auto"/>
              </w:rPr>
              <w:t>73.1</w:t>
            </w:r>
          </w:p>
        </w:tc>
        <w:tc>
          <w:tcPr>
            <w:tcW w:w="480" w:type="dxa"/>
            <w:vAlign w:val="bottom"/>
          </w:tcPr>
          <w:p>
            <w:pPr>
              <w:ind w:left="3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19"/>
              <w:spacing w:after="0"/>
              <w:rPr>
                <w:sz w:val="20"/>
                <w:szCs w:val="20"/>
                <w:color w:val="auto"/>
              </w:rPr>
            </w:pPr>
            <w:r>
              <w:rPr>
                <w:rFonts w:ascii="Arial" w:cs="Arial" w:eastAsia="Arial" w:hAnsi="Arial"/>
                <w:sz w:val="16"/>
                <w:szCs w:val="16"/>
                <w:color w:val="auto"/>
              </w:rPr>
              <w:t>72.9</w:t>
            </w: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Education Solutions</w:t>
            </w:r>
          </w:p>
        </w:tc>
        <w:tc>
          <w:tcPr>
            <w:tcW w:w="8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(6.9)</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(0.8)</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(24.4)</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(13.7)</w:t>
            </w:r>
          </w:p>
        </w:tc>
      </w:tr>
      <w:tr>
        <w:trPr>
          <w:trHeight w:val="216"/>
        </w:trPr>
        <w:tc>
          <w:tcPr>
            <w:tcW w:w="39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Entertainment </w:t>
            </w:r>
            <w:r>
              <w:rPr>
                <w:rFonts w:ascii="Arial" w:cs="Arial" w:eastAsia="Arial" w:hAnsi="Arial"/>
                <w:sz w:val="21"/>
                <w:szCs w:val="21"/>
                <w:color w:val="auto"/>
                <w:vertAlign w:val="superscript"/>
              </w:rPr>
              <w:t>(1)</w:t>
            </w:r>
          </w:p>
        </w:tc>
        <w:tc>
          <w:tcPr>
            <w:tcW w:w="860" w:type="dxa"/>
            <w:vAlign w:val="bottom"/>
          </w:tcPr>
          <w:p>
            <w:pPr>
              <w:spacing w:after="0"/>
              <w:rPr>
                <w:sz w:val="18"/>
                <w:szCs w:val="18"/>
                <w:color w:val="auto"/>
              </w:rPr>
            </w:pPr>
          </w:p>
        </w:tc>
        <w:tc>
          <w:tcPr>
            <w:tcW w:w="1080" w:type="dxa"/>
            <w:vAlign w:val="bottom"/>
          </w:tcPr>
          <w:p>
            <w:pPr>
              <w:jc w:val="right"/>
              <w:ind w:right="379"/>
              <w:spacing w:after="0"/>
              <w:rPr>
                <w:sz w:val="20"/>
                <w:szCs w:val="20"/>
                <w:color w:val="auto"/>
              </w:rPr>
            </w:pPr>
            <w:r>
              <w:rPr>
                <w:rFonts w:ascii="Arial" w:cs="Arial" w:eastAsia="Arial" w:hAnsi="Arial"/>
                <w:sz w:val="16"/>
                <w:szCs w:val="16"/>
                <w:color w:val="auto"/>
              </w:rPr>
              <w:t>(3.9)</w:t>
            </w:r>
          </w:p>
        </w:tc>
        <w:tc>
          <w:tcPr>
            <w:tcW w:w="500" w:type="dxa"/>
            <w:vAlign w:val="bottom"/>
          </w:tcPr>
          <w:p>
            <w:pPr>
              <w:spacing w:after="0"/>
              <w:rPr>
                <w:sz w:val="18"/>
                <w:szCs w:val="18"/>
                <w:color w:val="auto"/>
              </w:rPr>
            </w:pPr>
          </w:p>
        </w:tc>
        <w:tc>
          <w:tcPr>
            <w:tcW w:w="1060" w:type="dxa"/>
            <w:vAlign w:val="bottom"/>
          </w:tcPr>
          <w:p>
            <w:pPr>
              <w:jc w:val="right"/>
              <w:ind w:right="359"/>
              <w:spacing w:after="0"/>
              <w:rPr>
                <w:sz w:val="20"/>
                <w:szCs w:val="20"/>
                <w:color w:val="auto"/>
              </w:rPr>
            </w:pPr>
            <w:r>
              <w:rPr>
                <w:rFonts w:ascii="Arial" w:cs="Arial" w:eastAsia="Arial" w:hAnsi="Arial"/>
                <w:sz w:val="16"/>
                <w:szCs w:val="16"/>
                <w:color w:val="auto"/>
              </w:rPr>
              <w:t>(3.1)</w:t>
            </w:r>
          </w:p>
        </w:tc>
        <w:tc>
          <w:tcPr>
            <w:tcW w:w="480" w:type="dxa"/>
            <w:vAlign w:val="bottom"/>
          </w:tcPr>
          <w:p>
            <w:pPr>
              <w:spacing w:after="0"/>
              <w:rPr>
                <w:sz w:val="18"/>
                <w:szCs w:val="18"/>
                <w:color w:val="auto"/>
              </w:rPr>
            </w:pPr>
          </w:p>
        </w:tc>
        <w:tc>
          <w:tcPr>
            <w:tcW w:w="1080" w:type="dxa"/>
            <w:vAlign w:val="bottom"/>
          </w:tcPr>
          <w:p>
            <w:pPr>
              <w:jc w:val="right"/>
              <w:ind w:right="359"/>
              <w:spacing w:after="0"/>
              <w:rPr>
                <w:sz w:val="20"/>
                <w:szCs w:val="20"/>
                <w:color w:val="auto"/>
              </w:rPr>
            </w:pPr>
            <w:r>
              <w:rPr>
                <w:rFonts w:ascii="Arial" w:cs="Arial" w:eastAsia="Arial" w:hAnsi="Arial"/>
                <w:sz w:val="16"/>
                <w:szCs w:val="16"/>
                <w:color w:val="auto"/>
              </w:rPr>
              <w:t>(9.1)</w:t>
            </w:r>
          </w:p>
        </w:tc>
        <w:tc>
          <w:tcPr>
            <w:tcW w:w="480" w:type="dxa"/>
            <w:vAlign w:val="bottom"/>
          </w:tcPr>
          <w:p>
            <w:pPr>
              <w:spacing w:after="0"/>
              <w:rPr>
                <w:sz w:val="18"/>
                <w:szCs w:val="18"/>
                <w:color w:val="auto"/>
              </w:rPr>
            </w:pPr>
          </w:p>
        </w:tc>
        <w:tc>
          <w:tcPr>
            <w:tcW w:w="1100" w:type="dxa"/>
            <w:vAlign w:val="bottom"/>
          </w:tcPr>
          <w:p>
            <w:pPr>
              <w:jc w:val="right"/>
              <w:ind w:right="379"/>
              <w:spacing w:after="0"/>
              <w:rPr>
                <w:sz w:val="20"/>
                <w:szCs w:val="20"/>
                <w:color w:val="auto"/>
              </w:rPr>
            </w:pPr>
            <w:r>
              <w:rPr>
                <w:rFonts w:ascii="Arial" w:cs="Arial" w:eastAsia="Arial" w:hAnsi="Arial"/>
                <w:sz w:val="16"/>
                <w:szCs w:val="16"/>
                <w:color w:val="auto"/>
              </w:rPr>
              <w:t>(4.4)</w:t>
            </w: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International</w:t>
            </w:r>
          </w:p>
        </w:tc>
        <w:tc>
          <w:tcPr>
            <w:tcW w:w="8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(2.1)</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(5.9)</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(4.7)</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(6.1)</w:t>
            </w:r>
          </w:p>
        </w:tc>
      </w:tr>
      <w:tr>
        <w:trPr>
          <w:trHeight w:val="216"/>
        </w:trPr>
        <w:tc>
          <w:tcPr>
            <w:tcW w:w="3960" w:type="dxa"/>
            <w:vAlign w:val="bottom"/>
            <w:tcBorders>
              <w:bottom w:val="single" w:sz="8" w:color="auto"/>
            </w:tcBorders>
          </w:tcPr>
          <w:p>
            <w:pPr>
              <w:ind w:left="20"/>
              <w:spacing w:after="0" w:line="216" w:lineRule="exact"/>
              <w:rPr>
                <w:sz w:val="20"/>
                <w:szCs w:val="20"/>
                <w:color w:val="auto"/>
              </w:rPr>
            </w:pPr>
            <w:r>
              <w:rPr>
                <w:rFonts w:ascii="Arial" w:cs="Arial" w:eastAsia="Arial" w:hAnsi="Arial"/>
                <w:sz w:val="16"/>
                <w:szCs w:val="16"/>
                <w:color w:val="auto"/>
              </w:rPr>
              <w:t xml:space="preserve">Overhead </w:t>
            </w:r>
            <w:r>
              <w:rPr>
                <w:rFonts w:ascii="Arial" w:cs="Arial" w:eastAsia="Arial" w:hAnsi="Arial"/>
                <w:sz w:val="21"/>
                <w:szCs w:val="21"/>
                <w:color w:val="auto"/>
                <w:vertAlign w:val="superscript"/>
              </w:rPr>
              <w:t>(2)</w:t>
            </w:r>
          </w:p>
        </w:tc>
        <w:tc>
          <w:tcPr>
            <w:tcW w:w="8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(18.6)</w:t>
            </w: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(27.4)</w:t>
            </w: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(72.6)</w:t>
            </w: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(81.4)</w:t>
            </w:r>
          </w:p>
        </w:tc>
      </w:tr>
      <w:tr>
        <w:trPr>
          <w:trHeight w:val="233"/>
        </w:trPr>
        <w:tc>
          <w:tcPr>
            <w:tcW w:w="3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86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(23.9)</w:t>
            </w:r>
          </w:p>
        </w:tc>
        <w:tc>
          <w:tcPr>
            <w:tcW w:w="5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(34.9)</w:t>
            </w:r>
          </w:p>
        </w:tc>
        <w:tc>
          <w:tcPr>
            <w:tcW w:w="4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(37.7)</w:t>
            </w:r>
          </w:p>
        </w:tc>
        <w:tc>
          <w:tcPr>
            <w:tcW w:w="4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(32.7)</w:t>
            </w:r>
          </w:p>
        </w:tc>
      </w:tr>
    </w:tbl>
    <w:p>
      <w:pPr>
        <w:spacing w:after="0" w:line="85" w:lineRule="exact"/>
        <w:rPr>
          <w:sz w:val="20"/>
          <w:szCs w:val="20"/>
          <w:color w:val="auto"/>
        </w:rPr>
      </w:pPr>
    </w:p>
    <w:p>
      <w:pPr>
        <w:ind w:left="260" w:right="220" w:hanging="252"/>
        <w:spacing w:after="0" w:line="261" w:lineRule="auto"/>
        <w:tabs>
          <w:tab w:leader="none" w:pos="233"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The newly formed </w:t>
      </w:r>
      <w:r>
        <w:rPr>
          <w:rFonts w:ascii="Arial" w:cs="Arial" w:eastAsia="Arial" w:hAnsi="Arial"/>
          <w:sz w:val="14"/>
          <w:szCs w:val="14"/>
          <w:i w:val="1"/>
          <w:iCs w:val="1"/>
          <w:color w:val="auto"/>
        </w:rPr>
        <w:t>Entertainment</w:t>
      </w:r>
      <w:r>
        <w:rPr>
          <w:rFonts w:ascii="Arial" w:cs="Arial" w:eastAsia="Arial" w:hAnsi="Arial"/>
          <w:sz w:val="14"/>
          <w:szCs w:val="14"/>
          <w:color w:val="auto"/>
        </w:rPr>
        <w:t xml:space="preserve"> segment includes the operations of SEI, which were included in the Children’s Book Publishing and Distribution segment in prior periods, and 9 Story. The financial results for SEI for the three and nine months ended February 29, 2024 have been reclassified to </w:t>
      </w:r>
      <w:r>
        <w:rPr>
          <w:rFonts w:ascii="Arial" w:cs="Arial" w:eastAsia="Arial" w:hAnsi="Arial"/>
          <w:sz w:val="14"/>
          <w:szCs w:val="14"/>
          <w:i w:val="1"/>
          <w:iCs w:val="1"/>
          <w:color w:val="auto"/>
        </w:rPr>
        <w:t>Entertainment</w:t>
      </w:r>
      <w:r>
        <w:rPr>
          <w:rFonts w:ascii="Arial" w:cs="Arial" w:eastAsia="Arial" w:hAnsi="Arial"/>
          <w:sz w:val="14"/>
          <w:szCs w:val="14"/>
          <w:color w:val="auto"/>
        </w:rPr>
        <w:t xml:space="preserve"> to reflect this change.</w:t>
      </w:r>
    </w:p>
    <w:p>
      <w:pPr>
        <w:spacing w:after="0" w:line="1" w:lineRule="exact"/>
        <w:rPr>
          <w:rFonts w:ascii="Arial" w:cs="Arial" w:eastAsia="Arial" w:hAnsi="Arial"/>
          <w:sz w:val="14"/>
          <w:szCs w:val="14"/>
          <w:color w:val="auto"/>
        </w:rPr>
      </w:pPr>
    </w:p>
    <w:p>
      <w:pPr>
        <w:ind w:left="260" w:right="440" w:hanging="252"/>
        <w:spacing w:after="0" w:line="284" w:lineRule="auto"/>
        <w:tabs>
          <w:tab w:leader="none" w:pos="233" w:val="left"/>
        </w:tabs>
        <w:numPr>
          <w:ilvl w:val="0"/>
          <w:numId w:val="8"/>
        </w:numPr>
        <w:rPr>
          <w:rFonts w:ascii="Arial" w:cs="Arial" w:eastAsia="Arial" w:hAnsi="Arial"/>
          <w:sz w:val="14"/>
          <w:szCs w:val="14"/>
          <w:color w:val="auto"/>
        </w:rPr>
      </w:pPr>
      <w:r>
        <w:rPr>
          <w:rFonts w:ascii="Arial" w:cs="Arial" w:eastAsia="Arial" w:hAnsi="Arial"/>
          <w:sz w:val="14"/>
          <w:szCs w:val="14"/>
          <w:color w:val="auto"/>
        </w:rPr>
        <w:t>Overhead includes all domestic corporate amounts not allocated to segments, including expenses and costs related to the management of corporate assets and rental income related to leased space in the Company's headquarters.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carrying value of the Company's debt, excluding film related obligations, as of the dates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2"/>
          </w:tcPr>
          <w:p>
            <w:pPr>
              <w:jc w:val="right"/>
              <w:ind w:right="359"/>
              <w:spacing w:after="0"/>
              <w:rPr>
                <w:sz w:val="20"/>
                <w:szCs w:val="20"/>
                <w:color w:val="auto"/>
              </w:rPr>
            </w:pPr>
            <w:r>
              <w:rPr>
                <w:rFonts w:ascii="Arial" w:cs="Arial" w:eastAsia="Arial" w:hAnsi="Arial"/>
                <w:sz w:val="16"/>
                <w:szCs w:val="16"/>
                <w:b w:val="1"/>
                <w:bCs w:val="1"/>
                <w:color w:val="auto"/>
              </w:rPr>
              <w:t>February 28, 2025</w:t>
            </w:r>
          </w:p>
        </w:tc>
        <w:tc>
          <w:tcPr>
            <w:tcW w:w="1800" w:type="dxa"/>
            <w:vAlign w:val="bottom"/>
            <w:tcBorders>
              <w:bottom w:val="single" w:sz="8" w:color="auto"/>
            </w:tcBorders>
            <w:gridSpan w:val="2"/>
          </w:tcPr>
          <w:p>
            <w:pPr>
              <w:ind w:left="420"/>
              <w:spacing w:after="0"/>
              <w:rPr>
                <w:sz w:val="20"/>
                <w:szCs w:val="20"/>
                <w:color w:val="auto"/>
              </w:rPr>
            </w:pPr>
            <w:r>
              <w:rPr>
                <w:rFonts w:ascii="Arial" w:cs="Arial" w:eastAsia="Arial" w:hAnsi="Arial"/>
                <w:sz w:val="16"/>
                <w:szCs w:val="16"/>
                <w:b w:val="1"/>
                <w:bCs w:val="1"/>
                <w:color w:val="auto"/>
              </w:rPr>
              <w:t>May 31, 2024</w:t>
            </w:r>
          </w:p>
        </w:tc>
        <w:tc>
          <w:tcPr>
            <w:tcW w:w="206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6"/>
                <w:szCs w:val="16"/>
                <w:b w:val="1"/>
                <w:bCs w:val="1"/>
                <w:color w:val="auto"/>
              </w:rPr>
              <w:t>February 29, 2024</w:t>
            </w: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Revolving Credit Agreement</w:t>
            </w:r>
          </w:p>
        </w:tc>
        <w:tc>
          <w:tcPr>
            <w:tcW w:w="7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275.0</w:t>
            </w:r>
          </w:p>
        </w:tc>
        <w:tc>
          <w:tcPr>
            <w:tcW w:w="7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15"/>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Unsecured lines of credit</w:t>
            </w:r>
          </w:p>
        </w:tc>
        <w:tc>
          <w:tcPr>
            <w:tcW w:w="7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5.8</w:t>
            </w:r>
          </w:p>
        </w:tc>
        <w:tc>
          <w:tcPr>
            <w:tcW w:w="7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6.0</w:t>
            </w:r>
          </w:p>
        </w:tc>
        <w:tc>
          <w:tcPr>
            <w:tcW w:w="8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0"/>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debt</w:t>
            </w:r>
          </w:p>
        </w:tc>
        <w:tc>
          <w:tcPr>
            <w:tcW w:w="7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280.8</w:t>
            </w:r>
          </w:p>
        </w:tc>
        <w:tc>
          <w:tcPr>
            <w:tcW w:w="7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6.0</w:t>
            </w: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31.5</w:t>
            </w:r>
          </w:p>
        </w:tc>
        <w:tc>
          <w:tcPr>
            <w:tcW w:w="0" w:type="dxa"/>
            <w:vAlign w:val="bottom"/>
          </w:tcPr>
          <w:p>
            <w:pPr>
              <w:spacing w:after="0"/>
              <w:rPr>
                <w:sz w:val="1"/>
                <w:szCs w:val="1"/>
                <w:color w:val="auto"/>
              </w:rPr>
            </w:pPr>
          </w:p>
        </w:tc>
      </w:tr>
      <w:tr>
        <w:trPr>
          <w:trHeight w:val="156"/>
        </w:trPr>
        <w:tc>
          <w:tcPr>
            <w:tcW w:w="5200" w:type="dxa"/>
            <w:vAlign w:val="bottom"/>
          </w:tcPr>
          <w:p>
            <w:pPr>
              <w:ind w:left="20"/>
              <w:spacing w:after="0" w:line="155" w:lineRule="exact"/>
              <w:rPr>
                <w:sz w:val="20"/>
                <w:szCs w:val="20"/>
                <w:color w:val="auto"/>
              </w:rPr>
            </w:pPr>
            <w:r>
              <w:rPr>
                <w:rFonts w:ascii="Arial" w:cs="Arial" w:eastAsia="Arial" w:hAnsi="Arial"/>
                <w:sz w:val="16"/>
                <w:szCs w:val="16"/>
                <w:color w:val="auto"/>
              </w:rPr>
              <w:t>Less lines of credit, short-term debt and current portion of long-term</w:t>
            </w:r>
          </w:p>
        </w:tc>
        <w:tc>
          <w:tcPr>
            <w:tcW w:w="760" w:type="dxa"/>
            <w:vAlign w:val="bottom"/>
          </w:tcPr>
          <w:p>
            <w:pPr>
              <w:spacing w:after="0"/>
              <w:rPr>
                <w:sz w:val="13"/>
                <w:szCs w:val="13"/>
                <w:color w:val="auto"/>
              </w:rPr>
            </w:pPr>
          </w:p>
        </w:tc>
        <w:tc>
          <w:tcPr>
            <w:tcW w:w="1360" w:type="dxa"/>
            <w:vAlign w:val="bottom"/>
            <w:vMerge w:val="restart"/>
          </w:tcPr>
          <w:p>
            <w:pPr>
              <w:jc w:val="right"/>
              <w:ind w:right="579"/>
              <w:spacing w:after="0"/>
              <w:rPr>
                <w:sz w:val="20"/>
                <w:szCs w:val="20"/>
                <w:color w:val="auto"/>
              </w:rPr>
            </w:pPr>
            <w:r>
              <w:rPr>
                <w:rFonts w:ascii="Arial" w:cs="Arial" w:eastAsia="Arial" w:hAnsi="Arial"/>
                <w:sz w:val="16"/>
                <w:szCs w:val="16"/>
                <w:color w:val="auto"/>
              </w:rPr>
              <w:t>(5.8)</w:t>
            </w:r>
          </w:p>
        </w:tc>
        <w:tc>
          <w:tcPr>
            <w:tcW w:w="740" w:type="dxa"/>
            <w:vAlign w:val="bottom"/>
          </w:tcPr>
          <w:p>
            <w:pPr>
              <w:spacing w:after="0"/>
              <w:rPr>
                <w:sz w:val="13"/>
                <w:szCs w:val="13"/>
                <w:color w:val="auto"/>
              </w:rPr>
            </w:pPr>
          </w:p>
        </w:tc>
        <w:tc>
          <w:tcPr>
            <w:tcW w:w="1060" w:type="dxa"/>
            <w:vAlign w:val="bottom"/>
            <w:vMerge w:val="restart"/>
          </w:tcPr>
          <w:p>
            <w:pPr>
              <w:jc w:val="right"/>
              <w:ind w:right="439"/>
              <w:spacing w:after="0"/>
              <w:rPr>
                <w:sz w:val="20"/>
                <w:szCs w:val="20"/>
                <w:color w:val="auto"/>
              </w:rPr>
            </w:pPr>
            <w:r>
              <w:rPr>
                <w:rFonts w:ascii="Arial" w:cs="Arial" w:eastAsia="Arial" w:hAnsi="Arial"/>
                <w:sz w:val="16"/>
                <w:szCs w:val="16"/>
                <w:color w:val="auto"/>
              </w:rPr>
              <w:t>(6.0)</w:t>
            </w:r>
          </w:p>
        </w:tc>
        <w:tc>
          <w:tcPr>
            <w:tcW w:w="860" w:type="dxa"/>
            <w:vAlign w:val="bottom"/>
          </w:tcPr>
          <w:p>
            <w:pPr>
              <w:spacing w:after="0"/>
              <w:rPr>
                <w:sz w:val="13"/>
                <w:szCs w:val="13"/>
                <w:color w:val="auto"/>
              </w:rPr>
            </w:pPr>
          </w:p>
        </w:tc>
        <w:tc>
          <w:tcPr>
            <w:tcW w:w="1200" w:type="dxa"/>
            <w:vAlign w:val="bottom"/>
            <w:vMerge w:val="restart"/>
          </w:tcPr>
          <w:p>
            <w:pPr>
              <w:jc w:val="right"/>
              <w:ind w:right="519"/>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215"/>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debt</w:t>
            </w:r>
          </w:p>
        </w:tc>
        <w:tc>
          <w:tcPr>
            <w:tcW w:w="7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long-term debt</w:t>
            </w:r>
          </w:p>
        </w:tc>
        <w:tc>
          <w:tcPr>
            <w:tcW w:w="7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275.0</w:t>
            </w:r>
          </w:p>
        </w:tc>
        <w:tc>
          <w:tcPr>
            <w:tcW w:w="7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maturities of the carrying values of the Company's debt obligations, excluding film related obligations, as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2025 for the twelve month periods ended February 28:</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502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15"/>
        </w:trPr>
        <w:tc>
          <w:tcPr>
            <w:tcW w:w="4900" w:type="dxa"/>
            <w:vAlign w:val="bottom"/>
          </w:tcPr>
          <w:p>
            <w:pPr>
              <w:ind w:left="20"/>
              <w:spacing w:after="0"/>
              <w:rPr>
                <w:sz w:val="20"/>
                <w:szCs w:val="20"/>
                <w:color w:val="auto"/>
              </w:rPr>
            </w:pPr>
            <w:r>
              <w:rPr>
                <w:rFonts w:ascii="Arial" w:cs="Arial" w:eastAsia="Arial" w:hAnsi="Arial"/>
                <w:sz w:val="16"/>
                <w:szCs w:val="16"/>
                <w:color w:val="auto"/>
              </w:rPr>
              <w:t>2027</w:t>
            </w:r>
          </w:p>
        </w:tc>
        <w:tc>
          <w:tcPr>
            <w:tcW w:w="50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2028</w:t>
            </w:r>
          </w:p>
        </w:tc>
        <w:tc>
          <w:tcPr>
            <w:tcW w:w="50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900" w:type="dxa"/>
            <w:vAlign w:val="bottom"/>
          </w:tcPr>
          <w:p>
            <w:pPr>
              <w:ind w:left="20"/>
              <w:spacing w:after="0"/>
              <w:rPr>
                <w:sz w:val="20"/>
                <w:szCs w:val="20"/>
                <w:color w:val="auto"/>
              </w:rPr>
            </w:pPr>
            <w:r>
              <w:rPr>
                <w:rFonts w:ascii="Arial" w:cs="Arial" w:eastAsia="Arial" w:hAnsi="Arial"/>
                <w:sz w:val="16"/>
                <w:szCs w:val="16"/>
                <w:color w:val="auto"/>
              </w:rPr>
              <w:t>2029</w:t>
            </w:r>
          </w:p>
        </w:tc>
        <w:tc>
          <w:tcPr>
            <w:tcW w:w="50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2030</w:t>
            </w:r>
          </w:p>
        </w:tc>
        <w:tc>
          <w:tcPr>
            <w:tcW w:w="50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275.0</w:t>
            </w:r>
          </w:p>
        </w:tc>
      </w:tr>
      <w:tr>
        <w:trPr>
          <w:trHeight w:val="215"/>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Thereafter</w:t>
            </w:r>
          </w:p>
        </w:tc>
        <w:tc>
          <w:tcPr>
            <w:tcW w:w="50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Debt</w:t>
            </w:r>
          </w:p>
        </w:tc>
        <w:tc>
          <w:tcPr>
            <w:tcW w:w="502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280.8</w:t>
            </w:r>
          </w:p>
        </w:tc>
      </w:tr>
    </w:tbl>
    <w:p>
      <w:pPr>
        <w:sectPr>
          <w:pgSz w:w="11900" w:h="16838" w:orient="portrait"/>
          <w:cols w:equalWidth="0" w:num="1">
            <w:col w:w="11240"/>
          </w:cols>
          <w:pgMar w:left="320" w:top="161" w:right="339" w:bottom="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US Revolving Credit Agreement</w:t>
      </w:r>
    </w:p>
    <w:p>
      <w:pPr>
        <w:spacing w:after="0" w:line="25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November 26, 2024, Scholastic Corporation and its principal operating subsidiary, Scholastic Inc., entered into a Third Amendment to Amended and Restated Credit Agreement (the “Amendment”) with a syndicate of banks and Bank of America, N.A., as administrative agent, and Truist Bank and Wells Fargo Bank, National Association, as co-syndication agents (as amended by the Third Amendment, the “Credit Agreement”). The arrangement was accounted for as a debt modification. The revised terms of the amended Credit Agreement include the following:</w:t>
      </w:r>
    </w:p>
    <w:p>
      <w:pPr>
        <w:spacing w:after="0" w:line="206" w:lineRule="exact"/>
        <w:rPr>
          <w:sz w:val="20"/>
          <w:szCs w:val="20"/>
          <w:color w:val="auto"/>
        </w:rPr>
      </w:pPr>
    </w:p>
    <w:p>
      <w:pPr>
        <w:ind w:left="640" w:hanging="30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in borrowing limits to $400.0 from $300.0, as amended on October 27, 2021;</w:t>
      </w:r>
    </w:p>
    <w:p>
      <w:pPr>
        <w:spacing w:after="0" w:line="27" w:lineRule="exact"/>
        <w:rPr>
          <w:rFonts w:ascii="Arial" w:cs="Arial" w:eastAsia="Arial" w:hAnsi="Arial"/>
          <w:sz w:val="18"/>
          <w:szCs w:val="18"/>
          <w:color w:val="auto"/>
        </w:rPr>
      </w:pPr>
    </w:p>
    <w:p>
      <w:pPr>
        <w:ind w:left="660" w:right="180" w:hanging="328"/>
        <w:spacing w:after="0" w:line="250" w:lineRule="auto"/>
        <w:tabs>
          <w:tab w:leader="none" w:pos="642"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in the interest pricing margins for SOFR loans to a range of 1.625% to 1.875% from a range of 1.35% to 1.75% and for Base Rate loans to a range of 0.625% to 0.875% from a range of 0.35% to 0.75%;</w:t>
      </w:r>
    </w:p>
    <w:p>
      <w:pPr>
        <w:ind w:left="640" w:hanging="30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elimination of the credit spread adjustment of 0.10% applicable to Term SOFR loans; and</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extension of the maturity date to November 26, 2029.</w:t>
      </w:r>
    </w:p>
    <w:p>
      <w:pPr>
        <w:spacing w:after="0" w:line="23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Company incurred debt issuance costs of $1.6 in connection with the Amendment which are amortized over the term of the Credit Agreement. The current portion of these costs is recorded within Prepaid expenses and other current assets and the noncurrent portion is recorded within Other assets and deferred charges on the Company's Condensed Consolidated Balance Sheet.</w:t>
      </w:r>
    </w:p>
    <w:p>
      <w:pPr>
        <w:spacing w:after="0" w:line="198"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Credit Agreement provides for a $400.0 unsecured revolving credit facility and allows the Company to borrow, repay or prepay and reborrow at any time prior to the November 26, 2029 maturity date. The Credit Agreement also provides an unlimited basket for permitted payments of dividends and other distributions in respect of capital stock so long as the Corporation’s pro forma Consolidated Net Leverage Ratio, as defined in the Credit Agreement, is not in excess of 2.75:1.</w:t>
      </w:r>
    </w:p>
    <w:p>
      <w:pPr>
        <w:spacing w:after="0" w:line="2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the Credit Agreement, interest on (i) Base Rate Advances (as defined in the Credit Agreement) is due and payable in arrears quarterly on the last day of each February, May, August and November, and (ii) Term SOFR Advances (as defined in the Credit Agreement) is due and payable in arrears on the last day of the interest period (defined as the period commencing on the date of the advance and ending on the last day of the period selected by the Borrowers at the time each advance is made). The interest pricing under the Credit Agreement is dependent upon the Company’s election of a rate that is either:</w:t>
      </w:r>
    </w:p>
    <w:p>
      <w:pPr>
        <w:spacing w:after="0" w:line="206" w:lineRule="exact"/>
        <w:rPr>
          <w:sz w:val="20"/>
          <w:szCs w:val="20"/>
          <w:color w:val="auto"/>
        </w:rPr>
      </w:pPr>
    </w:p>
    <w:p>
      <w:pPr>
        <w:ind w:left="660" w:hanging="328"/>
        <w:spacing w:after="0" w:line="257" w:lineRule="auto"/>
        <w:tabs>
          <w:tab w:leader="none" w:pos="642"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Base Rate Advance equal to the higher of (i) the prime rate, (ii) the prevailing Federal Funds rate plus 0.50% or (iii) the Term SOFR Rate plus 1.00% plus, in each case, an applicable margin ranging from 0.625% to 0.875%, as determined by the Company’s prevailing Consolidated Net Leverage Ratio (as defined in the Credit Agreement);</w:t>
      </w:r>
    </w:p>
    <w:p>
      <w:pPr>
        <w:spacing w:after="0" w:line="1" w:lineRule="exact"/>
        <w:rPr>
          <w:rFonts w:ascii="Arial" w:cs="Arial" w:eastAsia="Arial" w:hAnsi="Arial"/>
          <w:sz w:val="18"/>
          <w:szCs w:val="18"/>
          <w:color w:val="auto"/>
        </w:rPr>
      </w:pPr>
    </w:p>
    <w:p>
      <w:pPr>
        <w:ind w:left="5540" w:hanging="106"/>
        <w:spacing w:after="0"/>
        <w:tabs>
          <w:tab w:leader="none" w:pos="5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or -</w:t>
      </w:r>
    </w:p>
    <w:p>
      <w:pPr>
        <w:spacing w:after="0" w:line="9" w:lineRule="exact"/>
        <w:rPr>
          <w:rFonts w:ascii="Arial" w:cs="Arial" w:eastAsia="Arial" w:hAnsi="Arial"/>
          <w:sz w:val="18"/>
          <w:szCs w:val="18"/>
          <w:color w:val="auto"/>
        </w:rPr>
      </w:pPr>
    </w:p>
    <w:p>
      <w:pPr>
        <w:ind w:left="660" w:right="240" w:hanging="328"/>
        <w:spacing w:after="0" w:line="266" w:lineRule="auto"/>
        <w:tabs>
          <w:tab w:leader="none" w:pos="642"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Term SOFR Advance equal to the Term SOFR rate plus an applicable margin ranging from 1.625% to 1.875%, as determined by the Company’s prevailing Consolidated Net Leverage Ratio (as defined in the Credit Agreement).</w:t>
      </w:r>
    </w:p>
    <w:p>
      <w:pPr>
        <w:spacing w:after="0" w:line="198"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As of February 28, 2025, the applicable margin on Base Rate Advances was 0.75% and the applicable margin on SOFR Advances was 1.75%.</w:t>
      </w:r>
    </w:p>
    <w:p>
      <w:pPr>
        <w:spacing w:after="0" w:line="18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Credit Agreement provides for payment of a commitment fee in respect of the aggregate unused amount of revolving credit commitments ranging from 0.20% to 0.30% per annum based upon the Corporation’s then prevailing Consolidated Net Leverage Ratio. As of February 28, 2025, the commitment fee rate was 0.25%.</w:t>
      </w:r>
    </w:p>
    <w:p>
      <w:pPr>
        <w:spacing w:after="0" w:line="19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 portion of the revolving credit facility, up to a maximum of $50.0, is available for the issuance of letters of credit. In addition, a portion of the revolving credit facility, up to a maximum of $15.0, is available for swingline loans. The Credit Agreement has an accordion feature which permits the Company, provided certain conditions are satisfied, to increase the facility by up to an additional $150.0.</w:t>
      </w:r>
    </w:p>
    <w:p>
      <w:pPr>
        <w:spacing w:after="0" w:line="198"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As of February 28, 2025, the Company had outstanding borrowings of $275.0 under the Credit Agreement at a weighted average interest rate of 6.1%. While this obligation is not due until the November 26, 2029 maturity date, the Company may, from time to time, make payments to reduce this obligation when cash from operations becomes available for this purpose. As of February 29, 2024, outstanding borrowings under the Credit Agreement were $25.0 at a weighted average interest rate of 6.8%.</w:t>
      </w:r>
    </w:p>
    <w:p>
      <w:pPr>
        <w:spacing w:after="0" w:line="20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Credit Agreement contains certain financial covenants related to leverage and interest coverage ratios (as defined in the Credit Agreement), limitations on the amount of dividends and other distributions, and other limitations on fundamental changes to the Company or its business. The Company was in compliance with required covenants for all periods presented.</w:t>
      </w:r>
    </w:p>
    <w:p>
      <w:pPr>
        <w:spacing w:after="0" w:line="19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At February 28, 2025, the Company had open standby letters of credit totaling $4.0 issued under certain credit lines, including $0.4 under the Credit Agreement and $3.6 under the domestic credit lines discussed below.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Unsecured Lines of Credit</w:t>
      </w:r>
    </w:p>
    <w:p>
      <w:pPr>
        <w:spacing w:after="0" w:line="25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February 28, 2025, the Company’s domestic credit lines available under unsecured money market bid rate credit lines totaled $10.0. There were no outstanding borrowings under these credit lines as of February 28, 2025, May 31, 2024 and February 29, 2024. As of February 28, 2025, availability under these unsecured money market bid rate credit lines totaled $6.4, excluding commitments of $3.6. All loans made under these credit lines are at the sole discretion of the lender and at an interest rate and term agreed to at the time each loan is made, but not to exceed 365 days. These credit lines may be renewed, if requested by the Company, at the option of the lender.</w:t>
      </w:r>
    </w:p>
    <w:p>
      <w:pPr>
        <w:spacing w:after="0" w:line="20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of February 28, 2025, the Company had various local currency international credit lines totaling $15.6 underwritten by banks primarily in the United States and the United Kingdom. Outstanding borrowings under these facilities were $ 5.8 at February 28, 2025 at a weighted average interest rate of 4.9%, compared to outstanding borrowings of $6.0 at May 31, 2024 at a weighted average interest rate of 4.5%, and $6.5 at February 29, 2024 at a weighted average interest rate of 3.8%. As of February 28, 2025, the amounts available under these facilities totaled $9.8. These credit lines are typically available for overdraft borrowings or loans up to 364 days and may be renewed, if requested by the Company, at the sole option of the lender.</w:t>
      </w:r>
    </w:p>
    <w:p>
      <w:pPr>
        <w:sectPr>
          <w:pgSz w:w="11900" w:h="16838" w:orient="portrait"/>
          <w:cols w:equalWidth="0" w:num="1">
            <w:col w:w="11220"/>
          </w:cols>
          <w:pgMar w:left="320" w:top="366" w:right="359" w:bottom="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Film Related Obligations</w:t>
      </w:r>
    </w:p>
    <w:p>
      <w:pPr>
        <w:spacing w:after="0" w:line="250"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The Company's entertainment business enters into credit facilities with third-party banks to obtain interim financing for certain productions. The interim production credit facilities are secured by an assignment and direction of specific production financing including tax credits and license contract receivables and are due on demand. As of February 28, 2025, interest is charged at the following rates:</w:t>
      </w:r>
    </w:p>
    <w:p>
      <w:pPr>
        <w:spacing w:after="0" w:line="198"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bank prime rate plus a margin ranging from 0.50% to 0.75% for Canadian dollar loans;</w:t>
      </w:r>
    </w:p>
    <w:p>
      <w:pPr>
        <w:spacing w:after="0" w:line="27" w:lineRule="exact"/>
        <w:rPr>
          <w:rFonts w:ascii="Arial" w:cs="Arial" w:eastAsia="Arial" w:hAnsi="Arial"/>
          <w:sz w:val="18"/>
          <w:szCs w:val="18"/>
          <w:color w:val="auto"/>
        </w:rPr>
      </w:pPr>
    </w:p>
    <w:p>
      <w:pPr>
        <w:ind w:left="640" w:hanging="30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SOFR plus a margin ranging from 2.25% to 3.00% for U.S. dollar loans; and</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Euribor plus 2.00% for Euro loans.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28, 2025, outstanding borrowings under these facilities were $18.8 at a weighted average interest rate of 6.3%.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Various claims and lawsuits arising in the normal course of business are pending against the Company. The Company accrues a liability for such matters when it is probable that a liability has occurred and the amount of such liability can be reasonably estimated. When only a range can be estimated, the most probable amount in the range is accrued unless no amount within the range is a better estimate than any other amount, in which case the minimum amount in the range is accrued. Legal costs associated with litigation are expensed in the period in which they are incurred. The Company does not expect, in the case of those various claims and lawsuits arising in the normal course of business where a loss is considered probable or reasonably possible, that the reasonably possible losses from such claims and lawsuits (either individually or in the aggregate) would have a material adverse effect on the Company’s consolidated financial position or results of operations.</w:t>
      </w:r>
    </w:p>
    <w:p>
      <w:pPr>
        <w:spacing w:after="0" w:line="21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Company expects to receive additional recoveries from its insurance programs related to an intellectual property legal settlement accrued during fiscal 2021, however, it is premature to determine with any level of probability or accuracy the amount of those recoveries at this time.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(LOSS) PER SHARE</w:t>
      </w:r>
    </w:p>
    <w:p>
      <w:pPr>
        <w:spacing w:after="0" w:line="225"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The following table summarizes the reconciliation of the numerators and denominators for the basic and diluted earnings (loss) per share computation for the periods indicated: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4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8"/>
                <w:szCs w:val="18"/>
                <w:color w:val="auto"/>
              </w:rPr>
            </w:pPr>
          </w:p>
        </w:tc>
        <w:tc>
          <w:tcPr>
            <w:tcW w:w="2480" w:type="dxa"/>
            <w:vAlign w:val="bottom"/>
            <w:gridSpan w:val="3"/>
          </w:tcPr>
          <w:p>
            <w:pPr>
              <w:jc w:val="right"/>
              <w:ind w:right="61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140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February 28,</w:t>
            </w:r>
          </w:p>
        </w:tc>
        <w:tc>
          <w:tcPr>
            <w:tcW w:w="144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February 29,</w:t>
            </w:r>
          </w:p>
        </w:tc>
        <w:tc>
          <w:tcPr>
            <w:tcW w:w="144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February 28,</w:t>
            </w:r>
          </w:p>
        </w:tc>
        <w:tc>
          <w:tcPr>
            <w:tcW w:w="148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February 29,</w:t>
            </w:r>
          </w:p>
        </w:tc>
        <w:tc>
          <w:tcPr>
            <w:tcW w:w="0" w:type="dxa"/>
            <w:vAlign w:val="bottom"/>
          </w:tcPr>
          <w:p>
            <w:pPr>
              <w:spacing w:after="0"/>
              <w:rPr>
                <w:sz w:val="1"/>
                <w:szCs w:val="1"/>
                <w:color w:val="auto"/>
              </w:rPr>
            </w:pPr>
          </w:p>
        </w:tc>
      </w:tr>
      <w:tr>
        <w:trPr>
          <w:trHeight w:val="217"/>
        </w:trPr>
        <w:tc>
          <w:tcPr>
            <w:tcW w:w="54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10"/>
        </w:trPr>
        <w:tc>
          <w:tcPr>
            <w:tcW w:w="5480" w:type="dxa"/>
            <w:vAlign w:val="bottom"/>
          </w:tcPr>
          <w:p>
            <w:pPr>
              <w:ind w:left="20"/>
              <w:spacing w:after="0"/>
              <w:rPr>
                <w:sz w:val="20"/>
                <w:szCs w:val="20"/>
                <w:color w:val="auto"/>
              </w:rPr>
            </w:pPr>
            <w:r>
              <w:rPr>
                <w:rFonts w:ascii="Arial" w:cs="Arial" w:eastAsia="Arial" w:hAnsi="Arial"/>
                <w:sz w:val="16"/>
                <w:szCs w:val="16"/>
                <w:b w:val="1"/>
                <w:bCs w:val="1"/>
                <w:color w:val="auto"/>
              </w:rPr>
              <w:t>Net income (loss) attributable to Class A and Common Stockholders</w:t>
            </w:r>
          </w:p>
        </w:tc>
        <w:tc>
          <w:tcPr>
            <w:tcW w:w="4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199"/>
              <w:spacing w:after="0"/>
              <w:rPr>
                <w:sz w:val="20"/>
                <w:szCs w:val="20"/>
                <w:color w:val="auto"/>
              </w:rPr>
            </w:pPr>
            <w:r>
              <w:rPr>
                <w:rFonts w:ascii="Arial" w:cs="Arial" w:eastAsia="Arial" w:hAnsi="Arial"/>
                <w:sz w:val="16"/>
                <w:szCs w:val="16"/>
                <w:b w:val="1"/>
                <w:bCs w:val="1"/>
                <w:color w:val="auto"/>
              </w:rPr>
              <w:t>(3.6)</w:t>
            </w:r>
          </w:p>
        </w:tc>
        <w:tc>
          <w:tcPr>
            <w:tcW w:w="4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199"/>
              <w:spacing w:after="0"/>
              <w:rPr>
                <w:sz w:val="20"/>
                <w:szCs w:val="20"/>
                <w:color w:val="auto"/>
              </w:rPr>
            </w:pPr>
            <w:r>
              <w:rPr>
                <w:rFonts w:ascii="Arial" w:cs="Arial" w:eastAsia="Arial" w:hAnsi="Arial"/>
                <w:sz w:val="16"/>
                <w:szCs w:val="16"/>
                <w:b w:val="1"/>
                <w:bCs w:val="1"/>
                <w:color w:val="auto"/>
              </w:rPr>
              <w:t>(26.5)</w:t>
            </w:r>
          </w:p>
        </w:tc>
        <w:tc>
          <w:tcPr>
            <w:tcW w:w="4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199"/>
              <w:spacing w:after="0"/>
              <w:rPr>
                <w:sz w:val="20"/>
                <w:szCs w:val="20"/>
                <w:color w:val="auto"/>
              </w:rPr>
            </w:pPr>
            <w:r>
              <w:rPr>
                <w:rFonts w:ascii="Arial" w:cs="Arial" w:eastAsia="Arial" w:hAnsi="Arial"/>
                <w:sz w:val="16"/>
                <w:szCs w:val="16"/>
                <w:b w:val="1"/>
                <w:bCs w:val="1"/>
                <w:color w:val="auto"/>
              </w:rPr>
              <w:t>(17.3)</w:t>
            </w:r>
          </w:p>
        </w:tc>
        <w:tc>
          <w:tcPr>
            <w:tcW w:w="4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(23.8)</w:t>
            </w:r>
          </w:p>
        </w:tc>
        <w:tc>
          <w:tcPr>
            <w:tcW w:w="0" w:type="dxa"/>
            <w:vAlign w:val="bottom"/>
          </w:tcPr>
          <w:p>
            <w:pPr>
              <w:spacing w:after="0"/>
              <w:rPr>
                <w:sz w:val="1"/>
                <w:szCs w:val="1"/>
                <w:color w:val="auto"/>
              </w:rPr>
            </w:pPr>
          </w:p>
        </w:tc>
      </w:tr>
      <w:tr>
        <w:trPr>
          <w:trHeight w:val="162"/>
        </w:trPr>
        <w:tc>
          <w:tcPr>
            <w:tcW w:w="54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Weighted average Shares of Class A Stock and Common Stock</w:t>
            </w:r>
          </w:p>
        </w:tc>
        <w:tc>
          <w:tcPr>
            <w:tcW w:w="4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239"/>
              <w:spacing w:after="0"/>
              <w:rPr>
                <w:sz w:val="20"/>
                <w:szCs w:val="20"/>
                <w:color w:val="auto"/>
              </w:rPr>
            </w:pPr>
            <w:r>
              <w:rPr>
                <w:rFonts w:ascii="Arial" w:cs="Arial" w:eastAsia="Arial" w:hAnsi="Arial"/>
                <w:sz w:val="16"/>
                <w:szCs w:val="16"/>
                <w:color w:val="auto"/>
              </w:rPr>
              <w:t>27.8</w:t>
            </w:r>
          </w:p>
        </w:tc>
        <w:tc>
          <w:tcPr>
            <w:tcW w:w="4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239"/>
              <w:spacing w:after="0"/>
              <w:rPr>
                <w:sz w:val="20"/>
                <w:szCs w:val="20"/>
                <w:color w:val="auto"/>
              </w:rPr>
            </w:pPr>
            <w:r>
              <w:rPr>
                <w:rFonts w:ascii="Arial" w:cs="Arial" w:eastAsia="Arial" w:hAnsi="Arial"/>
                <w:sz w:val="16"/>
                <w:szCs w:val="16"/>
                <w:color w:val="auto"/>
              </w:rPr>
              <w:t>29.1</w:t>
            </w:r>
          </w:p>
        </w:tc>
        <w:tc>
          <w:tcPr>
            <w:tcW w:w="4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rPr>
              <w:t>28.1</w:t>
            </w:r>
          </w:p>
        </w:tc>
        <w:tc>
          <w:tcPr>
            <w:tcW w:w="4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for basic earnings (loss) per share (in millions)</w:t>
            </w:r>
          </w:p>
        </w:tc>
        <w:tc>
          <w:tcPr>
            <w:tcW w:w="4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480" w:type="dxa"/>
            <w:vAlign w:val="bottom"/>
          </w:tcPr>
          <w:p>
            <w:pPr>
              <w:ind w:left="20"/>
              <w:spacing w:after="0" w:line="162" w:lineRule="exact"/>
              <w:rPr>
                <w:sz w:val="20"/>
                <w:szCs w:val="20"/>
                <w:color w:val="auto"/>
              </w:rPr>
            </w:pPr>
            <w:r>
              <w:rPr>
                <w:rFonts w:ascii="Arial" w:cs="Arial" w:eastAsia="Arial" w:hAnsi="Arial"/>
                <w:sz w:val="16"/>
                <w:szCs w:val="16"/>
                <w:color w:val="auto"/>
              </w:rPr>
              <w:t>Dilutive effect of Common Stock potentially issuable pursuant to stock-</w:t>
            </w:r>
          </w:p>
        </w:tc>
        <w:tc>
          <w:tcPr>
            <w:tcW w:w="400" w:type="dxa"/>
            <w:vAlign w:val="bottom"/>
          </w:tcPr>
          <w:p>
            <w:pPr>
              <w:spacing w:after="0"/>
              <w:rPr>
                <w:sz w:val="14"/>
                <w:szCs w:val="14"/>
                <w:color w:val="auto"/>
              </w:rPr>
            </w:pPr>
          </w:p>
        </w:tc>
        <w:tc>
          <w:tcPr>
            <w:tcW w:w="1000" w:type="dxa"/>
            <w:vAlign w:val="bottom"/>
            <w:vMerge w:val="restart"/>
          </w:tcPr>
          <w:p>
            <w:pPr>
              <w:jc w:val="right"/>
              <w:ind w:right="23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4"/>
                <w:szCs w:val="14"/>
                <w:color w:val="auto"/>
              </w:rPr>
            </w:pPr>
          </w:p>
        </w:tc>
        <w:tc>
          <w:tcPr>
            <w:tcW w:w="1000" w:type="dxa"/>
            <w:vAlign w:val="bottom"/>
            <w:vMerge w:val="restart"/>
          </w:tcPr>
          <w:p>
            <w:pPr>
              <w:jc w:val="right"/>
              <w:ind w:right="23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4"/>
                <w:szCs w:val="14"/>
                <w:color w:val="auto"/>
              </w:rPr>
            </w:pPr>
          </w:p>
        </w:tc>
        <w:tc>
          <w:tcPr>
            <w:tcW w:w="1000" w:type="dxa"/>
            <w:vAlign w:val="bottom"/>
            <w:vMerge w:val="restart"/>
          </w:tcPr>
          <w:p>
            <w:pPr>
              <w:jc w:val="right"/>
              <w:ind w:right="23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4"/>
                <w:szCs w:val="14"/>
                <w:color w:val="auto"/>
              </w:rPr>
            </w:pPr>
          </w:p>
        </w:tc>
        <w:tc>
          <w:tcPr>
            <w:tcW w:w="1040" w:type="dxa"/>
            <w:vAlign w:val="bottom"/>
            <w:vMerge w:val="restart"/>
          </w:tcPr>
          <w:p>
            <w:pPr>
              <w:jc w:val="right"/>
              <w:ind w:right="2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480" w:type="dxa"/>
            <w:vAlign w:val="bottom"/>
          </w:tcPr>
          <w:p>
            <w:pPr>
              <w:ind w:left="20"/>
              <w:spacing w:after="0"/>
              <w:rPr>
                <w:sz w:val="20"/>
                <w:szCs w:val="20"/>
                <w:color w:val="auto"/>
              </w:rPr>
            </w:pPr>
            <w:r>
              <w:rPr>
                <w:rFonts w:ascii="Arial" w:cs="Arial" w:eastAsia="Arial" w:hAnsi="Arial"/>
                <w:sz w:val="16"/>
                <w:szCs w:val="16"/>
                <w:color w:val="auto"/>
              </w:rPr>
              <w:t>based compensation plans (in millions)*</w:t>
            </w:r>
          </w:p>
        </w:tc>
        <w:tc>
          <w:tcPr>
            <w:tcW w:w="4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4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Adjusted weighted average Shares of Class A Stock and Common Stock</w:t>
            </w:r>
          </w:p>
        </w:tc>
        <w:tc>
          <w:tcPr>
            <w:tcW w:w="4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239"/>
              <w:spacing w:after="0"/>
              <w:rPr>
                <w:sz w:val="20"/>
                <w:szCs w:val="20"/>
                <w:color w:val="auto"/>
              </w:rPr>
            </w:pPr>
            <w:r>
              <w:rPr>
                <w:rFonts w:ascii="Arial" w:cs="Arial" w:eastAsia="Arial" w:hAnsi="Arial"/>
                <w:sz w:val="16"/>
                <w:szCs w:val="16"/>
                <w:color w:val="auto"/>
              </w:rPr>
              <w:t>27.8</w:t>
            </w:r>
          </w:p>
        </w:tc>
        <w:tc>
          <w:tcPr>
            <w:tcW w:w="4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239"/>
              <w:spacing w:after="0"/>
              <w:rPr>
                <w:sz w:val="20"/>
                <w:szCs w:val="20"/>
                <w:color w:val="auto"/>
              </w:rPr>
            </w:pPr>
            <w:r>
              <w:rPr>
                <w:rFonts w:ascii="Arial" w:cs="Arial" w:eastAsia="Arial" w:hAnsi="Arial"/>
                <w:sz w:val="16"/>
                <w:szCs w:val="16"/>
                <w:color w:val="auto"/>
              </w:rPr>
              <w:t>29.1</w:t>
            </w:r>
          </w:p>
        </w:tc>
        <w:tc>
          <w:tcPr>
            <w:tcW w:w="4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rPr>
              <w:t>28.1</w:t>
            </w:r>
          </w:p>
        </w:tc>
        <w:tc>
          <w:tcPr>
            <w:tcW w:w="4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215"/>
        </w:trPr>
        <w:tc>
          <w:tcPr>
            <w:tcW w:w="5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outstanding for diluted earnings (loss) per share (in millions)</w:t>
            </w:r>
          </w:p>
        </w:tc>
        <w:tc>
          <w:tcPr>
            <w:tcW w:w="4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80" w:type="dxa"/>
            <w:vAlign w:val="bottom"/>
          </w:tcPr>
          <w:p>
            <w:pPr>
              <w:ind w:left="20"/>
              <w:spacing w:after="0"/>
              <w:rPr>
                <w:sz w:val="20"/>
                <w:szCs w:val="20"/>
                <w:color w:val="auto"/>
              </w:rPr>
            </w:pPr>
            <w:r>
              <w:rPr>
                <w:rFonts w:ascii="Arial" w:cs="Arial" w:eastAsia="Arial" w:hAnsi="Arial"/>
                <w:sz w:val="16"/>
                <w:szCs w:val="16"/>
                <w:b w:val="1"/>
                <w:bCs w:val="1"/>
                <w:color w:val="auto"/>
              </w:rPr>
              <w:t>Earnings (loss) per share of Class A Stock and Common Stock:</w:t>
            </w: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Basic</w:t>
            </w:r>
          </w:p>
        </w:tc>
        <w:tc>
          <w:tcPr>
            <w:tcW w:w="40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(0.13)</w:t>
            </w:r>
          </w:p>
        </w:tc>
        <w:tc>
          <w:tcPr>
            <w:tcW w:w="4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(0.91)</w:t>
            </w:r>
          </w:p>
        </w:tc>
        <w:tc>
          <w:tcPr>
            <w:tcW w:w="4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(0.61)</w:t>
            </w:r>
          </w:p>
        </w:tc>
        <w:tc>
          <w:tcPr>
            <w:tcW w:w="4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(0.80)</w:t>
            </w:r>
          </w:p>
        </w:tc>
        <w:tc>
          <w:tcPr>
            <w:tcW w:w="0" w:type="dxa"/>
            <w:vAlign w:val="bottom"/>
          </w:tcPr>
          <w:p>
            <w:pPr>
              <w:spacing w:after="0"/>
              <w:rPr>
                <w:sz w:val="1"/>
                <w:szCs w:val="1"/>
                <w:color w:val="auto"/>
              </w:rPr>
            </w:pPr>
          </w:p>
        </w:tc>
      </w:tr>
      <w:tr>
        <w:trPr>
          <w:trHeight w:val="216"/>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Diluted</w:t>
            </w:r>
          </w:p>
        </w:tc>
        <w:tc>
          <w:tcPr>
            <w:tcW w:w="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(0.13)</w:t>
            </w:r>
          </w:p>
        </w:tc>
        <w:tc>
          <w:tcPr>
            <w:tcW w:w="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(0.91)</w:t>
            </w:r>
          </w:p>
        </w:tc>
        <w:tc>
          <w:tcPr>
            <w:tcW w:w="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(0.61)</w:t>
            </w:r>
          </w:p>
        </w:tc>
        <w:tc>
          <w:tcPr>
            <w:tcW w:w="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(0.80)</w:t>
            </w:r>
          </w:p>
        </w:tc>
        <w:tc>
          <w:tcPr>
            <w:tcW w:w="0" w:type="dxa"/>
            <w:vAlign w:val="bottom"/>
          </w:tcPr>
          <w:p>
            <w:pPr>
              <w:spacing w:after="0"/>
              <w:rPr>
                <w:sz w:val="1"/>
                <w:szCs w:val="1"/>
                <w:color w:val="auto"/>
              </w:rPr>
            </w:pPr>
          </w:p>
        </w:tc>
      </w:tr>
      <w:tr>
        <w:trPr>
          <w:trHeight w:val="209"/>
        </w:trPr>
        <w:tc>
          <w:tcPr>
            <w:tcW w:w="5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Anti-dilutive shares pursuant to stock-based compensation plans*</w:t>
            </w:r>
          </w:p>
        </w:tc>
        <w:tc>
          <w:tcPr>
            <w:tcW w:w="4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1.9</w:t>
            </w: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1.1</w:t>
            </w: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1.7</w:t>
            </w: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right="220" w:firstLine="8"/>
        <w:spacing w:after="0" w:line="275" w:lineRule="auto"/>
        <w:tabs>
          <w:tab w:leader="none" w:pos="108"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 experienced a net loss for the three and nine months ended February 28, 2025 and therefore did not report any dilutive share impact. The following potential common shares were excluded from the loss per diluted share computation: outstanding options and restricted stock units of 2.7 million and 0.5 million, respectively.</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6" w:name="page17"/>
    <w:bookmarkEnd w:id="16"/>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SCHOLASTIC CORPORATION</w:t>
      </w:r>
    </w:p>
    <w:p>
      <w:pPr>
        <w:ind w:left="20" w:right="4100"/>
        <w:spacing w:after="0" w:line="244" w:lineRule="auto"/>
        <w:rPr>
          <w:sz w:val="20"/>
          <w:szCs w:val="20"/>
          <w:color w:val="auto"/>
        </w:rPr>
      </w:pPr>
      <w:r>
        <w:rPr>
          <w:rFonts w:ascii="Arial" w:cs="Arial" w:eastAsia="Arial" w:hAnsi="Arial"/>
          <w:sz w:val="18"/>
          <w:szCs w:val="18"/>
          <w:b w:val="1"/>
          <w:bCs w:val="1"/>
          <w:color w:val="auto"/>
        </w:rPr>
        <w:t>NOTES TO CONDENSED CONSOLIDATED FINANCIAL STATEMENTS – UNAUDITED (Dollar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options outstanding pursuant to stock-based compensation plans as of the dates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60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tcPr>
          <w:p>
            <w:pPr>
              <w:jc w:val="center"/>
              <w:ind w:left="599"/>
              <w:spacing w:after="0"/>
              <w:rPr>
                <w:sz w:val="20"/>
                <w:szCs w:val="20"/>
                <w:color w:val="auto"/>
              </w:rPr>
            </w:pPr>
            <w:r>
              <w:rPr>
                <w:rFonts w:ascii="Arial" w:cs="Arial" w:eastAsia="Arial" w:hAnsi="Arial"/>
                <w:sz w:val="16"/>
                <w:szCs w:val="16"/>
                <w:b w:val="1"/>
                <w:bCs w:val="1"/>
                <w:color w:val="auto"/>
              </w:rPr>
              <w:t>February 28, 2025</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February 29, 2024</w:t>
            </w:r>
          </w:p>
        </w:tc>
      </w:tr>
      <w:tr>
        <w:trPr>
          <w:trHeight w:val="209"/>
        </w:trPr>
        <w:tc>
          <w:tcPr>
            <w:tcW w:w="6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Options outstanding pursuant to stock-based compensation plans (in millions)</w:t>
            </w:r>
          </w:p>
        </w:tc>
        <w:tc>
          <w:tcPr>
            <w:tcW w:w="268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rPr>
              <w:t>2.7</w:t>
            </w:r>
          </w:p>
        </w:tc>
        <w:tc>
          <w:tcPr>
            <w:tcW w:w="1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rPr>
              <w:t>3.0</w:t>
            </w:r>
          </w:p>
        </w:tc>
      </w:tr>
    </w:tbl>
    <w:p>
      <w:pPr>
        <w:spacing w:after="0" w:line="305"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As of February 28, 2025, $46.6 remained available for future purchases of common shares under the repurchase authorization of the Board of Directors (the "Board") in effect on that date. See Note 12, "Treasury Stock", for a more complete description of the Company’s share buy-back program and Note 18, "Subsequent Events" for additional Board authorization for common share repurchases.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ACQUISITIONS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Story Acquisition</w:t>
      </w:r>
    </w:p>
    <w:p>
      <w:pPr>
        <w:spacing w:after="0" w:line="25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June 20, 2024, the Company completed the acquisition of 100% of the economic interests in the form of non-voting shares and 25% of the voting shares of 9 Story, a leading independent creator, producer and distributor of premium children’s content based in Toronto, Canada, with studios or offices in New York, United States, Dublin, Ireland and Bali, Indonesia. The aggregate purchase price was $193.7, subject to further adjustment based on the final determination of purchase price adjustments, and was funded through borrowings under the U.S. Credit Agreement incurred during the first quarter of fiscal 2025. The acquisition of 9 Story further enhances the Company's development, production and licensing interests, expanding opportunities to leverage its brand and best-selling publishing and global children's franchises across print, screen and merchandising.</w:t>
      </w:r>
    </w:p>
    <w:p>
      <w:pPr>
        <w:spacing w:after="0" w:line="210"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 xml:space="preserve">Pursuant to ASC Topic 810, </w:t>
      </w:r>
      <w:r>
        <w:rPr>
          <w:rFonts w:ascii="Arial" w:cs="Arial" w:eastAsia="Arial" w:hAnsi="Arial"/>
          <w:sz w:val="18"/>
          <w:szCs w:val="18"/>
          <w:i w:val="1"/>
          <w:iCs w:val="1"/>
          <w:color w:val="auto"/>
        </w:rPr>
        <w:t>Consolidation</w:t>
      </w:r>
      <w:r>
        <w:rPr>
          <w:rFonts w:ascii="Arial" w:cs="Arial" w:eastAsia="Arial" w:hAnsi="Arial"/>
          <w:sz w:val="18"/>
          <w:szCs w:val="18"/>
          <w:color w:val="auto"/>
        </w:rPr>
        <w:t>, 9 Story was determined to be a variable interest entity (VIE) and the Company was determined to be its primary beneficiary and therefore obtained a controlling financial interest over 9 Story. Accordingly, 9 Story has been consolidated into the Company's financial results.</w:t>
      </w:r>
    </w:p>
    <w:p>
      <w:pPr>
        <w:spacing w:after="0" w:line="19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9 Story met the definition of a business pursuant to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and the acquisition was accounted for as a business combination under the acquisition method of accounting. The Company estimated the preliminary fair value of acquired assets and liabilities as of the date of acquisition based on currently available information. As the Company finalizes the fair value of assets acquired and liabilities assumed, additional purchase price adjustments may be recorded during the measurement period. Refer to Note 8, Goodwill and Other Intangibles, for details regarding measurement period adjustments recorded during the nine months ended February 28, 2025. The following table summarizes the preliminary purchase price allocation of fair values of the assets acquired and liabilities assumed at the date of acquisition, inclusive of measurement period adjustments: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17" w:name="page18"/>
    <w:bookmarkEnd w:id="17"/>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SCHOLASTIC CORPORATION</w:t>
      </w:r>
    </w:p>
    <w:p>
      <w:pPr>
        <w:ind w:left="20" w:right="4100"/>
        <w:spacing w:after="0" w:line="244" w:lineRule="auto"/>
        <w:rPr>
          <w:sz w:val="20"/>
          <w:szCs w:val="20"/>
          <w:color w:val="auto"/>
        </w:rPr>
      </w:pPr>
      <w:r>
        <w:rPr>
          <w:rFonts w:ascii="Arial" w:cs="Arial" w:eastAsia="Arial" w:hAnsi="Arial"/>
          <w:sz w:val="18"/>
          <w:szCs w:val="18"/>
          <w:b w:val="1"/>
          <w:bCs w:val="1"/>
          <w:color w:val="auto"/>
        </w:rPr>
        <w:t>NOTES TO CONDENSED CONSOLIDATED FINANCIAL STATEMENTS – UNAUDITED (Dollar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50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17.5</w:t>
            </w:r>
          </w:p>
        </w:tc>
      </w:tr>
      <w:tr>
        <w:trPr>
          <w:trHeight w:val="215"/>
        </w:trPr>
        <w:tc>
          <w:tcPr>
            <w:tcW w:w="658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3500" w:type="dxa"/>
            <w:vAlign w:val="bottom"/>
          </w:tcPr>
          <w:p>
            <w:pPr>
              <w:spacing w:after="0"/>
              <w:rPr>
                <w:sz w:val="18"/>
                <w:szCs w:val="18"/>
                <w:color w:val="auto"/>
              </w:rPr>
            </w:pPr>
          </w:p>
        </w:tc>
        <w:tc>
          <w:tcPr>
            <w:tcW w:w="1160" w:type="dxa"/>
            <w:vAlign w:val="bottom"/>
          </w:tcPr>
          <w:p>
            <w:pPr>
              <w:jc w:val="right"/>
              <w:ind w:right="439"/>
              <w:spacing w:after="0"/>
              <w:rPr>
                <w:sz w:val="20"/>
                <w:szCs w:val="20"/>
                <w:color w:val="auto"/>
              </w:rPr>
            </w:pPr>
            <w:r>
              <w:rPr>
                <w:rFonts w:ascii="Arial" w:cs="Arial" w:eastAsia="Arial" w:hAnsi="Arial"/>
                <w:sz w:val="16"/>
                <w:szCs w:val="16"/>
                <w:color w:val="auto"/>
              </w:rPr>
              <w:t>15.9</w:t>
            </w:r>
          </w:p>
        </w:tc>
      </w:tr>
      <w:tr>
        <w:trPr>
          <w:trHeight w:val="217"/>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 film and television programs</w:t>
            </w:r>
          </w:p>
        </w:tc>
        <w:tc>
          <w:tcPr>
            <w:tcW w:w="3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42.9</w:t>
            </w:r>
          </w:p>
        </w:tc>
      </w:tr>
      <w:tr>
        <w:trPr>
          <w:trHeight w:val="216"/>
        </w:trPr>
        <w:tc>
          <w:tcPr>
            <w:tcW w:w="65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Property, plant and equipment </w:t>
            </w:r>
            <w:r>
              <w:rPr>
                <w:rFonts w:ascii="Arial" w:cs="Arial" w:eastAsia="Arial" w:hAnsi="Arial"/>
                <w:sz w:val="21"/>
                <w:szCs w:val="21"/>
                <w:color w:val="auto"/>
                <w:vertAlign w:val="superscript"/>
              </w:rPr>
              <w:t>(1)</w:t>
            </w:r>
          </w:p>
        </w:tc>
        <w:tc>
          <w:tcPr>
            <w:tcW w:w="3500" w:type="dxa"/>
            <w:vAlign w:val="bottom"/>
          </w:tcPr>
          <w:p>
            <w:pPr>
              <w:spacing w:after="0"/>
              <w:rPr>
                <w:sz w:val="18"/>
                <w:szCs w:val="18"/>
                <w:color w:val="auto"/>
              </w:rPr>
            </w:pPr>
          </w:p>
        </w:tc>
        <w:tc>
          <w:tcPr>
            <w:tcW w:w="1160" w:type="dxa"/>
            <w:vAlign w:val="bottom"/>
          </w:tcPr>
          <w:p>
            <w:pPr>
              <w:jc w:val="right"/>
              <w:ind w:right="439"/>
              <w:spacing w:after="0"/>
              <w:rPr>
                <w:sz w:val="20"/>
                <w:szCs w:val="20"/>
                <w:color w:val="auto"/>
              </w:rPr>
            </w:pPr>
            <w:r>
              <w:rPr>
                <w:rFonts w:ascii="Arial" w:cs="Arial" w:eastAsia="Arial" w:hAnsi="Arial"/>
                <w:sz w:val="16"/>
                <w:szCs w:val="16"/>
                <w:color w:val="auto"/>
              </w:rPr>
              <w:t>6.0</w:t>
            </w: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3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6.1</w:t>
            </w:r>
          </w:p>
        </w:tc>
      </w:tr>
      <w:tr>
        <w:trPr>
          <w:trHeight w:val="215"/>
        </w:trPr>
        <w:tc>
          <w:tcPr>
            <w:tcW w:w="6580" w:type="dxa"/>
            <w:vAlign w:val="bottom"/>
          </w:tcPr>
          <w:p>
            <w:pPr>
              <w:ind w:left="20"/>
              <w:spacing w:after="0"/>
              <w:rPr>
                <w:sz w:val="20"/>
                <w:szCs w:val="20"/>
                <w:color w:val="auto"/>
              </w:rPr>
            </w:pPr>
            <w:r>
              <w:rPr>
                <w:rFonts w:ascii="Arial" w:cs="Arial" w:eastAsia="Arial" w:hAnsi="Arial"/>
                <w:sz w:val="16"/>
                <w:szCs w:val="16"/>
                <w:color w:val="auto"/>
              </w:rPr>
              <w:t>Other Intangible assets:</w:t>
            </w:r>
          </w:p>
        </w:tc>
        <w:tc>
          <w:tcPr>
            <w:tcW w:w="35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7"/>
        </w:trPr>
        <w:tc>
          <w:tcPr>
            <w:tcW w:w="6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Existing content/IP</w:t>
            </w:r>
          </w:p>
        </w:tc>
        <w:tc>
          <w:tcPr>
            <w:tcW w:w="3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16.0</w:t>
            </w:r>
          </w:p>
        </w:tc>
      </w:tr>
      <w:tr>
        <w:trPr>
          <w:trHeight w:val="215"/>
        </w:trPr>
        <w:tc>
          <w:tcPr>
            <w:tcW w:w="6580" w:type="dxa"/>
            <w:vAlign w:val="bottom"/>
          </w:tcPr>
          <w:p>
            <w:pPr>
              <w:ind w:left="140"/>
              <w:spacing w:after="0"/>
              <w:rPr>
                <w:sz w:val="20"/>
                <w:szCs w:val="20"/>
                <w:color w:val="auto"/>
              </w:rPr>
            </w:pPr>
            <w:r>
              <w:rPr>
                <w:rFonts w:ascii="Arial" w:cs="Arial" w:eastAsia="Arial" w:hAnsi="Arial"/>
                <w:sz w:val="16"/>
                <w:szCs w:val="16"/>
                <w:color w:val="auto"/>
              </w:rPr>
              <w:t>Customer contracts/relationships</w:t>
            </w:r>
          </w:p>
        </w:tc>
        <w:tc>
          <w:tcPr>
            <w:tcW w:w="3500" w:type="dxa"/>
            <w:vAlign w:val="bottom"/>
          </w:tcPr>
          <w:p>
            <w:pPr>
              <w:spacing w:after="0"/>
              <w:rPr>
                <w:sz w:val="18"/>
                <w:szCs w:val="18"/>
                <w:color w:val="auto"/>
              </w:rPr>
            </w:pPr>
          </w:p>
        </w:tc>
        <w:tc>
          <w:tcPr>
            <w:tcW w:w="1160" w:type="dxa"/>
            <w:vAlign w:val="bottom"/>
          </w:tcPr>
          <w:p>
            <w:pPr>
              <w:jc w:val="right"/>
              <w:ind w:right="439"/>
              <w:spacing w:after="0"/>
              <w:rPr>
                <w:sz w:val="20"/>
                <w:szCs w:val="20"/>
                <w:color w:val="auto"/>
              </w:rPr>
            </w:pPr>
            <w:r>
              <w:rPr>
                <w:rFonts w:ascii="Arial" w:cs="Arial" w:eastAsia="Arial" w:hAnsi="Arial"/>
                <w:sz w:val="16"/>
                <w:szCs w:val="16"/>
                <w:color w:val="auto"/>
              </w:rPr>
              <w:t>51.5</w:t>
            </w:r>
          </w:p>
        </w:tc>
      </w:tr>
      <w:tr>
        <w:trPr>
          <w:trHeight w:val="217"/>
        </w:trPr>
        <w:tc>
          <w:tcPr>
            <w:tcW w:w="6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Trade names</w:t>
            </w:r>
          </w:p>
        </w:tc>
        <w:tc>
          <w:tcPr>
            <w:tcW w:w="3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16.5</w:t>
            </w:r>
          </w:p>
        </w:tc>
      </w:tr>
      <w:tr>
        <w:trPr>
          <w:trHeight w:val="215"/>
        </w:trPr>
        <w:tc>
          <w:tcPr>
            <w:tcW w:w="6580" w:type="dxa"/>
            <w:vAlign w:val="bottom"/>
          </w:tcPr>
          <w:p>
            <w:pPr>
              <w:ind w:left="140"/>
              <w:spacing w:after="0"/>
              <w:rPr>
                <w:sz w:val="20"/>
                <w:szCs w:val="20"/>
                <w:color w:val="auto"/>
              </w:rPr>
            </w:pPr>
            <w:r>
              <w:rPr>
                <w:rFonts w:ascii="Arial" w:cs="Arial" w:eastAsia="Arial" w:hAnsi="Arial"/>
                <w:sz w:val="16"/>
                <w:szCs w:val="16"/>
                <w:color w:val="auto"/>
              </w:rPr>
              <w:t>Internally developed software</w:t>
            </w:r>
          </w:p>
        </w:tc>
        <w:tc>
          <w:tcPr>
            <w:tcW w:w="3500" w:type="dxa"/>
            <w:vAlign w:val="bottom"/>
          </w:tcPr>
          <w:p>
            <w:pPr>
              <w:spacing w:after="0"/>
              <w:rPr>
                <w:sz w:val="18"/>
                <w:szCs w:val="18"/>
                <w:color w:val="auto"/>
              </w:rPr>
            </w:pPr>
          </w:p>
        </w:tc>
        <w:tc>
          <w:tcPr>
            <w:tcW w:w="1160" w:type="dxa"/>
            <w:vAlign w:val="bottom"/>
          </w:tcPr>
          <w:p>
            <w:pPr>
              <w:jc w:val="right"/>
              <w:ind w:right="439"/>
              <w:spacing w:after="0"/>
              <w:rPr>
                <w:sz w:val="20"/>
                <w:szCs w:val="20"/>
                <w:color w:val="auto"/>
              </w:rPr>
            </w:pPr>
            <w:r>
              <w:rPr>
                <w:rFonts w:ascii="Arial" w:cs="Arial" w:eastAsia="Arial" w:hAnsi="Arial"/>
                <w:sz w:val="16"/>
                <w:szCs w:val="16"/>
                <w:color w:val="auto"/>
              </w:rPr>
              <w:t>1.3</w:t>
            </w:r>
          </w:p>
        </w:tc>
      </w:tr>
      <w:tr>
        <w:trPr>
          <w:trHeight w:val="217"/>
        </w:trPr>
        <w:tc>
          <w:tcPr>
            <w:tcW w:w="6580" w:type="dxa"/>
            <w:vAlign w:val="bottom"/>
            <w:tcBorders>
              <w:bottom w:val="single" w:sz="8" w:color="auto"/>
            </w:tcBorders>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Other assets </w:t>
            </w:r>
            <w:r>
              <w:rPr>
                <w:rFonts w:ascii="Arial" w:cs="Arial" w:eastAsia="Arial" w:hAnsi="Arial"/>
                <w:sz w:val="21"/>
                <w:szCs w:val="21"/>
                <w:color w:val="auto"/>
                <w:vertAlign w:val="superscript"/>
              </w:rPr>
              <w:t>(2)</w:t>
            </w:r>
          </w:p>
        </w:tc>
        <w:tc>
          <w:tcPr>
            <w:tcW w:w="35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35.8</w:t>
            </w:r>
          </w:p>
        </w:tc>
      </w:tr>
      <w:tr>
        <w:trPr>
          <w:trHeight w:val="233"/>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assets acquired</w:t>
            </w:r>
          </w:p>
        </w:tc>
        <w:tc>
          <w:tcPr>
            <w:tcW w:w="35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209.5</w:t>
            </w:r>
          </w:p>
        </w:tc>
      </w:tr>
      <w:tr>
        <w:trPr>
          <w:trHeight w:val="213"/>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3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2.3</w:t>
            </w:r>
          </w:p>
        </w:tc>
      </w:tr>
      <w:tr>
        <w:trPr>
          <w:trHeight w:val="215"/>
        </w:trPr>
        <w:tc>
          <w:tcPr>
            <w:tcW w:w="6580" w:type="dxa"/>
            <w:vAlign w:val="bottom"/>
          </w:tcPr>
          <w:p>
            <w:pPr>
              <w:ind w:left="20"/>
              <w:spacing w:after="0"/>
              <w:rPr>
                <w:sz w:val="20"/>
                <w:szCs w:val="20"/>
                <w:color w:val="auto"/>
              </w:rPr>
            </w:pPr>
            <w:r>
              <w:rPr>
                <w:rFonts w:ascii="Arial" w:cs="Arial" w:eastAsia="Arial" w:hAnsi="Arial"/>
                <w:sz w:val="16"/>
                <w:szCs w:val="16"/>
                <w:color w:val="auto"/>
              </w:rPr>
              <w:t>Accrued expenses</w:t>
            </w:r>
          </w:p>
        </w:tc>
        <w:tc>
          <w:tcPr>
            <w:tcW w:w="3500" w:type="dxa"/>
            <w:vAlign w:val="bottom"/>
          </w:tcPr>
          <w:p>
            <w:pPr>
              <w:spacing w:after="0"/>
              <w:rPr>
                <w:sz w:val="18"/>
                <w:szCs w:val="18"/>
                <w:color w:val="auto"/>
              </w:rPr>
            </w:pPr>
          </w:p>
        </w:tc>
        <w:tc>
          <w:tcPr>
            <w:tcW w:w="1160" w:type="dxa"/>
            <w:vAlign w:val="bottom"/>
          </w:tcPr>
          <w:p>
            <w:pPr>
              <w:jc w:val="right"/>
              <w:ind w:right="439"/>
              <w:spacing w:after="0"/>
              <w:rPr>
                <w:sz w:val="20"/>
                <w:szCs w:val="20"/>
                <w:color w:val="auto"/>
              </w:rPr>
            </w:pPr>
            <w:r>
              <w:rPr>
                <w:rFonts w:ascii="Arial" w:cs="Arial" w:eastAsia="Arial" w:hAnsi="Arial"/>
                <w:sz w:val="16"/>
                <w:szCs w:val="16"/>
                <w:color w:val="auto"/>
              </w:rPr>
              <w:t>16.3</w:t>
            </w:r>
          </w:p>
        </w:tc>
      </w:tr>
      <w:tr>
        <w:trPr>
          <w:trHeight w:val="217"/>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w:t>
            </w:r>
          </w:p>
        </w:tc>
        <w:tc>
          <w:tcPr>
            <w:tcW w:w="3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10.9</w:t>
            </w:r>
          </w:p>
        </w:tc>
      </w:tr>
      <w:tr>
        <w:trPr>
          <w:trHeight w:val="215"/>
        </w:trPr>
        <w:tc>
          <w:tcPr>
            <w:tcW w:w="6580" w:type="dxa"/>
            <w:vAlign w:val="bottom"/>
          </w:tcPr>
          <w:p>
            <w:pPr>
              <w:ind w:left="20"/>
              <w:spacing w:after="0"/>
              <w:rPr>
                <w:sz w:val="20"/>
                <w:szCs w:val="20"/>
                <w:color w:val="auto"/>
              </w:rPr>
            </w:pPr>
            <w:r>
              <w:rPr>
                <w:rFonts w:ascii="Arial" w:cs="Arial" w:eastAsia="Arial" w:hAnsi="Arial"/>
                <w:sz w:val="16"/>
                <w:szCs w:val="16"/>
                <w:color w:val="auto"/>
              </w:rPr>
              <w:t>Film related obligations</w:t>
            </w:r>
          </w:p>
        </w:tc>
        <w:tc>
          <w:tcPr>
            <w:tcW w:w="3500" w:type="dxa"/>
            <w:vAlign w:val="bottom"/>
          </w:tcPr>
          <w:p>
            <w:pPr>
              <w:spacing w:after="0"/>
              <w:rPr>
                <w:sz w:val="18"/>
                <w:szCs w:val="18"/>
                <w:color w:val="auto"/>
              </w:rPr>
            </w:pPr>
          </w:p>
        </w:tc>
        <w:tc>
          <w:tcPr>
            <w:tcW w:w="1160" w:type="dxa"/>
            <w:vAlign w:val="bottom"/>
          </w:tcPr>
          <w:p>
            <w:pPr>
              <w:jc w:val="right"/>
              <w:ind w:right="439"/>
              <w:spacing w:after="0"/>
              <w:rPr>
                <w:sz w:val="20"/>
                <w:szCs w:val="20"/>
                <w:color w:val="auto"/>
              </w:rPr>
            </w:pPr>
            <w:r>
              <w:rPr>
                <w:rFonts w:ascii="Arial" w:cs="Arial" w:eastAsia="Arial" w:hAnsi="Arial"/>
                <w:sz w:val="16"/>
                <w:szCs w:val="16"/>
                <w:color w:val="auto"/>
              </w:rPr>
              <w:t>34.9</w:t>
            </w:r>
          </w:p>
        </w:tc>
      </w:tr>
      <w:tr>
        <w:trPr>
          <w:trHeight w:val="217"/>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w:t>
            </w:r>
          </w:p>
        </w:tc>
        <w:tc>
          <w:tcPr>
            <w:tcW w:w="3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7.7</w:t>
            </w:r>
          </w:p>
        </w:tc>
      </w:tr>
      <w:tr>
        <w:trPr>
          <w:trHeight w:val="215"/>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liabilities</w:t>
            </w:r>
          </w:p>
        </w:tc>
        <w:tc>
          <w:tcPr>
            <w:tcW w:w="3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14.7</w:t>
            </w:r>
          </w:p>
        </w:tc>
      </w:tr>
      <w:tr>
        <w:trPr>
          <w:trHeight w:val="233"/>
        </w:trPr>
        <w:tc>
          <w:tcPr>
            <w:tcW w:w="6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assumed</w:t>
            </w:r>
          </w:p>
        </w:tc>
        <w:tc>
          <w:tcPr>
            <w:tcW w:w="35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86.8</w:t>
            </w:r>
          </w:p>
        </w:tc>
      </w:tr>
      <w:tr>
        <w:trPr>
          <w:trHeight w:val="236"/>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Preliminary fair value of net assets acquired</w:t>
            </w:r>
          </w:p>
        </w:tc>
        <w:tc>
          <w:tcPr>
            <w:tcW w:w="35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122.7</w:t>
            </w:r>
          </w:p>
        </w:tc>
      </w:tr>
      <w:tr>
        <w:trPr>
          <w:trHeight w:val="213"/>
        </w:trPr>
        <w:tc>
          <w:tcPr>
            <w:tcW w:w="6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35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71.0</w:t>
            </w:r>
          </w:p>
        </w:tc>
      </w:tr>
      <w:tr>
        <w:trPr>
          <w:trHeight w:val="233"/>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Preliminary purchase price consideration</w:t>
            </w:r>
          </w:p>
        </w:tc>
        <w:tc>
          <w:tcPr>
            <w:tcW w:w="35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193.7</w:t>
            </w:r>
          </w:p>
        </w:tc>
      </w:tr>
    </w:tbl>
    <w:p>
      <w:pPr>
        <w:spacing w:after="0" w:line="41"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 xml:space="preserve"> Includes a preliminary step-up adjustment of $1.8.</w:t>
      </w:r>
    </w:p>
    <w:p>
      <w:pPr>
        <w:spacing w:after="0"/>
        <w:rPr>
          <w:sz w:val="20"/>
          <w:szCs w:val="20"/>
          <w:color w:val="auto"/>
        </w:rPr>
      </w:pPr>
      <w:r>
        <w:rPr>
          <w:rFonts w:ascii="Arial" w:cs="Arial" w:eastAsia="Arial" w:hAnsi="Arial"/>
          <w:sz w:val="21"/>
          <w:szCs w:val="21"/>
          <w:color w:val="auto"/>
          <w:vertAlign w:val="superscript"/>
        </w:rPr>
        <w:t>(2)</w:t>
      </w:r>
      <w:r>
        <w:rPr>
          <w:rFonts w:ascii="Arial" w:cs="Arial" w:eastAsia="Arial" w:hAnsi="Arial"/>
          <w:sz w:val="16"/>
          <w:szCs w:val="16"/>
          <w:color w:val="auto"/>
        </w:rPr>
        <w:t xml:space="preserve"> Includes $31.9 of receivables related to government tax incentives.</w:t>
      </w:r>
    </w:p>
    <w:p>
      <w:pPr>
        <w:spacing w:after="0" w:line="17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The intangible assets acquired include intellectual property ("IP") related to 9 Story's existing and recognized program titles, customer contracts/relationships related to licensing, distribution and service arrangements, the trade names associated with 9 Story and Brown Bag Films, its animation studio, and internally developed software. The intellectual property and customer contracts/relationships were valued using the multi-period excess earnings valuation method and are being amortized over 10 years, with the exception of contracts/relationships for service arrangements which are being amortized over 5 years. The trade names were valued using the relief-from-royalty valuation method and are being amortized over 10 years. The internally developed software was valued using the replacement cost method and is being amortized over 3 years. The Company classified these fair value measurements as Level 3 due to the significant unobservable inputs used in the analyses, such as internally-developed discounted cash flow forecasts. The difference between the purchase price over the net identifiable tangible and intangible assets acquired was allocated to goodwill, which is not deductible for tax purposes. The goodwill balance is primarily attributable to the expected synergies from the business combination and acquired workforce. The goodwill and intangible assets acquired were allocated to the </w:t>
      </w:r>
      <w:r>
        <w:rPr>
          <w:rFonts w:ascii="Arial" w:cs="Arial" w:eastAsia="Arial" w:hAnsi="Arial"/>
          <w:sz w:val="18"/>
          <w:szCs w:val="18"/>
          <w:i w:val="1"/>
          <w:iCs w:val="1"/>
          <w:color w:val="auto"/>
        </w:rPr>
        <w:t>Entertainment</w:t>
      </w:r>
      <w:r>
        <w:rPr>
          <w:rFonts w:ascii="Arial" w:cs="Arial" w:eastAsia="Arial" w:hAnsi="Arial"/>
          <w:sz w:val="18"/>
          <w:szCs w:val="18"/>
          <w:color w:val="auto"/>
        </w:rPr>
        <w:t xml:space="preserve"> segment.</w:t>
      </w:r>
    </w:p>
    <w:p>
      <w:pPr>
        <w:spacing w:after="0" w:line="20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 xml:space="preserve">The financial results of 9 Story, since the date of acquisition, were included in the Company's Condensed Consolidated Financial Statements as of February 28, 2025. 9 Story contributed total revenue of $44.2 and net loss of $8.3 from the date of acquisition on June 20, 2024 through February 28, 2025. The operations of 9 Story are reported in the </w:t>
      </w:r>
      <w:r>
        <w:rPr>
          <w:rFonts w:ascii="Arial" w:cs="Arial" w:eastAsia="Arial" w:hAnsi="Arial"/>
          <w:sz w:val="18"/>
          <w:szCs w:val="18"/>
          <w:i w:val="1"/>
          <w:iCs w:val="1"/>
          <w:color w:val="auto"/>
        </w:rPr>
        <w:t>Entertainment</w:t>
      </w:r>
      <w:r>
        <w:rPr>
          <w:rFonts w:ascii="Arial" w:cs="Arial" w:eastAsia="Arial" w:hAnsi="Arial"/>
          <w:sz w:val="18"/>
          <w:szCs w:val="18"/>
          <w:color w:val="auto"/>
        </w:rPr>
        <w:t xml:space="preserve"> segment.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unaudited pro-forma consolidated results of operations for the three and nine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2025 and February 29, 2024 as if the acquisition had occurred on June 1, 2023, the beginning of fiscal 2024:</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160" w:type="dxa"/>
            <w:vAlign w:val="bottom"/>
            <w:gridSpan w:val="3"/>
          </w:tcPr>
          <w:p>
            <w:pPr>
              <w:ind w:left="580"/>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8"/>
                <w:szCs w:val="18"/>
                <w:color w:val="auto"/>
              </w:rPr>
            </w:pPr>
          </w:p>
        </w:tc>
        <w:tc>
          <w:tcPr>
            <w:tcW w:w="3240" w:type="dxa"/>
            <w:vAlign w:val="bottom"/>
            <w:gridSpan w:val="3"/>
          </w:tcPr>
          <w:p>
            <w:pPr>
              <w:jc w:val="right"/>
              <w:ind w:right="999"/>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27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40" w:type="dxa"/>
            <w:vAlign w:val="bottom"/>
          </w:tcPr>
          <w:p>
            <w:pPr>
              <w:jc w:val="center"/>
              <w:ind w:right="299"/>
              <w:spacing w:after="0"/>
              <w:rPr>
                <w:sz w:val="20"/>
                <w:szCs w:val="20"/>
                <w:color w:val="auto"/>
              </w:rPr>
            </w:pPr>
            <w:r>
              <w:rPr>
                <w:rFonts w:ascii="Arial" w:cs="Arial" w:eastAsia="Arial" w:hAnsi="Arial"/>
                <w:sz w:val="16"/>
                <w:szCs w:val="16"/>
                <w:b w:val="1"/>
                <w:bCs w:val="1"/>
                <w:color w:val="auto"/>
              </w:rPr>
              <w:t>February 28,</w:t>
            </w:r>
          </w:p>
        </w:tc>
        <w:tc>
          <w:tcPr>
            <w:tcW w:w="1820" w:type="dxa"/>
            <w:vAlign w:val="bottom"/>
            <w:gridSpan w:val="2"/>
          </w:tcPr>
          <w:p>
            <w:pPr>
              <w:jc w:val="center"/>
              <w:ind w:left="19"/>
              <w:spacing w:after="0"/>
              <w:rPr>
                <w:sz w:val="20"/>
                <w:szCs w:val="20"/>
                <w:color w:val="auto"/>
              </w:rPr>
            </w:pPr>
            <w:r>
              <w:rPr>
                <w:rFonts w:ascii="Arial" w:cs="Arial" w:eastAsia="Arial" w:hAnsi="Arial"/>
                <w:sz w:val="16"/>
                <w:szCs w:val="16"/>
                <w:b w:val="1"/>
                <w:bCs w:val="1"/>
                <w:color w:val="auto"/>
              </w:rPr>
              <w:t>February 29,</w:t>
            </w:r>
          </w:p>
        </w:tc>
        <w:tc>
          <w:tcPr>
            <w:tcW w:w="460" w:type="dxa"/>
            <w:vAlign w:val="bottom"/>
          </w:tcPr>
          <w:p>
            <w:pPr>
              <w:spacing w:after="0"/>
              <w:rPr>
                <w:sz w:val="18"/>
                <w:szCs w:val="18"/>
                <w:color w:val="auto"/>
              </w:rPr>
            </w:pPr>
          </w:p>
        </w:tc>
        <w:tc>
          <w:tcPr>
            <w:tcW w:w="1360" w:type="dxa"/>
            <w:vAlign w:val="bottom"/>
          </w:tcPr>
          <w:p>
            <w:pPr>
              <w:jc w:val="center"/>
              <w:ind w:right="299"/>
              <w:spacing w:after="0"/>
              <w:rPr>
                <w:sz w:val="20"/>
                <w:szCs w:val="20"/>
                <w:color w:val="auto"/>
              </w:rPr>
            </w:pPr>
            <w:r>
              <w:rPr>
                <w:rFonts w:ascii="Arial" w:cs="Arial" w:eastAsia="Arial" w:hAnsi="Arial"/>
                <w:sz w:val="16"/>
                <w:szCs w:val="16"/>
                <w:b w:val="1"/>
                <w:bCs w:val="1"/>
                <w:color w:val="auto"/>
              </w:rPr>
              <w:t>February 28,</w:t>
            </w:r>
          </w:p>
        </w:tc>
        <w:tc>
          <w:tcPr>
            <w:tcW w:w="480" w:type="dxa"/>
            <w:vAlign w:val="bottom"/>
          </w:tcPr>
          <w:p>
            <w:pPr>
              <w:spacing w:after="0"/>
              <w:rPr>
                <w:sz w:val="18"/>
                <w:szCs w:val="18"/>
                <w:color w:val="auto"/>
              </w:rPr>
            </w:pPr>
          </w:p>
        </w:tc>
        <w:tc>
          <w:tcPr>
            <w:tcW w:w="1400" w:type="dxa"/>
            <w:vAlign w:val="bottom"/>
          </w:tcPr>
          <w:p>
            <w:pPr>
              <w:jc w:val="center"/>
              <w:ind w:right="359"/>
              <w:spacing w:after="0"/>
              <w:rPr>
                <w:sz w:val="20"/>
                <w:szCs w:val="20"/>
                <w:color w:val="auto"/>
              </w:rPr>
            </w:pPr>
            <w:r>
              <w:rPr>
                <w:rFonts w:ascii="Arial" w:cs="Arial" w:eastAsia="Arial" w:hAnsi="Arial"/>
                <w:sz w:val="16"/>
                <w:szCs w:val="16"/>
                <w:b w:val="1"/>
                <w:bCs w:val="1"/>
                <w:color w:val="auto"/>
              </w:rPr>
              <w:t>February 29,</w:t>
            </w:r>
          </w:p>
        </w:tc>
      </w:tr>
      <w:tr>
        <w:trPr>
          <w:trHeight w:val="217"/>
        </w:trPr>
        <w:tc>
          <w:tcPr>
            <w:tcW w:w="27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2025</w:t>
            </w:r>
          </w:p>
        </w:tc>
        <w:tc>
          <w:tcPr>
            <w:tcW w:w="6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2025</w:t>
            </w:r>
          </w:p>
        </w:tc>
        <w:tc>
          <w:tcPr>
            <w:tcW w:w="4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2024</w:t>
            </w:r>
          </w:p>
        </w:tc>
      </w:tr>
      <w:tr>
        <w:trPr>
          <w:trHeight w:val="209"/>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335.4</w:t>
            </w:r>
          </w:p>
        </w:tc>
        <w:tc>
          <w:tcPr>
            <w:tcW w:w="6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341.9</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1,122.9</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1,169.0</w:t>
            </w:r>
          </w:p>
        </w:tc>
      </w:tr>
      <w:tr>
        <w:trPr>
          <w:trHeight w:val="215"/>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 (loss)</w:t>
            </w:r>
          </w:p>
        </w:tc>
        <w:tc>
          <w:tcPr>
            <w:tcW w:w="15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(3.6)</w:t>
            </w:r>
          </w:p>
        </w:tc>
        <w:tc>
          <w:tcPr>
            <w:tcW w:w="6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(29.3)</w:t>
            </w:r>
          </w:p>
        </w:tc>
        <w:tc>
          <w:tcPr>
            <w:tcW w:w="4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(19.1)</w:t>
            </w:r>
          </w:p>
        </w:tc>
        <w:tc>
          <w:tcPr>
            <w:tcW w:w="4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(34.2)</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SCHOLASTIC CORPORATION</w:t>
      </w:r>
    </w:p>
    <w:p>
      <w:pPr>
        <w:ind w:left="20" w:right="4100"/>
        <w:spacing w:after="0" w:line="244" w:lineRule="auto"/>
        <w:rPr>
          <w:sz w:val="20"/>
          <w:szCs w:val="20"/>
          <w:color w:val="auto"/>
        </w:rPr>
      </w:pPr>
      <w:r>
        <w:rPr>
          <w:rFonts w:ascii="Arial" w:cs="Arial" w:eastAsia="Arial" w:hAnsi="Arial"/>
          <w:sz w:val="18"/>
          <w:szCs w:val="18"/>
          <w:b w:val="1"/>
          <w:bCs w:val="1"/>
          <w:color w:val="auto"/>
        </w:rPr>
        <w:t>NOTES TO CONDENSED CONSOLIDATED FINANCIAL STATEMENTS – UNAUDITED (Dollar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unaudited pro-forma consolidated results above are based on the historical financial statements of the Company and 9 Story and are not necessarily indicative of the results of operations that would have been achieved if the acquisition was completed at the beginning of fiscal 2024 and are not indicative of the future operating results of the combined entities. The financial information for 9 Story prior to the acquisition includes certain adjustments to 9 Story's historical consolidated financial statements to align with U.S. GAAP and the Company's accounting policies. The pro-forma consolidated results of operations also include the effects of purchase accounting adjustments, including amortization charges related to the finite-lived intangible assets acquired, fair value adjustments relating to leases and fixed assets, and the related tax effects assuming that the business combination occurred on June 1, 2023.</w:t>
      </w:r>
    </w:p>
    <w:p>
      <w:pPr>
        <w:spacing w:after="0" w:line="169" w:lineRule="exact"/>
        <w:rPr>
          <w:sz w:val="20"/>
          <w:szCs w:val="20"/>
          <w:color w:val="auto"/>
        </w:rPr>
      </w:pPr>
    </w:p>
    <w:p>
      <w:pPr>
        <w:ind w:right="500"/>
        <w:spacing w:after="0" w:line="247" w:lineRule="exact"/>
        <w:rPr>
          <w:sz w:val="20"/>
          <w:szCs w:val="20"/>
          <w:color w:val="auto"/>
        </w:rPr>
      </w:pPr>
      <w:r>
        <w:rPr>
          <w:rFonts w:ascii="Arial" w:cs="Arial" w:eastAsia="Arial" w:hAnsi="Arial"/>
          <w:sz w:val="18"/>
          <w:szCs w:val="18"/>
          <w:color w:val="auto"/>
        </w:rPr>
        <w:t>The Company incurred acquisition</w:t>
      </w:r>
      <w:r>
        <w:rPr>
          <w:rFonts w:ascii="MS PGothic" w:cs="MS PGothic" w:eastAsia="MS PGothic" w:hAnsi="MS PGothic"/>
          <w:sz w:val="18"/>
          <w:szCs w:val="18"/>
          <w:color w:val="auto"/>
        </w:rPr>
        <w:t>‑</w:t>
      </w:r>
      <w:r>
        <w:rPr>
          <w:rFonts w:ascii="Arial" w:cs="Arial" w:eastAsia="Arial" w:hAnsi="Arial"/>
          <w:sz w:val="18"/>
          <w:szCs w:val="18"/>
          <w:color w:val="auto"/>
        </w:rPr>
        <w:t>related costs of $0.5 and $2.6 for the three and nine months ended February 28, 2025, respectively, which were included in Selling, general and administrative expenses in the Condensed Consolidated Statement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Noncontrolling Interest</w:t>
      </w:r>
    </w:p>
    <w:p>
      <w:pPr>
        <w:spacing w:after="0" w:line="25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June 1, 2023, the Company acquired the remaining shares of Make Believe Ideas Limited, a UK-based children's book publishing company, for $2.1, increasing the Company's total ownership from 95.0% to 100%. The acquisition was accounted for as an equity transaction as there was no change in control. The carrying value of the noncontrolling interest at the acquisition date was $1.6. The difference between the fair value of consideration paid and the carrying value was recognized as an adjustment to Additional paid-in capital of $0.5.</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OTHER INTANGIBLES</w:t>
      </w:r>
    </w:p>
    <w:p>
      <w:pPr>
        <w:spacing w:after="0" w:line="25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Company assesses goodwill and other intangible assets with indefinite lives for impairment annually or more frequently if indicators arise. The Company monitors impairment indicators in light of changes in market conditions, near and long-term demand for the Company’s products and other relevant factors.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in Goodwill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24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b w:val="1"/>
                <w:bCs w:val="1"/>
                <w:color w:val="auto"/>
              </w:rPr>
              <w:t>February 28, 2025</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May 31, 2024</w:t>
            </w:r>
          </w:p>
        </w:tc>
        <w:tc>
          <w:tcPr>
            <w:tcW w:w="198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6"/>
                <w:szCs w:val="16"/>
                <w:b w:val="1"/>
                <w:bCs w:val="1"/>
                <w:color w:val="auto"/>
              </w:rPr>
              <w:t>February 29, 2024</w:t>
            </w:r>
          </w:p>
        </w:tc>
      </w:tr>
      <w:tr>
        <w:trPr>
          <w:trHeight w:val="209"/>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beginning balance</w:t>
            </w:r>
          </w:p>
        </w:tc>
        <w:tc>
          <w:tcPr>
            <w:tcW w:w="20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172.4</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172.3</w:t>
            </w:r>
          </w:p>
        </w:tc>
        <w:tc>
          <w:tcPr>
            <w:tcW w:w="8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172.3</w:t>
            </w:r>
          </w:p>
        </w:tc>
      </w:tr>
      <w:tr>
        <w:trPr>
          <w:trHeight w:val="215"/>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Accumulated impairment</w:t>
            </w:r>
          </w:p>
        </w:tc>
        <w:tc>
          <w:tcPr>
            <w:tcW w:w="20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(39.6)</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(39.6)</w:t>
            </w:r>
          </w:p>
        </w:tc>
        <w:tc>
          <w:tcPr>
            <w:tcW w:w="8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(39.6)</w:t>
            </w:r>
          </w:p>
        </w:tc>
      </w:tr>
      <w:tr>
        <w:trPr>
          <w:trHeight w:val="210"/>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Beginning balance</w:t>
            </w:r>
          </w:p>
        </w:tc>
        <w:tc>
          <w:tcPr>
            <w:tcW w:w="206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132.8</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132.7</w:t>
            </w:r>
          </w:p>
        </w:tc>
        <w:tc>
          <w:tcPr>
            <w:tcW w:w="80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132.7</w:t>
            </w:r>
          </w:p>
        </w:tc>
      </w:tr>
      <w:tr>
        <w:trPr>
          <w:trHeight w:val="215"/>
        </w:trPr>
        <w:tc>
          <w:tcPr>
            <w:tcW w:w="4240" w:type="dxa"/>
            <w:vAlign w:val="bottom"/>
          </w:tcPr>
          <w:p>
            <w:pPr>
              <w:ind w:left="20"/>
              <w:spacing w:after="0"/>
              <w:rPr>
                <w:sz w:val="20"/>
                <w:szCs w:val="20"/>
                <w:color w:val="auto"/>
              </w:rPr>
            </w:pPr>
            <w:r>
              <w:rPr>
                <w:rFonts w:ascii="Arial" w:cs="Arial" w:eastAsia="Arial" w:hAnsi="Arial"/>
                <w:sz w:val="16"/>
                <w:szCs w:val="16"/>
                <w:color w:val="auto"/>
              </w:rPr>
              <w:t>Additions</w:t>
            </w:r>
          </w:p>
        </w:tc>
        <w:tc>
          <w:tcPr>
            <w:tcW w:w="2060" w:type="dxa"/>
            <w:vAlign w:val="bottom"/>
          </w:tcPr>
          <w:p>
            <w:pPr>
              <w:spacing w:after="0"/>
              <w:rPr>
                <w:sz w:val="18"/>
                <w:szCs w:val="18"/>
                <w:color w:val="auto"/>
              </w:rPr>
            </w:pPr>
          </w:p>
        </w:tc>
        <w:tc>
          <w:tcPr>
            <w:tcW w:w="1220" w:type="dxa"/>
            <w:vAlign w:val="bottom"/>
          </w:tcPr>
          <w:p>
            <w:pPr>
              <w:jc w:val="right"/>
              <w:ind w:right="479"/>
              <w:spacing w:after="0"/>
              <w:rPr>
                <w:sz w:val="20"/>
                <w:szCs w:val="20"/>
                <w:color w:val="auto"/>
              </w:rPr>
            </w:pPr>
            <w:r>
              <w:rPr>
                <w:rFonts w:ascii="Arial" w:cs="Arial" w:eastAsia="Arial" w:hAnsi="Arial"/>
                <w:sz w:val="16"/>
                <w:szCs w:val="16"/>
                <w:color w:val="auto"/>
              </w:rPr>
              <w:t>70.1</w:t>
            </w:r>
          </w:p>
        </w:tc>
        <w:tc>
          <w:tcPr>
            <w:tcW w:w="400" w:type="dxa"/>
            <w:vAlign w:val="bottom"/>
          </w:tcPr>
          <w:p>
            <w:pPr>
              <w:spacing w:after="0"/>
              <w:rPr>
                <w:sz w:val="18"/>
                <w:szCs w:val="18"/>
                <w:color w:val="auto"/>
              </w:rPr>
            </w:pPr>
          </w:p>
        </w:tc>
        <w:tc>
          <w:tcPr>
            <w:tcW w:w="13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1180" w:type="dxa"/>
            <w:vAlign w:val="bottom"/>
          </w:tcPr>
          <w:p>
            <w:pPr>
              <w:jc w:val="right"/>
              <w:ind w:right="439"/>
              <w:spacing w:after="0"/>
              <w:rPr>
                <w:sz w:val="20"/>
                <w:szCs w:val="20"/>
                <w:color w:val="auto"/>
              </w:rPr>
            </w:pPr>
            <w:r>
              <w:rPr>
                <w:rFonts w:ascii="Arial" w:cs="Arial" w:eastAsia="Arial" w:hAnsi="Arial"/>
                <w:sz w:val="16"/>
                <w:szCs w:val="16"/>
                <w:color w:val="auto"/>
              </w:rPr>
              <w:t>—</w:t>
            </w:r>
          </w:p>
        </w:tc>
      </w:tr>
      <w:tr>
        <w:trPr>
          <w:trHeight w:val="217"/>
        </w:trPr>
        <w:tc>
          <w:tcPr>
            <w:tcW w:w="424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Measurement period adjustments </w:t>
            </w:r>
            <w:r>
              <w:rPr>
                <w:rFonts w:ascii="Arial" w:cs="Arial" w:eastAsia="Arial" w:hAnsi="Arial"/>
                <w:sz w:val="21"/>
                <w:szCs w:val="21"/>
                <w:color w:val="auto"/>
                <w:vertAlign w:val="superscript"/>
              </w:rPr>
              <w:t>(1)</w:t>
            </w:r>
          </w:p>
        </w:tc>
        <w:tc>
          <w:tcPr>
            <w:tcW w:w="20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0.9</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r>
      <w:tr>
        <w:trPr>
          <w:trHeight w:val="215"/>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Foreign currency translation</w:t>
            </w:r>
          </w:p>
        </w:tc>
        <w:tc>
          <w:tcPr>
            <w:tcW w:w="20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(3.8)</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0.1</w:t>
            </w:r>
          </w:p>
        </w:tc>
        <w:tc>
          <w:tcPr>
            <w:tcW w:w="8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0.1</w:t>
            </w:r>
          </w:p>
        </w:tc>
      </w:tr>
      <w:tr>
        <w:trPr>
          <w:trHeight w:val="210"/>
        </w:trPr>
        <w:tc>
          <w:tcPr>
            <w:tcW w:w="4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Ending balance</w:t>
            </w:r>
          </w:p>
        </w:tc>
        <w:tc>
          <w:tcPr>
            <w:tcW w:w="20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200.0</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132.8</w:t>
            </w:r>
          </w:p>
        </w:tc>
        <w:tc>
          <w:tcPr>
            <w:tcW w:w="8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132.8</w:t>
            </w:r>
          </w:p>
        </w:tc>
      </w:tr>
    </w:tbl>
    <w:p>
      <w:pPr>
        <w:spacing w:after="0" w:line="67" w:lineRule="exact"/>
        <w:rPr>
          <w:sz w:val="20"/>
          <w:szCs w:val="20"/>
          <w:color w:val="auto"/>
        </w:rPr>
      </w:pPr>
    </w:p>
    <w:p>
      <w:pPr>
        <w:ind w:left="180" w:right="40" w:hanging="172"/>
        <w:spacing w:after="0" w:line="259" w:lineRule="auto"/>
        <w:tabs>
          <w:tab w:leader="none" w:pos="176" w:val="left"/>
        </w:tabs>
        <w:numPr>
          <w:ilvl w:val="0"/>
          <w:numId w:val="13"/>
        </w:numPr>
        <w:rPr>
          <w:rFonts w:ascii="Arial" w:cs="Arial" w:eastAsia="Arial" w:hAnsi="Arial"/>
          <w:sz w:val="20"/>
          <w:szCs w:val="20"/>
          <w:color w:val="auto"/>
          <w:vertAlign w:val="superscript"/>
        </w:rPr>
      </w:pPr>
      <w:r>
        <w:rPr>
          <w:rFonts w:ascii="Arial" w:cs="Arial" w:eastAsia="Arial" w:hAnsi="Arial"/>
          <w:sz w:val="15"/>
          <w:szCs w:val="15"/>
          <w:color w:val="auto"/>
        </w:rPr>
        <w:t>Measurement period adjustments for the 9 Story acquisition reflect an increase to goodwill of $0.9 resulting from a net decrease in the estimated fair value of the net assets acquired. The decrease in the estimated fair value of the net assets acquired consisted of an increase to deferred tax liabilities of $1.4, an increase to operating lease right-of-use assets of $0.3, a decrease to lease liabilities of $0.1, and a decrease to the purchase price as a result of a working capital adjustment of $0.1.</w:t>
      </w:r>
    </w:p>
    <w:p>
      <w:pPr>
        <w:spacing w:after="0" w:line="215"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 xml:space="preserve">In fiscal 2025, the Company completed the 9 Story acquisition which resulted in the recognition of $71.0 of Goodwill, net of measurement period adjustments, included in the </w:t>
      </w:r>
      <w:r>
        <w:rPr>
          <w:rFonts w:ascii="Arial" w:cs="Arial" w:eastAsia="Arial" w:hAnsi="Arial"/>
          <w:sz w:val="18"/>
          <w:szCs w:val="18"/>
          <w:i w:val="1"/>
          <w:iCs w:val="1"/>
          <w:color w:val="auto"/>
        </w:rPr>
        <w:t>Entertainment</w:t>
      </w:r>
      <w:r>
        <w:rPr>
          <w:rFonts w:ascii="Arial" w:cs="Arial" w:eastAsia="Arial" w:hAnsi="Arial"/>
          <w:sz w:val="18"/>
          <w:szCs w:val="18"/>
          <w:color w:val="auto"/>
        </w:rPr>
        <w:t xml:space="preserve"> segment. Refer to Note 7, "Acquisitions", for further details regarding the acquisition.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impairment charges related to Goodwill in any of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SCHOLASTIC CORPORATION</w:t>
      </w:r>
    </w:p>
    <w:p>
      <w:pPr>
        <w:ind w:left="20" w:right="4100"/>
        <w:spacing w:after="0" w:line="244" w:lineRule="auto"/>
        <w:rPr>
          <w:sz w:val="20"/>
          <w:szCs w:val="20"/>
          <w:color w:val="auto"/>
        </w:rPr>
      </w:pPr>
      <w:r>
        <w:rPr>
          <w:rFonts w:ascii="Arial" w:cs="Arial" w:eastAsia="Arial" w:hAnsi="Arial"/>
          <w:sz w:val="18"/>
          <w:szCs w:val="18"/>
          <w:b w:val="1"/>
          <w:bCs w:val="1"/>
          <w:color w:val="auto"/>
        </w:rPr>
        <w:t>NOTES TO CONDENSED CONSOLIDATED FINANCIAL STATEMENTS – UNAUDITED (Dollar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in Other intangible assets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February 28, 2025</w:t>
            </w:r>
          </w:p>
        </w:tc>
        <w:tc>
          <w:tcPr>
            <w:tcW w:w="142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b w:val="1"/>
                <w:bCs w:val="1"/>
                <w:color w:val="auto"/>
              </w:rPr>
              <w:t>May 31, 2024</w:t>
            </w:r>
          </w:p>
        </w:tc>
        <w:tc>
          <w:tcPr>
            <w:tcW w:w="16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February 29, 2024</w:t>
            </w:r>
          </w:p>
        </w:tc>
        <w:tc>
          <w:tcPr>
            <w:tcW w:w="0" w:type="dxa"/>
            <w:vAlign w:val="bottom"/>
          </w:tcPr>
          <w:p>
            <w:pPr>
              <w:spacing w:after="0"/>
              <w:rPr>
                <w:sz w:val="1"/>
                <w:szCs w:val="1"/>
                <w:color w:val="auto"/>
              </w:rPr>
            </w:pPr>
          </w:p>
        </w:tc>
      </w:tr>
      <w:tr>
        <w:trPr>
          <w:trHeight w:val="209"/>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 - Other intangibles subject to amortization</w:t>
            </w:r>
          </w:p>
        </w:tc>
        <w:tc>
          <w:tcPr>
            <w:tcW w:w="6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8.2</w:t>
            </w:r>
          </w:p>
        </w:tc>
        <w:tc>
          <w:tcPr>
            <w:tcW w:w="5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7.8</w:t>
            </w:r>
          </w:p>
        </w:tc>
        <w:tc>
          <w:tcPr>
            <w:tcW w:w="6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5"/>
        </w:trPr>
        <w:tc>
          <w:tcPr>
            <w:tcW w:w="6460" w:type="dxa"/>
            <w:vAlign w:val="bottom"/>
          </w:tcPr>
          <w:p>
            <w:pPr>
              <w:ind w:left="20"/>
              <w:spacing w:after="0"/>
              <w:rPr>
                <w:sz w:val="20"/>
                <w:szCs w:val="20"/>
                <w:color w:val="auto"/>
              </w:rPr>
            </w:pPr>
            <w:r>
              <w:rPr>
                <w:rFonts w:ascii="Arial" w:cs="Arial" w:eastAsia="Arial" w:hAnsi="Arial"/>
                <w:sz w:val="16"/>
                <w:szCs w:val="16"/>
                <w:color w:val="auto"/>
              </w:rPr>
              <w:t>Additions</w:t>
            </w:r>
          </w:p>
        </w:tc>
        <w:tc>
          <w:tcPr>
            <w:tcW w:w="620" w:type="dxa"/>
            <w:vAlign w:val="bottom"/>
          </w:tcPr>
          <w:p>
            <w:pPr>
              <w:spacing w:after="0"/>
              <w:rPr>
                <w:sz w:val="18"/>
                <w:szCs w:val="18"/>
                <w:color w:val="auto"/>
              </w:rPr>
            </w:pPr>
          </w:p>
        </w:tc>
        <w:tc>
          <w:tcPr>
            <w:tcW w:w="1060" w:type="dxa"/>
            <w:vAlign w:val="bottom"/>
          </w:tcPr>
          <w:p>
            <w:pPr>
              <w:jc w:val="right"/>
              <w:ind w:right="399"/>
              <w:spacing w:after="0"/>
              <w:rPr>
                <w:sz w:val="20"/>
                <w:szCs w:val="20"/>
                <w:color w:val="auto"/>
              </w:rPr>
            </w:pPr>
            <w:r>
              <w:rPr>
                <w:rFonts w:ascii="Arial" w:cs="Arial" w:eastAsia="Arial" w:hAnsi="Arial"/>
                <w:sz w:val="16"/>
                <w:szCs w:val="16"/>
                <w:color w:val="auto"/>
              </w:rPr>
              <w:t>85.3</w:t>
            </w:r>
          </w:p>
        </w:tc>
        <w:tc>
          <w:tcPr>
            <w:tcW w:w="520" w:type="dxa"/>
            <w:vAlign w:val="bottom"/>
          </w:tcPr>
          <w:p>
            <w:pPr>
              <w:spacing w:after="0"/>
              <w:rPr>
                <w:sz w:val="18"/>
                <w:szCs w:val="18"/>
                <w:color w:val="auto"/>
              </w:rPr>
            </w:pPr>
          </w:p>
        </w:tc>
        <w:tc>
          <w:tcPr>
            <w:tcW w:w="900" w:type="dxa"/>
            <w:vAlign w:val="bottom"/>
          </w:tcPr>
          <w:p>
            <w:pPr>
              <w:jc w:val="right"/>
              <w:ind w:right="239"/>
              <w:spacing w:after="0"/>
              <w:rPr>
                <w:sz w:val="20"/>
                <w:szCs w:val="20"/>
                <w:color w:val="auto"/>
              </w:rPr>
            </w:pPr>
            <w:r>
              <w:rPr>
                <w:rFonts w:ascii="Arial" w:cs="Arial" w:eastAsia="Arial" w:hAnsi="Arial"/>
                <w:sz w:val="16"/>
                <w:szCs w:val="16"/>
                <w:color w:val="auto"/>
              </w:rPr>
              <w:t>6.0</w:t>
            </w:r>
          </w:p>
        </w:tc>
        <w:tc>
          <w:tcPr>
            <w:tcW w:w="680" w:type="dxa"/>
            <w:vAlign w:val="bottom"/>
          </w:tcPr>
          <w:p>
            <w:pPr>
              <w:spacing w:after="0"/>
              <w:rPr>
                <w:sz w:val="18"/>
                <w:szCs w:val="18"/>
                <w:color w:val="auto"/>
              </w:rPr>
            </w:pPr>
          </w:p>
        </w:tc>
        <w:tc>
          <w:tcPr>
            <w:tcW w:w="1000" w:type="dxa"/>
            <w:vAlign w:val="bottom"/>
          </w:tcPr>
          <w:p>
            <w:pPr>
              <w:jc w:val="right"/>
              <w:ind w:right="339"/>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7"/>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expense</w:t>
            </w: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(8.1)</w:t>
            </w: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(2.6)</w:t>
            </w:r>
          </w:p>
        </w:tc>
        <w:tc>
          <w:tcPr>
            <w:tcW w:w="6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5"/>
        </w:trPr>
        <w:tc>
          <w:tcPr>
            <w:tcW w:w="6460" w:type="dxa"/>
            <w:vAlign w:val="bottom"/>
          </w:tcPr>
          <w:p>
            <w:pPr>
              <w:ind w:left="20"/>
              <w:spacing w:after="0"/>
              <w:rPr>
                <w:sz w:val="20"/>
                <w:szCs w:val="20"/>
                <w:color w:val="auto"/>
              </w:rPr>
            </w:pPr>
            <w:r>
              <w:rPr>
                <w:rFonts w:ascii="Arial" w:cs="Arial" w:eastAsia="Arial" w:hAnsi="Arial"/>
                <w:sz w:val="16"/>
                <w:szCs w:val="16"/>
                <w:color w:val="auto"/>
              </w:rPr>
              <w:t>Foreign currency translation</w:t>
            </w:r>
          </w:p>
        </w:tc>
        <w:tc>
          <w:tcPr>
            <w:tcW w:w="620" w:type="dxa"/>
            <w:vAlign w:val="bottom"/>
          </w:tcPr>
          <w:p>
            <w:pPr>
              <w:spacing w:after="0"/>
              <w:rPr>
                <w:sz w:val="18"/>
                <w:szCs w:val="18"/>
                <w:color w:val="auto"/>
              </w:rPr>
            </w:pPr>
          </w:p>
        </w:tc>
        <w:tc>
          <w:tcPr>
            <w:tcW w:w="1060" w:type="dxa"/>
            <w:vAlign w:val="bottom"/>
          </w:tcPr>
          <w:p>
            <w:pPr>
              <w:jc w:val="right"/>
              <w:ind w:right="359"/>
              <w:spacing w:after="0"/>
              <w:rPr>
                <w:sz w:val="20"/>
                <w:szCs w:val="20"/>
                <w:color w:val="auto"/>
              </w:rPr>
            </w:pPr>
            <w:r>
              <w:rPr>
                <w:rFonts w:ascii="Arial" w:cs="Arial" w:eastAsia="Arial" w:hAnsi="Arial"/>
                <w:sz w:val="16"/>
                <w:szCs w:val="16"/>
                <w:color w:val="auto"/>
              </w:rPr>
              <w:t>(4.1)</w:t>
            </w:r>
          </w:p>
        </w:tc>
        <w:tc>
          <w:tcPr>
            <w:tcW w:w="520" w:type="dxa"/>
            <w:vAlign w:val="bottom"/>
          </w:tcPr>
          <w:p>
            <w:pPr>
              <w:spacing w:after="0"/>
              <w:rPr>
                <w:sz w:val="18"/>
                <w:szCs w:val="18"/>
                <w:color w:val="auto"/>
              </w:rPr>
            </w:pPr>
          </w:p>
        </w:tc>
        <w:tc>
          <w:tcPr>
            <w:tcW w:w="900" w:type="dxa"/>
            <w:vAlign w:val="bottom"/>
          </w:tcPr>
          <w:p>
            <w:pPr>
              <w:jc w:val="right"/>
              <w:ind w:right="239"/>
              <w:spacing w:after="0"/>
              <w:rPr>
                <w:sz w:val="20"/>
                <w:szCs w:val="20"/>
                <w:color w:val="auto"/>
              </w:rPr>
            </w:pPr>
            <w:r>
              <w:rPr>
                <w:rFonts w:ascii="Arial" w:cs="Arial" w:eastAsia="Arial" w:hAnsi="Arial"/>
                <w:sz w:val="16"/>
                <w:szCs w:val="16"/>
                <w:color w:val="auto"/>
              </w:rPr>
              <w:t>0.1</w:t>
            </w:r>
          </w:p>
        </w:tc>
        <w:tc>
          <w:tcPr>
            <w:tcW w:w="680" w:type="dxa"/>
            <w:vAlign w:val="bottom"/>
          </w:tcPr>
          <w:p>
            <w:pPr>
              <w:spacing w:after="0"/>
              <w:rPr>
                <w:sz w:val="18"/>
                <w:szCs w:val="18"/>
                <w:color w:val="auto"/>
              </w:rPr>
            </w:pPr>
          </w:p>
        </w:tc>
        <w:tc>
          <w:tcPr>
            <w:tcW w:w="1000" w:type="dxa"/>
            <w:vAlign w:val="bottom"/>
          </w:tcPr>
          <w:p>
            <w:pPr>
              <w:jc w:val="right"/>
              <w:ind w:right="339"/>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6"/>
        </w:trPr>
        <w:tc>
          <w:tcPr>
            <w:tcW w:w="6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Impairments</w:t>
            </w:r>
          </w:p>
        </w:tc>
        <w:tc>
          <w:tcPr>
            <w:tcW w:w="6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(3.1)</w:t>
            </w:r>
          </w:p>
        </w:tc>
        <w:tc>
          <w:tcPr>
            <w:tcW w:w="6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6"/>
        </w:trPr>
        <w:tc>
          <w:tcPr>
            <w:tcW w:w="6460" w:type="dxa"/>
            <w:vAlign w:val="bottom"/>
          </w:tcPr>
          <w:p>
            <w:pPr>
              <w:ind w:left="20"/>
              <w:spacing w:after="0" w:line="156" w:lineRule="exact"/>
              <w:rPr>
                <w:sz w:val="20"/>
                <w:szCs w:val="20"/>
                <w:color w:val="auto"/>
              </w:rPr>
            </w:pPr>
            <w:r>
              <w:rPr>
                <w:rFonts w:ascii="Arial" w:cs="Arial" w:eastAsia="Arial" w:hAnsi="Arial"/>
                <w:sz w:val="16"/>
                <w:szCs w:val="16"/>
                <w:color w:val="auto"/>
              </w:rPr>
              <w:t>Total other intangibles subject to amortization, net of accumulated amortization of $47.2,</w:t>
            </w:r>
          </w:p>
        </w:tc>
        <w:tc>
          <w:tcPr>
            <w:tcW w:w="620" w:type="dxa"/>
            <w:vAlign w:val="bottom"/>
            <w:vMerge w:val="restart"/>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ind w:right="399"/>
              <w:spacing w:after="0"/>
              <w:rPr>
                <w:sz w:val="20"/>
                <w:szCs w:val="20"/>
                <w:color w:val="auto"/>
              </w:rPr>
            </w:pPr>
            <w:r>
              <w:rPr>
                <w:rFonts w:ascii="Arial" w:cs="Arial" w:eastAsia="Arial" w:hAnsi="Arial"/>
                <w:sz w:val="16"/>
                <w:szCs w:val="16"/>
                <w:color w:val="auto"/>
              </w:rPr>
              <w:t>81.3</w:t>
            </w:r>
          </w:p>
        </w:tc>
        <w:tc>
          <w:tcPr>
            <w:tcW w:w="520" w:type="dxa"/>
            <w:vAlign w:val="bottom"/>
            <w:vMerge w:val="restart"/>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239"/>
              <w:spacing w:after="0"/>
              <w:rPr>
                <w:sz w:val="20"/>
                <w:szCs w:val="20"/>
                <w:color w:val="auto"/>
              </w:rPr>
            </w:pPr>
            <w:r>
              <w:rPr>
                <w:rFonts w:ascii="Arial" w:cs="Arial" w:eastAsia="Arial" w:hAnsi="Arial"/>
                <w:sz w:val="16"/>
                <w:szCs w:val="16"/>
                <w:color w:val="auto"/>
              </w:rPr>
              <w:t>8.2</w:t>
            </w:r>
          </w:p>
        </w:tc>
        <w:tc>
          <w:tcPr>
            <w:tcW w:w="680" w:type="dxa"/>
            <w:vAlign w:val="bottom"/>
            <w:vMerge w:val="restart"/>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ind w:right="339"/>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15"/>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$39.1 and $38.4, respectively</w:t>
            </w:r>
          </w:p>
        </w:tc>
        <w:tc>
          <w:tcPr>
            <w:tcW w:w="62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other intangibles not subject to amortization</w:t>
            </w:r>
          </w:p>
        </w:tc>
        <w:tc>
          <w:tcPr>
            <w:tcW w:w="6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2.1</w:t>
            </w:r>
          </w:p>
        </w:tc>
        <w:tc>
          <w:tcPr>
            <w:tcW w:w="5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2.1</w:t>
            </w:r>
          </w:p>
        </w:tc>
        <w:tc>
          <w:tcPr>
            <w:tcW w:w="6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2.1</w:t>
            </w:r>
          </w:p>
        </w:tc>
        <w:tc>
          <w:tcPr>
            <w:tcW w:w="0" w:type="dxa"/>
            <w:vAlign w:val="bottom"/>
          </w:tcPr>
          <w:p>
            <w:pPr>
              <w:spacing w:after="0"/>
              <w:rPr>
                <w:sz w:val="1"/>
                <w:szCs w:val="1"/>
                <w:color w:val="auto"/>
              </w:rPr>
            </w:pPr>
          </w:p>
        </w:tc>
      </w:tr>
      <w:tr>
        <w:trPr>
          <w:trHeight w:val="209"/>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other intangible assets, net</w:t>
            </w:r>
          </w:p>
        </w:tc>
        <w:tc>
          <w:tcPr>
            <w:tcW w:w="6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83.4</w:t>
            </w:r>
          </w:p>
        </w:tc>
        <w:tc>
          <w:tcPr>
            <w:tcW w:w="5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10.3</w:t>
            </w:r>
          </w:p>
        </w:tc>
        <w:tc>
          <w:tcPr>
            <w:tcW w:w="6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14.0</w:t>
            </w: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In fiscal 2025, the Company completed the 9 Story acquisition which resulted in the recognition of $85.3 of amortizable intangible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Refer to Note 7, "Acquisitions", for further details regarding the acquisition.</w:t>
      </w:r>
    </w:p>
    <w:p>
      <w:pPr>
        <w:spacing w:after="0" w:line="23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fiscal 2024, the Company acquired certain amortizable intangible assets related to educational programs for $5.8 and certain amortizable intangible assets of a U.S.- based children's book publishing business for $0.2. These intangible assets are amortized over the estimated useful life of 8 years and 5 years, respectively.</w:t>
      </w:r>
    </w:p>
    <w:p>
      <w:pPr>
        <w:spacing w:after="0" w:line="19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fiscal 2023, the Company acquired Learning Ovations, Inc., a U.S.-based education technology business, which resulted in the recognition of $ 4.1 of amortizable intangible assets. During fiscal 2024, the Company assessed the recoverability of these assets which was impacted by the shift to an evidenced-based approach to literacy instruction within the education market. An asset impairment of $3.1 was recognized in the fourth quarter of fiscal 2024. There were no impairment charges related to Other intangible assets in the nine months ended February 28, 2025 and February 29, 2024.</w:t>
      </w:r>
    </w:p>
    <w:p>
      <w:pPr>
        <w:spacing w:after="0" w:line="206"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Other intangible assets with indefinite lives consist principally of trademark and trade name rights. Other intangible assets with definite lives consist principally of customer lists, customer contracts/relationships, intellectual property, trade names and internally developed software. Intangible assets with definite lives are amortized over their estimated useful lives. The weighted-average remaining useful lives of all amortizable intangible assets is approximately 8.6 years.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INVESTMENTS</w:t>
      </w:r>
    </w:p>
    <w:p>
      <w:pPr>
        <w:spacing w:after="0" w:line="252"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Investments are included in Other assets and deferred charges on the Condensed Consolidated Balance Sheets. The following table summarizes the Company’s investments as of the dates indicated:</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3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6"/>
                <w:szCs w:val="16"/>
                <w:b w:val="1"/>
                <w:bCs w:val="1"/>
                <w:color w:val="auto"/>
              </w:rPr>
              <w:t>February 28, 2025</w:t>
            </w:r>
          </w:p>
        </w:tc>
        <w:tc>
          <w:tcPr>
            <w:tcW w:w="4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May 31, 2024</w:t>
            </w:r>
          </w:p>
        </w:tc>
        <w:tc>
          <w:tcPr>
            <w:tcW w:w="208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6"/>
                <w:szCs w:val="16"/>
                <w:b w:val="1"/>
                <w:bCs w:val="1"/>
                <w:color w:val="auto"/>
              </w:rPr>
              <w:t>February 29, 2024</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Segment</w:t>
            </w:r>
          </w:p>
        </w:tc>
      </w:tr>
      <w:tr>
        <w:trPr>
          <w:trHeight w:val="210"/>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method investments</w:t>
            </w:r>
          </w:p>
        </w:tc>
        <w:tc>
          <w:tcPr>
            <w:tcW w:w="11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31.6</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31.5</w:t>
            </w: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30.8</w:t>
            </w:r>
          </w:p>
        </w:tc>
        <w:tc>
          <w:tcPr>
            <w:tcW w:w="15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International</w:t>
            </w:r>
          </w:p>
        </w:tc>
      </w:tr>
      <w:tr>
        <w:trPr>
          <w:trHeight w:val="215"/>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Equity method and other investments</w:t>
            </w:r>
          </w:p>
        </w:tc>
        <w:tc>
          <w:tcPr>
            <w:tcW w:w="1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6.6</w:t>
            </w:r>
          </w:p>
        </w:tc>
        <w:tc>
          <w:tcPr>
            <w:tcW w:w="4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6.0</w:t>
            </w:r>
          </w:p>
        </w:tc>
        <w:tc>
          <w:tcPr>
            <w:tcW w:w="9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6.0</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Entertainment</w:t>
            </w:r>
          </w:p>
        </w:tc>
      </w:tr>
      <w:tr>
        <w:trPr>
          <w:trHeight w:val="210"/>
        </w:trPr>
        <w:tc>
          <w:tcPr>
            <w:tcW w:w="3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Investments</w:t>
            </w:r>
          </w:p>
        </w:tc>
        <w:tc>
          <w:tcPr>
            <w:tcW w:w="114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38.2</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37.5</w:t>
            </w:r>
          </w:p>
        </w:tc>
        <w:tc>
          <w:tcPr>
            <w:tcW w:w="90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36.8</w:t>
            </w:r>
          </w:p>
        </w:tc>
        <w:tc>
          <w:tcPr>
            <w:tcW w:w="1540" w:type="dxa"/>
            <w:vAlign w:val="bottom"/>
            <w:tcBorders>
              <w:bottom w:val="single" w:sz="8" w:color="auto"/>
            </w:tcBorders>
            <w:shd w:val="clear" w:color="auto" w:fill="CCEEFF"/>
          </w:tcPr>
          <w:p>
            <w:pPr>
              <w:spacing w:after="0"/>
              <w:rPr>
                <w:sz w:val="18"/>
                <w:szCs w:val="18"/>
                <w:color w:val="auto"/>
              </w:rPr>
            </w:pPr>
          </w:p>
        </w:tc>
      </w:tr>
    </w:tbl>
    <w:p>
      <w:pPr>
        <w:spacing w:after="0" w:line="319"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 xml:space="preserve">The Company’s 26.2% equity interest in a children’s book publishing business located in the UK is accounted for using the equity method of accounting. Equity method income from this investment is reported in the </w:t>
      </w:r>
      <w:r>
        <w:rPr>
          <w:rFonts w:ascii="Arial" w:cs="Arial" w:eastAsia="Arial" w:hAnsi="Arial"/>
          <w:sz w:val="18"/>
          <w:szCs w:val="18"/>
          <w:i w:val="1"/>
          <w:iCs w:val="1"/>
          <w:color w:val="auto"/>
        </w:rPr>
        <w:t>International</w:t>
      </w:r>
      <w:r>
        <w:rPr>
          <w:rFonts w:ascii="Arial" w:cs="Arial" w:eastAsia="Arial" w:hAnsi="Arial"/>
          <w:sz w:val="18"/>
          <w:szCs w:val="18"/>
          <w:color w:val="auto"/>
        </w:rPr>
        <w:t xml:space="preserve"> segment.</w:t>
      </w:r>
    </w:p>
    <w:p>
      <w:pPr>
        <w:spacing w:after="0" w:line="18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The Company has a 4.6% ownership interest in a financing and production company that makes film, television, and digital programming designed for the youth market. This equity investment does not have a readily determinable fair value and the Company has elected to apply the measurement alternative and report the investment at cost, less impairment on the Company's Condensed Consolidated Balance Sheets. There have been no impairments or adjustments to the carrying value of the investment. This investment is included in the </w:t>
      </w:r>
      <w:r>
        <w:rPr>
          <w:rFonts w:ascii="Arial" w:cs="Arial" w:eastAsia="Arial" w:hAnsi="Arial"/>
          <w:sz w:val="18"/>
          <w:szCs w:val="18"/>
          <w:i w:val="1"/>
          <w:iCs w:val="1"/>
          <w:color w:val="auto"/>
        </w:rPr>
        <w:t xml:space="preserve">Entertainment </w:t>
      </w:r>
      <w:r>
        <w:rPr>
          <w:rFonts w:ascii="Arial" w:cs="Arial" w:eastAsia="Arial" w:hAnsi="Arial"/>
          <w:sz w:val="18"/>
          <w:szCs w:val="18"/>
          <w:color w:val="auto"/>
        </w:rPr>
        <w:t>segment.</w:t>
      </w:r>
    </w:p>
    <w:p>
      <w:pPr>
        <w:spacing w:after="0" w:line="206"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 xml:space="preserve">The Company acquired investments of $0.9 as part of the 9 Story acquisition which are included in the </w:t>
      </w:r>
      <w:r>
        <w:rPr>
          <w:rFonts w:ascii="Arial" w:cs="Arial" w:eastAsia="Arial" w:hAnsi="Arial"/>
          <w:sz w:val="18"/>
          <w:szCs w:val="18"/>
          <w:i w:val="1"/>
          <w:iCs w:val="1"/>
          <w:color w:val="auto"/>
        </w:rPr>
        <w:t>Entertainment</w:t>
      </w:r>
      <w:r>
        <w:rPr>
          <w:rFonts w:ascii="Arial" w:cs="Arial" w:eastAsia="Arial" w:hAnsi="Arial"/>
          <w:sz w:val="18"/>
          <w:szCs w:val="18"/>
          <w:color w:val="auto"/>
        </w:rPr>
        <w:t xml:space="preserve"> segment. Included in these acquired investments, the Company acquired a 50% ownership</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20" w:name="page21"/>
    <w:bookmarkEnd w:id="20"/>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SCHOLASTIC CORPORATION</w:t>
      </w:r>
    </w:p>
    <w:p>
      <w:pPr>
        <w:ind w:left="20" w:right="4080"/>
        <w:spacing w:after="0" w:line="244" w:lineRule="auto"/>
        <w:rPr>
          <w:sz w:val="20"/>
          <w:szCs w:val="20"/>
          <w:color w:val="auto"/>
        </w:rPr>
      </w:pPr>
      <w:r>
        <w:rPr>
          <w:rFonts w:ascii="Arial" w:cs="Arial" w:eastAsia="Arial" w:hAnsi="Arial"/>
          <w:sz w:val="18"/>
          <w:szCs w:val="18"/>
          <w:b w:val="1"/>
          <w:bCs w:val="1"/>
          <w:color w:val="auto"/>
        </w:rPr>
        <w:t>NOTES TO CONDENSED CONSOLIDATED FINANCIAL STATEMENTS – UNAUDITED (Dollar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interest in certain animated television production companies. These joint venture investments are accounted for using the equity method of accounting. The Company also acquired a 12% ownership interest in a children's book publishing business located in the UK. This investment is accounted for at cost, less impairment on the Company's Condensed Consolidated Balance Sheets. There have been no impairments or adjustments to the carrying value of the investment.</w:t>
      </w:r>
    </w:p>
    <w:p>
      <w:pPr>
        <w:spacing w:after="0" w:line="20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Income from equity investments is reported in Selling, general and administrative expenses in the Condensed Consolidated Statements of Operations and totaled a loss of less than $0.1 and income of $0.8 for the three and nine months ended February 28, 2025, respectively, and a loss of $0.2 and income of $0.1 for the three and nine months ended February 29, 2024, respectively. The Company received dividends of $1.3 in the three and nine months ended February 29, 2024. The Company did not receive any dividends in the nine months ended February 28, 2025.</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25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following table sets forth the components of net periodic benefit cost for the periods indicated under the Company’s defined benefit pension plan of Scholastic Ltd., an indirect subsidiary of Scholastic Corporation located in the United Kingdom (the “UK Pension Plan”), and the postretirement benefits plan, consisting of certain healthcare and life insurance benefits provided by the Company to its eligible retired United States-based employees (the “US Postretirement Benefits”), for the periods indicated: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20" w:type="dxa"/>
            <w:vAlign w:val="bottom"/>
            <w:gridSpan w:val="2"/>
          </w:tcPr>
          <w:p>
            <w:pPr>
              <w:jc w:val="center"/>
              <w:ind w:left="379"/>
              <w:spacing w:after="0"/>
              <w:rPr>
                <w:sz w:val="20"/>
                <w:szCs w:val="20"/>
                <w:color w:val="auto"/>
              </w:rPr>
            </w:pPr>
            <w:r>
              <w:rPr>
                <w:rFonts w:ascii="Arial" w:cs="Arial" w:eastAsia="Arial" w:hAnsi="Arial"/>
                <w:sz w:val="16"/>
                <w:szCs w:val="16"/>
                <w:b w:val="1"/>
                <w:bCs w:val="1"/>
                <w:color w:val="auto"/>
                <w:w w:val="99"/>
              </w:rPr>
              <w:t>UK Pension Plan</w:t>
            </w: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920" w:type="dxa"/>
            <w:vAlign w:val="bottom"/>
            <w:gridSpan w:val="3"/>
          </w:tcPr>
          <w:p>
            <w:pPr>
              <w:ind w:left="100"/>
              <w:spacing w:after="0"/>
              <w:rPr>
                <w:sz w:val="20"/>
                <w:szCs w:val="20"/>
                <w:color w:val="auto"/>
              </w:rPr>
            </w:pPr>
            <w:r>
              <w:rPr>
                <w:rFonts w:ascii="Arial" w:cs="Arial" w:eastAsia="Arial" w:hAnsi="Arial"/>
                <w:sz w:val="16"/>
                <w:szCs w:val="16"/>
                <w:b w:val="1"/>
                <w:bCs w:val="1"/>
                <w:color w:val="auto"/>
              </w:rPr>
              <w:t>US Postretirement Benefits</w:t>
            </w:r>
          </w:p>
        </w:tc>
      </w:tr>
      <w:tr>
        <w:trPr>
          <w:trHeight w:val="216"/>
        </w:trPr>
        <w:tc>
          <w:tcPr>
            <w:tcW w:w="3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900" w:type="dxa"/>
            <w:vAlign w:val="bottom"/>
            <w:gridSpan w:val="3"/>
          </w:tcPr>
          <w:p>
            <w:pPr>
              <w:jc w:val="center"/>
              <w:ind w:right="539"/>
              <w:spacing w:after="0"/>
              <w:rPr>
                <w:sz w:val="20"/>
                <w:szCs w:val="20"/>
                <w:color w:val="auto"/>
              </w:rPr>
            </w:pPr>
            <w:r>
              <w:rPr>
                <w:rFonts w:ascii="Arial" w:cs="Arial" w:eastAsia="Arial" w:hAnsi="Arial"/>
                <w:sz w:val="16"/>
                <w:szCs w:val="16"/>
                <w:b w:val="1"/>
                <w:bCs w:val="1"/>
                <w:color w:val="auto"/>
              </w:rPr>
              <w:t>Three months ended</w:t>
            </w:r>
          </w:p>
        </w:tc>
        <w:tc>
          <w:tcPr>
            <w:tcW w:w="620" w:type="dxa"/>
            <w:vAlign w:val="bottom"/>
          </w:tcPr>
          <w:p>
            <w:pPr>
              <w:spacing w:after="0"/>
              <w:rPr>
                <w:sz w:val="18"/>
                <w:szCs w:val="18"/>
                <w:color w:val="auto"/>
              </w:rPr>
            </w:pPr>
          </w:p>
        </w:tc>
        <w:tc>
          <w:tcPr>
            <w:tcW w:w="2920" w:type="dxa"/>
            <w:vAlign w:val="bottom"/>
            <w:gridSpan w:val="3"/>
          </w:tcPr>
          <w:p>
            <w:pPr>
              <w:jc w:val="right"/>
              <w:ind w:right="879"/>
              <w:spacing w:after="0"/>
              <w:rPr>
                <w:sz w:val="20"/>
                <w:szCs w:val="20"/>
                <w:color w:val="auto"/>
              </w:rPr>
            </w:pPr>
            <w:r>
              <w:rPr>
                <w:rFonts w:ascii="Arial" w:cs="Arial" w:eastAsia="Arial" w:hAnsi="Arial"/>
                <w:sz w:val="16"/>
                <w:szCs w:val="16"/>
                <w:b w:val="1"/>
                <w:bCs w:val="1"/>
                <w:color w:val="auto"/>
              </w:rPr>
              <w:t>Three months ended</w:t>
            </w:r>
          </w:p>
        </w:tc>
      </w:tr>
      <w:tr>
        <w:trPr>
          <w:trHeight w:val="216"/>
        </w:trPr>
        <w:tc>
          <w:tcPr>
            <w:tcW w:w="3820" w:type="dxa"/>
            <w:vAlign w:val="bottom"/>
          </w:tcPr>
          <w:p>
            <w:pPr>
              <w:spacing w:after="0"/>
              <w:rPr>
                <w:sz w:val="18"/>
                <w:szCs w:val="18"/>
                <w:color w:val="auto"/>
              </w:rPr>
            </w:pPr>
          </w:p>
        </w:tc>
        <w:tc>
          <w:tcPr>
            <w:tcW w:w="2020" w:type="dxa"/>
            <w:vAlign w:val="bottom"/>
            <w:gridSpan w:val="2"/>
          </w:tcPr>
          <w:p>
            <w:pPr>
              <w:jc w:val="center"/>
              <w:ind w:left="178"/>
              <w:spacing w:after="0"/>
              <w:rPr>
                <w:sz w:val="20"/>
                <w:szCs w:val="20"/>
                <w:color w:val="auto"/>
              </w:rPr>
            </w:pPr>
            <w:r>
              <w:rPr>
                <w:rFonts w:ascii="Arial" w:cs="Arial" w:eastAsia="Arial" w:hAnsi="Arial"/>
                <w:sz w:val="16"/>
                <w:szCs w:val="16"/>
                <w:b w:val="1"/>
                <w:bCs w:val="1"/>
                <w:color w:val="auto"/>
              </w:rPr>
              <w:t>February 28,</w:t>
            </w:r>
          </w:p>
        </w:tc>
        <w:tc>
          <w:tcPr>
            <w:tcW w:w="1760" w:type="dxa"/>
            <w:vAlign w:val="bottom"/>
            <w:gridSpan w:val="2"/>
          </w:tcPr>
          <w:p>
            <w:pPr>
              <w:jc w:val="center"/>
              <w:spacing w:after="0"/>
              <w:rPr>
                <w:sz w:val="20"/>
                <w:szCs w:val="20"/>
                <w:color w:val="auto"/>
              </w:rPr>
            </w:pPr>
            <w:r>
              <w:rPr>
                <w:rFonts w:ascii="Arial" w:cs="Arial" w:eastAsia="Arial" w:hAnsi="Arial"/>
                <w:sz w:val="16"/>
                <w:szCs w:val="16"/>
                <w:b w:val="1"/>
                <w:bCs w:val="1"/>
                <w:color w:val="auto"/>
              </w:rPr>
              <w:t>February 29,</w:t>
            </w:r>
          </w:p>
        </w:tc>
        <w:tc>
          <w:tcPr>
            <w:tcW w:w="1780" w:type="dxa"/>
            <w:vAlign w:val="bottom"/>
            <w:gridSpan w:val="2"/>
          </w:tcPr>
          <w:p>
            <w:pPr>
              <w:jc w:val="right"/>
              <w:ind w:right="319"/>
              <w:spacing w:after="0"/>
              <w:rPr>
                <w:sz w:val="20"/>
                <w:szCs w:val="20"/>
                <w:color w:val="auto"/>
              </w:rPr>
            </w:pPr>
            <w:r>
              <w:rPr>
                <w:rFonts w:ascii="Arial" w:cs="Arial" w:eastAsia="Arial" w:hAnsi="Arial"/>
                <w:sz w:val="16"/>
                <w:szCs w:val="16"/>
                <w:b w:val="1"/>
                <w:bCs w:val="1"/>
                <w:color w:val="auto"/>
              </w:rPr>
              <w:t>February 28,</w:t>
            </w:r>
          </w:p>
        </w:tc>
        <w:tc>
          <w:tcPr>
            <w:tcW w:w="1760" w:type="dxa"/>
            <w:vAlign w:val="bottom"/>
            <w:gridSpan w:val="2"/>
          </w:tcPr>
          <w:p>
            <w:pPr>
              <w:jc w:val="center"/>
              <w:spacing w:after="0"/>
              <w:rPr>
                <w:sz w:val="20"/>
                <w:szCs w:val="20"/>
                <w:color w:val="auto"/>
              </w:rPr>
            </w:pPr>
            <w:r>
              <w:rPr>
                <w:rFonts w:ascii="Arial" w:cs="Arial" w:eastAsia="Arial" w:hAnsi="Arial"/>
                <w:sz w:val="16"/>
                <w:szCs w:val="16"/>
                <w:b w:val="1"/>
                <w:bCs w:val="1"/>
                <w:color w:val="auto"/>
              </w:rPr>
              <w:t>February 29,</w:t>
            </w:r>
          </w:p>
        </w:tc>
      </w:tr>
      <w:tr>
        <w:trPr>
          <w:trHeight w:val="217"/>
        </w:trPr>
        <w:tc>
          <w:tcPr>
            <w:tcW w:w="38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539"/>
              <w:spacing w:after="0"/>
              <w:rPr>
                <w:sz w:val="20"/>
                <w:szCs w:val="20"/>
                <w:color w:val="auto"/>
              </w:rPr>
            </w:pPr>
            <w:r>
              <w:rPr>
                <w:rFonts w:ascii="Arial" w:cs="Arial" w:eastAsia="Arial" w:hAnsi="Arial"/>
                <w:sz w:val="16"/>
                <w:szCs w:val="16"/>
                <w:b w:val="1"/>
                <w:bCs w:val="1"/>
                <w:color w:val="auto"/>
              </w:rPr>
              <w:t>2025</w:t>
            </w: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599"/>
              <w:spacing w:after="0"/>
              <w:rPr>
                <w:sz w:val="20"/>
                <w:szCs w:val="20"/>
                <w:color w:val="auto"/>
              </w:rPr>
            </w:pPr>
            <w:r>
              <w:rPr>
                <w:rFonts w:ascii="Arial" w:cs="Arial" w:eastAsia="Arial" w:hAnsi="Arial"/>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539"/>
              <w:spacing w:after="0"/>
              <w:rPr>
                <w:sz w:val="20"/>
                <w:szCs w:val="20"/>
                <w:color w:val="auto"/>
              </w:rPr>
            </w:pPr>
            <w:r>
              <w:rPr>
                <w:rFonts w:ascii="Arial" w:cs="Arial" w:eastAsia="Arial" w:hAnsi="Arial"/>
                <w:sz w:val="16"/>
                <w:szCs w:val="16"/>
                <w:b w:val="1"/>
                <w:bCs w:val="1"/>
                <w:color w:val="auto"/>
              </w:rPr>
              <w:t>2024</w:t>
            </w:r>
          </w:p>
        </w:tc>
      </w:tr>
      <w:tr>
        <w:trPr>
          <w:trHeight w:val="210"/>
        </w:trPr>
        <w:tc>
          <w:tcPr>
            <w:tcW w:w="3820" w:type="dxa"/>
            <w:vAlign w:val="bottom"/>
          </w:tcPr>
          <w:p>
            <w:pPr>
              <w:ind w:left="20"/>
              <w:spacing w:after="0"/>
              <w:rPr>
                <w:sz w:val="20"/>
                <w:szCs w:val="20"/>
                <w:color w:val="auto"/>
              </w:rPr>
            </w:pPr>
            <w:r>
              <w:rPr>
                <w:rFonts w:ascii="Arial" w:cs="Arial" w:eastAsia="Arial" w:hAnsi="Arial"/>
                <w:sz w:val="16"/>
                <w:szCs w:val="16"/>
                <w:b w:val="1"/>
                <w:bCs w:val="1"/>
                <w:color w:val="auto"/>
              </w:rPr>
              <w:t>Components of net periodic benefit cost:</w:t>
            </w: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cost</w:t>
            </w:r>
          </w:p>
        </w:tc>
        <w:tc>
          <w:tcPr>
            <w:tcW w:w="88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center"/>
              <w:ind w:right="259"/>
              <w:spacing w:after="0"/>
              <w:rPr>
                <w:sz w:val="20"/>
                <w:szCs w:val="20"/>
                <w:color w:val="auto"/>
              </w:rPr>
            </w:pPr>
            <w:r>
              <w:rPr>
                <w:rFonts w:ascii="Arial" w:cs="Arial" w:eastAsia="Arial" w:hAnsi="Arial"/>
                <w:sz w:val="16"/>
                <w:szCs w:val="16"/>
                <w:color w:val="auto"/>
              </w:rPr>
              <w:t>0.4</w:t>
            </w:r>
          </w:p>
        </w:tc>
        <w:tc>
          <w:tcPr>
            <w:tcW w:w="68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center"/>
              <w:ind w:right="299"/>
              <w:spacing w:after="0"/>
              <w:rPr>
                <w:sz w:val="20"/>
                <w:szCs w:val="20"/>
                <w:color w:val="auto"/>
              </w:rPr>
            </w:pPr>
            <w:r>
              <w:rPr>
                <w:rFonts w:ascii="Arial" w:cs="Arial" w:eastAsia="Arial" w:hAnsi="Arial"/>
                <w:sz w:val="16"/>
                <w:szCs w:val="16"/>
                <w:color w:val="auto"/>
                <w:w w:val="98"/>
              </w:rPr>
              <w:t>0.3</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0.1</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0.1</w:t>
            </w:r>
          </w:p>
        </w:tc>
      </w:tr>
      <w:tr>
        <w:trPr>
          <w:trHeight w:val="215"/>
        </w:trPr>
        <w:tc>
          <w:tcPr>
            <w:tcW w:w="3820" w:type="dxa"/>
            <w:vAlign w:val="bottom"/>
          </w:tcPr>
          <w:p>
            <w:pPr>
              <w:ind w:left="20"/>
              <w:spacing w:after="0"/>
              <w:rPr>
                <w:sz w:val="20"/>
                <w:szCs w:val="20"/>
                <w:color w:val="auto"/>
              </w:rPr>
            </w:pPr>
            <w:r>
              <w:rPr>
                <w:rFonts w:ascii="Arial" w:cs="Arial" w:eastAsia="Arial" w:hAnsi="Arial"/>
                <w:sz w:val="16"/>
                <w:szCs w:val="16"/>
                <w:color w:val="auto"/>
              </w:rPr>
              <w:t>Expected return on assets</w:t>
            </w:r>
          </w:p>
        </w:tc>
        <w:tc>
          <w:tcPr>
            <w:tcW w:w="880" w:type="dxa"/>
            <w:vAlign w:val="bottom"/>
          </w:tcPr>
          <w:p>
            <w:pPr>
              <w:spacing w:after="0"/>
              <w:rPr>
                <w:sz w:val="18"/>
                <w:szCs w:val="18"/>
                <w:color w:val="auto"/>
              </w:rPr>
            </w:pPr>
          </w:p>
        </w:tc>
        <w:tc>
          <w:tcPr>
            <w:tcW w:w="1140" w:type="dxa"/>
            <w:vAlign w:val="bottom"/>
          </w:tcPr>
          <w:p>
            <w:pPr>
              <w:jc w:val="center"/>
              <w:ind w:right="279"/>
              <w:spacing w:after="0"/>
              <w:rPr>
                <w:sz w:val="20"/>
                <w:szCs w:val="20"/>
                <w:color w:val="auto"/>
              </w:rPr>
            </w:pPr>
            <w:r>
              <w:rPr>
                <w:rFonts w:ascii="Arial" w:cs="Arial" w:eastAsia="Arial" w:hAnsi="Arial"/>
                <w:sz w:val="16"/>
                <w:szCs w:val="16"/>
                <w:color w:val="auto"/>
              </w:rPr>
              <w:t>(0.3)</w:t>
            </w:r>
          </w:p>
        </w:tc>
        <w:tc>
          <w:tcPr>
            <w:tcW w:w="680" w:type="dxa"/>
            <w:vAlign w:val="bottom"/>
          </w:tcPr>
          <w:p>
            <w:pPr>
              <w:spacing w:after="0"/>
              <w:rPr>
                <w:sz w:val="18"/>
                <w:szCs w:val="18"/>
                <w:color w:val="auto"/>
              </w:rPr>
            </w:pPr>
          </w:p>
        </w:tc>
        <w:tc>
          <w:tcPr>
            <w:tcW w:w="1080" w:type="dxa"/>
            <w:vAlign w:val="bottom"/>
          </w:tcPr>
          <w:p>
            <w:pPr>
              <w:jc w:val="center"/>
              <w:ind w:right="319"/>
              <w:spacing w:after="0"/>
              <w:rPr>
                <w:sz w:val="20"/>
                <w:szCs w:val="20"/>
                <w:color w:val="auto"/>
              </w:rPr>
            </w:pPr>
            <w:r>
              <w:rPr>
                <w:rFonts w:ascii="Arial" w:cs="Arial" w:eastAsia="Arial" w:hAnsi="Arial"/>
                <w:sz w:val="16"/>
                <w:szCs w:val="16"/>
                <w:color w:val="auto"/>
                <w:w w:val="97"/>
              </w:rPr>
              <w:t>(0.2)</w:t>
            </w:r>
          </w:p>
        </w:tc>
        <w:tc>
          <w:tcPr>
            <w:tcW w:w="620" w:type="dxa"/>
            <w:vAlign w:val="bottom"/>
          </w:tcPr>
          <w:p>
            <w:pPr>
              <w:spacing w:after="0"/>
              <w:rPr>
                <w:sz w:val="18"/>
                <w:szCs w:val="18"/>
                <w:color w:val="auto"/>
              </w:rPr>
            </w:pPr>
          </w:p>
        </w:tc>
        <w:tc>
          <w:tcPr>
            <w:tcW w:w="116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1140" w:type="dxa"/>
            <w:vAlign w:val="bottom"/>
          </w:tcPr>
          <w:p>
            <w:pPr>
              <w:jc w:val="right"/>
              <w:ind w:right="539"/>
              <w:spacing w:after="0"/>
              <w:rPr>
                <w:sz w:val="20"/>
                <w:szCs w:val="20"/>
                <w:color w:val="auto"/>
              </w:rPr>
            </w:pPr>
            <w:r>
              <w:rPr>
                <w:rFonts w:ascii="Arial" w:cs="Arial" w:eastAsia="Arial" w:hAnsi="Arial"/>
                <w:sz w:val="16"/>
                <w:szCs w:val="16"/>
                <w:color w:val="auto"/>
              </w:rPr>
              <w:t>—</w:t>
            </w:r>
          </w:p>
        </w:tc>
      </w:tr>
      <w:tr>
        <w:trPr>
          <w:trHeight w:val="217"/>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prior service (credit) loss</w:t>
            </w: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right="259"/>
              <w:spacing w:after="0"/>
              <w:rPr>
                <w:sz w:val="20"/>
                <w:szCs w:val="20"/>
                <w:color w:val="auto"/>
              </w:rPr>
            </w:pPr>
            <w:r>
              <w:rPr>
                <w:rFonts w:ascii="Arial" w:cs="Arial" w:eastAsia="Arial" w:hAnsi="Arial"/>
                <w:sz w:val="16"/>
                <w:szCs w:val="16"/>
                <w:color w:val="auto"/>
              </w:rPr>
              <w:t>0.0</w:t>
            </w: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right="299"/>
              <w:spacing w:after="0"/>
              <w:rPr>
                <w:sz w:val="20"/>
                <w:szCs w:val="20"/>
                <w:color w:val="auto"/>
              </w:rPr>
            </w:pPr>
            <w:r>
              <w:rPr>
                <w:rFonts w:ascii="Arial" w:cs="Arial" w:eastAsia="Arial" w:hAnsi="Arial"/>
                <w:sz w:val="16"/>
                <w:szCs w:val="16"/>
                <w:color w:val="auto"/>
                <w:w w:val="98"/>
              </w:rPr>
              <w:t>0.0</w:t>
            </w:r>
          </w:p>
        </w:tc>
        <w:tc>
          <w:tcPr>
            <w:tcW w:w="6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(0.3)</w:t>
            </w: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(0.3)</w:t>
            </w:r>
          </w:p>
        </w:tc>
      </w:tr>
      <w:tr>
        <w:trPr>
          <w:trHeight w:val="215"/>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Amortization of net actuarial (gain) loss</w:t>
            </w:r>
          </w:p>
        </w:tc>
        <w:tc>
          <w:tcPr>
            <w:tcW w:w="8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color w:val="auto"/>
              </w:rPr>
              <w:t>0.4</w:t>
            </w: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color w:val="auto"/>
                <w:w w:val="98"/>
              </w:rPr>
              <w:t>0.4</w:t>
            </w:r>
          </w:p>
        </w:tc>
        <w:tc>
          <w:tcPr>
            <w:tcW w:w="6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(0.1)</w:t>
            </w:r>
          </w:p>
        </w:tc>
        <w:tc>
          <w:tcPr>
            <w:tcW w:w="6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0.0</w:t>
            </w:r>
          </w:p>
        </w:tc>
      </w:tr>
      <w:tr>
        <w:trPr>
          <w:trHeight w:val="210"/>
        </w:trPr>
        <w:tc>
          <w:tcPr>
            <w:tcW w:w="3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8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CCEEFF"/>
          </w:tcPr>
          <w:p>
            <w:pPr>
              <w:jc w:val="center"/>
              <w:ind w:right="259"/>
              <w:spacing w:after="0"/>
              <w:rPr>
                <w:sz w:val="20"/>
                <w:szCs w:val="20"/>
                <w:color w:val="auto"/>
              </w:rPr>
            </w:pPr>
            <w:r>
              <w:rPr>
                <w:rFonts w:ascii="Arial" w:cs="Arial" w:eastAsia="Arial" w:hAnsi="Arial"/>
                <w:sz w:val="16"/>
                <w:szCs w:val="16"/>
                <w:b w:val="1"/>
                <w:bCs w:val="1"/>
                <w:color w:val="auto"/>
              </w:rPr>
              <w:t>0.5</w:t>
            </w:r>
          </w:p>
        </w:tc>
        <w:tc>
          <w:tcPr>
            <w:tcW w:w="6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center"/>
              <w:ind w:right="299"/>
              <w:spacing w:after="0"/>
              <w:rPr>
                <w:sz w:val="20"/>
                <w:szCs w:val="20"/>
                <w:color w:val="auto"/>
              </w:rPr>
            </w:pPr>
            <w:r>
              <w:rPr>
                <w:rFonts w:ascii="Arial" w:cs="Arial" w:eastAsia="Arial" w:hAnsi="Arial"/>
                <w:sz w:val="16"/>
                <w:szCs w:val="16"/>
                <w:b w:val="1"/>
                <w:bCs w:val="1"/>
                <w:color w:val="auto"/>
                <w:w w:val="98"/>
              </w:rPr>
              <w:t>0.5</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(0.3)</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(0.2)</w:t>
            </w:r>
          </w:p>
        </w:tc>
      </w:tr>
      <w:tr>
        <w:trPr>
          <w:trHeight w:val="452"/>
        </w:trPr>
        <w:tc>
          <w:tcPr>
            <w:tcW w:w="3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gridSpan w:val="2"/>
          </w:tcPr>
          <w:p>
            <w:pPr>
              <w:jc w:val="center"/>
              <w:ind w:left="379"/>
              <w:spacing w:after="0"/>
              <w:rPr>
                <w:sz w:val="20"/>
                <w:szCs w:val="20"/>
                <w:color w:val="auto"/>
              </w:rPr>
            </w:pPr>
            <w:r>
              <w:rPr>
                <w:rFonts w:ascii="Arial" w:cs="Arial" w:eastAsia="Arial" w:hAnsi="Arial"/>
                <w:sz w:val="16"/>
                <w:szCs w:val="16"/>
                <w:b w:val="1"/>
                <w:bCs w:val="1"/>
                <w:color w:val="auto"/>
                <w:w w:val="99"/>
              </w:rPr>
              <w:t>UK Pension Plan</w:t>
            </w: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920" w:type="dxa"/>
            <w:vAlign w:val="bottom"/>
            <w:gridSpan w:val="3"/>
          </w:tcPr>
          <w:p>
            <w:pPr>
              <w:ind w:left="100"/>
              <w:spacing w:after="0"/>
              <w:rPr>
                <w:sz w:val="20"/>
                <w:szCs w:val="20"/>
                <w:color w:val="auto"/>
              </w:rPr>
            </w:pPr>
            <w:r>
              <w:rPr>
                <w:rFonts w:ascii="Arial" w:cs="Arial" w:eastAsia="Arial" w:hAnsi="Arial"/>
                <w:sz w:val="16"/>
                <w:szCs w:val="16"/>
                <w:b w:val="1"/>
                <w:bCs w:val="1"/>
                <w:color w:val="auto"/>
              </w:rPr>
              <w:t>US Postretirement Benefits</w:t>
            </w:r>
          </w:p>
        </w:tc>
      </w:tr>
      <w:tr>
        <w:trPr>
          <w:trHeight w:val="216"/>
        </w:trPr>
        <w:tc>
          <w:tcPr>
            <w:tcW w:w="3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900" w:type="dxa"/>
            <w:vAlign w:val="bottom"/>
            <w:gridSpan w:val="3"/>
          </w:tcPr>
          <w:p>
            <w:pPr>
              <w:jc w:val="center"/>
              <w:ind w:right="539"/>
              <w:spacing w:after="0"/>
              <w:rPr>
                <w:sz w:val="20"/>
                <w:szCs w:val="20"/>
                <w:color w:val="auto"/>
              </w:rPr>
            </w:pPr>
            <w:r>
              <w:rPr>
                <w:rFonts w:ascii="Arial" w:cs="Arial" w:eastAsia="Arial" w:hAnsi="Arial"/>
                <w:sz w:val="16"/>
                <w:szCs w:val="16"/>
                <w:b w:val="1"/>
                <w:bCs w:val="1"/>
                <w:color w:val="auto"/>
              </w:rPr>
              <w:t>Nine months ended</w:t>
            </w:r>
          </w:p>
        </w:tc>
        <w:tc>
          <w:tcPr>
            <w:tcW w:w="620" w:type="dxa"/>
            <w:vAlign w:val="bottom"/>
          </w:tcPr>
          <w:p>
            <w:pPr>
              <w:spacing w:after="0"/>
              <w:rPr>
                <w:sz w:val="18"/>
                <w:szCs w:val="18"/>
                <w:color w:val="auto"/>
              </w:rPr>
            </w:pPr>
          </w:p>
        </w:tc>
        <w:tc>
          <w:tcPr>
            <w:tcW w:w="2920" w:type="dxa"/>
            <w:vAlign w:val="bottom"/>
            <w:gridSpan w:val="3"/>
          </w:tcPr>
          <w:p>
            <w:pPr>
              <w:jc w:val="right"/>
              <w:ind w:right="939"/>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3820" w:type="dxa"/>
            <w:vAlign w:val="bottom"/>
          </w:tcPr>
          <w:p>
            <w:pPr>
              <w:spacing w:after="0"/>
              <w:rPr>
                <w:sz w:val="18"/>
                <w:szCs w:val="18"/>
                <w:color w:val="auto"/>
              </w:rPr>
            </w:pPr>
          </w:p>
        </w:tc>
        <w:tc>
          <w:tcPr>
            <w:tcW w:w="2020" w:type="dxa"/>
            <w:vAlign w:val="bottom"/>
            <w:gridSpan w:val="2"/>
          </w:tcPr>
          <w:p>
            <w:pPr>
              <w:jc w:val="center"/>
              <w:ind w:left="178"/>
              <w:spacing w:after="0"/>
              <w:rPr>
                <w:sz w:val="20"/>
                <w:szCs w:val="20"/>
                <w:color w:val="auto"/>
              </w:rPr>
            </w:pPr>
            <w:r>
              <w:rPr>
                <w:rFonts w:ascii="Arial" w:cs="Arial" w:eastAsia="Arial" w:hAnsi="Arial"/>
                <w:sz w:val="16"/>
                <w:szCs w:val="16"/>
                <w:b w:val="1"/>
                <w:bCs w:val="1"/>
                <w:color w:val="auto"/>
              </w:rPr>
              <w:t>February 28,</w:t>
            </w:r>
          </w:p>
        </w:tc>
        <w:tc>
          <w:tcPr>
            <w:tcW w:w="1760" w:type="dxa"/>
            <w:vAlign w:val="bottom"/>
            <w:gridSpan w:val="2"/>
          </w:tcPr>
          <w:p>
            <w:pPr>
              <w:jc w:val="center"/>
              <w:spacing w:after="0"/>
              <w:rPr>
                <w:sz w:val="20"/>
                <w:szCs w:val="20"/>
                <w:color w:val="auto"/>
              </w:rPr>
            </w:pPr>
            <w:r>
              <w:rPr>
                <w:rFonts w:ascii="Arial" w:cs="Arial" w:eastAsia="Arial" w:hAnsi="Arial"/>
                <w:sz w:val="16"/>
                <w:szCs w:val="16"/>
                <w:b w:val="1"/>
                <w:bCs w:val="1"/>
                <w:color w:val="auto"/>
              </w:rPr>
              <w:t>February 29,</w:t>
            </w:r>
          </w:p>
        </w:tc>
        <w:tc>
          <w:tcPr>
            <w:tcW w:w="1780" w:type="dxa"/>
            <w:vAlign w:val="bottom"/>
            <w:gridSpan w:val="2"/>
          </w:tcPr>
          <w:p>
            <w:pPr>
              <w:jc w:val="right"/>
              <w:ind w:right="319"/>
              <w:spacing w:after="0"/>
              <w:rPr>
                <w:sz w:val="20"/>
                <w:szCs w:val="20"/>
                <w:color w:val="auto"/>
              </w:rPr>
            </w:pPr>
            <w:r>
              <w:rPr>
                <w:rFonts w:ascii="Arial" w:cs="Arial" w:eastAsia="Arial" w:hAnsi="Arial"/>
                <w:sz w:val="16"/>
                <w:szCs w:val="16"/>
                <w:b w:val="1"/>
                <w:bCs w:val="1"/>
                <w:color w:val="auto"/>
              </w:rPr>
              <w:t>February 28,</w:t>
            </w:r>
          </w:p>
        </w:tc>
        <w:tc>
          <w:tcPr>
            <w:tcW w:w="1760" w:type="dxa"/>
            <w:vAlign w:val="bottom"/>
            <w:gridSpan w:val="2"/>
          </w:tcPr>
          <w:p>
            <w:pPr>
              <w:jc w:val="center"/>
              <w:spacing w:after="0"/>
              <w:rPr>
                <w:sz w:val="20"/>
                <w:szCs w:val="20"/>
                <w:color w:val="auto"/>
              </w:rPr>
            </w:pPr>
            <w:r>
              <w:rPr>
                <w:rFonts w:ascii="Arial" w:cs="Arial" w:eastAsia="Arial" w:hAnsi="Arial"/>
                <w:sz w:val="16"/>
                <w:szCs w:val="16"/>
                <w:b w:val="1"/>
                <w:bCs w:val="1"/>
                <w:color w:val="auto"/>
              </w:rPr>
              <w:t>February 29,</w:t>
            </w:r>
          </w:p>
        </w:tc>
      </w:tr>
      <w:tr>
        <w:trPr>
          <w:trHeight w:val="217"/>
        </w:trPr>
        <w:tc>
          <w:tcPr>
            <w:tcW w:w="38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539"/>
              <w:spacing w:after="0"/>
              <w:rPr>
                <w:sz w:val="20"/>
                <w:szCs w:val="20"/>
                <w:color w:val="auto"/>
              </w:rPr>
            </w:pPr>
            <w:r>
              <w:rPr>
                <w:rFonts w:ascii="Arial" w:cs="Arial" w:eastAsia="Arial" w:hAnsi="Arial"/>
                <w:sz w:val="16"/>
                <w:szCs w:val="16"/>
                <w:b w:val="1"/>
                <w:bCs w:val="1"/>
                <w:color w:val="auto"/>
              </w:rPr>
              <w:t>2025</w:t>
            </w: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599"/>
              <w:spacing w:after="0"/>
              <w:rPr>
                <w:sz w:val="20"/>
                <w:szCs w:val="20"/>
                <w:color w:val="auto"/>
              </w:rPr>
            </w:pPr>
            <w:r>
              <w:rPr>
                <w:rFonts w:ascii="Arial" w:cs="Arial" w:eastAsia="Arial" w:hAnsi="Arial"/>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539"/>
              <w:spacing w:after="0"/>
              <w:rPr>
                <w:sz w:val="20"/>
                <w:szCs w:val="20"/>
                <w:color w:val="auto"/>
              </w:rPr>
            </w:pPr>
            <w:r>
              <w:rPr>
                <w:rFonts w:ascii="Arial" w:cs="Arial" w:eastAsia="Arial" w:hAnsi="Arial"/>
                <w:sz w:val="16"/>
                <w:szCs w:val="16"/>
                <w:b w:val="1"/>
                <w:bCs w:val="1"/>
                <w:color w:val="auto"/>
              </w:rPr>
              <w:t>2024</w:t>
            </w:r>
          </w:p>
        </w:tc>
      </w:tr>
      <w:tr>
        <w:trPr>
          <w:trHeight w:val="209"/>
        </w:trPr>
        <w:tc>
          <w:tcPr>
            <w:tcW w:w="3820" w:type="dxa"/>
            <w:vAlign w:val="bottom"/>
          </w:tcPr>
          <w:p>
            <w:pPr>
              <w:ind w:left="20"/>
              <w:spacing w:after="0"/>
              <w:rPr>
                <w:sz w:val="20"/>
                <w:szCs w:val="20"/>
                <w:color w:val="auto"/>
              </w:rPr>
            </w:pPr>
            <w:r>
              <w:rPr>
                <w:rFonts w:ascii="Arial" w:cs="Arial" w:eastAsia="Arial" w:hAnsi="Arial"/>
                <w:sz w:val="16"/>
                <w:szCs w:val="16"/>
                <w:b w:val="1"/>
                <w:bCs w:val="1"/>
                <w:color w:val="auto"/>
              </w:rPr>
              <w:t>Components of net periodic benefit cost:</w:t>
            </w: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cost</w:t>
            </w:r>
          </w:p>
        </w:tc>
        <w:tc>
          <w:tcPr>
            <w:tcW w:w="88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center"/>
              <w:ind w:right="259"/>
              <w:spacing w:after="0"/>
              <w:rPr>
                <w:sz w:val="20"/>
                <w:szCs w:val="20"/>
                <w:color w:val="auto"/>
              </w:rPr>
            </w:pPr>
            <w:r>
              <w:rPr>
                <w:rFonts w:ascii="Arial" w:cs="Arial" w:eastAsia="Arial" w:hAnsi="Arial"/>
                <w:sz w:val="16"/>
                <w:szCs w:val="16"/>
                <w:color w:val="auto"/>
              </w:rPr>
              <w:t>1.0</w:t>
            </w:r>
          </w:p>
        </w:tc>
        <w:tc>
          <w:tcPr>
            <w:tcW w:w="68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center"/>
              <w:ind w:right="299"/>
              <w:spacing w:after="0"/>
              <w:rPr>
                <w:sz w:val="20"/>
                <w:szCs w:val="20"/>
                <w:color w:val="auto"/>
              </w:rPr>
            </w:pPr>
            <w:r>
              <w:rPr>
                <w:rFonts w:ascii="Arial" w:cs="Arial" w:eastAsia="Arial" w:hAnsi="Arial"/>
                <w:sz w:val="16"/>
                <w:szCs w:val="16"/>
                <w:color w:val="auto"/>
                <w:w w:val="98"/>
              </w:rPr>
              <w:t>1.0</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0.3</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0.3</w:t>
            </w:r>
          </w:p>
        </w:tc>
      </w:tr>
      <w:tr>
        <w:trPr>
          <w:trHeight w:val="215"/>
        </w:trPr>
        <w:tc>
          <w:tcPr>
            <w:tcW w:w="3820" w:type="dxa"/>
            <w:vAlign w:val="bottom"/>
          </w:tcPr>
          <w:p>
            <w:pPr>
              <w:ind w:left="20"/>
              <w:spacing w:after="0"/>
              <w:rPr>
                <w:sz w:val="20"/>
                <w:szCs w:val="20"/>
                <w:color w:val="auto"/>
              </w:rPr>
            </w:pPr>
            <w:r>
              <w:rPr>
                <w:rFonts w:ascii="Arial" w:cs="Arial" w:eastAsia="Arial" w:hAnsi="Arial"/>
                <w:sz w:val="16"/>
                <w:szCs w:val="16"/>
                <w:color w:val="auto"/>
              </w:rPr>
              <w:t>Expected return on assets</w:t>
            </w:r>
          </w:p>
        </w:tc>
        <w:tc>
          <w:tcPr>
            <w:tcW w:w="880" w:type="dxa"/>
            <w:vAlign w:val="bottom"/>
          </w:tcPr>
          <w:p>
            <w:pPr>
              <w:spacing w:after="0"/>
              <w:rPr>
                <w:sz w:val="18"/>
                <w:szCs w:val="18"/>
                <w:color w:val="auto"/>
              </w:rPr>
            </w:pPr>
          </w:p>
        </w:tc>
        <w:tc>
          <w:tcPr>
            <w:tcW w:w="1140" w:type="dxa"/>
            <w:vAlign w:val="bottom"/>
          </w:tcPr>
          <w:p>
            <w:pPr>
              <w:jc w:val="center"/>
              <w:ind w:right="279"/>
              <w:spacing w:after="0"/>
              <w:rPr>
                <w:sz w:val="20"/>
                <w:szCs w:val="20"/>
                <w:color w:val="auto"/>
              </w:rPr>
            </w:pPr>
            <w:r>
              <w:rPr>
                <w:rFonts w:ascii="Arial" w:cs="Arial" w:eastAsia="Arial" w:hAnsi="Arial"/>
                <w:sz w:val="16"/>
                <w:szCs w:val="16"/>
                <w:color w:val="auto"/>
              </w:rPr>
              <w:t>(0.8)</w:t>
            </w:r>
          </w:p>
        </w:tc>
        <w:tc>
          <w:tcPr>
            <w:tcW w:w="680" w:type="dxa"/>
            <w:vAlign w:val="bottom"/>
          </w:tcPr>
          <w:p>
            <w:pPr>
              <w:spacing w:after="0"/>
              <w:rPr>
                <w:sz w:val="18"/>
                <w:szCs w:val="18"/>
                <w:color w:val="auto"/>
              </w:rPr>
            </w:pPr>
          </w:p>
        </w:tc>
        <w:tc>
          <w:tcPr>
            <w:tcW w:w="1080" w:type="dxa"/>
            <w:vAlign w:val="bottom"/>
          </w:tcPr>
          <w:p>
            <w:pPr>
              <w:jc w:val="center"/>
              <w:ind w:right="319"/>
              <w:spacing w:after="0"/>
              <w:rPr>
                <w:sz w:val="20"/>
                <w:szCs w:val="20"/>
                <w:color w:val="auto"/>
              </w:rPr>
            </w:pPr>
            <w:r>
              <w:rPr>
                <w:rFonts w:ascii="Arial" w:cs="Arial" w:eastAsia="Arial" w:hAnsi="Arial"/>
                <w:sz w:val="16"/>
                <w:szCs w:val="16"/>
                <w:color w:val="auto"/>
                <w:w w:val="97"/>
              </w:rPr>
              <w:t>(0.8)</w:t>
            </w:r>
          </w:p>
        </w:tc>
        <w:tc>
          <w:tcPr>
            <w:tcW w:w="620" w:type="dxa"/>
            <w:vAlign w:val="bottom"/>
          </w:tcPr>
          <w:p>
            <w:pPr>
              <w:spacing w:after="0"/>
              <w:rPr>
                <w:sz w:val="18"/>
                <w:szCs w:val="18"/>
                <w:color w:val="auto"/>
              </w:rPr>
            </w:pPr>
          </w:p>
        </w:tc>
        <w:tc>
          <w:tcPr>
            <w:tcW w:w="116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1140" w:type="dxa"/>
            <w:vAlign w:val="bottom"/>
          </w:tcPr>
          <w:p>
            <w:pPr>
              <w:jc w:val="right"/>
              <w:ind w:right="539"/>
              <w:spacing w:after="0"/>
              <w:rPr>
                <w:sz w:val="20"/>
                <w:szCs w:val="20"/>
                <w:color w:val="auto"/>
              </w:rPr>
            </w:pPr>
            <w:r>
              <w:rPr>
                <w:rFonts w:ascii="Arial" w:cs="Arial" w:eastAsia="Arial" w:hAnsi="Arial"/>
                <w:sz w:val="16"/>
                <w:szCs w:val="16"/>
                <w:color w:val="auto"/>
              </w:rPr>
              <w:t>—</w:t>
            </w:r>
          </w:p>
        </w:tc>
      </w:tr>
      <w:tr>
        <w:trPr>
          <w:trHeight w:val="217"/>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prior service (credit) loss</w:t>
            </w: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right="259"/>
              <w:spacing w:after="0"/>
              <w:rPr>
                <w:sz w:val="20"/>
                <w:szCs w:val="20"/>
                <w:color w:val="auto"/>
              </w:rPr>
            </w:pPr>
            <w:r>
              <w:rPr>
                <w:rFonts w:ascii="Arial" w:cs="Arial" w:eastAsia="Arial" w:hAnsi="Arial"/>
                <w:sz w:val="16"/>
                <w:szCs w:val="16"/>
                <w:color w:val="auto"/>
              </w:rPr>
              <w:t>0.0</w:t>
            </w: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right="299"/>
              <w:spacing w:after="0"/>
              <w:rPr>
                <w:sz w:val="20"/>
                <w:szCs w:val="20"/>
                <w:color w:val="auto"/>
              </w:rPr>
            </w:pPr>
            <w:r>
              <w:rPr>
                <w:rFonts w:ascii="Arial" w:cs="Arial" w:eastAsia="Arial" w:hAnsi="Arial"/>
                <w:sz w:val="16"/>
                <w:szCs w:val="16"/>
                <w:color w:val="auto"/>
                <w:w w:val="98"/>
              </w:rPr>
              <w:t>0.0</w:t>
            </w:r>
          </w:p>
        </w:tc>
        <w:tc>
          <w:tcPr>
            <w:tcW w:w="6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(0.7)</w:t>
            </w: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(0.7)</w:t>
            </w:r>
          </w:p>
        </w:tc>
      </w:tr>
      <w:tr>
        <w:trPr>
          <w:trHeight w:val="215"/>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Amortization of net actuarial (gain) loss</w:t>
            </w:r>
          </w:p>
        </w:tc>
        <w:tc>
          <w:tcPr>
            <w:tcW w:w="8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color w:val="auto"/>
              </w:rPr>
              <w:t>1.1</w:t>
            </w: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color w:val="auto"/>
                <w:w w:val="98"/>
              </w:rPr>
              <w:t>1.0</w:t>
            </w:r>
          </w:p>
        </w:tc>
        <w:tc>
          <w:tcPr>
            <w:tcW w:w="6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(0.1)</w:t>
            </w:r>
          </w:p>
        </w:tc>
        <w:tc>
          <w:tcPr>
            <w:tcW w:w="6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0.0</w:t>
            </w:r>
          </w:p>
        </w:tc>
      </w:tr>
      <w:tr>
        <w:trPr>
          <w:trHeight w:val="210"/>
        </w:trPr>
        <w:tc>
          <w:tcPr>
            <w:tcW w:w="3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8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CCEEFF"/>
          </w:tcPr>
          <w:p>
            <w:pPr>
              <w:jc w:val="center"/>
              <w:ind w:right="259"/>
              <w:spacing w:after="0"/>
              <w:rPr>
                <w:sz w:val="20"/>
                <w:szCs w:val="20"/>
                <w:color w:val="auto"/>
              </w:rPr>
            </w:pPr>
            <w:r>
              <w:rPr>
                <w:rFonts w:ascii="Arial" w:cs="Arial" w:eastAsia="Arial" w:hAnsi="Arial"/>
                <w:sz w:val="16"/>
                <w:szCs w:val="16"/>
                <w:b w:val="1"/>
                <w:bCs w:val="1"/>
                <w:color w:val="auto"/>
              </w:rPr>
              <w:t>1.3</w:t>
            </w:r>
          </w:p>
        </w:tc>
        <w:tc>
          <w:tcPr>
            <w:tcW w:w="6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center"/>
              <w:ind w:right="299"/>
              <w:spacing w:after="0"/>
              <w:rPr>
                <w:sz w:val="20"/>
                <w:szCs w:val="20"/>
                <w:color w:val="auto"/>
              </w:rPr>
            </w:pPr>
            <w:r>
              <w:rPr>
                <w:rFonts w:ascii="Arial" w:cs="Arial" w:eastAsia="Arial" w:hAnsi="Arial"/>
                <w:sz w:val="16"/>
                <w:szCs w:val="16"/>
                <w:b w:val="1"/>
                <w:bCs w:val="1"/>
                <w:color w:val="auto"/>
                <w:w w:val="98"/>
              </w:rPr>
              <w:t>1.2</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(0.5)</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(0.4)</w:t>
            </w:r>
          </w:p>
        </w:tc>
      </w:tr>
    </w:tbl>
    <w:p>
      <w:pPr>
        <w:spacing w:after="0" w:line="29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Actuarial gains and losses are amortized using a corridor approach. The gain or loss corridor is equal to 10% of the greater of the projected benefit obligation and the market-related value of assets. Gains and losses in excess of the corridor are amortized over the future working lifetime.</w:t>
      </w:r>
    </w:p>
    <w:p>
      <w:pPr>
        <w:spacing w:after="0" w:line="19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Company’s funding practice with respect to the UK Pension Plan is to contribute on an annual basis at least the minimum amounts required by applicable law. For the nine months ended February 28, 2025, the Company contributed $ 1.0 to the UK Pension Plan. The Company expects, based on actuarial calculations, to contribute cash of approximately $1.3 to the UK Pension Plan for the fiscal year ending May 31, 2025.</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61" w:right="359" w:bottom="1440" w:gutter="0" w:footer="0" w:header="0"/>
        </w:sectPr>
      </w:pPr>
    </w:p>
    <w:bookmarkStart w:id="21" w:name="page22"/>
    <w:bookmarkEnd w:id="21"/>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SCHOLASTIC CORPORATION</w:t>
      </w:r>
    </w:p>
    <w:p>
      <w:pPr>
        <w:ind w:left="20" w:right="4100"/>
        <w:spacing w:after="0" w:line="244" w:lineRule="auto"/>
        <w:rPr>
          <w:sz w:val="20"/>
          <w:szCs w:val="20"/>
          <w:color w:val="auto"/>
        </w:rPr>
      </w:pPr>
      <w:r>
        <w:rPr>
          <w:rFonts w:ascii="Arial" w:cs="Arial" w:eastAsia="Arial" w:hAnsi="Arial"/>
          <w:sz w:val="18"/>
          <w:szCs w:val="18"/>
          <w:b w:val="1"/>
          <w:bCs w:val="1"/>
          <w:color w:val="auto"/>
        </w:rPr>
        <w:t>NOTES TO CONDENSED CONSOLIDATED FINANCIAL STATEMENTS – UNAUDITED (Dollar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22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following table summarizes stock-based compensation expense included in Selling, general and administrative expenses for the periods indicated: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60" w:type="dxa"/>
            <w:vAlign w:val="bottom"/>
            <w:gridSpan w:val="3"/>
          </w:tcPr>
          <w:p>
            <w:pPr>
              <w:jc w:val="right"/>
              <w:ind w:right="739"/>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Pr>
          <w:p>
            <w:pPr>
              <w:spacing w:after="0"/>
              <w:rPr>
                <w:sz w:val="18"/>
                <w:szCs w:val="18"/>
                <w:color w:val="auto"/>
              </w:rPr>
            </w:pPr>
          </w:p>
        </w:tc>
        <w:tc>
          <w:tcPr>
            <w:tcW w:w="2680" w:type="dxa"/>
            <w:vAlign w:val="bottom"/>
            <w:gridSpan w:val="3"/>
          </w:tcPr>
          <w:p>
            <w:pPr>
              <w:jc w:val="right"/>
              <w:ind w:right="799"/>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4160" w:type="dxa"/>
            <w:vAlign w:val="bottom"/>
          </w:tcPr>
          <w:p>
            <w:pPr>
              <w:spacing w:after="0"/>
              <w:rPr>
                <w:sz w:val="18"/>
                <w:szCs w:val="18"/>
                <w:color w:val="auto"/>
              </w:rPr>
            </w:pPr>
          </w:p>
        </w:tc>
        <w:tc>
          <w:tcPr>
            <w:tcW w:w="220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February 28,</w:t>
            </w:r>
          </w:p>
        </w:tc>
        <w:tc>
          <w:tcPr>
            <w:tcW w:w="162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February 29,</w:t>
            </w:r>
          </w:p>
        </w:tc>
        <w:tc>
          <w:tcPr>
            <w:tcW w:w="162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February 28,</w:t>
            </w:r>
          </w:p>
        </w:tc>
        <w:tc>
          <w:tcPr>
            <w:tcW w:w="164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February 29,</w:t>
            </w:r>
          </w:p>
        </w:tc>
      </w:tr>
      <w:tr>
        <w:trPr>
          <w:trHeight w:val="217"/>
        </w:trPr>
        <w:tc>
          <w:tcPr>
            <w:tcW w:w="4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2025</w:t>
            </w:r>
          </w:p>
        </w:tc>
        <w:tc>
          <w:tcPr>
            <w:tcW w:w="5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2025</w:t>
            </w: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2024</w:t>
            </w:r>
          </w:p>
        </w:tc>
      </w:tr>
      <w:tr>
        <w:trPr>
          <w:trHeight w:val="209"/>
        </w:trPr>
        <w:tc>
          <w:tcPr>
            <w:tcW w:w="4160" w:type="dxa"/>
            <w:vAlign w:val="bottom"/>
          </w:tcPr>
          <w:p>
            <w:pPr>
              <w:ind w:left="20"/>
              <w:spacing w:after="0"/>
              <w:rPr>
                <w:sz w:val="20"/>
                <w:szCs w:val="20"/>
                <w:color w:val="auto"/>
              </w:rPr>
            </w:pPr>
            <w:r>
              <w:rPr>
                <w:rFonts w:ascii="Arial" w:cs="Arial" w:eastAsia="Arial" w:hAnsi="Arial"/>
                <w:sz w:val="16"/>
                <w:szCs w:val="16"/>
                <w:color w:val="auto"/>
              </w:rPr>
              <w:t>Stock option expense</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19"/>
              <w:spacing w:after="0"/>
              <w:rPr>
                <w:sz w:val="20"/>
                <w:szCs w:val="20"/>
                <w:color w:val="auto"/>
              </w:rPr>
            </w:pPr>
            <w:r>
              <w:rPr>
                <w:rFonts w:ascii="Arial" w:cs="Arial" w:eastAsia="Arial" w:hAnsi="Arial"/>
                <w:sz w:val="16"/>
                <w:szCs w:val="16"/>
                <w:color w:val="auto"/>
              </w:rPr>
              <w:t>0.2</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19"/>
              <w:spacing w:after="0"/>
              <w:rPr>
                <w:sz w:val="20"/>
                <w:szCs w:val="20"/>
                <w:color w:val="auto"/>
              </w:rPr>
            </w:pPr>
            <w:r>
              <w:rPr>
                <w:rFonts w:ascii="Arial" w:cs="Arial" w:eastAsia="Arial" w:hAnsi="Arial"/>
                <w:sz w:val="16"/>
                <w:szCs w:val="16"/>
                <w:color w:val="auto"/>
              </w:rPr>
              <w:t>0.6</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19"/>
              <w:spacing w:after="0"/>
              <w:rPr>
                <w:sz w:val="20"/>
                <w:szCs w:val="20"/>
                <w:color w:val="auto"/>
              </w:rPr>
            </w:pPr>
            <w:r>
              <w:rPr>
                <w:rFonts w:ascii="Arial" w:cs="Arial" w:eastAsia="Arial" w:hAnsi="Arial"/>
                <w:sz w:val="16"/>
                <w:szCs w:val="16"/>
                <w:color w:val="auto"/>
              </w:rPr>
              <w:t>1.0</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39"/>
              <w:spacing w:after="0"/>
              <w:rPr>
                <w:sz w:val="20"/>
                <w:szCs w:val="20"/>
                <w:color w:val="auto"/>
              </w:rPr>
            </w:pPr>
            <w:r>
              <w:rPr>
                <w:rFonts w:ascii="Arial" w:cs="Arial" w:eastAsia="Arial" w:hAnsi="Arial"/>
                <w:sz w:val="16"/>
                <w:szCs w:val="16"/>
                <w:color w:val="auto"/>
              </w:rPr>
              <w:t>3.6</w:t>
            </w:r>
          </w:p>
        </w:tc>
      </w:tr>
      <w:tr>
        <w:trPr>
          <w:trHeight w:val="217"/>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 unit expense</w:t>
            </w:r>
          </w:p>
        </w:tc>
        <w:tc>
          <w:tcPr>
            <w:tcW w:w="1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2.1</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1.6</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5.3</w:t>
            </w: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4.5</w:t>
            </w:r>
          </w:p>
        </w:tc>
      </w:tr>
      <w:tr>
        <w:trPr>
          <w:trHeight w:val="215"/>
        </w:trPr>
        <w:tc>
          <w:tcPr>
            <w:tcW w:w="4160" w:type="dxa"/>
            <w:vAlign w:val="bottom"/>
          </w:tcPr>
          <w:p>
            <w:pPr>
              <w:ind w:left="20"/>
              <w:spacing w:after="0"/>
              <w:rPr>
                <w:sz w:val="20"/>
                <w:szCs w:val="20"/>
                <w:color w:val="auto"/>
              </w:rPr>
            </w:pPr>
            <w:r>
              <w:rPr>
                <w:rFonts w:ascii="Arial" w:cs="Arial" w:eastAsia="Arial" w:hAnsi="Arial"/>
                <w:sz w:val="16"/>
                <w:szCs w:val="16"/>
                <w:color w:val="auto"/>
              </w:rPr>
              <w:t>Management stock purchase plan</w:t>
            </w:r>
          </w:p>
        </w:tc>
        <w:tc>
          <w:tcPr>
            <w:tcW w:w="1160" w:type="dxa"/>
            <w:vAlign w:val="bottom"/>
          </w:tcPr>
          <w:p>
            <w:pPr>
              <w:spacing w:after="0"/>
              <w:rPr>
                <w:sz w:val="18"/>
                <w:szCs w:val="18"/>
                <w:color w:val="auto"/>
              </w:rPr>
            </w:pPr>
          </w:p>
        </w:tc>
        <w:tc>
          <w:tcPr>
            <w:tcW w:w="1040" w:type="dxa"/>
            <w:vAlign w:val="bottom"/>
          </w:tcPr>
          <w:p>
            <w:pPr>
              <w:jc w:val="right"/>
              <w:ind w:right="519"/>
              <w:spacing w:after="0"/>
              <w:rPr>
                <w:sz w:val="20"/>
                <w:szCs w:val="20"/>
                <w:color w:val="auto"/>
              </w:rPr>
            </w:pPr>
            <w:r>
              <w:rPr>
                <w:rFonts w:ascii="Arial" w:cs="Arial" w:eastAsia="Arial" w:hAnsi="Arial"/>
                <w:sz w:val="16"/>
                <w:szCs w:val="16"/>
                <w:color w:val="auto"/>
              </w:rPr>
              <w:t>0.0</w:t>
            </w:r>
          </w:p>
        </w:tc>
        <w:tc>
          <w:tcPr>
            <w:tcW w:w="580" w:type="dxa"/>
            <w:vAlign w:val="bottom"/>
          </w:tcPr>
          <w:p>
            <w:pPr>
              <w:spacing w:after="0"/>
              <w:rPr>
                <w:sz w:val="18"/>
                <w:szCs w:val="18"/>
                <w:color w:val="auto"/>
              </w:rPr>
            </w:pPr>
          </w:p>
        </w:tc>
        <w:tc>
          <w:tcPr>
            <w:tcW w:w="1040" w:type="dxa"/>
            <w:vAlign w:val="bottom"/>
          </w:tcPr>
          <w:p>
            <w:pPr>
              <w:jc w:val="right"/>
              <w:ind w:right="519"/>
              <w:spacing w:after="0"/>
              <w:rPr>
                <w:sz w:val="20"/>
                <w:szCs w:val="20"/>
                <w:color w:val="auto"/>
              </w:rPr>
            </w:pPr>
            <w:r>
              <w:rPr>
                <w:rFonts w:ascii="Arial" w:cs="Arial" w:eastAsia="Arial" w:hAnsi="Arial"/>
                <w:sz w:val="16"/>
                <w:szCs w:val="16"/>
                <w:color w:val="auto"/>
              </w:rPr>
              <w:t>0.0</w:t>
            </w:r>
          </w:p>
        </w:tc>
        <w:tc>
          <w:tcPr>
            <w:tcW w:w="580" w:type="dxa"/>
            <w:vAlign w:val="bottom"/>
          </w:tcPr>
          <w:p>
            <w:pPr>
              <w:spacing w:after="0"/>
              <w:rPr>
                <w:sz w:val="18"/>
                <w:szCs w:val="18"/>
                <w:color w:val="auto"/>
              </w:rPr>
            </w:pPr>
          </w:p>
        </w:tc>
        <w:tc>
          <w:tcPr>
            <w:tcW w:w="1040" w:type="dxa"/>
            <w:vAlign w:val="bottom"/>
          </w:tcPr>
          <w:p>
            <w:pPr>
              <w:jc w:val="right"/>
              <w:ind w:right="519"/>
              <w:spacing w:after="0"/>
              <w:rPr>
                <w:sz w:val="20"/>
                <w:szCs w:val="20"/>
                <w:color w:val="auto"/>
              </w:rPr>
            </w:pPr>
            <w:r>
              <w:rPr>
                <w:rFonts w:ascii="Arial" w:cs="Arial" w:eastAsia="Arial" w:hAnsi="Arial"/>
                <w:sz w:val="16"/>
                <w:szCs w:val="16"/>
                <w:color w:val="auto"/>
              </w:rPr>
              <w:t>0.1</w:t>
            </w:r>
          </w:p>
        </w:tc>
        <w:tc>
          <w:tcPr>
            <w:tcW w:w="580" w:type="dxa"/>
            <w:vAlign w:val="bottom"/>
          </w:tcPr>
          <w:p>
            <w:pPr>
              <w:spacing w:after="0"/>
              <w:rPr>
                <w:sz w:val="18"/>
                <w:szCs w:val="18"/>
                <w:color w:val="auto"/>
              </w:rPr>
            </w:pPr>
          </w:p>
        </w:tc>
        <w:tc>
          <w:tcPr>
            <w:tcW w:w="1060" w:type="dxa"/>
            <w:vAlign w:val="bottom"/>
          </w:tcPr>
          <w:p>
            <w:pPr>
              <w:jc w:val="right"/>
              <w:ind w:right="539"/>
              <w:spacing w:after="0"/>
              <w:rPr>
                <w:sz w:val="20"/>
                <w:szCs w:val="20"/>
                <w:color w:val="auto"/>
              </w:rPr>
            </w:pPr>
            <w:r>
              <w:rPr>
                <w:rFonts w:ascii="Arial" w:cs="Arial" w:eastAsia="Arial" w:hAnsi="Arial"/>
                <w:sz w:val="16"/>
                <w:szCs w:val="16"/>
                <w:color w:val="auto"/>
              </w:rPr>
              <w:t>0.3</w:t>
            </w:r>
          </w:p>
        </w:tc>
      </w:tr>
      <w:tr>
        <w:trPr>
          <w:trHeight w:val="216"/>
        </w:trPr>
        <w:tc>
          <w:tcPr>
            <w:tcW w:w="4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Employee stock purchase plan</w:t>
            </w:r>
          </w:p>
        </w:tc>
        <w:tc>
          <w:tcPr>
            <w:tcW w:w="1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rPr>
              <w:t>0.1</w:t>
            </w:r>
          </w:p>
        </w:tc>
        <w:tc>
          <w:tcPr>
            <w:tcW w:w="5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rPr>
              <w:t>0.1</w:t>
            </w:r>
          </w:p>
        </w:tc>
        <w:tc>
          <w:tcPr>
            <w:tcW w:w="5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rPr>
              <w:t>0.3</w:t>
            </w:r>
          </w:p>
        </w:tc>
        <w:tc>
          <w:tcPr>
            <w:tcW w:w="5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0.3</w:t>
            </w:r>
          </w:p>
        </w:tc>
      </w:tr>
      <w:tr>
        <w:trPr>
          <w:trHeight w:val="210"/>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stock-based compensation expense</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2.4</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2.3</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6.7</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8.7</w:t>
            </w:r>
          </w:p>
        </w:tc>
      </w:tr>
    </w:tbl>
    <w:p>
      <w:pPr>
        <w:spacing w:after="0" w:line="305" w:lineRule="exact"/>
        <w:rPr>
          <w:sz w:val="20"/>
          <w:szCs w:val="20"/>
          <w:color w:val="auto"/>
        </w:rPr>
      </w:pPr>
    </w:p>
    <w:p>
      <w:pPr>
        <w:jc w:val="both"/>
        <w:ind w:right="540"/>
        <w:spacing w:after="0" w:line="268" w:lineRule="auto"/>
        <w:rPr>
          <w:sz w:val="20"/>
          <w:szCs w:val="20"/>
          <w:color w:val="auto"/>
        </w:rPr>
      </w:pPr>
      <w:r>
        <w:rPr>
          <w:rFonts w:ascii="Arial" w:cs="Arial" w:eastAsia="Arial" w:hAnsi="Arial"/>
          <w:sz w:val="18"/>
          <w:szCs w:val="18"/>
          <w:color w:val="auto"/>
        </w:rPr>
        <w:t>During the second quarter of fiscal 2025, the Company granted performance-based restricted stock units to certain officers and senior management. Compensation expense is recognized over the requisite service period based on expected attainment of pre-established performance goals.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Common Stock issued pursuant to stock-based compensation plans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2940" w:type="dxa"/>
            <w:vAlign w:val="bottom"/>
            <w:gridSpan w:val="2"/>
          </w:tcPr>
          <w:p>
            <w:pPr>
              <w:ind w:left="600"/>
              <w:spacing w:after="0"/>
              <w:rPr>
                <w:sz w:val="20"/>
                <w:szCs w:val="20"/>
                <w:color w:val="auto"/>
              </w:rPr>
            </w:pPr>
            <w:r>
              <w:rPr>
                <w:rFonts w:ascii="Arial" w:cs="Arial" w:eastAsia="Arial" w:hAnsi="Arial"/>
                <w:sz w:val="16"/>
                <w:szCs w:val="16"/>
                <w:b w:val="1"/>
                <w:bCs w:val="1"/>
                <w:color w:val="auto"/>
              </w:rPr>
              <w:t>Three months ended</w:t>
            </w:r>
          </w:p>
        </w:tc>
        <w:tc>
          <w:tcPr>
            <w:tcW w:w="3020" w:type="dxa"/>
            <w:vAlign w:val="bottom"/>
            <w:gridSpan w:val="2"/>
          </w:tcPr>
          <w:p>
            <w:pPr>
              <w:ind w:left="78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400" w:type="dxa"/>
            <w:vAlign w:val="bottom"/>
          </w:tcPr>
          <w:p>
            <w:pPr>
              <w:ind w:left="140"/>
              <w:spacing w:after="0"/>
              <w:rPr>
                <w:sz w:val="20"/>
                <w:szCs w:val="20"/>
                <w:color w:val="auto"/>
              </w:rPr>
            </w:pPr>
            <w:r>
              <w:rPr>
                <w:rFonts w:ascii="Arial" w:cs="Arial" w:eastAsia="Arial" w:hAnsi="Arial"/>
                <w:sz w:val="16"/>
                <w:szCs w:val="16"/>
                <w:b w:val="1"/>
                <w:bCs w:val="1"/>
                <w:color w:val="auto"/>
              </w:rPr>
              <w:t>February 28,</w:t>
            </w:r>
          </w:p>
        </w:tc>
        <w:tc>
          <w:tcPr>
            <w:tcW w:w="1540" w:type="dxa"/>
            <w:vAlign w:val="bottom"/>
          </w:tcPr>
          <w:p>
            <w:pPr>
              <w:ind w:left="280"/>
              <w:spacing w:after="0"/>
              <w:rPr>
                <w:sz w:val="20"/>
                <w:szCs w:val="20"/>
                <w:color w:val="auto"/>
              </w:rPr>
            </w:pPr>
            <w:r>
              <w:rPr>
                <w:rFonts w:ascii="Arial" w:cs="Arial" w:eastAsia="Arial" w:hAnsi="Arial"/>
                <w:sz w:val="16"/>
                <w:szCs w:val="16"/>
                <w:b w:val="1"/>
                <w:bCs w:val="1"/>
                <w:color w:val="auto"/>
              </w:rPr>
              <w:t>February 29,</w:t>
            </w:r>
          </w:p>
        </w:tc>
        <w:tc>
          <w:tcPr>
            <w:tcW w:w="1540" w:type="dxa"/>
            <w:vAlign w:val="bottom"/>
          </w:tcPr>
          <w:p>
            <w:pPr>
              <w:ind w:left="280"/>
              <w:spacing w:after="0"/>
              <w:rPr>
                <w:sz w:val="20"/>
                <w:szCs w:val="20"/>
                <w:color w:val="auto"/>
              </w:rPr>
            </w:pPr>
            <w:r>
              <w:rPr>
                <w:rFonts w:ascii="Arial" w:cs="Arial" w:eastAsia="Arial" w:hAnsi="Arial"/>
                <w:sz w:val="16"/>
                <w:szCs w:val="16"/>
                <w:b w:val="1"/>
                <w:bCs w:val="1"/>
                <w:color w:val="auto"/>
              </w:rPr>
              <w:t>February 28,</w:t>
            </w:r>
          </w:p>
        </w:tc>
        <w:tc>
          <w:tcPr>
            <w:tcW w:w="1480" w:type="dxa"/>
            <w:vAlign w:val="bottom"/>
          </w:tcPr>
          <w:p>
            <w:pPr>
              <w:ind w:left="280"/>
              <w:spacing w:after="0"/>
              <w:rPr>
                <w:sz w:val="20"/>
                <w:szCs w:val="20"/>
                <w:color w:val="auto"/>
              </w:rPr>
            </w:pPr>
            <w:r>
              <w:rPr>
                <w:rFonts w:ascii="Arial" w:cs="Arial" w:eastAsia="Arial" w:hAnsi="Arial"/>
                <w:sz w:val="16"/>
                <w:szCs w:val="16"/>
                <w:b w:val="1"/>
                <w:bCs w:val="1"/>
                <w:color w:val="auto"/>
              </w:rPr>
              <w:t>February 29,</w:t>
            </w:r>
          </w:p>
        </w:tc>
        <w:tc>
          <w:tcPr>
            <w:tcW w:w="0" w:type="dxa"/>
            <w:vAlign w:val="bottom"/>
          </w:tcPr>
          <w:p>
            <w:pPr>
              <w:spacing w:after="0"/>
              <w:rPr>
                <w:sz w:val="1"/>
                <w:szCs w:val="1"/>
                <w:color w:val="auto"/>
              </w:rPr>
            </w:pPr>
          </w:p>
        </w:tc>
      </w:tr>
      <w:tr>
        <w:trPr>
          <w:trHeight w:val="217"/>
        </w:trPr>
        <w:tc>
          <w:tcPr>
            <w:tcW w:w="5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15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15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14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56"/>
        </w:trPr>
        <w:tc>
          <w:tcPr>
            <w:tcW w:w="528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rPr>
              <w:t>Common Stock issued pursuant to stock-based compensation plans (in</w:t>
            </w:r>
          </w:p>
        </w:tc>
        <w:tc>
          <w:tcPr>
            <w:tcW w:w="1400" w:type="dxa"/>
            <w:vAlign w:val="bottom"/>
            <w:vMerge w:val="restart"/>
            <w:shd w:val="clear" w:color="auto" w:fill="CCEEFF"/>
          </w:tcPr>
          <w:p>
            <w:pPr>
              <w:jc w:val="right"/>
              <w:ind w:right="579"/>
              <w:spacing w:after="0"/>
              <w:rPr>
                <w:sz w:val="20"/>
                <w:szCs w:val="20"/>
                <w:color w:val="auto"/>
              </w:rPr>
            </w:pPr>
            <w:r>
              <w:rPr>
                <w:rFonts w:ascii="Arial" w:cs="Arial" w:eastAsia="Arial" w:hAnsi="Arial"/>
                <w:sz w:val="16"/>
                <w:szCs w:val="16"/>
                <w:color w:val="auto"/>
              </w:rPr>
              <w:t>0.1</w:t>
            </w:r>
          </w:p>
        </w:tc>
        <w:tc>
          <w:tcPr>
            <w:tcW w:w="1540" w:type="dxa"/>
            <w:vAlign w:val="bottom"/>
            <w:vMerge w:val="restart"/>
            <w:shd w:val="clear" w:color="auto" w:fill="CCEEFF"/>
          </w:tcPr>
          <w:p>
            <w:pPr>
              <w:jc w:val="right"/>
              <w:ind w:right="579"/>
              <w:spacing w:after="0"/>
              <w:rPr>
                <w:sz w:val="20"/>
                <w:szCs w:val="20"/>
                <w:color w:val="auto"/>
              </w:rPr>
            </w:pPr>
            <w:r>
              <w:rPr>
                <w:rFonts w:ascii="Arial" w:cs="Arial" w:eastAsia="Arial" w:hAnsi="Arial"/>
                <w:sz w:val="16"/>
                <w:szCs w:val="16"/>
                <w:color w:val="auto"/>
              </w:rPr>
              <w:t>0.1</w:t>
            </w:r>
          </w:p>
        </w:tc>
        <w:tc>
          <w:tcPr>
            <w:tcW w:w="1540" w:type="dxa"/>
            <w:vAlign w:val="bottom"/>
            <w:vMerge w:val="restart"/>
            <w:shd w:val="clear" w:color="auto" w:fill="CCEEFF"/>
          </w:tcPr>
          <w:p>
            <w:pPr>
              <w:jc w:val="right"/>
              <w:ind w:right="579"/>
              <w:spacing w:after="0"/>
              <w:rPr>
                <w:sz w:val="20"/>
                <w:szCs w:val="20"/>
                <w:color w:val="auto"/>
              </w:rPr>
            </w:pPr>
            <w:r>
              <w:rPr>
                <w:rFonts w:ascii="Arial" w:cs="Arial" w:eastAsia="Arial" w:hAnsi="Arial"/>
                <w:sz w:val="16"/>
                <w:szCs w:val="16"/>
                <w:color w:val="auto"/>
              </w:rPr>
              <w:t>0.3</w:t>
            </w:r>
          </w:p>
        </w:tc>
        <w:tc>
          <w:tcPr>
            <w:tcW w:w="1480" w:type="dxa"/>
            <w:vAlign w:val="bottom"/>
            <w:vMerge w:val="restart"/>
            <w:shd w:val="clear" w:color="auto" w:fill="CCEEFF"/>
          </w:tcPr>
          <w:p>
            <w:pPr>
              <w:jc w:val="right"/>
              <w:ind w:right="519"/>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5"/>
        </w:trPr>
        <w:tc>
          <w:tcPr>
            <w:tcW w:w="5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millions)</w:t>
            </w:r>
          </w:p>
        </w:tc>
        <w:tc>
          <w:tcPr>
            <w:tcW w:w="1400" w:type="dxa"/>
            <w:vAlign w:val="bottom"/>
            <w:tcBorders>
              <w:bottom w:val="single" w:sz="8" w:color="auto"/>
            </w:tcBorders>
            <w:vMerge w:val="continue"/>
            <w:shd w:val="clear" w:color="auto" w:fill="CCEEFF"/>
          </w:tcPr>
          <w:p>
            <w:pPr>
              <w:spacing w:after="0"/>
              <w:rPr>
                <w:sz w:val="18"/>
                <w:szCs w:val="18"/>
                <w:color w:val="auto"/>
              </w:rPr>
            </w:pPr>
          </w:p>
        </w:tc>
        <w:tc>
          <w:tcPr>
            <w:tcW w:w="1540" w:type="dxa"/>
            <w:vAlign w:val="bottom"/>
            <w:tcBorders>
              <w:bottom w:val="single" w:sz="8" w:color="auto"/>
            </w:tcBorders>
            <w:vMerge w:val="continue"/>
            <w:shd w:val="clear" w:color="auto" w:fill="CCEEFF"/>
          </w:tcPr>
          <w:p>
            <w:pPr>
              <w:spacing w:after="0"/>
              <w:rPr>
                <w:sz w:val="18"/>
                <w:szCs w:val="18"/>
                <w:color w:val="auto"/>
              </w:rPr>
            </w:pPr>
          </w:p>
        </w:tc>
        <w:tc>
          <w:tcPr>
            <w:tcW w:w="1540" w:type="dxa"/>
            <w:vAlign w:val="bottom"/>
            <w:tcBorders>
              <w:bottom w:val="single" w:sz="8" w:color="auto"/>
            </w:tcBorders>
            <w:vMerge w:val="continue"/>
            <w:shd w:val="clear" w:color="auto" w:fill="CCEEFF"/>
          </w:tcPr>
          <w:p>
            <w:pPr>
              <w:spacing w:after="0"/>
              <w:rPr>
                <w:sz w:val="18"/>
                <w:szCs w:val="18"/>
                <w:color w:val="auto"/>
              </w:rPr>
            </w:pPr>
          </w:p>
        </w:tc>
        <w:tc>
          <w:tcPr>
            <w:tcW w:w="14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TREASURY STOCK</w:t>
      </w:r>
    </w:p>
    <w:p>
      <w:pPr>
        <w:spacing w:after="0" w:line="22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Board has authorized the Company to repurchase Common Stock, from time to time as conditions allow, on the open market or through privately negotiated transactions.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represents the Board authorization at the dates indicated: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Authorization</w:t>
            </w:r>
          </w:p>
        </w:tc>
        <w:tc>
          <w:tcPr>
            <w:tcW w:w="29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Amount</w:t>
            </w:r>
          </w:p>
        </w:tc>
      </w:tr>
      <w:tr>
        <w:trPr>
          <w:trHeight w:val="210"/>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2023</w:t>
            </w:r>
          </w:p>
        </w:tc>
        <w:tc>
          <w:tcPr>
            <w:tcW w:w="29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66.2</w:t>
            </w:r>
          </w:p>
        </w:tc>
      </w:tr>
      <w:tr>
        <w:trPr>
          <w:trHeight w:val="215"/>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March 2024</w:t>
            </w:r>
          </w:p>
        </w:tc>
        <w:tc>
          <w:tcPr>
            <w:tcW w:w="29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54.6</w:t>
            </w:r>
          </w:p>
        </w:tc>
      </w:tr>
      <w:tr>
        <w:trPr>
          <w:trHeight w:val="210"/>
        </w:trPr>
        <w:tc>
          <w:tcPr>
            <w:tcW w:w="6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current Board authorizations</w:t>
            </w:r>
          </w:p>
        </w:tc>
        <w:tc>
          <w:tcPr>
            <w:tcW w:w="2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120.8</w:t>
            </w:r>
          </w:p>
        </w:tc>
      </w:tr>
      <w:tr>
        <w:trPr>
          <w:trHeight w:val="209"/>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repurchases made under these authorizations</w:t>
            </w:r>
          </w:p>
        </w:tc>
        <w:tc>
          <w:tcPr>
            <w:tcW w:w="29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(74.2)</w:t>
            </w:r>
          </w:p>
        </w:tc>
      </w:tr>
      <w:tr>
        <w:trPr>
          <w:trHeight w:val="210"/>
        </w:trPr>
        <w:tc>
          <w:tcPr>
            <w:tcW w:w="6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Remaining Board authorization at February 28, 2025</w:t>
            </w:r>
          </w:p>
        </w:tc>
        <w:tc>
          <w:tcPr>
            <w:tcW w:w="2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46.6</w:t>
            </w:r>
          </w:p>
        </w:tc>
      </w:tr>
    </w:tbl>
    <w:p>
      <w:pPr>
        <w:spacing w:after="0" w:line="31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Remaining Board authorization at February 28, 2025 represents the amount remaining under the Board authorization for Common share repurchases announced on March 20, 2024, which is available for further repurchases, from time to time as conditions allow, on the open market or through privately negotiated transactions. See Note 18, "Subsequent Events", for additional Board authorization for common share repurchases.</w:t>
      </w:r>
    </w:p>
    <w:p>
      <w:pPr>
        <w:spacing w:after="0" w:line="203"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Repurchases of the Company's Common Stock were $30.6 and $40.6, including excise tax on share repurchases, during the three and nine months ende</w:t>
      </w:r>
      <w:r>
        <w:rPr>
          <w:rFonts w:ascii="Arial" w:cs="Arial" w:eastAsia="Arial" w:hAnsi="Arial"/>
          <w:sz w:val="17"/>
          <w:szCs w:val="17"/>
          <w:color w:val="auto"/>
        </w:rPr>
        <w:t>d</w:t>
      </w:r>
      <w:r>
        <w:rPr>
          <w:rFonts w:ascii="Arial" w:cs="Arial" w:eastAsia="Arial" w:hAnsi="Arial"/>
          <w:sz w:val="18"/>
          <w:szCs w:val="18"/>
          <w:color w:val="auto"/>
        </w:rPr>
        <w:t xml:space="preserve"> February 28, 2025, respectively. The Company's repurchase program may be suspended at any time without prior notice.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22" w:name="page23"/>
    <w:bookmarkEnd w:id="22"/>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SCHOLASTIC CORPORATION</w:t>
      </w:r>
    </w:p>
    <w:p>
      <w:pPr>
        <w:ind w:left="20" w:right="4100"/>
        <w:spacing w:after="0" w:line="244" w:lineRule="auto"/>
        <w:rPr>
          <w:sz w:val="20"/>
          <w:szCs w:val="20"/>
          <w:color w:val="auto"/>
        </w:rPr>
      </w:pPr>
      <w:r>
        <w:rPr>
          <w:rFonts w:ascii="Arial" w:cs="Arial" w:eastAsia="Arial" w:hAnsi="Arial"/>
          <w:sz w:val="18"/>
          <w:szCs w:val="18"/>
          <w:b w:val="1"/>
          <w:bCs w:val="1"/>
          <w:color w:val="auto"/>
        </w:rPr>
        <w:t>NOTES TO CONDENSED CONSOLIDATED FINANCIAL STATEMENTS – UNAUDITED (Dollar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ACCUMULATED OTHER COMPREHENSIVE INCOME (LOSS)</w:t>
      </w:r>
    </w:p>
    <w:p>
      <w:pPr>
        <w:spacing w:after="0" w:line="252" w:lineRule="exact"/>
        <w:rPr>
          <w:sz w:val="20"/>
          <w:szCs w:val="20"/>
          <w:color w:val="auto"/>
        </w:rPr>
      </w:pPr>
    </w:p>
    <w:p>
      <w:pPr>
        <w:ind w:right="360"/>
        <w:spacing w:after="0" w:line="276" w:lineRule="auto"/>
        <w:rPr>
          <w:sz w:val="20"/>
          <w:szCs w:val="20"/>
          <w:color w:val="auto"/>
        </w:rPr>
      </w:pPr>
      <w:r>
        <w:rPr>
          <w:rFonts w:ascii="Arial" w:cs="Arial" w:eastAsia="Arial" w:hAnsi="Arial"/>
          <w:sz w:val="18"/>
          <w:szCs w:val="18"/>
          <w:color w:val="auto"/>
        </w:rPr>
        <w:t>The following tables summarize the activity in Accumulated other comprehensive income (loss), net of tax, by component, for the periods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500" w:type="dxa"/>
            <w:vAlign w:val="bottom"/>
            <w:gridSpan w:val="4"/>
          </w:tcPr>
          <w:p>
            <w:pPr>
              <w:jc w:val="center"/>
              <w:ind w:left="379"/>
              <w:spacing w:after="0"/>
              <w:rPr>
                <w:sz w:val="20"/>
                <w:szCs w:val="20"/>
                <w:color w:val="auto"/>
              </w:rPr>
            </w:pPr>
            <w:r>
              <w:rPr>
                <w:rFonts w:ascii="Arial" w:cs="Arial" w:eastAsia="Arial" w:hAnsi="Arial"/>
                <w:sz w:val="16"/>
                <w:szCs w:val="16"/>
                <w:b w:val="1"/>
                <w:bCs w:val="1"/>
                <w:color w:val="auto"/>
              </w:rPr>
              <w:t>Three months ended February 28, 2025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980" w:type="dxa"/>
            <w:vAlign w:val="bottom"/>
          </w:tcPr>
          <w:p>
            <w:pPr>
              <w:spacing w:after="0"/>
              <w:rPr>
                <w:sz w:val="14"/>
                <w:szCs w:val="14"/>
                <w:color w:val="auto"/>
              </w:rPr>
            </w:pPr>
          </w:p>
        </w:tc>
        <w:tc>
          <w:tcPr>
            <w:tcW w:w="1720" w:type="dxa"/>
            <w:vAlign w:val="bottom"/>
            <w:gridSpan w:val="2"/>
          </w:tcPr>
          <w:p>
            <w:pPr>
              <w:jc w:val="center"/>
              <w:spacing w:after="0" w:line="163" w:lineRule="exact"/>
              <w:rPr>
                <w:sz w:val="20"/>
                <w:szCs w:val="20"/>
                <w:color w:val="auto"/>
              </w:rPr>
            </w:pPr>
            <w:r>
              <w:rPr>
                <w:rFonts w:ascii="Arial" w:cs="Arial" w:eastAsia="Arial" w:hAnsi="Arial"/>
                <w:sz w:val="16"/>
                <w:szCs w:val="16"/>
                <w:b w:val="1"/>
                <w:bCs w:val="1"/>
                <w:color w:val="auto"/>
              </w:rPr>
              <w:t>Foreign currency</w:t>
            </w:r>
          </w:p>
        </w:tc>
        <w:tc>
          <w:tcPr>
            <w:tcW w:w="1880" w:type="dxa"/>
            <w:vAlign w:val="bottom"/>
            <w:gridSpan w:val="2"/>
            <w:vMerge w:val="restart"/>
          </w:tcPr>
          <w:p>
            <w:pPr>
              <w:jc w:val="center"/>
              <w:ind w:right="19"/>
              <w:spacing w:after="0"/>
              <w:rPr>
                <w:sz w:val="20"/>
                <w:szCs w:val="20"/>
                <w:color w:val="auto"/>
              </w:rPr>
            </w:pPr>
            <w:r>
              <w:rPr>
                <w:rFonts w:ascii="Arial" w:cs="Arial" w:eastAsia="Arial" w:hAnsi="Arial"/>
                <w:sz w:val="16"/>
                <w:szCs w:val="16"/>
                <w:b w:val="1"/>
                <w:bCs w:val="1"/>
                <w:color w:val="auto"/>
              </w:rPr>
              <w:t>Retirement benefit</w:t>
            </w: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80" w:type="dxa"/>
            <w:vAlign w:val="bottom"/>
          </w:tcPr>
          <w:p>
            <w:pPr>
              <w:spacing w:after="0"/>
              <w:rPr>
                <w:sz w:val="14"/>
                <w:szCs w:val="14"/>
                <w:color w:val="auto"/>
              </w:rPr>
            </w:pPr>
          </w:p>
        </w:tc>
        <w:tc>
          <w:tcPr>
            <w:tcW w:w="172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translation</w:t>
            </w:r>
          </w:p>
        </w:tc>
        <w:tc>
          <w:tcPr>
            <w:tcW w:w="188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vMerge w:val="restart"/>
          </w:tcPr>
          <w:p>
            <w:pPr>
              <w:jc w:val="right"/>
              <w:ind w:right="639"/>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ind w:left="380"/>
              <w:spacing w:after="0"/>
              <w:rPr>
                <w:sz w:val="20"/>
                <w:szCs w:val="20"/>
                <w:color w:val="auto"/>
              </w:rPr>
            </w:pPr>
            <w:r>
              <w:rPr>
                <w:rFonts w:ascii="Arial" w:cs="Arial" w:eastAsia="Arial" w:hAnsi="Arial"/>
                <w:sz w:val="16"/>
                <w:szCs w:val="16"/>
                <w:b w:val="1"/>
                <w:bCs w:val="1"/>
                <w:color w:val="auto"/>
              </w:rPr>
              <w:t>adjustments</w:t>
            </w:r>
          </w:p>
        </w:tc>
        <w:tc>
          <w:tcPr>
            <w:tcW w:w="6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639"/>
              <w:spacing w:after="0"/>
              <w:rPr>
                <w:sz w:val="20"/>
                <w:szCs w:val="20"/>
                <w:color w:val="auto"/>
              </w:rPr>
            </w:pPr>
            <w:r>
              <w:rPr>
                <w:rFonts w:ascii="Arial" w:cs="Arial" w:eastAsia="Arial" w:hAnsi="Arial"/>
                <w:sz w:val="16"/>
                <w:szCs w:val="16"/>
                <w:b w:val="1"/>
                <w:bCs w:val="1"/>
                <w:color w:val="auto"/>
              </w:rPr>
              <w:t>plans</w:t>
            </w: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Beginning balance at November 30, 2024</w:t>
            </w:r>
          </w:p>
        </w:tc>
        <w:tc>
          <w:tcPr>
            <w:tcW w:w="640" w:type="dxa"/>
            <w:vAlign w:val="bottom"/>
            <w:shd w:val="clear" w:color="auto" w:fill="CCEEFF"/>
          </w:tcPr>
          <w:p>
            <w:pPr>
              <w:ind w:left="400"/>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(50.6)</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(5.2)</w:t>
            </w:r>
          </w:p>
        </w:tc>
        <w:tc>
          <w:tcPr>
            <w:tcW w:w="5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(55.8)</w:t>
            </w:r>
          </w:p>
        </w:tc>
        <w:tc>
          <w:tcPr>
            <w:tcW w:w="0" w:type="dxa"/>
            <w:vAlign w:val="bottom"/>
          </w:tcPr>
          <w:p>
            <w:pPr>
              <w:spacing w:after="0"/>
              <w:rPr>
                <w:sz w:val="1"/>
                <w:szCs w:val="1"/>
                <w:color w:val="auto"/>
              </w:rPr>
            </w:pPr>
          </w:p>
        </w:tc>
      </w:tr>
      <w:tr>
        <w:trPr>
          <w:trHeight w:val="215"/>
        </w:trPr>
        <w:tc>
          <w:tcPr>
            <w:tcW w:w="5980" w:type="dxa"/>
            <w:vAlign w:val="bottom"/>
          </w:tcPr>
          <w:p>
            <w:pPr>
              <w:ind w:left="20"/>
              <w:spacing w:after="0"/>
              <w:rPr>
                <w:sz w:val="20"/>
                <w:szCs w:val="20"/>
                <w:color w:val="auto"/>
              </w:rPr>
            </w:pPr>
            <w:r>
              <w:rPr>
                <w:rFonts w:ascii="Arial" w:cs="Arial" w:eastAsia="Arial" w:hAnsi="Arial"/>
                <w:sz w:val="16"/>
                <w:szCs w:val="16"/>
                <w:color w:val="auto"/>
              </w:rPr>
              <w:t>Other comprehensive income (loss) before reclassifications</w:t>
            </w:r>
          </w:p>
        </w:tc>
        <w:tc>
          <w:tcPr>
            <w:tcW w:w="640" w:type="dxa"/>
            <w:vAlign w:val="bottom"/>
          </w:tcPr>
          <w:p>
            <w:pPr>
              <w:spacing w:after="0"/>
              <w:rPr>
                <w:sz w:val="18"/>
                <w:szCs w:val="18"/>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color w:val="auto"/>
              </w:rPr>
              <w:t>(8.0)</w:t>
            </w:r>
          </w:p>
        </w:tc>
        <w:tc>
          <w:tcPr>
            <w:tcW w:w="620" w:type="dxa"/>
            <w:vAlign w:val="bottom"/>
          </w:tcPr>
          <w:p>
            <w:pPr>
              <w:spacing w:after="0"/>
              <w:rPr>
                <w:sz w:val="18"/>
                <w:szCs w:val="18"/>
                <w:color w:val="auto"/>
              </w:rPr>
            </w:pPr>
          </w:p>
        </w:tc>
        <w:tc>
          <w:tcPr>
            <w:tcW w:w="126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1120" w:type="dxa"/>
            <w:vAlign w:val="bottom"/>
          </w:tcPr>
          <w:p>
            <w:pPr>
              <w:jc w:val="right"/>
              <w:ind w:right="499"/>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17"/>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amount reclassified from Accumulated other comprehensive income (loss):</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tcPr>
          <w:p>
            <w:pPr>
              <w:ind w:left="20"/>
              <w:spacing w:after="0"/>
              <w:rPr>
                <w:sz w:val="20"/>
                <w:szCs w:val="20"/>
                <w:color w:val="auto"/>
              </w:rPr>
            </w:pPr>
            <w:r>
              <w:rPr>
                <w:rFonts w:ascii="Arial" w:cs="Arial" w:eastAsia="Arial" w:hAnsi="Arial"/>
                <w:sz w:val="16"/>
                <w:szCs w:val="16"/>
                <w:color w:val="auto"/>
              </w:rPr>
              <w:t>Amortization of net actuarial (gain) loss (net of tax of $0.0)</w:t>
            </w:r>
          </w:p>
        </w:tc>
        <w:tc>
          <w:tcPr>
            <w:tcW w:w="640" w:type="dxa"/>
            <w:vAlign w:val="bottom"/>
          </w:tcPr>
          <w:p>
            <w:pPr>
              <w:spacing w:after="0"/>
              <w:rPr>
                <w:sz w:val="18"/>
                <w:szCs w:val="18"/>
                <w:color w:val="auto"/>
              </w:rPr>
            </w:pPr>
          </w:p>
        </w:tc>
        <w:tc>
          <w:tcPr>
            <w:tcW w:w="108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1260" w:type="dxa"/>
            <w:vAlign w:val="bottom"/>
          </w:tcPr>
          <w:p>
            <w:pPr>
              <w:jc w:val="right"/>
              <w:ind w:right="679"/>
              <w:spacing w:after="0"/>
              <w:rPr>
                <w:sz w:val="20"/>
                <w:szCs w:val="20"/>
                <w:color w:val="auto"/>
              </w:rPr>
            </w:pPr>
            <w:r>
              <w:rPr>
                <w:rFonts w:ascii="Arial" w:cs="Arial" w:eastAsia="Arial" w:hAnsi="Arial"/>
                <w:sz w:val="16"/>
                <w:szCs w:val="16"/>
                <w:color w:val="auto"/>
              </w:rPr>
              <w:t>0.3</w:t>
            </w:r>
          </w:p>
        </w:tc>
        <w:tc>
          <w:tcPr>
            <w:tcW w:w="540" w:type="dxa"/>
            <w:vAlign w:val="bottom"/>
          </w:tcPr>
          <w:p>
            <w:pPr>
              <w:spacing w:after="0"/>
              <w:rPr>
                <w:sz w:val="18"/>
                <w:szCs w:val="18"/>
                <w:color w:val="auto"/>
              </w:rPr>
            </w:pPr>
          </w:p>
        </w:tc>
        <w:tc>
          <w:tcPr>
            <w:tcW w:w="1120" w:type="dxa"/>
            <w:vAlign w:val="bottom"/>
          </w:tcPr>
          <w:p>
            <w:pPr>
              <w:jc w:val="right"/>
              <w:ind w:right="539"/>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Amortization of prior service (credit) cost (net of tax of $0.1)</w:t>
            </w:r>
          </w:p>
        </w:tc>
        <w:tc>
          <w:tcPr>
            <w:tcW w:w="6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(0.2)</w:t>
            </w:r>
          </w:p>
        </w:tc>
        <w:tc>
          <w:tcPr>
            <w:tcW w:w="5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comprehensive income (loss)</w:t>
            </w:r>
          </w:p>
        </w:tc>
        <w:tc>
          <w:tcPr>
            <w:tcW w:w="6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(8.0)</w:t>
            </w:r>
          </w:p>
        </w:tc>
        <w:tc>
          <w:tcPr>
            <w:tcW w:w="6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0.1</w:t>
            </w: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Ending balance at February 28, 2025</w:t>
            </w:r>
          </w:p>
        </w:tc>
        <w:tc>
          <w:tcPr>
            <w:tcW w:w="6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(58.6)</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(5.1)</w:t>
            </w:r>
          </w:p>
        </w:tc>
        <w:tc>
          <w:tcPr>
            <w:tcW w:w="5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(63.7)</w:t>
            </w:r>
          </w:p>
        </w:tc>
        <w:tc>
          <w:tcPr>
            <w:tcW w:w="0" w:type="dxa"/>
            <w:vAlign w:val="bottom"/>
          </w:tcPr>
          <w:p>
            <w:pPr>
              <w:spacing w:after="0"/>
              <w:rPr>
                <w:sz w:val="1"/>
                <w:szCs w:val="1"/>
                <w:color w:val="auto"/>
              </w:rPr>
            </w:pPr>
          </w:p>
        </w:tc>
      </w:tr>
      <w:tr>
        <w:trPr>
          <w:trHeight w:val="303"/>
        </w:trPr>
        <w:tc>
          <w:tcPr>
            <w:tcW w:w="5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500" w:type="dxa"/>
            <w:vAlign w:val="bottom"/>
            <w:gridSpan w:val="4"/>
          </w:tcPr>
          <w:p>
            <w:pPr>
              <w:jc w:val="center"/>
              <w:ind w:left="379"/>
              <w:spacing w:after="0"/>
              <w:rPr>
                <w:sz w:val="20"/>
                <w:szCs w:val="20"/>
                <w:color w:val="auto"/>
              </w:rPr>
            </w:pPr>
            <w:r>
              <w:rPr>
                <w:rFonts w:ascii="Arial" w:cs="Arial" w:eastAsia="Arial" w:hAnsi="Arial"/>
                <w:sz w:val="16"/>
                <w:szCs w:val="16"/>
                <w:b w:val="1"/>
                <w:bCs w:val="1"/>
                <w:color w:val="auto"/>
              </w:rPr>
              <w:t>Three months ended February 29, 2024</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5980" w:type="dxa"/>
            <w:vAlign w:val="bottom"/>
          </w:tcPr>
          <w:p>
            <w:pPr>
              <w:spacing w:after="0"/>
              <w:rPr>
                <w:sz w:val="14"/>
                <w:szCs w:val="14"/>
                <w:color w:val="auto"/>
              </w:rPr>
            </w:pPr>
          </w:p>
        </w:tc>
        <w:tc>
          <w:tcPr>
            <w:tcW w:w="1720" w:type="dxa"/>
            <w:vAlign w:val="bottom"/>
            <w:gridSpan w:val="2"/>
          </w:tcPr>
          <w:p>
            <w:pPr>
              <w:jc w:val="center"/>
              <w:spacing w:after="0" w:line="163" w:lineRule="exact"/>
              <w:rPr>
                <w:sz w:val="20"/>
                <w:szCs w:val="20"/>
                <w:color w:val="auto"/>
              </w:rPr>
            </w:pPr>
            <w:r>
              <w:rPr>
                <w:rFonts w:ascii="Arial" w:cs="Arial" w:eastAsia="Arial" w:hAnsi="Arial"/>
                <w:sz w:val="16"/>
                <w:szCs w:val="16"/>
                <w:b w:val="1"/>
                <w:bCs w:val="1"/>
                <w:color w:val="auto"/>
              </w:rPr>
              <w:t>Foreign currency</w:t>
            </w:r>
          </w:p>
        </w:tc>
        <w:tc>
          <w:tcPr>
            <w:tcW w:w="1880" w:type="dxa"/>
            <w:vAlign w:val="bottom"/>
            <w:gridSpan w:val="2"/>
            <w:vMerge w:val="restart"/>
          </w:tcPr>
          <w:p>
            <w:pPr>
              <w:jc w:val="center"/>
              <w:ind w:right="19"/>
              <w:spacing w:after="0"/>
              <w:rPr>
                <w:sz w:val="20"/>
                <w:szCs w:val="20"/>
                <w:color w:val="auto"/>
              </w:rPr>
            </w:pPr>
            <w:r>
              <w:rPr>
                <w:rFonts w:ascii="Arial" w:cs="Arial" w:eastAsia="Arial" w:hAnsi="Arial"/>
                <w:sz w:val="16"/>
                <w:szCs w:val="16"/>
                <w:b w:val="1"/>
                <w:bCs w:val="1"/>
                <w:color w:val="auto"/>
              </w:rPr>
              <w:t>Retirement benefit</w:t>
            </w: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80" w:type="dxa"/>
            <w:vAlign w:val="bottom"/>
          </w:tcPr>
          <w:p>
            <w:pPr>
              <w:spacing w:after="0"/>
              <w:rPr>
                <w:sz w:val="14"/>
                <w:szCs w:val="14"/>
                <w:color w:val="auto"/>
              </w:rPr>
            </w:pPr>
          </w:p>
        </w:tc>
        <w:tc>
          <w:tcPr>
            <w:tcW w:w="172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translation</w:t>
            </w:r>
          </w:p>
        </w:tc>
        <w:tc>
          <w:tcPr>
            <w:tcW w:w="188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vMerge w:val="restart"/>
          </w:tcPr>
          <w:p>
            <w:pPr>
              <w:jc w:val="right"/>
              <w:ind w:right="639"/>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ind w:left="380"/>
              <w:spacing w:after="0"/>
              <w:rPr>
                <w:sz w:val="20"/>
                <w:szCs w:val="20"/>
                <w:color w:val="auto"/>
              </w:rPr>
            </w:pPr>
            <w:r>
              <w:rPr>
                <w:rFonts w:ascii="Arial" w:cs="Arial" w:eastAsia="Arial" w:hAnsi="Arial"/>
                <w:sz w:val="16"/>
                <w:szCs w:val="16"/>
                <w:b w:val="1"/>
                <w:bCs w:val="1"/>
                <w:color w:val="auto"/>
              </w:rPr>
              <w:t>adjustments</w:t>
            </w:r>
          </w:p>
        </w:tc>
        <w:tc>
          <w:tcPr>
            <w:tcW w:w="6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639"/>
              <w:spacing w:after="0"/>
              <w:rPr>
                <w:sz w:val="20"/>
                <w:szCs w:val="20"/>
                <w:color w:val="auto"/>
              </w:rPr>
            </w:pPr>
            <w:r>
              <w:rPr>
                <w:rFonts w:ascii="Arial" w:cs="Arial" w:eastAsia="Arial" w:hAnsi="Arial"/>
                <w:sz w:val="16"/>
                <w:szCs w:val="16"/>
                <w:b w:val="1"/>
                <w:bCs w:val="1"/>
                <w:color w:val="auto"/>
              </w:rPr>
              <w:t>plans</w:t>
            </w: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Beginning balance at November 30, 2023</w:t>
            </w:r>
          </w:p>
        </w:tc>
        <w:tc>
          <w:tcPr>
            <w:tcW w:w="640" w:type="dxa"/>
            <w:vAlign w:val="bottom"/>
            <w:shd w:val="clear" w:color="auto" w:fill="CCEEFF"/>
          </w:tcPr>
          <w:p>
            <w:pPr>
              <w:ind w:left="400"/>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(48.0)</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(5.5)</w:t>
            </w:r>
          </w:p>
        </w:tc>
        <w:tc>
          <w:tcPr>
            <w:tcW w:w="5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(53.5)</w:t>
            </w:r>
          </w:p>
        </w:tc>
        <w:tc>
          <w:tcPr>
            <w:tcW w:w="0" w:type="dxa"/>
            <w:vAlign w:val="bottom"/>
          </w:tcPr>
          <w:p>
            <w:pPr>
              <w:spacing w:after="0"/>
              <w:rPr>
                <w:sz w:val="1"/>
                <w:szCs w:val="1"/>
                <w:color w:val="auto"/>
              </w:rPr>
            </w:pPr>
          </w:p>
        </w:tc>
      </w:tr>
      <w:tr>
        <w:trPr>
          <w:trHeight w:val="215"/>
        </w:trPr>
        <w:tc>
          <w:tcPr>
            <w:tcW w:w="5980" w:type="dxa"/>
            <w:vAlign w:val="bottom"/>
          </w:tcPr>
          <w:p>
            <w:pPr>
              <w:ind w:left="20"/>
              <w:spacing w:after="0"/>
              <w:rPr>
                <w:sz w:val="20"/>
                <w:szCs w:val="20"/>
                <w:color w:val="auto"/>
              </w:rPr>
            </w:pPr>
            <w:r>
              <w:rPr>
                <w:rFonts w:ascii="Arial" w:cs="Arial" w:eastAsia="Arial" w:hAnsi="Arial"/>
                <w:sz w:val="16"/>
                <w:szCs w:val="16"/>
                <w:color w:val="auto"/>
              </w:rPr>
              <w:t>Other comprehensive income (loss) before reclassifications</w:t>
            </w:r>
          </w:p>
        </w:tc>
        <w:tc>
          <w:tcPr>
            <w:tcW w:w="640" w:type="dxa"/>
            <w:vAlign w:val="bottom"/>
          </w:tcPr>
          <w:p>
            <w:pPr>
              <w:spacing w:after="0"/>
              <w:rPr>
                <w:sz w:val="18"/>
                <w:szCs w:val="18"/>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color w:val="auto"/>
              </w:rPr>
              <w:t>(0.4)</w:t>
            </w:r>
          </w:p>
        </w:tc>
        <w:tc>
          <w:tcPr>
            <w:tcW w:w="620" w:type="dxa"/>
            <w:vAlign w:val="bottom"/>
          </w:tcPr>
          <w:p>
            <w:pPr>
              <w:spacing w:after="0"/>
              <w:rPr>
                <w:sz w:val="18"/>
                <w:szCs w:val="18"/>
                <w:color w:val="auto"/>
              </w:rPr>
            </w:pPr>
          </w:p>
        </w:tc>
        <w:tc>
          <w:tcPr>
            <w:tcW w:w="126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1120" w:type="dxa"/>
            <w:vAlign w:val="bottom"/>
          </w:tcPr>
          <w:p>
            <w:pPr>
              <w:jc w:val="right"/>
              <w:ind w:right="499"/>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7"/>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amount reclassified from Accumulated other comprehensive income (loss):</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tcPr>
          <w:p>
            <w:pPr>
              <w:ind w:left="20"/>
              <w:spacing w:after="0"/>
              <w:rPr>
                <w:sz w:val="20"/>
                <w:szCs w:val="20"/>
                <w:color w:val="auto"/>
              </w:rPr>
            </w:pPr>
            <w:r>
              <w:rPr>
                <w:rFonts w:ascii="Arial" w:cs="Arial" w:eastAsia="Arial" w:hAnsi="Arial"/>
                <w:sz w:val="16"/>
                <w:szCs w:val="16"/>
                <w:color w:val="auto"/>
              </w:rPr>
              <w:t>Amortization of net actuarial (gain) loss (net of tax of $0.0)</w:t>
            </w:r>
          </w:p>
        </w:tc>
        <w:tc>
          <w:tcPr>
            <w:tcW w:w="640" w:type="dxa"/>
            <w:vAlign w:val="bottom"/>
          </w:tcPr>
          <w:p>
            <w:pPr>
              <w:spacing w:after="0"/>
              <w:rPr>
                <w:sz w:val="18"/>
                <w:szCs w:val="18"/>
                <w:color w:val="auto"/>
              </w:rPr>
            </w:pPr>
          </w:p>
        </w:tc>
        <w:tc>
          <w:tcPr>
            <w:tcW w:w="108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1260" w:type="dxa"/>
            <w:vAlign w:val="bottom"/>
          </w:tcPr>
          <w:p>
            <w:pPr>
              <w:jc w:val="right"/>
              <w:ind w:right="679"/>
              <w:spacing w:after="0"/>
              <w:rPr>
                <w:sz w:val="20"/>
                <w:szCs w:val="20"/>
                <w:color w:val="auto"/>
              </w:rPr>
            </w:pPr>
            <w:r>
              <w:rPr>
                <w:rFonts w:ascii="Arial" w:cs="Arial" w:eastAsia="Arial" w:hAnsi="Arial"/>
                <w:sz w:val="16"/>
                <w:szCs w:val="16"/>
                <w:color w:val="auto"/>
              </w:rPr>
              <w:t>0.4</w:t>
            </w:r>
          </w:p>
        </w:tc>
        <w:tc>
          <w:tcPr>
            <w:tcW w:w="540" w:type="dxa"/>
            <w:vAlign w:val="bottom"/>
          </w:tcPr>
          <w:p>
            <w:pPr>
              <w:spacing w:after="0"/>
              <w:rPr>
                <w:sz w:val="18"/>
                <w:szCs w:val="18"/>
                <w:color w:val="auto"/>
              </w:rPr>
            </w:pPr>
          </w:p>
        </w:tc>
        <w:tc>
          <w:tcPr>
            <w:tcW w:w="1120" w:type="dxa"/>
            <w:vAlign w:val="bottom"/>
          </w:tcPr>
          <w:p>
            <w:pPr>
              <w:jc w:val="right"/>
              <w:ind w:right="539"/>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Amortization of prior service (credit) cost (net of tax of $0.1)</w:t>
            </w:r>
          </w:p>
        </w:tc>
        <w:tc>
          <w:tcPr>
            <w:tcW w:w="6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(0.2)</w:t>
            </w:r>
          </w:p>
        </w:tc>
        <w:tc>
          <w:tcPr>
            <w:tcW w:w="5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comprehensive income (loss)</w:t>
            </w:r>
          </w:p>
        </w:tc>
        <w:tc>
          <w:tcPr>
            <w:tcW w:w="6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(0.4)</w:t>
            </w:r>
          </w:p>
        </w:tc>
        <w:tc>
          <w:tcPr>
            <w:tcW w:w="6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0.2</w:t>
            </w: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Ending balance at February 29, 2024</w:t>
            </w:r>
          </w:p>
        </w:tc>
        <w:tc>
          <w:tcPr>
            <w:tcW w:w="6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(48.4)</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(5.3)</w:t>
            </w:r>
          </w:p>
        </w:tc>
        <w:tc>
          <w:tcPr>
            <w:tcW w:w="5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(53.7)</w:t>
            </w:r>
          </w:p>
        </w:tc>
        <w:tc>
          <w:tcPr>
            <w:tcW w:w="0" w:type="dxa"/>
            <w:vAlign w:val="bottom"/>
          </w:tcPr>
          <w:p>
            <w:pPr>
              <w:spacing w:after="0"/>
              <w:rPr>
                <w:sz w:val="1"/>
                <w:szCs w:val="1"/>
                <w:color w:val="auto"/>
              </w:rPr>
            </w:pPr>
          </w:p>
        </w:tc>
      </w:tr>
      <w:tr>
        <w:trPr>
          <w:trHeight w:val="303"/>
        </w:trPr>
        <w:tc>
          <w:tcPr>
            <w:tcW w:w="5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500" w:type="dxa"/>
            <w:vAlign w:val="bottom"/>
            <w:gridSpan w:val="4"/>
          </w:tcPr>
          <w:p>
            <w:pPr>
              <w:jc w:val="center"/>
              <w:ind w:left="379"/>
              <w:spacing w:after="0"/>
              <w:rPr>
                <w:sz w:val="20"/>
                <w:szCs w:val="20"/>
                <w:color w:val="auto"/>
              </w:rPr>
            </w:pPr>
            <w:r>
              <w:rPr>
                <w:rFonts w:ascii="Arial" w:cs="Arial" w:eastAsia="Arial" w:hAnsi="Arial"/>
                <w:sz w:val="16"/>
                <w:szCs w:val="16"/>
                <w:b w:val="1"/>
                <w:bCs w:val="1"/>
                <w:color w:val="auto"/>
              </w:rPr>
              <w:t>Nine months ended February 28, 2025</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5980" w:type="dxa"/>
            <w:vAlign w:val="bottom"/>
          </w:tcPr>
          <w:p>
            <w:pPr>
              <w:spacing w:after="0"/>
              <w:rPr>
                <w:sz w:val="14"/>
                <w:szCs w:val="14"/>
                <w:color w:val="auto"/>
              </w:rPr>
            </w:pPr>
          </w:p>
        </w:tc>
        <w:tc>
          <w:tcPr>
            <w:tcW w:w="1720" w:type="dxa"/>
            <w:vAlign w:val="bottom"/>
            <w:gridSpan w:val="2"/>
          </w:tcPr>
          <w:p>
            <w:pPr>
              <w:jc w:val="center"/>
              <w:spacing w:after="0" w:line="163" w:lineRule="exact"/>
              <w:rPr>
                <w:sz w:val="20"/>
                <w:szCs w:val="20"/>
                <w:color w:val="auto"/>
              </w:rPr>
            </w:pPr>
            <w:r>
              <w:rPr>
                <w:rFonts w:ascii="Arial" w:cs="Arial" w:eastAsia="Arial" w:hAnsi="Arial"/>
                <w:sz w:val="16"/>
                <w:szCs w:val="16"/>
                <w:b w:val="1"/>
                <w:bCs w:val="1"/>
                <w:color w:val="auto"/>
              </w:rPr>
              <w:t>Foreign currency</w:t>
            </w:r>
          </w:p>
        </w:tc>
        <w:tc>
          <w:tcPr>
            <w:tcW w:w="1880" w:type="dxa"/>
            <w:vAlign w:val="bottom"/>
            <w:gridSpan w:val="2"/>
            <w:vMerge w:val="restart"/>
          </w:tcPr>
          <w:p>
            <w:pPr>
              <w:jc w:val="center"/>
              <w:ind w:right="19"/>
              <w:spacing w:after="0"/>
              <w:rPr>
                <w:sz w:val="20"/>
                <w:szCs w:val="20"/>
                <w:color w:val="auto"/>
              </w:rPr>
            </w:pPr>
            <w:r>
              <w:rPr>
                <w:rFonts w:ascii="Arial" w:cs="Arial" w:eastAsia="Arial" w:hAnsi="Arial"/>
                <w:sz w:val="16"/>
                <w:szCs w:val="16"/>
                <w:b w:val="1"/>
                <w:bCs w:val="1"/>
                <w:color w:val="auto"/>
              </w:rPr>
              <w:t>Retirement benefit</w:t>
            </w: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80" w:type="dxa"/>
            <w:vAlign w:val="bottom"/>
          </w:tcPr>
          <w:p>
            <w:pPr>
              <w:spacing w:after="0"/>
              <w:rPr>
                <w:sz w:val="14"/>
                <w:szCs w:val="14"/>
                <w:color w:val="auto"/>
              </w:rPr>
            </w:pPr>
          </w:p>
        </w:tc>
        <w:tc>
          <w:tcPr>
            <w:tcW w:w="172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translation</w:t>
            </w:r>
          </w:p>
        </w:tc>
        <w:tc>
          <w:tcPr>
            <w:tcW w:w="188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vMerge w:val="restart"/>
          </w:tcPr>
          <w:p>
            <w:pPr>
              <w:jc w:val="right"/>
              <w:ind w:right="639"/>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ind w:left="380"/>
              <w:spacing w:after="0"/>
              <w:rPr>
                <w:sz w:val="20"/>
                <w:szCs w:val="20"/>
                <w:color w:val="auto"/>
              </w:rPr>
            </w:pPr>
            <w:r>
              <w:rPr>
                <w:rFonts w:ascii="Arial" w:cs="Arial" w:eastAsia="Arial" w:hAnsi="Arial"/>
                <w:sz w:val="16"/>
                <w:szCs w:val="16"/>
                <w:b w:val="1"/>
                <w:bCs w:val="1"/>
                <w:color w:val="auto"/>
              </w:rPr>
              <w:t>adjustments</w:t>
            </w:r>
          </w:p>
        </w:tc>
        <w:tc>
          <w:tcPr>
            <w:tcW w:w="6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639"/>
              <w:spacing w:after="0"/>
              <w:rPr>
                <w:sz w:val="20"/>
                <w:szCs w:val="20"/>
                <w:color w:val="auto"/>
              </w:rPr>
            </w:pPr>
            <w:r>
              <w:rPr>
                <w:rFonts w:ascii="Arial" w:cs="Arial" w:eastAsia="Arial" w:hAnsi="Arial"/>
                <w:sz w:val="16"/>
                <w:szCs w:val="16"/>
                <w:b w:val="1"/>
                <w:bCs w:val="1"/>
                <w:color w:val="auto"/>
              </w:rPr>
              <w:t>plans</w:t>
            </w: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Beginning balance at June 1, 2024</w:t>
            </w:r>
          </w:p>
        </w:tc>
        <w:tc>
          <w:tcPr>
            <w:tcW w:w="640" w:type="dxa"/>
            <w:vAlign w:val="bottom"/>
            <w:shd w:val="clear" w:color="auto" w:fill="CCEEFF"/>
          </w:tcPr>
          <w:p>
            <w:pPr>
              <w:ind w:left="400"/>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(46.9)</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(5.6)</w:t>
            </w:r>
          </w:p>
        </w:tc>
        <w:tc>
          <w:tcPr>
            <w:tcW w:w="5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(52.5)</w:t>
            </w:r>
          </w:p>
        </w:tc>
        <w:tc>
          <w:tcPr>
            <w:tcW w:w="0" w:type="dxa"/>
            <w:vAlign w:val="bottom"/>
          </w:tcPr>
          <w:p>
            <w:pPr>
              <w:spacing w:after="0"/>
              <w:rPr>
                <w:sz w:val="1"/>
                <w:szCs w:val="1"/>
                <w:color w:val="auto"/>
              </w:rPr>
            </w:pPr>
          </w:p>
        </w:tc>
      </w:tr>
      <w:tr>
        <w:trPr>
          <w:trHeight w:val="215"/>
        </w:trPr>
        <w:tc>
          <w:tcPr>
            <w:tcW w:w="5980" w:type="dxa"/>
            <w:vAlign w:val="bottom"/>
          </w:tcPr>
          <w:p>
            <w:pPr>
              <w:ind w:left="20"/>
              <w:spacing w:after="0"/>
              <w:rPr>
                <w:sz w:val="20"/>
                <w:szCs w:val="20"/>
                <w:color w:val="auto"/>
              </w:rPr>
            </w:pPr>
            <w:r>
              <w:rPr>
                <w:rFonts w:ascii="Arial" w:cs="Arial" w:eastAsia="Arial" w:hAnsi="Arial"/>
                <w:sz w:val="16"/>
                <w:szCs w:val="16"/>
                <w:color w:val="auto"/>
              </w:rPr>
              <w:t>Other comprehensive income (loss) before reclassifications</w:t>
            </w:r>
          </w:p>
        </w:tc>
        <w:tc>
          <w:tcPr>
            <w:tcW w:w="640" w:type="dxa"/>
            <w:vAlign w:val="bottom"/>
          </w:tcPr>
          <w:p>
            <w:pPr>
              <w:spacing w:after="0"/>
              <w:rPr>
                <w:sz w:val="18"/>
                <w:szCs w:val="18"/>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color w:val="auto"/>
              </w:rPr>
              <w:t>(11.7)</w:t>
            </w:r>
          </w:p>
        </w:tc>
        <w:tc>
          <w:tcPr>
            <w:tcW w:w="620" w:type="dxa"/>
            <w:vAlign w:val="bottom"/>
          </w:tcPr>
          <w:p>
            <w:pPr>
              <w:spacing w:after="0"/>
              <w:rPr>
                <w:sz w:val="18"/>
                <w:szCs w:val="18"/>
                <w:color w:val="auto"/>
              </w:rPr>
            </w:pPr>
          </w:p>
        </w:tc>
        <w:tc>
          <w:tcPr>
            <w:tcW w:w="126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1120" w:type="dxa"/>
            <w:vAlign w:val="bottom"/>
          </w:tcPr>
          <w:p>
            <w:pPr>
              <w:jc w:val="right"/>
              <w:ind w:right="499"/>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17"/>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amount reclassified from Accumulated other comprehensive income (loss)</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tcPr>
          <w:p>
            <w:pPr>
              <w:ind w:left="20"/>
              <w:spacing w:after="0"/>
              <w:rPr>
                <w:sz w:val="20"/>
                <w:szCs w:val="20"/>
                <w:color w:val="auto"/>
              </w:rPr>
            </w:pPr>
            <w:r>
              <w:rPr>
                <w:rFonts w:ascii="Arial" w:cs="Arial" w:eastAsia="Arial" w:hAnsi="Arial"/>
                <w:sz w:val="16"/>
                <w:szCs w:val="16"/>
                <w:color w:val="auto"/>
              </w:rPr>
              <w:t>Amortization of net actuarial (gain) loss (net of tax of $0.0)</w:t>
            </w:r>
          </w:p>
        </w:tc>
        <w:tc>
          <w:tcPr>
            <w:tcW w:w="640" w:type="dxa"/>
            <w:vAlign w:val="bottom"/>
          </w:tcPr>
          <w:p>
            <w:pPr>
              <w:spacing w:after="0"/>
              <w:rPr>
                <w:sz w:val="18"/>
                <w:szCs w:val="18"/>
                <w:color w:val="auto"/>
              </w:rPr>
            </w:pPr>
          </w:p>
        </w:tc>
        <w:tc>
          <w:tcPr>
            <w:tcW w:w="108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1260" w:type="dxa"/>
            <w:vAlign w:val="bottom"/>
          </w:tcPr>
          <w:p>
            <w:pPr>
              <w:jc w:val="right"/>
              <w:ind w:right="679"/>
              <w:spacing w:after="0"/>
              <w:rPr>
                <w:sz w:val="20"/>
                <w:szCs w:val="20"/>
                <w:color w:val="auto"/>
              </w:rPr>
            </w:pPr>
            <w:r>
              <w:rPr>
                <w:rFonts w:ascii="Arial" w:cs="Arial" w:eastAsia="Arial" w:hAnsi="Arial"/>
                <w:sz w:val="16"/>
                <w:szCs w:val="16"/>
                <w:color w:val="auto"/>
              </w:rPr>
              <w:t>1.0</w:t>
            </w:r>
          </w:p>
        </w:tc>
        <w:tc>
          <w:tcPr>
            <w:tcW w:w="540" w:type="dxa"/>
            <w:vAlign w:val="bottom"/>
          </w:tcPr>
          <w:p>
            <w:pPr>
              <w:spacing w:after="0"/>
              <w:rPr>
                <w:sz w:val="18"/>
                <w:szCs w:val="18"/>
                <w:color w:val="auto"/>
              </w:rPr>
            </w:pPr>
          </w:p>
        </w:tc>
        <w:tc>
          <w:tcPr>
            <w:tcW w:w="1120" w:type="dxa"/>
            <w:vAlign w:val="bottom"/>
          </w:tcPr>
          <w:p>
            <w:pPr>
              <w:jc w:val="right"/>
              <w:ind w:right="53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Amortization of prior service (credit) cost (net of tax of $0.2)</w:t>
            </w:r>
          </w:p>
        </w:tc>
        <w:tc>
          <w:tcPr>
            <w:tcW w:w="6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(0.5)</w:t>
            </w:r>
          </w:p>
        </w:tc>
        <w:tc>
          <w:tcPr>
            <w:tcW w:w="5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comprehensive income (loss)</w:t>
            </w:r>
          </w:p>
        </w:tc>
        <w:tc>
          <w:tcPr>
            <w:tcW w:w="6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(11.7)</w:t>
            </w:r>
          </w:p>
        </w:tc>
        <w:tc>
          <w:tcPr>
            <w:tcW w:w="6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0.5</w:t>
            </w: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Ending balance at February 28, 2025</w:t>
            </w:r>
          </w:p>
        </w:tc>
        <w:tc>
          <w:tcPr>
            <w:tcW w:w="6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(58.6)</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(5.1)</w:t>
            </w:r>
          </w:p>
        </w:tc>
        <w:tc>
          <w:tcPr>
            <w:tcW w:w="5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(63.7)</w:t>
            </w:r>
          </w:p>
        </w:tc>
        <w:tc>
          <w:tcPr>
            <w:tcW w:w="0" w:type="dxa"/>
            <w:vAlign w:val="bottom"/>
          </w:tcPr>
          <w:p>
            <w:pPr>
              <w:spacing w:after="0"/>
              <w:rPr>
                <w:sz w:val="1"/>
                <w:szCs w:val="1"/>
                <w:color w:val="auto"/>
              </w:rPr>
            </w:pPr>
          </w:p>
        </w:tc>
      </w:tr>
      <w:tr>
        <w:trPr>
          <w:trHeight w:val="290"/>
        </w:trPr>
        <w:tc>
          <w:tcPr>
            <w:tcW w:w="5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500" w:type="dxa"/>
            <w:vAlign w:val="bottom"/>
            <w:gridSpan w:val="4"/>
          </w:tcPr>
          <w:p>
            <w:pPr>
              <w:jc w:val="center"/>
              <w:ind w:left="379"/>
              <w:spacing w:after="0"/>
              <w:rPr>
                <w:sz w:val="20"/>
                <w:szCs w:val="20"/>
                <w:color w:val="auto"/>
              </w:rPr>
            </w:pPr>
            <w:r>
              <w:rPr>
                <w:rFonts w:ascii="Arial" w:cs="Arial" w:eastAsia="Arial" w:hAnsi="Arial"/>
                <w:sz w:val="16"/>
                <w:szCs w:val="16"/>
                <w:b w:val="1"/>
                <w:bCs w:val="1"/>
                <w:color w:val="auto"/>
              </w:rPr>
              <w:t>Nine months ended February 29, 2024</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5980" w:type="dxa"/>
            <w:vAlign w:val="bottom"/>
          </w:tcPr>
          <w:p>
            <w:pPr>
              <w:spacing w:after="0"/>
              <w:rPr>
                <w:sz w:val="14"/>
                <w:szCs w:val="14"/>
                <w:color w:val="auto"/>
              </w:rPr>
            </w:pPr>
          </w:p>
        </w:tc>
        <w:tc>
          <w:tcPr>
            <w:tcW w:w="1720" w:type="dxa"/>
            <w:vAlign w:val="bottom"/>
            <w:gridSpan w:val="2"/>
          </w:tcPr>
          <w:p>
            <w:pPr>
              <w:jc w:val="center"/>
              <w:spacing w:after="0" w:line="163" w:lineRule="exact"/>
              <w:rPr>
                <w:sz w:val="20"/>
                <w:szCs w:val="20"/>
                <w:color w:val="auto"/>
              </w:rPr>
            </w:pPr>
            <w:r>
              <w:rPr>
                <w:rFonts w:ascii="Arial" w:cs="Arial" w:eastAsia="Arial" w:hAnsi="Arial"/>
                <w:sz w:val="16"/>
                <w:szCs w:val="16"/>
                <w:b w:val="1"/>
                <w:bCs w:val="1"/>
                <w:color w:val="auto"/>
              </w:rPr>
              <w:t>Foreign currency</w:t>
            </w:r>
          </w:p>
        </w:tc>
        <w:tc>
          <w:tcPr>
            <w:tcW w:w="1880" w:type="dxa"/>
            <w:vAlign w:val="bottom"/>
            <w:gridSpan w:val="2"/>
            <w:vMerge w:val="restart"/>
          </w:tcPr>
          <w:p>
            <w:pPr>
              <w:jc w:val="center"/>
              <w:ind w:right="19"/>
              <w:spacing w:after="0"/>
              <w:rPr>
                <w:sz w:val="20"/>
                <w:szCs w:val="20"/>
                <w:color w:val="auto"/>
              </w:rPr>
            </w:pPr>
            <w:r>
              <w:rPr>
                <w:rFonts w:ascii="Arial" w:cs="Arial" w:eastAsia="Arial" w:hAnsi="Arial"/>
                <w:sz w:val="16"/>
                <w:szCs w:val="16"/>
                <w:b w:val="1"/>
                <w:bCs w:val="1"/>
                <w:color w:val="auto"/>
              </w:rPr>
              <w:t>Retirement benefit</w:t>
            </w: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80" w:type="dxa"/>
            <w:vAlign w:val="bottom"/>
          </w:tcPr>
          <w:p>
            <w:pPr>
              <w:spacing w:after="0"/>
              <w:rPr>
                <w:sz w:val="14"/>
                <w:szCs w:val="14"/>
                <w:color w:val="auto"/>
              </w:rPr>
            </w:pPr>
          </w:p>
        </w:tc>
        <w:tc>
          <w:tcPr>
            <w:tcW w:w="172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translation</w:t>
            </w:r>
          </w:p>
        </w:tc>
        <w:tc>
          <w:tcPr>
            <w:tcW w:w="188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vMerge w:val="restart"/>
          </w:tcPr>
          <w:p>
            <w:pPr>
              <w:jc w:val="right"/>
              <w:ind w:right="639"/>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ind w:left="380"/>
              <w:spacing w:after="0"/>
              <w:rPr>
                <w:sz w:val="20"/>
                <w:szCs w:val="20"/>
                <w:color w:val="auto"/>
              </w:rPr>
            </w:pPr>
            <w:r>
              <w:rPr>
                <w:rFonts w:ascii="Arial" w:cs="Arial" w:eastAsia="Arial" w:hAnsi="Arial"/>
                <w:sz w:val="16"/>
                <w:szCs w:val="16"/>
                <w:b w:val="1"/>
                <w:bCs w:val="1"/>
                <w:color w:val="auto"/>
              </w:rPr>
              <w:t>adjustments</w:t>
            </w:r>
          </w:p>
        </w:tc>
        <w:tc>
          <w:tcPr>
            <w:tcW w:w="6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639"/>
              <w:spacing w:after="0"/>
              <w:rPr>
                <w:sz w:val="20"/>
                <w:szCs w:val="20"/>
                <w:color w:val="auto"/>
              </w:rPr>
            </w:pPr>
            <w:r>
              <w:rPr>
                <w:rFonts w:ascii="Arial" w:cs="Arial" w:eastAsia="Arial" w:hAnsi="Arial"/>
                <w:sz w:val="16"/>
                <w:szCs w:val="16"/>
                <w:b w:val="1"/>
                <w:bCs w:val="1"/>
                <w:color w:val="auto"/>
              </w:rPr>
              <w:t>plans</w:t>
            </w: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Beginning balance at June 1, 2023</w:t>
            </w:r>
          </w:p>
        </w:tc>
        <w:tc>
          <w:tcPr>
            <w:tcW w:w="640" w:type="dxa"/>
            <w:vAlign w:val="bottom"/>
            <w:shd w:val="clear" w:color="auto" w:fill="CCEEFF"/>
          </w:tcPr>
          <w:p>
            <w:pPr>
              <w:ind w:left="400"/>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(50.0)</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(5.8)</w:t>
            </w:r>
          </w:p>
        </w:tc>
        <w:tc>
          <w:tcPr>
            <w:tcW w:w="5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(55.8)</w:t>
            </w:r>
          </w:p>
        </w:tc>
        <w:tc>
          <w:tcPr>
            <w:tcW w:w="0" w:type="dxa"/>
            <w:vAlign w:val="bottom"/>
          </w:tcPr>
          <w:p>
            <w:pPr>
              <w:spacing w:after="0"/>
              <w:rPr>
                <w:sz w:val="1"/>
                <w:szCs w:val="1"/>
                <w:color w:val="auto"/>
              </w:rPr>
            </w:pPr>
          </w:p>
        </w:tc>
      </w:tr>
      <w:tr>
        <w:trPr>
          <w:trHeight w:val="215"/>
        </w:trPr>
        <w:tc>
          <w:tcPr>
            <w:tcW w:w="5980" w:type="dxa"/>
            <w:vAlign w:val="bottom"/>
          </w:tcPr>
          <w:p>
            <w:pPr>
              <w:ind w:left="20"/>
              <w:spacing w:after="0"/>
              <w:rPr>
                <w:sz w:val="20"/>
                <w:szCs w:val="20"/>
                <w:color w:val="auto"/>
              </w:rPr>
            </w:pPr>
            <w:r>
              <w:rPr>
                <w:rFonts w:ascii="Arial" w:cs="Arial" w:eastAsia="Arial" w:hAnsi="Arial"/>
                <w:sz w:val="16"/>
                <w:szCs w:val="16"/>
                <w:color w:val="auto"/>
              </w:rPr>
              <w:t>Other comprehensive income (loss) before reclassifications</w:t>
            </w:r>
          </w:p>
        </w:tc>
        <w:tc>
          <w:tcPr>
            <w:tcW w:w="640" w:type="dxa"/>
            <w:vAlign w:val="bottom"/>
          </w:tcPr>
          <w:p>
            <w:pPr>
              <w:spacing w:after="0"/>
              <w:rPr>
                <w:sz w:val="18"/>
                <w:szCs w:val="18"/>
                <w:color w:val="auto"/>
              </w:rPr>
            </w:pPr>
          </w:p>
        </w:tc>
        <w:tc>
          <w:tcPr>
            <w:tcW w:w="1080" w:type="dxa"/>
            <w:vAlign w:val="bottom"/>
          </w:tcPr>
          <w:p>
            <w:pPr>
              <w:jc w:val="right"/>
              <w:ind w:right="479"/>
              <w:spacing w:after="0"/>
              <w:rPr>
                <w:sz w:val="20"/>
                <w:szCs w:val="20"/>
                <w:color w:val="auto"/>
              </w:rPr>
            </w:pPr>
            <w:r>
              <w:rPr>
                <w:rFonts w:ascii="Arial" w:cs="Arial" w:eastAsia="Arial" w:hAnsi="Arial"/>
                <w:sz w:val="16"/>
                <w:szCs w:val="16"/>
                <w:color w:val="auto"/>
              </w:rPr>
              <w:t>1.6</w:t>
            </w:r>
          </w:p>
        </w:tc>
        <w:tc>
          <w:tcPr>
            <w:tcW w:w="620" w:type="dxa"/>
            <w:vAlign w:val="bottom"/>
          </w:tcPr>
          <w:p>
            <w:pPr>
              <w:spacing w:after="0"/>
              <w:rPr>
                <w:sz w:val="18"/>
                <w:szCs w:val="18"/>
                <w:color w:val="auto"/>
              </w:rPr>
            </w:pPr>
          </w:p>
        </w:tc>
        <w:tc>
          <w:tcPr>
            <w:tcW w:w="126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1120" w:type="dxa"/>
            <w:vAlign w:val="bottom"/>
          </w:tcPr>
          <w:p>
            <w:pPr>
              <w:jc w:val="right"/>
              <w:ind w:right="53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7"/>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amount reclassified from Accumulated other comprehensive income (loss)</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tcPr>
          <w:p>
            <w:pPr>
              <w:ind w:left="20"/>
              <w:spacing w:after="0"/>
              <w:rPr>
                <w:sz w:val="20"/>
                <w:szCs w:val="20"/>
                <w:color w:val="auto"/>
              </w:rPr>
            </w:pPr>
            <w:r>
              <w:rPr>
                <w:rFonts w:ascii="Arial" w:cs="Arial" w:eastAsia="Arial" w:hAnsi="Arial"/>
                <w:sz w:val="16"/>
                <w:szCs w:val="16"/>
                <w:color w:val="auto"/>
              </w:rPr>
              <w:t>Amortization of net actuarial (gain) loss (net of tax of $0.0)</w:t>
            </w:r>
          </w:p>
        </w:tc>
        <w:tc>
          <w:tcPr>
            <w:tcW w:w="640" w:type="dxa"/>
            <w:vAlign w:val="bottom"/>
          </w:tcPr>
          <w:p>
            <w:pPr>
              <w:spacing w:after="0"/>
              <w:rPr>
                <w:sz w:val="18"/>
                <w:szCs w:val="18"/>
                <w:color w:val="auto"/>
              </w:rPr>
            </w:pPr>
          </w:p>
        </w:tc>
        <w:tc>
          <w:tcPr>
            <w:tcW w:w="108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1260" w:type="dxa"/>
            <w:vAlign w:val="bottom"/>
          </w:tcPr>
          <w:p>
            <w:pPr>
              <w:jc w:val="right"/>
              <w:ind w:right="679"/>
              <w:spacing w:after="0"/>
              <w:rPr>
                <w:sz w:val="20"/>
                <w:szCs w:val="20"/>
                <w:color w:val="auto"/>
              </w:rPr>
            </w:pPr>
            <w:r>
              <w:rPr>
                <w:rFonts w:ascii="Arial" w:cs="Arial" w:eastAsia="Arial" w:hAnsi="Arial"/>
                <w:sz w:val="16"/>
                <w:szCs w:val="16"/>
                <w:color w:val="auto"/>
              </w:rPr>
              <w:t>1.0</w:t>
            </w:r>
          </w:p>
        </w:tc>
        <w:tc>
          <w:tcPr>
            <w:tcW w:w="540" w:type="dxa"/>
            <w:vAlign w:val="bottom"/>
          </w:tcPr>
          <w:p>
            <w:pPr>
              <w:spacing w:after="0"/>
              <w:rPr>
                <w:sz w:val="18"/>
                <w:szCs w:val="18"/>
                <w:color w:val="auto"/>
              </w:rPr>
            </w:pPr>
          </w:p>
        </w:tc>
        <w:tc>
          <w:tcPr>
            <w:tcW w:w="1120" w:type="dxa"/>
            <w:vAlign w:val="bottom"/>
          </w:tcPr>
          <w:p>
            <w:pPr>
              <w:jc w:val="right"/>
              <w:ind w:right="53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Amortization of prior service (credit) cost (net of tax of $0.2)</w:t>
            </w:r>
          </w:p>
        </w:tc>
        <w:tc>
          <w:tcPr>
            <w:tcW w:w="6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(0.5)</w:t>
            </w:r>
          </w:p>
        </w:tc>
        <w:tc>
          <w:tcPr>
            <w:tcW w:w="5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comprehensive income (loss)</w:t>
            </w:r>
          </w:p>
        </w:tc>
        <w:tc>
          <w:tcPr>
            <w:tcW w:w="6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1.6</w:t>
            </w:r>
          </w:p>
        </w:tc>
        <w:tc>
          <w:tcPr>
            <w:tcW w:w="6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0.5</w:t>
            </w: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Ending balance at February 29, 2024</w:t>
            </w:r>
          </w:p>
        </w:tc>
        <w:tc>
          <w:tcPr>
            <w:tcW w:w="6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(48.4)</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(5.3)</w:t>
            </w:r>
          </w:p>
        </w:tc>
        <w:tc>
          <w:tcPr>
            <w:tcW w:w="5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(53.7)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23" w:name="page24"/>
    <w:bookmarkEnd w:id="23"/>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SCHOLASTIC CORPORATION</w:t>
      </w:r>
    </w:p>
    <w:p>
      <w:pPr>
        <w:ind w:left="20" w:right="4100"/>
        <w:spacing w:after="0" w:line="244" w:lineRule="auto"/>
        <w:rPr>
          <w:sz w:val="20"/>
          <w:szCs w:val="20"/>
          <w:color w:val="auto"/>
        </w:rPr>
      </w:pPr>
      <w:r>
        <w:rPr>
          <w:rFonts w:ascii="Arial" w:cs="Arial" w:eastAsia="Arial" w:hAnsi="Arial"/>
          <w:sz w:val="18"/>
          <w:szCs w:val="18"/>
          <w:b w:val="1"/>
          <w:bCs w:val="1"/>
          <w:color w:val="auto"/>
        </w:rPr>
        <w:t>NOTES TO CONDENSED CONSOLIDATED FINANCIAL STATEMENTS – UNAUDITED (Dollar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The following table presents the impact on earnings of reclassifications out of Accumulated other comprehensive income (loss) for the periods indicated: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00" w:type="dxa"/>
            <w:vAlign w:val="bottom"/>
            <w:gridSpan w:val="3"/>
          </w:tcPr>
          <w:p>
            <w:pPr>
              <w:ind w:left="240"/>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8"/>
                <w:szCs w:val="18"/>
                <w:color w:val="auto"/>
              </w:rPr>
            </w:pPr>
          </w:p>
        </w:tc>
        <w:tc>
          <w:tcPr>
            <w:tcW w:w="2420" w:type="dxa"/>
            <w:vAlign w:val="bottom"/>
            <w:gridSpan w:val="3"/>
          </w:tcPr>
          <w:p>
            <w:pPr>
              <w:jc w:val="right"/>
              <w:ind w:right="539"/>
              <w:spacing w:after="0"/>
              <w:rPr>
                <w:sz w:val="20"/>
                <w:szCs w:val="20"/>
                <w:color w:val="auto"/>
              </w:rPr>
            </w:pPr>
            <w:r>
              <w:rPr>
                <w:rFonts w:ascii="Arial" w:cs="Arial" w:eastAsia="Arial" w:hAnsi="Arial"/>
                <w:sz w:val="16"/>
                <w:szCs w:val="16"/>
                <w:b w:val="1"/>
                <w:bCs w:val="1"/>
                <w:color w:val="auto"/>
              </w:rPr>
              <w:t>Nine months ended</w:t>
            </w:r>
          </w:p>
        </w:tc>
        <w:tc>
          <w:tcPr>
            <w:tcW w:w="2760" w:type="dxa"/>
            <w:vAlign w:val="bottom"/>
            <w:vMerge w:val="restart"/>
          </w:tcPr>
          <w:p>
            <w:pPr>
              <w:jc w:val="center"/>
              <w:ind w:left="45"/>
              <w:spacing w:after="0"/>
              <w:rPr>
                <w:sz w:val="20"/>
                <w:szCs w:val="20"/>
                <w:color w:val="auto"/>
              </w:rPr>
            </w:pPr>
            <w:r>
              <w:rPr>
                <w:rFonts w:ascii="Arial" w:cs="Arial" w:eastAsia="Arial" w:hAnsi="Arial"/>
                <w:sz w:val="16"/>
                <w:szCs w:val="16"/>
                <w:b w:val="1"/>
                <w:bCs w:val="1"/>
                <w:color w:val="auto"/>
              </w:rPr>
              <w:t>Condensed Consolidated</w:t>
            </w:r>
          </w:p>
        </w:tc>
        <w:tc>
          <w:tcPr>
            <w:tcW w:w="0" w:type="dxa"/>
            <w:vAlign w:val="bottom"/>
          </w:tcPr>
          <w:p>
            <w:pPr>
              <w:spacing w:after="0"/>
              <w:rPr>
                <w:sz w:val="1"/>
                <w:szCs w:val="1"/>
                <w:color w:val="auto"/>
              </w:rPr>
            </w:pPr>
          </w:p>
        </w:tc>
      </w:tr>
      <w:tr>
        <w:trPr>
          <w:trHeight w:val="55"/>
        </w:trPr>
        <w:tc>
          <w:tcPr>
            <w:tcW w:w="2740" w:type="dxa"/>
            <w:vAlign w:val="bottom"/>
          </w:tcPr>
          <w:p>
            <w:pPr>
              <w:spacing w:after="0"/>
              <w:rPr>
                <w:sz w:val="4"/>
                <w:szCs w:val="4"/>
                <w:color w:val="auto"/>
              </w:rPr>
            </w:pPr>
          </w:p>
        </w:tc>
        <w:tc>
          <w:tcPr>
            <w:tcW w:w="142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February 28,</w:t>
            </w:r>
          </w:p>
        </w:tc>
        <w:tc>
          <w:tcPr>
            <w:tcW w:w="146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February 29,</w:t>
            </w:r>
          </w:p>
        </w:tc>
        <w:tc>
          <w:tcPr>
            <w:tcW w:w="146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February 28,</w:t>
            </w:r>
          </w:p>
        </w:tc>
        <w:tc>
          <w:tcPr>
            <w:tcW w:w="1400" w:type="dxa"/>
            <w:vAlign w:val="bottom"/>
            <w:gridSpan w:val="2"/>
            <w:vMerge w:val="restart"/>
          </w:tcPr>
          <w:p>
            <w:pPr>
              <w:jc w:val="right"/>
              <w:ind w:right="59"/>
              <w:spacing w:after="0"/>
              <w:rPr>
                <w:sz w:val="20"/>
                <w:szCs w:val="20"/>
                <w:color w:val="auto"/>
              </w:rPr>
            </w:pPr>
            <w:r>
              <w:rPr>
                <w:rFonts w:ascii="Arial" w:cs="Arial" w:eastAsia="Arial" w:hAnsi="Arial"/>
                <w:sz w:val="16"/>
                <w:szCs w:val="16"/>
                <w:b w:val="1"/>
                <w:bCs w:val="1"/>
                <w:color w:val="auto"/>
              </w:rPr>
              <w:t>February 29,</w:t>
            </w:r>
          </w:p>
        </w:tc>
        <w:tc>
          <w:tcPr>
            <w:tcW w:w="2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2760" w:type="dxa"/>
            <w:vAlign w:val="bottom"/>
          </w:tcPr>
          <w:p>
            <w:pPr>
              <w:jc w:val="center"/>
              <w:ind w:left="25"/>
              <w:spacing w:after="0" w:line="162" w:lineRule="exact"/>
              <w:rPr>
                <w:sz w:val="20"/>
                <w:szCs w:val="20"/>
                <w:color w:val="auto"/>
              </w:rPr>
            </w:pPr>
            <w:r>
              <w:rPr>
                <w:rFonts w:ascii="Arial" w:cs="Arial" w:eastAsia="Arial" w:hAnsi="Arial"/>
                <w:sz w:val="16"/>
                <w:szCs w:val="16"/>
                <w:b w:val="1"/>
                <w:bCs w:val="1"/>
                <w:color w:val="auto"/>
              </w:rPr>
              <w:t>Statements of Operations line</w:t>
            </w:r>
          </w:p>
        </w:tc>
        <w:tc>
          <w:tcPr>
            <w:tcW w:w="0" w:type="dxa"/>
            <w:vAlign w:val="bottom"/>
          </w:tcPr>
          <w:p>
            <w:pPr>
              <w:spacing w:after="0"/>
              <w:rPr>
                <w:sz w:val="1"/>
                <w:szCs w:val="1"/>
                <w:color w:val="auto"/>
              </w:rPr>
            </w:pPr>
          </w:p>
        </w:tc>
      </w:tr>
      <w:tr>
        <w:trPr>
          <w:trHeight w:val="216"/>
        </w:trPr>
        <w:tc>
          <w:tcPr>
            <w:tcW w:w="27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2025</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2760" w:type="dxa"/>
            <w:vAlign w:val="bottom"/>
            <w:tcBorders>
              <w:bottom w:val="single" w:sz="8" w:color="auto"/>
            </w:tcBorders>
          </w:tcPr>
          <w:p>
            <w:pPr>
              <w:jc w:val="center"/>
              <w:ind w:left="45"/>
              <w:spacing w:after="0"/>
              <w:rPr>
                <w:sz w:val="20"/>
                <w:szCs w:val="20"/>
                <w:color w:val="auto"/>
              </w:rPr>
            </w:pPr>
            <w:r>
              <w:rPr>
                <w:rFonts w:ascii="Arial" w:cs="Arial" w:eastAsia="Arial" w:hAnsi="Arial"/>
                <w:sz w:val="16"/>
                <w:szCs w:val="16"/>
                <w:b w:val="1"/>
                <w:bCs w:val="1"/>
                <w:color w:val="auto"/>
                <w:w w:val="97"/>
              </w:rPr>
              <w:t>item</w:t>
            </w:r>
          </w:p>
        </w:tc>
        <w:tc>
          <w:tcPr>
            <w:tcW w:w="0" w:type="dxa"/>
            <w:vAlign w:val="bottom"/>
          </w:tcPr>
          <w:p>
            <w:pPr>
              <w:spacing w:after="0"/>
              <w:rPr>
                <w:sz w:val="1"/>
                <w:szCs w:val="1"/>
                <w:color w:val="auto"/>
              </w:rPr>
            </w:pPr>
          </w:p>
        </w:tc>
      </w:tr>
      <w:tr>
        <w:trPr>
          <w:trHeight w:val="210"/>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Employee benefit plans:</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740" w:type="dxa"/>
            <w:vAlign w:val="bottom"/>
            <w:vMerge w:val="restart"/>
          </w:tcPr>
          <w:p>
            <w:pPr>
              <w:ind w:left="20"/>
              <w:spacing w:after="0"/>
              <w:rPr>
                <w:sz w:val="20"/>
                <w:szCs w:val="20"/>
                <w:color w:val="auto"/>
              </w:rPr>
            </w:pPr>
            <w:r>
              <w:rPr>
                <w:rFonts w:ascii="Arial" w:cs="Arial" w:eastAsia="Arial" w:hAnsi="Arial"/>
                <w:sz w:val="16"/>
                <w:szCs w:val="16"/>
                <w:color w:val="auto"/>
              </w:rPr>
              <w:t>Amortization of net actuarial loss</w:t>
            </w:r>
          </w:p>
        </w:tc>
        <w:tc>
          <w:tcPr>
            <w:tcW w:w="38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w w:val="98"/>
              </w:rPr>
              <w:t>0.3</w:t>
            </w:r>
          </w:p>
        </w:tc>
        <w:tc>
          <w:tcPr>
            <w:tcW w:w="4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98"/>
              </w:rPr>
              <w:t>0.4</w:t>
            </w:r>
          </w:p>
        </w:tc>
        <w:tc>
          <w:tcPr>
            <w:tcW w:w="4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rPr>
              <w:t>1.0</w:t>
            </w:r>
          </w:p>
        </w:tc>
        <w:tc>
          <w:tcPr>
            <w:tcW w:w="46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ind w:right="259"/>
              <w:spacing w:after="0"/>
              <w:rPr>
                <w:sz w:val="20"/>
                <w:szCs w:val="20"/>
                <w:color w:val="auto"/>
              </w:rPr>
            </w:pPr>
            <w:r>
              <w:rPr>
                <w:rFonts w:ascii="Arial" w:cs="Arial" w:eastAsia="Arial" w:hAnsi="Arial"/>
                <w:sz w:val="16"/>
                <w:szCs w:val="16"/>
                <w:color w:val="auto"/>
              </w:rPr>
              <w:t>1.0</w:t>
            </w:r>
          </w:p>
        </w:tc>
        <w:tc>
          <w:tcPr>
            <w:tcW w:w="2760" w:type="dxa"/>
            <w:vAlign w:val="bottom"/>
          </w:tcPr>
          <w:p>
            <w:pPr>
              <w:ind w:left="140"/>
              <w:spacing w:after="0" w:line="149" w:lineRule="exact"/>
              <w:rPr>
                <w:sz w:val="20"/>
                <w:szCs w:val="20"/>
                <w:color w:val="auto"/>
              </w:rPr>
            </w:pPr>
            <w:r>
              <w:rPr>
                <w:rFonts w:ascii="Arial" w:cs="Arial" w:eastAsia="Arial" w:hAnsi="Arial"/>
                <w:sz w:val="14"/>
                <w:szCs w:val="14"/>
                <w:color w:val="auto"/>
              </w:rPr>
              <w:t>Other components of net periodic benefit</w:t>
            </w:r>
          </w:p>
        </w:tc>
        <w:tc>
          <w:tcPr>
            <w:tcW w:w="0" w:type="dxa"/>
            <w:vAlign w:val="bottom"/>
          </w:tcPr>
          <w:p>
            <w:pPr>
              <w:spacing w:after="0"/>
              <w:rPr>
                <w:sz w:val="1"/>
                <w:szCs w:val="1"/>
                <w:color w:val="auto"/>
              </w:rPr>
            </w:pPr>
          </w:p>
        </w:tc>
      </w:tr>
      <w:tr>
        <w:trPr>
          <w:trHeight w:val="189"/>
        </w:trPr>
        <w:tc>
          <w:tcPr>
            <w:tcW w:w="274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760" w:type="dxa"/>
            <w:vAlign w:val="bottom"/>
          </w:tcPr>
          <w:p>
            <w:pPr>
              <w:ind w:left="140"/>
              <w:spacing w:after="0"/>
              <w:rPr>
                <w:sz w:val="20"/>
                <w:szCs w:val="20"/>
                <w:color w:val="auto"/>
              </w:rPr>
            </w:pPr>
            <w:r>
              <w:rPr>
                <w:rFonts w:ascii="Arial" w:cs="Arial" w:eastAsia="Arial" w:hAnsi="Arial"/>
                <w:sz w:val="14"/>
                <w:szCs w:val="14"/>
                <w:color w:val="auto"/>
              </w:rPr>
              <w:t>(cost)</w:t>
            </w:r>
          </w:p>
        </w:tc>
        <w:tc>
          <w:tcPr>
            <w:tcW w:w="0" w:type="dxa"/>
            <w:vAlign w:val="bottom"/>
          </w:tcPr>
          <w:p>
            <w:pPr>
              <w:spacing w:after="0"/>
              <w:rPr>
                <w:sz w:val="1"/>
                <w:szCs w:val="1"/>
                <w:color w:val="auto"/>
              </w:rPr>
            </w:pPr>
          </w:p>
        </w:tc>
      </w:tr>
      <w:tr>
        <w:trPr>
          <w:trHeight w:val="162"/>
        </w:trPr>
        <w:tc>
          <w:tcPr>
            <w:tcW w:w="27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Amortization of prior service (credit)</w:t>
            </w:r>
          </w:p>
        </w:tc>
        <w:tc>
          <w:tcPr>
            <w:tcW w:w="38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center"/>
              <w:ind w:right="19"/>
              <w:spacing w:after="0"/>
              <w:rPr>
                <w:sz w:val="20"/>
                <w:szCs w:val="20"/>
                <w:color w:val="auto"/>
              </w:rPr>
            </w:pPr>
            <w:r>
              <w:rPr>
                <w:rFonts w:ascii="Arial" w:cs="Arial" w:eastAsia="Arial" w:hAnsi="Arial"/>
                <w:sz w:val="16"/>
                <w:szCs w:val="16"/>
                <w:color w:val="auto"/>
              </w:rPr>
              <w:t>(0.3)</w:t>
            </w:r>
          </w:p>
        </w:tc>
        <w:tc>
          <w:tcPr>
            <w:tcW w:w="4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7"/>
              </w:rPr>
              <w:t>(0.3)</w:t>
            </w:r>
          </w:p>
        </w:tc>
        <w:tc>
          <w:tcPr>
            <w:tcW w:w="4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(0.7)</w:t>
            </w:r>
          </w:p>
        </w:tc>
        <w:tc>
          <w:tcPr>
            <w:tcW w:w="4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rPr>
              <w:t>(0.7)</w:t>
            </w:r>
          </w:p>
        </w:tc>
        <w:tc>
          <w:tcPr>
            <w:tcW w:w="2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components of net periodic benefit</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w:t>
            </w:r>
          </w:p>
        </w:tc>
        <w:tc>
          <w:tcPr>
            <w:tcW w:w="38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(cost)</w:t>
            </w:r>
          </w:p>
        </w:tc>
        <w:tc>
          <w:tcPr>
            <w:tcW w:w="0" w:type="dxa"/>
            <w:vAlign w:val="bottom"/>
          </w:tcPr>
          <w:p>
            <w:pPr>
              <w:spacing w:after="0"/>
              <w:rPr>
                <w:sz w:val="1"/>
                <w:szCs w:val="1"/>
                <w:color w:val="auto"/>
              </w:rPr>
            </w:pPr>
          </w:p>
        </w:tc>
      </w:tr>
      <w:tr>
        <w:trPr>
          <w:trHeight w:val="215"/>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Tax effect</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0.1</w:t>
            </w: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0.1</w:t>
            </w: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0.2</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0.2</w:t>
            </w:r>
          </w:p>
        </w:tc>
        <w:tc>
          <w:tcPr>
            <w:tcW w:w="27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Provision (benefit) for income taxes</w:t>
            </w:r>
          </w:p>
        </w:tc>
        <w:tc>
          <w:tcPr>
            <w:tcW w:w="0" w:type="dxa"/>
            <w:vAlign w:val="bottom"/>
          </w:tcPr>
          <w:p>
            <w:pPr>
              <w:spacing w:after="0"/>
              <w:rPr>
                <w:sz w:val="1"/>
                <w:szCs w:val="1"/>
                <w:color w:val="auto"/>
              </w:rPr>
            </w:pPr>
          </w:p>
        </w:tc>
      </w:tr>
      <w:tr>
        <w:trPr>
          <w:trHeight w:val="210"/>
        </w:trPr>
        <w:tc>
          <w:tcPr>
            <w:tcW w:w="2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cost, net of tax</w:t>
            </w:r>
          </w:p>
        </w:tc>
        <w:tc>
          <w:tcPr>
            <w:tcW w:w="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8"/>
              </w:rPr>
              <w:t>0.1</w:t>
            </w:r>
          </w:p>
        </w:tc>
        <w:tc>
          <w:tcPr>
            <w:tcW w:w="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8"/>
              </w:rPr>
              <w:t>0.2</w:t>
            </w:r>
          </w:p>
        </w:tc>
        <w:tc>
          <w:tcPr>
            <w:tcW w:w="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0.5</w:t>
            </w:r>
          </w:p>
        </w:tc>
        <w:tc>
          <w:tcPr>
            <w:tcW w:w="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0.5</w:t>
            </w:r>
          </w:p>
        </w:tc>
        <w:tc>
          <w:tcPr>
            <w:tcW w:w="27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MEASUREMENTS</w:t>
      </w:r>
    </w:p>
    <w:p>
      <w:pPr>
        <w:spacing w:after="0" w:line="22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Company determines the appropriate level in the fair value hierarchy for each fair value measurement of assets and liabilities carried at fair value on a recurring basis in the Company’s financial statements. The fair value hierarchy prioritizes the inputs, which refer to assumptions that market participants would use in pricing an asset or liability, based upon the highest and best use, into three levels as follows:</w:t>
      </w:r>
    </w:p>
    <w:p>
      <w:pPr>
        <w:spacing w:after="0" w:line="176" w:lineRule="exact"/>
        <w:rPr>
          <w:sz w:val="20"/>
          <w:szCs w:val="20"/>
          <w:color w:val="auto"/>
        </w:rPr>
      </w:pPr>
    </w:p>
    <w:p>
      <w:pPr>
        <w:ind w:left="480" w:hanging="310"/>
        <w:spacing w:after="0"/>
        <w:tabs>
          <w:tab w:leader="none" w:pos="4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Unadjusted quoted prices in active markets for identical assets or liabilities at the measurement date.</w:t>
      </w:r>
    </w:p>
    <w:p>
      <w:pPr>
        <w:spacing w:after="0" w:line="252" w:lineRule="exact"/>
        <w:rPr>
          <w:rFonts w:ascii="Arial" w:cs="Arial" w:eastAsia="Arial" w:hAnsi="Arial"/>
          <w:sz w:val="18"/>
          <w:szCs w:val="18"/>
          <w:b w:val="1"/>
          <w:bCs w:val="1"/>
          <w:color w:val="auto"/>
        </w:rPr>
      </w:pPr>
    </w:p>
    <w:p>
      <w:pPr>
        <w:jc w:val="both"/>
        <w:ind w:left="500" w:right="140" w:hanging="330"/>
        <w:spacing w:after="0" w:line="268" w:lineRule="auto"/>
        <w:tabs>
          <w:tab w:leader="none" w:pos="48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Observable inputs other than quoted prices included in Level 1, including quoted prices for similar assets or liabilities in active</w:t>
      </w:r>
      <w:r>
        <w:rPr>
          <w:rFonts w:ascii="Arial" w:cs="Arial" w:eastAsia="Arial" w:hAnsi="Arial"/>
          <w:sz w:val="18"/>
          <w:szCs w:val="18"/>
          <w:b w:val="1"/>
          <w:bCs w:val="1"/>
          <w:color w:val="auto"/>
        </w:rPr>
        <w:t xml:space="preserve"> </w:t>
      </w:r>
      <w:r>
        <w:rPr>
          <w:rFonts w:ascii="Arial" w:cs="Arial" w:eastAsia="Arial" w:hAnsi="Arial"/>
          <w:sz w:val="18"/>
          <w:szCs w:val="18"/>
          <w:color w:val="auto"/>
        </w:rPr>
        <w:t>markets, quoted prices for identical assets or liabilities in inactive markets, inputs other than quoted prices that are observable for the asset or liability and inputs derived principally from or corroborated by observable market data.</w:t>
      </w:r>
    </w:p>
    <w:p>
      <w:pPr>
        <w:spacing w:after="0" w:line="170" w:lineRule="exact"/>
        <w:rPr>
          <w:rFonts w:ascii="Arial" w:cs="Arial" w:eastAsia="Arial" w:hAnsi="Arial"/>
          <w:sz w:val="18"/>
          <w:szCs w:val="18"/>
          <w:b w:val="1"/>
          <w:bCs w:val="1"/>
          <w:color w:val="auto"/>
        </w:rPr>
      </w:pPr>
    </w:p>
    <w:p>
      <w:pPr>
        <w:ind w:left="500" w:right="40" w:hanging="330"/>
        <w:spacing w:after="0" w:line="287" w:lineRule="auto"/>
        <w:tabs>
          <w:tab w:leader="none" w:pos="48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Unobservable inputs in which there is little or no market data available, which are significant to the fair value measurement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require the Company to develop its own assumptions.</w:t>
      </w:r>
    </w:p>
    <w:p>
      <w:pPr>
        <w:spacing w:after="0" w:line="18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Company’s financial assets and liabilities measured at fair value consisted of cash and cash equivalents, debt and foreign currency forward contracts. Cash and cash equivalents are comprised of bank deposits and short-term investments, such as money market funds, the fair value of which is based on quoted market prices, a Level 1 fair value measure. The Company employs Level 2 fair value measurements for the disclosure of the fair value of its various lines of credit and long term debt. The fair value of the Company's debt, including film related obligations, approximates the carrying value for all periods presented. The fair values of foreign currency forward contracts, used by the Company to manage the impact of foreign exchange rate changes, are based on quotations from financial institutions, a Level 2 fair value measure.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Non-financial assets for which the Company employs fair value measures on a non-recurring basis include:</w:t>
      </w:r>
    </w:p>
    <w:p>
      <w:pPr>
        <w:spacing w:after="0" w:line="27" w:lineRule="exact"/>
        <w:rPr>
          <w:sz w:val="20"/>
          <w:szCs w:val="20"/>
          <w:color w:val="auto"/>
        </w:rPr>
      </w:pPr>
    </w:p>
    <w:p>
      <w:pPr>
        <w:ind w:left="480" w:hanging="310"/>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Long-lived assets, including held for sale</w:t>
      </w:r>
    </w:p>
    <w:p>
      <w:pPr>
        <w:spacing w:after="0" w:line="9" w:lineRule="exact"/>
        <w:rPr>
          <w:rFonts w:ascii="Arial" w:cs="Arial" w:eastAsia="Arial" w:hAnsi="Arial"/>
          <w:sz w:val="18"/>
          <w:szCs w:val="18"/>
          <w:color w:val="auto"/>
        </w:rPr>
      </w:pPr>
    </w:p>
    <w:p>
      <w:pPr>
        <w:ind w:left="480" w:hanging="310"/>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lease right-of-use (ROU) assets</w:t>
      </w:r>
    </w:p>
    <w:p>
      <w:pPr>
        <w:spacing w:after="0" w:line="9" w:lineRule="exact"/>
        <w:rPr>
          <w:rFonts w:ascii="Arial" w:cs="Arial" w:eastAsia="Arial" w:hAnsi="Arial"/>
          <w:sz w:val="18"/>
          <w:szCs w:val="18"/>
          <w:color w:val="auto"/>
        </w:rPr>
      </w:pPr>
    </w:p>
    <w:p>
      <w:pPr>
        <w:ind w:left="480" w:hanging="310"/>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Investments</w:t>
      </w:r>
    </w:p>
    <w:p>
      <w:pPr>
        <w:spacing w:after="0" w:line="9" w:lineRule="exact"/>
        <w:rPr>
          <w:rFonts w:ascii="Arial" w:cs="Arial" w:eastAsia="Arial" w:hAnsi="Arial"/>
          <w:sz w:val="18"/>
          <w:szCs w:val="18"/>
          <w:color w:val="auto"/>
        </w:rPr>
      </w:pPr>
    </w:p>
    <w:p>
      <w:pPr>
        <w:ind w:left="480" w:hanging="310"/>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Assets and liabilities acquired in a business combination</w:t>
      </w:r>
    </w:p>
    <w:p>
      <w:pPr>
        <w:spacing w:after="0" w:line="9" w:lineRule="exact"/>
        <w:rPr>
          <w:rFonts w:ascii="Arial" w:cs="Arial" w:eastAsia="Arial" w:hAnsi="Arial"/>
          <w:sz w:val="18"/>
          <w:szCs w:val="18"/>
          <w:color w:val="auto"/>
        </w:rPr>
      </w:pPr>
    </w:p>
    <w:p>
      <w:pPr>
        <w:ind w:left="480" w:hanging="310"/>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Impairment assessment of goodwill and other intangible assets</w:t>
      </w:r>
    </w:p>
    <w:p>
      <w:pPr>
        <w:spacing w:after="0" w:line="23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Level 2 and Level 3 inputs are employed by the Company in the fair value measurement of these assets. For the fair value measurements employed by the Company for certain property, plant and equipment, investments, prepublication assets and investment in film and television programs, the Company assessed future expected cash flows attributable to these assets. See Note 9, "Investments", for a more detailed description of the fair value measurements employed. See Note 7, "Acquisitions", for a more detailed description of the assets acquired and fair value measurements employed related to the 9 Story acquisition.</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24" w:name="page25"/>
    <w:bookmarkEnd w:id="24"/>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SCHOLASTIC CORPORATION</w:t>
      </w:r>
    </w:p>
    <w:p>
      <w:pPr>
        <w:ind w:left="20" w:right="4060"/>
        <w:spacing w:after="0" w:line="244" w:lineRule="auto"/>
        <w:rPr>
          <w:sz w:val="20"/>
          <w:szCs w:val="20"/>
          <w:color w:val="auto"/>
        </w:rPr>
      </w:pPr>
      <w:r>
        <w:rPr>
          <w:rFonts w:ascii="Arial" w:cs="Arial" w:eastAsia="Arial" w:hAnsi="Arial"/>
          <w:sz w:val="18"/>
          <w:szCs w:val="18"/>
          <w:b w:val="1"/>
          <w:bCs w:val="1"/>
          <w:color w:val="auto"/>
        </w:rPr>
        <w:t>NOTES TO CONDENSED CONSOLIDATED FINANCIAL STATEMENTS – UNAUDITED (Dollar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right="7780" w:firstLine="8"/>
        <w:spacing w:after="0" w:line="516" w:lineRule="auto"/>
        <w:tabs>
          <w:tab w:leader="none" w:pos="3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AND OTHER TAXES Income Taxes</w:t>
      </w:r>
    </w:p>
    <w:p>
      <w:pPr>
        <w:spacing w:after="0" w:line="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calculating the provision for income taxes on an interim basis, the Company uses an estimate of the annual effective tax rate based upon currently known facts and circumstances and applies that rate to its year-to-date earnings or losses. The Company’s effective tax rate is based on expected income and statutory tax rates and takes into consideration permanent differences between financial statement and tax return income applicable to the Company in the various jurisdictions in which the Company operates. The effect of discrete items, such as changes in estimates, changes in rates or tax status, and unusual or infrequently occurring events, is recognized in the interim period in which the discrete item occurs. The accounting estimates used to compute the provision for income taxes may change as new events occur, additional information is obtained or as the result of new judicial interpretations or regulatory or tax law changes.</w:t>
      </w:r>
    </w:p>
    <w:p>
      <w:pPr>
        <w:spacing w:after="0" w:line="2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interim effective tax rate, inclusive of discrete items, for the three and nine month periods ended February 28, 2025 was 87.3% and 65.5%, respectively, compared to 23.4% and 23.5%, respectively, for the prior fiscal year period. The interim effective tax rate for the nine months ended February 28, 2025 varies from the statutory rate primarily due to the expected state and local income tax and non-deductible compensation for covered executive employees. Due to the seasonal nature of the business, the tax benefit on the operating loss for the nine months ended February 28, 2025 will be impacted by the Company's typically profitable fourth fiscal quarter.</w:t>
      </w:r>
    </w:p>
    <w:p>
      <w:pPr>
        <w:spacing w:after="0" w:line="20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Company, including its domestic subsidiaries, files a consolidated U.S. income tax return, and also files tax returns in various states and other local jurisdictions. Also, certain subsidiaries of the Company file income tax returns in foreign jurisdictions. The Company is routinely audited by various tax authorities. The fiscal 2021 through 2024 tax years remain subject to audit.</w:t>
      </w:r>
    </w:p>
    <w:p>
      <w:pPr>
        <w:spacing w:after="0" w:line="19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Organization for Economic Cooperation and Development (“OECD”) has implemented the global minimum tax rate of at least 15% for large multinational companies as of 2024 (“Pillar Two”). Under Pillar Two, a top-up tax will be required of such companies for any jurisdiction which has enacted Pillar Two if their effective tax rate falls below the 15% global minimum rate. Additionally, the OECD issued administrative guidance providing transition and safe harbor rules around the implementation of the Pillar Two global minimum tax. Under the safe harbor, companies would be excluded from Pillar Two requirements provided certain criteria are met. The enactment of Pillar Two legislation does not have a material effect on the Company’s financial position. The Company will continue to monitor and reflect the impact of such legislative changes in future periods, as appropriate.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Non-income Taxes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The Company is subject to tax examinations for sales-based taxes. A number of these examinations are ongoing and, in certain cases, have resulted in assessments from taxing authorities. The Company assesses sales tax contingencies for each jurisdiction in which it operates, considering all relevant facts including statutes, regulations, case law and experience. Where a sales tax liability with respect to a jurisdiction is probable and can be reliably estimated for such jurisdiction, the Company has made accruals for these matters which are reflected in the Company’s Condensed Consolidated Financial Statements. These amounts are included in </w:t>
      </w:r>
      <w:r>
        <w:rPr>
          <w:rFonts w:ascii="Arial" w:cs="Arial" w:eastAsia="Arial" w:hAnsi="Arial"/>
          <w:sz w:val="18"/>
          <w:szCs w:val="18"/>
          <w:color w:val="2D2D2D"/>
        </w:rPr>
        <w:t>Selling, general and administrative expenses.</w:t>
      </w:r>
      <w:r>
        <w:rPr>
          <w:rFonts w:ascii="Arial" w:cs="Arial" w:eastAsia="Arial" w:hAnsi="Arial"/>
          <w:sz w:val="18"/>
          <w:szCs w:val="18"/>
          <w:color w:val="auto"/>
        </w:rPr>
        <w:t xml:space="preserve"> </w:t>
      </w:r>
      <w:r>
        <w:rPr>
          <w:rFonts w:ascii="Arial" w:cs="Arial" w:eastAsia="Arial" w:hAnsi="Arial"/>
          <w:sz w:val="18"/>
          <w:szCs w:val="18"/>
          <w:color w:val="2D2D2D"/>
        </w:rPr>
        <w:t>Future developments relating to the foregoing could result in adjustments being made to these accruals.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DERIVATIVES AND HEDGING</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Company enters into foreign currency derivative contracts to economically hedge the exposure to foreign currency fluctuations associated with the forecasted purchase of inventory, the foreign exchange risk associated with certain receivables denominated in foreign currencies and certain future commitments for foreign expenditures. These derivative contracts are economic hedges and are not designated as cash flow hedges.</w:t>
      </w:r>
    </w:p>
    <w:p>
      <w:pPr>
        <w:spacing w:after="0" w:line="20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Company marks-to-market these instruments and records the changes in the fair value of these items in Selling, general and administrative expenses and recognizes the unrealized gain or loss in Other current assets or Other current liabilities. The notional values of the contracts were $22.8 as of February 28, 2025 and</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61" w:right="379" w:bottom="1440" w:gutter="0" w:footer="0" w:header="0"/>
        </w:sectPr>
      </w:pPr>
    </w:p>
    <w:bookmarkStart w:id="25" w:name="page26"/>
    <w:bookmarkEnd w:id="25"/>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SCHOLASTIC CORPORATION</w:t>
      </w:r>
    </w:p>
    <w:p>
      <w:pPr>
        <w:ind w:left="20" w:right="4040"/>
        <w:spacing w:after="0" w:line="244" w:lineRule="auto"/>
        <w:rPr>
          <w:sz w:val="20"/>
          <w:szCs w:val="20"/>
          <w:color w:val="auto"/>
        </w:rPr>
      </w:pPr>
      <w:r>
        <w:rPr>
          <w:rFonts w:ascii="Arial" w:cs="Arial" w:eastAsia="Arial" w:hAnsi="Arial"/>
          <w:sz w:val="18"/>
          <w:szCs w:val="18"/>
          <w:b w:val="1"/>
          <w:bCs w:val="1"/>
          <w:color w:val="auto"/>
        </w:rPr>
        <w:t>NOTES TO CONDENSED CONSOLIDATED FINANCIAL STATEMENTS – UNAUDITED (Dollar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February 29, 2024. A net unrealized gain of $0.9 and $0.2 was recognized for the nine months ended February 28, 2025 and February 29, 2024,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OTHER ACCRUED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accrued expenses consisted of the following as of the dates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2"/>
          </w:tcPr>
          <w:p>
            <w:pPr>
              <w:jc w:val="right"/>
              <w:ind w:right="299"/>
              <w:spacing w:after="0"/>
              <w:rPr>
                <w:sz w:val="20"/>
                <w:szCs w:val="20"/>
                <w:color w:val="auto"/>
              </w:rPr>
            </w:pPr>
            <w:r>
              <w:rPr>
                <w:rFonts w:ascii="Arial" w:cs="Arial" w:eastAsia="Arial" w:hAnsi="Arial"/>
                <w:sz w:val="16"/>
                <w:szCs w:val="16"/>
                <w:b w:val="1"/>
                <w:bCs w:val="1"/>
                <w:color w:val="auto"/>
              </w:rPr>
              <w:t>February 28, 2025</w:t>
            </w:r>
          </w:p>
        </w:tc>
        <w:tc>
          <w:tcPr>
            <w:tcW w:w="182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6"/>
                <w:szCs w:val="16"/>
                <w:b w:val="1"/>
                <w:bCs w:val="1"/>
                <w:color w:val="auto"/>
              </w:rPr>
              <w:t>May 31, 2024</w:t>
            </w:r>
          </w:p>
        </w:tc>
        <w:tc>
          <w:tcPr>
            <w:tcW w:w="208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6"/>
                <w:szCs w:val="16"/>
                <w:b w:val="1"/>
                <w:bCs w:val="1"/>
                <w:color w:val="auto"/>
              </w:rPr>
              <w:t>February 29, 2024</w:t>
            </w:r>
          </w:p>
        </w:tc>
      </w:tr>
      <w:tr>
        <w:trPr>
          <w:trHeight w:val="209"/>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payroll, payroll taxes and benefits</w:t>
            </w:r>
          </w:p>
        </w:tc>
        <w:tc>
          <w:tcPr>
            <w:tcW w:w="16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28.0</w:t>
            </w:r>
          </w:p>
        </w:tc>
        <w:tc>
          <w:tcPr>
            <w:tcW w:w="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32.9</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32.7</w:t>
            </w:r>
          </w:p>
        </w:tc>
      </w:tr>
      <w:tr>
        <w:trPr>
          <w:trHeight w:val="215"/>
        </w:trPr>
        <w:tc>
          <w:tcPr>
            <w:tcW w:w="4300" w:type="dxa"/>
            <w:vAlign w:val="bottom"/>
          </w:tcPr>
          <w:p>
            <w:pPr>
              <w:ind w:left="20"/>
              <w:spacing w:after="0"/>
              <w:rPr>
                <w:sz w:val="20"/>
                <w:szCs w:val="20"/>
                <w:color w:val="auto"/>
              </w:rPr>
            </w:pPr>
            <w:r>
              <w:rPr>
                <w:rFonts w:ascii="Arial" w:cs="Arial" w:eastAsia="Arial" w:hAnsi="Arial"/>
                <w:sz w:val="16"/>
                <w:szCs w:val="16"/>
                <w:color w:val="auto"/>
              </w:rPr>
              <w:t>Accrued bonus and commissions</w:t>
            </w:r>
          </w:p>
        </w:tc>
        <w:tc>
          <w:tcPr>
            <w:tcW w:w="1680" w:type="dxa"/>
            <w:vAlign w:val="bottom"/>
          </w:tcPr>
          <w:p>
            <w:pPr>
              <w:spacing w:after="0"/>
              <w:rPr>
                <w:sz w:val="18"/>
                <w:szCs w:val="18"/>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color w:val="auto"/>
              </w:rPr>
              <w:t>13.6</w:t>
            </w:r>
          </w:p>
        </w:tc>
        <w:tc>
          <w:tcPr>
            <w:tcW w:w="680" w:type="dxa"/>
            <w:vAlign w:val="bottom"/>
          </w:tcPr>
          <w:p>
            <w:pPr>
              <w:spacing w:after="0"/>
              <w:rPr>
                <w:sz w:val="18"/>
                <w:szCs w:val="18"/>
                <w:color w:val="auto"/>
              </w:rPr>
            </w:pPr>
          </w:p>
        </w:tc>
        <w:tc>
          <w:tcPr>
            <w:tcW w:w="1140" w:type="dxa"/>
            <w:vAlign w:val="bottom"/>
          </w:tcPr>
          <w:p>
            <w:pPr>
              <w:jc w:val="right"/>
              <w:ind w:right="439"/>
              <w:spacing w:after="0"/>
              <w:rPr>
                <w:sz w:val="20"/>
                <w:szCs w:val="20"/>
                <w:color w:val="auto"/>
              </w:rPr>
            </w:pPr>
            <w:r>
              <w:rPr>
                <w:rFonts w:ascii="Arial" w:cs="Arial" w:eastAsia="Arial" w:hAnsi="Arial"/>
                <w:sz w:val="16"/>
                <w:szCs w:val="16"/>
                <w:color w:val="auto"/>
              </w:rPr>
              <w:t>21.6</w:t>
            </w:r>
          </w:p>
        </w:tc>
        <w:tc>
          <w:tcPr>
            <w:tcW w:w="840" w:type="dxa"/>
            <w:vAlign w:val="bottom"/>
          </w:tcPr>
          <w:p>
            <w:pPr>
              <w:spacing w:after="0"/>
              <w:rPr>
                <w:sz w:val="18"/>
                <w:szCs w:val="18"/>
                <w:color w:val="auto"/>
              </w:rPr>
            </w:pPr>
          </w:p>
        </w:tc>
        <w:tc>
          <w:tcPr>
            <w:tcW w:w="1240" w:type="dxa"/>
            <w:vAlign w:val="bottom"/>
          </w:tcPr>
          <w:p>
            <w:pPr>
              <w:jc w:val="right"/>
              <w:ind w:right="539"/>
              <w:spacing w:after="0"/>
              <w:rPr>
                <w:sz w:val="20"/>
                <w:szCs w:val="20"/>
                <w:color w:val="auto"/>
              </w:rPr>
            </w:pPr>
            <w:r>
              <w:rPr>
                <w:rFonts w:ascii="Arial" w:cs="Arial" w:eastAsia="Arial" w:hAnsi="Arial"/>
                <w:sz w:val="16"/>
                <w:szCs w:val="16"/>
                <w:color w:val="auto"/>
              </w:rPr>
              <w:t>18.1</w:t>
            </w:r>
          </w:p>
        </w:tc>
      </w:tr>
      <w:tr>
        <w:trPr>
          <w:trHeight w:val="217"/>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Returns liability</w:t>
            </w:r>
          </w:p>
        </w:tc>
        <w:tc>
          <w:tcPr>
            <w:tcW w:w="16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33.3</w:t>
            </w: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33.1</w:t>
            </w:r>
          </w:p>
        </w:tc>
        <w:tc>
          <w:tcPr>
            <w:tcW w:w="8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38.3</w:t>
            </w:r>
          </w:p>
        </w:tc>
      </w:tr>
      <w:tr>
        <w:trPr>
          <w:trHeight w:val="215"/>
        </w:trPr>
        <w:tc>
          <w:tcPr>
            <w:tcW w:w="4300" w:type="dxa"/>
            <w:vAlign w:val="bottom"/>
          </w:tcPr>
          <w:p>
            <w:pPr>
              <w:ind w:left="20"/>
              <w:spacing w:after="0"/>
              <w:rPr>
                <w:sz w:val="20"/>
                <w:szCs w:val="20"/>
                <w:color w:val="auto"/>
              </w:rPr>
            </w:pPr>
            <w:r>
              <w:rPr>
                <w:rFonts w:ascii="Arial" w:cs="Arial" w:eastAsia="Arial" w:hAnsi="Arial"/>
                <w:sz w:val="16"/>
                <w:szCs w:val="16"/>
                <w:color w:val="auto"/>
              </w:rPr>
              <w:t>Accrued other taxes</w:t>
            </w:r>
          </w:p>
        </w:tc>
        <w:tc>
          <w:tcPr>
            <w:tcW w:w="1680" w:type="dxa"/>
            <w:vAlign w:val="bottom"/>
          </w:tcPr>
          <w:p>
            <w:pPr>
              <w:spacing w:after="0"/>
              <w:rPr>
                <w:sz w:val="18"/>
                <w:szCs w:val="18"/>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color w:val="auto"/>
              </w:rPr>
              <w:t>18.7</w:t>
            </w:r>
          </w:p>
        </w:tc>
        <w:tc>
          <w:tcPr>
            <w:tcW w:w="680" w:type="dxa"/>
            <w:vAlign w:val="bottom"/>
          </w:tcPr>
          <w:p>
            <w:pPr>
              <w:spacing w:after="0"/>
              <w:rPr>
                <w:sz w:val="18"/>
                <w:szCs w:val="18"/>
                <w:color w:val="auto"/>
              </w:rPr>
            </w:pPr>
          </w:p>
        </w:tc>
        <w:tc>
          <w:tcPr>
            <w:tcW w:w="1140" w:type="dxa"/>
            <w:vAlign w:val="bottom"/>
          </w:tcPr>
          <w:p>
            <w:pPr>
              <w:jc w:val="right"/>
              <w:ind w:right="439"/>
              <w:spacing w:after="0"/>
              <w:rPr>
                <w:sz w:val="20"/>
                <w:szCs w:val="20"/>
                <w:color w:val="auto"/>
              </w:rPr>
            </w:pPr>
            <w:r>
              <w:rPr>
                <w:rFonts w:ascii="Arial" w:cs="Arial" w:eastAsia="Arial" w:hAnsi="Arial"/>
                <w:sz w:val="16"/>
                <w:szCs w:val="16"/>
                <w:color w:val="auto"/>
              </w:rPr>
              <w:t>23.0</w:t>
            </w:r>
          </w:p>
        </w:tc>
        <w:tc>
          <w:tcPr>
            <w:tcW w:w="840" w:type="dxa"/>
            <w:vAlign w:val="bottom"/>
          </w:tcPr>
          <w:p>
            <w:pPr>
              <w:spacing w:after="0"/>
              <w:rPr>
                <w:sz w:val="18"/>
                <w:szCs w:val="18"/>
                <w:color w:val="auto"/>
              </w:rPr>
            </w:pPr>
          </w:p>
        </w:tc>
        <w:tc>
          <w:tcPr>
            <w:tcW w:w="1240" w:type="dxa"/>
            <w:vAlign w:val="bottom"/>
          </w:tcPr>
          <w:p>
            <w:pPr>
              <w:jc w:val="right"/>
              <w:ind w:right="539"/>
              <w:spacing w:after="0"/>
              <w:rPr>
                <w:sz w:val="20"/>
                <w:szCs w:val="20"/>
                <w:color w:val="auto"/>
              </w:rPr>
            </w:pPr>
            <w:r>
              <w:rPr>
                <w:rFonts w:ascii="Arial" w:cs="Arial" w:eastAsia="Arial" w:hAnsi="Arial"/>
                <w:sz w:val="16"/>
                <w:szCs w:val="16"/>
                <w:color w:val="auto"/>
              </w:rPr>
              <w:t>19.9</w:t>
            </w:r>
          </w:p>
        </w:tc>
      </w:tr>
      <w:tr>
        <w:trPr>
          <w:trHeight w:val="217"/>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advertising and promotions</w:t>
            </w:r>
          </w:p>
        </w:tc>
        <w:tc>
          <w:tcPr>
            <w:tcW w:w="16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6.2</w:t>
            </w: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5.7</w:t>
            </w:r>
          </w:p>
        </w:tc>
        <w:tc>
          <w:tcPr>
            <w:tcW w:w="8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7.9</w:t>
            </w:r>
          </w:p>
        </w:tc>
      </w:tr>
      <w:tr>
        <w:trPr>
          <w:trHeight w:val="215"/>
        </w:trPr>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accrued expenses</w:t>
            </w:r>
          </w:p>
        </w:tc>
        <w:tc>
          <w:tcPr>
            <w:tcW w:w="16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40.4</w:t>
            </w:r>
          </w:p>
        </w:tc>
        <w:tc>
          <w:tcPr>
            <w:tcW w:w="6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40.0</w:t>
            </w:r>
          </w:p>
        </w:tc>
        <w:tc>
          <w:tcPr>
            <w:tcW w:w="8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39.8</w:t>
            </w:r>
          </w:p>
        </w:tc>
      </w:tr>
      <w:tr>
        <w:trPr>
          <w:trHeight w:val="210"/>
        </w:trPr>
        <w:tc>
          <w:tcPr>
            <w:tcW w:w="4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accrued expenses</w:t>
            </w:r>
          </w:p>
        </w:tc>
        <w:tc>
          <w:tcPr>
            <w:tcW w:w="16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140.2</w:t>
            </w:r>
          </w:p>
        </w:tc>
        <w:tc>
          <w:tcPr>
            <w:tcW w:w="6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156.3</w:t>
            </w: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156.7</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25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On March 19, 2025, the Board declared a quarterly cash dividend of $0.20 per share on the Company’s Class A and Common Stock for the fourth quarter of fiscal 2025. The dividend is payable on June 16, 2025 to shareholders of record as of the close of business on April 30, 2025.</w:t>
      </w:r>
    </w:p>
    <w:p>
      <w:pPr>
        <w:spacing w:after="0" w:line="198"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On March 19, 2025, the Board also authorized an increase of $53.4 for Common share repurchases under the Company's share buy-back program, resulting in a current Board authorization of $100.0, which includes $46.6 remaining from the previous Board authorization.</w:t>
      </w: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61" w:right="399" w:bottom="1440" w:gutter="0" w:footer="0" w:header="0"/>
        </w:sectPr>
      </w:pPr>
    </w:p>
    <w:bookmarkStart w:id="26" w:name="page27"/>
    <w:bookmarkEnd w:id="26"/>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08914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89140" cy="8890"/>
                    </a:xfrm>
                    <a:prstGeom prst="rect">
                      <a:avLst/>
                    </a:prstGeom>
                    <a:noFill/>
                  </pic:spPr>
                </pic:pic>
              </a:graphicData>
            </a:graphic>
          </wp:anchor>
        </w:drawing>
        <w:t>SCHOLASTIC CORPORATION</w:t>
      </w:r>
    </w:p>
    <w:p>
      <w:pPr>
        <w:ind w:left="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891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Outlook</w:t>
      </w:r>
    </w:p>
    <w:p>
      <w:pPr>
        <w:spacing w:after="0" w:line="25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Revenues for the third quarter ended February 28, 2025 were $335.4 million, compared to $323.7 million in the prior fiscal year quarter, an increase of $11.7 million or 4%. The Company reported net loss per diluted share of Class A and Common Stock of $0.13 in the third quarter of fiscal 2025, compared to $0.91 in the prior fiscal year quarter.</w:t>
      </w:r>
    </w:p>
    <w:p>
      <w:pPr>
        <w:spacing w:after="0" w:line="198"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 xml:space="preserve">During the third fiscal quarter, revenue growth was primarily driven by the contribution of 9 Story within the </w:t>
      </w:r>
      <w:r>
        <w:rPr>
          <w:rFonts w:ascii="Arial" w:cs="Arial" w:eastAsia="Arial" w:hAnsi="Arial"/>
          <w:sz w:val="18"/>
          <w:szCs w:val="18"/>
          <w:i w:val="1"/>
          <w:iCs w:val="1"/>
          <w:color w:val="auto"/>
        </w:rPr>
        <w:t>Entertainment</w:t>
      </w:r>
      <w:r>
        <w:rPr>
          <w:rFonts w:ascii="Arial" w:cs="Arial" w:eastAsia="Arial" w:hAnsi="Arial"/>
          <w:sz w:val="18"/>
          <w:szCs w:val="18"/>
          <w:color w:val="auto"/>
        </w:rPr>
        <w:t xml:space="preserve"> segment. Despite increasing pressure on consumer spending which impacted the </w:t>
      </w:r>
      <w:r>
        <w:rPr>
          <w:rFonts w:ascii="Arial" w:cs="Arial" w:eastAsia="Arial" w:hAnsi="Arial"/>
          <w:sz w:val="18"/>
          <w:szCs w:val="18"/>
          <w:i w:val="1"/>
          <w:iCs w:val="1"/>
          <w:color w:val="auto"/>
        </w:rPr>
        <w:t>Children's Book Publishing and Distribution</w:t>
      </w:r>
      <w:r>
        <w:rPr>
          <w:rFonts w:ascii="Arial" w:cs="Arial" w:eastAsia="Arial" w:hAnsi="Arial"/>
          <w:sz w:val="18"/>
          <w:szCs w:val="18"/>
          <w:color w:val="auto"/>
        </w:rPr>
        <w:t xml:space="preserve"> segment, revenues from School Reading Events increased over the prior year quarter while trade channel revenues remained consistent. The trade channel benefited from the release of the thirteenth book in Dav Pilkey’s global best-selling series, </w:t>
      </w:r>
      <w:r>
        <w:rPr>
          <w:rFonts w:ascii="Arial" w:cs="Arial" w:eastAsia="Arial" w:hAnsi="Arial"/>
          <w:sz w:val="18"/>
          <w:szCs w:val="18"/>
          <w:i w:val="1"/>
          <w:iCs w:val="1"/>
          <w:color w:val="auto"/>
        </w:rPr>
        <w:t>Dog Man</w:t>
      </w:r>
      <w:r>
        <w:rPr>
          <w:rFonts w:ascii="Arial" w:cs="Arial" w:eastAsia="Arial" w:hAnsi="Arial"/>
          <w:sz w:val="23"/>
          <w:szCs w:val="23"/>
          <w:color w:val="auto"/>
          <w:vertAlign w:val="superscript"/>
        </w:rPr>
        <w:t>®</w:t>
      </w:r>
      <w:r>
        <w:rPr>
          <w:rFonts w:ascii="Arial" w:cs="Arial" w:eastAsia="Arial" w:hAnsi="Arial"/>
          <w:sz w:val="18"/>
          <w:szCs w:val="18"/>
          <w:i w:val="1"/>
          <w:iCs w:val="1"/>
          <w:color w:val="auto"/>
        </w:rPr>
        <w:t>: Big Jim Begins</w:t>
      </w:r>
      <w:r>
        <w:rPr>
          <w:rFonts w:ascii="Arial" w:cs="Arial" w:eastAsia="Arial" w:hAnsi="Arial"/>
          <w:sz w:val="18"/>
          <w:szCs w:val="18"/>
          <w:color w:val="auto"/>
        </w:rPr>
        <w:t xml:space="preserve">, which also drove higher sales of backlist titles in the series, the benefit of which was offset by the general softness in the retail book market. While </w:t>
      </w:r>
      <w:r>
        <w:rPr>
          <w:rFonts w:ascii="Arial" w:cs="Arial" w:eastAsia="Arial" w:hAnsi="Arial"/>
          <w:sz w:val="18"/>
          <w:szCs w:val="18"/>
          <w:i w:val="1"/>
          <w:iCs w:val="1"/>
          <w:color w:val="auto"/>
        </w:rPr>
        <w:t>Education Solutions</w:t>
      </w:r>
      <w:r>
        <w:rPr>
          <w:rFonts w:ascii="Arial" w:cs="Arial" w:eastAsia="Arial" w:hAnsi="Arial"/>
          <w:sz w:val="18"/>
          <w:szCs w:val="18"/>
          <w:color w:val="auto"/>
        </w:rPr>
        <w:t xml:space="preserve"> continued to be negatively impacted by the continued decline in spending on supplemental materials, the Company expects to launch new supplemental products over the summer for the next school year. Operating loss improved 32%, reflecting a reduction in discretionary overhead expenses and the higher revenues in the </w:t>
      </w:r>
      <w:r>
        <w:rPr>
          <w:rFonts w:ascii="Arial" w:cs="Arial" w:eastAsia="Arial" w:hAnsi="Arial"/>
          <w:sz w:val="18"/>
          <w:szCs w:val="18"/>
          <w:i w:val="1"/>
          <w:iCs w:val="1"/>
          <w:color w:val="auto"/>
        </w:rPr>
        <w:t>Children’s Book Publishing and Distribution</w:t>
      </w:r>
      <w:r>
        <w:rPr>
          <w:rFonts w:ascii="Arial" w:cs="Arial" w:eastAsia="Arial" w:hAnsi="Arial"/>
          <w:sz w:val="18"/>
          <w:szCs w:val="18"/>
          <w:color w:val="auto"/>
        </w:rPr>
        <w:t xml:space="preserve"> segment, which more than offset the impact of lower sales in </w:t>
      </w:r>
      <w:r>
        <w:rPr>
          <w:rFonts w:ascii="Arial" w:cs="Arial" w:eastAsia="Arial" w:hAnsi="Arial"/>
          <w:sz w:val="18"/>
          <w:szCs w:val="18"/>
          <w:i w:val="1"/>
          <w:iCs w:val="1"/>
          <w:color w:val="auto"/>
        </w:rPr>
        <w:t>Education Solutions.</w:t>
      </w:r>
    </w:p>
    <w:p>
      <w:pPr>
        <w:spacing w:after="0" w:line="219"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For the remainder of fiscal 2025, the Company expects increasing spending headwinds to continue to impact the trade channel resulting in softness in the retail book market as well as participation at book fairs. The Company expects new releases to benefit the trade channel in the fourth fiscal quarter, including the recently released fifth book in Suzanne Collins’ Hunger Games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series, </w:t>
      </w:r>
      <w:r>
        <w:rPr>
          <w:rFonts w:ascii="Arial" w:cs="Arial" w:eastAsia="Arial" w:hAnsi="Arial"/>
          <w:sz w:val="18"/>
          <w:szCs w:val="18"/>
          <w:i w:val="1"/>
          <w:iCs w:val="1"/>
          <w:color w:val="auto"/>
        </w:rPr>
        <w:t>Sunrise on the Reaping.</w:t>
      </w:r>
      <w:r>
        <w:rPr>
          <w:rFonts w:ascii="Arial" w:cs="Arial" w:eastAsia="Arial" w:hAnsi="Arial"/>
          <w:sz w:val="18"/>
          <w:szCs w:val="18"/>
          <w:color w:val="auto"/>
        </w:rPr>
        <w:t xml:space="preserve"> Within the </w:t>
      </w:r>
      <w:r>
        <w:rPr>
          <w:rFonts w:ascii="Arial" w:cs="Arial" w:eastAsia="Arial" w:hAnsi="Arial"/>
          <w:sz w:val="18"/>
          <w:szCs w:val="18"/>
          <w:i w:val="1"/>
          <w:iCs w:val="1"/>
          <w:color w:val="auto"/>
        </w:rPr>
        <w:t>Entertainment</w:t>
      </w:r>
      <w:r>
        <w:rPr>
          <w:rFonts w:ascii="Arial" w:cs="Arial" w:eastAsia="Arial" w:hAnsi="Arial"/>
          <w:sz w:val="18"/>
          <w:szCs w:val="18"/>
          <w:color w:val="auto"/>
        </w:rPr>
        <w:t xml:space="preserve"> segment, delays in production greenlights from major platforms are expected to impact production work in the near-term, however the Company remains focused on production and development work for video-on-demand platforms and making progress on Company-wide synergies which are expected to benefit the </w:t>
      </w:r>
      <w:r>
        <w:rPr>
          <w:rFonts w:ascii="Arial" w:cs="Arial" w:eastAsia="Arial" w:hAnsi="Arial"/>
          <w:sz w:val="18"/>
          <w:szCs w:val="18"/>
          <w:i w:val="1"/>
          <w:iCs w:val="1"/>
          <w:color w:val="auto"/>
        </w:rPr>
        <w:t>Entertainment</w:t>
      </w:r>
      <w:r>
        <w:rPr>
          <w:rFonts w:ascii="Arial" w:cs="Arial" w:eastAsia="Arial" w:hAnsi="Arial"/>
          <w:sz w:val="18"/>
          <w:szCs w:val="18"/>
          <w:color w:val="auto"/>
        </w:rPr>
        <w:t xml:space="preserve"> segment in fiscal 2026 and beyond.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w:t>
      </w:r>
    </w:p>
    <w:p>
      <w:pPr>
        <w:spacing w:after="0" w:line="25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 xml:space="preserve">Revenues for the quarter ended February 28, 2025 increased by $11.7 million to $335.4 million, compared to $323.7 million in the prior fiscal year quarter. Within the </w:t>
      </w:r>
      <w:r>
        <w:rPr>
          <w:rFonts w:ascii="Arial" w:cs="Arial" w:eastAsia="Arial" w:hAnsi="Arial"/>
          <w:sz w:val="18"/>
          <w:szCs w:val="18"/>
          <w:i w:val="1"/>
          <w:iCs w:val="1"/>
          <w:color w:val="auto"/>
        </w:rPr>
        <w:t>Children's Book Publishing and Distribution</w:t>
      </w:r>
      <w:r>
        <w:rPr>
          <w:rFonts w:ascii="Arial" w:cs="Arial" w:eastAsia="Arial" w:hAnsi="Arial"/>
          <w:sz w:val="18"/>
          <w:szCs w:val="18"/>
          <w:color w:val="auto"/>
        </w:rPr>
        <w:t xml:space="preserve"> segment, revenues increased by $10.2 million, driven by increased revenues from School Reading Events as a result of higher fair count in the book fairs channel and higher revenue per sponsor and an increase in events in the book clubs channel. Trade channel revenues were consistent with the prior year as increased sales from the Dog Man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series, which included the latest release, </w:t>
      </w:r>
      <w:r>
        <w:rPr>
          <w:rFonts w:ascii="Arial" w:cs="Arial" w:eastAsia="Arial" w:hAnsi="Arial"/>
          <w:sz w:val="18"/>
          <w:szCs w:val="18"/>
          <w:i w:val="1"/>
          <w:iCs w:val="1"/>
          <w:color w:val="auto"/>
        </w:rPr>
        <w:t>Dog Man #13: Big Jim Begins,</w:t>
      </w:r>
      <w:r>
        <w:rPr>
          <w:rFonts w:ascii="Arial" w:cs="Arial" w:eastAsia="Arial" w:hAnsi="Arial"/>
          <w:sz w:val="18"/>
          <w:szCs w:val="18"/>
          <w:color w:val="auto"/>
        </w:rPr>
        <w:t xml:space="preserve"> were offset by lower sales of backlist titles due to softness in the retail book market. In the </w:t>
      </w:r>
      <w:r>
        <w:rPr>
          <w:rFonts w:ascii="Arial" w:cs="Arial" w:eastAsia="Arial" w:hAnsi="Arial"/>
          <w:sz w:val="18"/>
          <w:szCs w:val="18"/>
          <w:i w:val="1"/>
          <w:iCs w:val="1"/>
          <w:color w:val="auto"/>
        </w:rPr>
        <w:t>Education Solutions</w:t>
      </w:r>
      <w:r>
        <w:rPr>
          <w:rFonts w:ascii="Arial" w:cs="Arial" w:eastAsia="Arial" w:hAnsi="Arial"/>
          <w:sz w:val="18"/>
          <w:szCs w:val="18"/>
          <w:color w:val="auto"/>
        </w:rPr>
        <w:t xml:space="preserve"> segment, revenues decreased by $11.3 million primarily due to the continued decline in spending on supplemental materials, coupled with lower subscription revenues from Magazines+</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In the </w:t>
      </w:r>
      <w:r>
        <w:rPr>
          <w:rFonts w:ascii="Arial" w:cs="Arial" w:eastAsia="Arial" w:hAnsi="Arial"/>
          <w:sz w:val="18"/>
          <w:szCs w:val="18"/>
          <w:i w:val="1"/>
          <w:iCs w:val="1"/>
          <w:color w:val="auto"/>
        </w:rPr>
        <w:t>Entertainment</w:t>
      </w:r>
      <w:r>
        <w:rPr>
          <w:rFonts w:ascii="Arial" w:cs="Arial" w:eastAsia="Arial" w:hAnsi="Arial"/>
          <w:sz w:val="18"/>
          <w:szCs w:val="18"/>
          <w:color w:val="auto"/>
        </w:rPr>
        <w:t xml:space="preserve"> segment, revenues increased by $12.3 million, reflecting the addition of 9 Story. In local currency, </w:t>
      </w:r>
      <w:r>
        <w:rPr>
          <w:rFonts w:ascii="Arial" w:cs="Arial" w:eastAsia="Arial" w:hAnsi="Arial"/>
          <w:sz w:val="18"/>
          <w:szCs w:val="18"/>
          <w:i w:val="1"/>
          <w:iCs w:val="1"/>
          <w:color w:val="auto"/>
        </w:rPr>
        <w:t>International</w:t>
      </w:r>
      <w:r>
        <w:rPr>
          <w:rFonts w:ascii="Arial" w:cs="Arial" w:eastAsia="Arial" w:hAnsi="Arial"/>
          <w:sz w:val="18"/>
          <w:szCs w:val="18"/>
          <w:color w:val="auto"/>
        </w:rPr>
        <w:t xml:space="preserve"> segment revenues increased by $2.9 million, primarily reflecting higher sales in Canada, the U.K. and New Zealand. </w:t>
      </w:r>
      <w:r>
        <w:rPr>
          <w:rFonts w:ascii="Arial" w:cs="Arial" w:eastAsia="Arial" w:hAnsi="Arial"/>
          <w:sz w:val="18"/>
          <w:szCs w:val="18"/>
          <w:i w:val="1"/>
          <w:iCs w:val="1"/>
          <w:color w:val="auto"/>
        </w:rPr>
        <w:t>International</w:t>
      </w:r>
      <w:r>
        <w:rPr>
          <w:rFonts w:ascii="Arial" w:cs="Arial" w:eastAsia="Arial" w:hAnsi="Arial"/>
          <w:sz w:val="18"/>
          <w:szCs w:val="18"/>
          <w:color w:val="auto"/>
        </w:rPr>
        <w:t xml:space="preserve"> segment revenues were impacted by unfavorable foreign exchange of $2.7 million in the quarter ended February 28, 2025.</w:t>
      </w:r>
    </w:p>
    <w:p>
      <w:pPr>
        <w:spacing w:after="0" w:line="22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Revenues for the nine months ended February 28, 2025 increased by $2.4 million to $1,117.2 million, compared to $1,114.8 million in the prior fiscal year period. The overall increase in revenues was attributable to the </w:t>
      </w:r>
      <w:r>
        <w:rPr>
          <w:rFonts w:ascii="Arial" w:cs="Arial" w:eastAsia="Arial" w:hAnsi="Arial"/>
          <w:sz w:val="18"/>
          <w:szCs w:val="18"/>
          <w:i w:val="1"/>
          <w:iCs w:val="1"/>
          <w:color w:val="auto"/>
        </w:rPr>
        <w:t>Entertainment</w:t>
      </w:r>
      <w:r>
        <w:rPr>
          <w:rFonts w:ascii="Arial" w:cs="Arial" w:eastAsia="Arial" w:hAnsi="Arial"/>
          <w:sz w:val="18"/>
          <w:szCs w:val="18"/>
          <w:color w:val="auto"/>
        </w:rPr>
        <w:t xml:space="preserve"> segment, which increased $44.9 million, reflecting the addition of 9 Story. Revenues in the </w:t>
      </w:r>
      <w:r>
        <w:rPr>
          <w:rFonts w:ascii="Arial" w:cs="Arial" w:eastAsia="Arial" w:hAnsi="Arial"/>
          <w:sz w:val="18"/>
          <w:szCs w:val="18"/>
          <w:i w:val="1"/>
          <w:iCs w:val="1"/>
          <w:color w:val="auto"/>
        </w:rPr>
        <w:t>Children's Book Publishing and Distribution</w:t>
      </w:r>
      <w:r>
        <w:rPr>
          <w:rFonts w:ascii="Arial" w:cs="Arial" w:eastAsia="Arial" w:hAnsi="Arial"/>
          <w:sz w:val="18"/>
          <w:szCs w:val="18"/>
          <w:color w:val="auto"/>
        </w:rPr>
        <w:t xml:space="preserve"> segment decreased by $12.2 million, primarily driven by lower trade channel revenues which reflected the timing of new releases and softness in the retail book market, partially offset by increased revenues from School Reading Events as a result of higher revenue per sponsor and an increase in events in the book clubs channel. In the </w:t>
      </w:r>
      <w:r>
        <w:rPr>
          <w:rFonts w:ascii="Arial" w:cs="Arial" w:eastAsia="Arial" w:hAnsi="Arial"/>
          <w:sz w:val="18"/>
          <w:szCs w:val="18"/>
          <w:i w:val="1"/>
          <w:iCs w:val="1"/>
          <w:color w:val="auto"/>
        </w:rPr>
        <w:t>Education Solutions</w:t>
      </w:r>
      <w:r>
        <w:rPr>
          <w:rFonts w:ascii="Arial" w:cs="Arial" w:eastAsia="Arial" w:hAnsi="Arial"/>
          <w:sz w:val="18"/>
          <w:szCs w:val="18"/>
          <w:color w:val="auto"/>
        </w:rPr>
        <w:t xml:space="preserve"> segment, revenues decreased by $31.4 million primarily due to the continued decline in spending on supplemental materials and lower subscription revenues from Magazines+. In local currency, </w:t>
      </w:r>
      <w:r>
        <w:rPr>
          <w:rFonts w:ascii="Arial" w:cs="Arial" w:eastAsia="Arial" w:hAnsi="Arial"/>
          <w:sz w:val="18"/>
          <w:szCs w:val="18"/>
          <w:i w:val="1"/>
          <w:iCs w:val="1"/>
          <w:color w:val="auto"/>
        </w:rPr>
        <w:t>International</w:t>
      </w:r>
      <w:r>
        <w:rPr>
          <w:rFonts w:ascii="Arial" w:cs="Arial" w:eastAsia="Arial" w:hAnsi="Arial"/>
          <w:sz w:val="18"/>
          <w:szCs w:val="18"/>
          <w:color w:val="auto"/>
        </w:rPr>
        <w:t xml:space="preserve"> segment revenues increased by $1.0 million, primarily reflecting increased sales in Canada, the U.K. and New Zealand, partly offset by lower sales in Australia due to softness in the retail market. </w:t>
      </w:r>
      <w:r>
        <w:rPr>
          <w:rFonts w:ascii="Arial" w:cs="Arial" w:eastAsia="Arial" w:hAnsi="Arial"/>
          <w:sz w:val="18"/>
          <w:szCs w:val="18"/>
          <w:i w:val="1"/>
          <w:iCs w:val="1"/>
          <w:color w:val="auto"/>
        </w:rPr>
        <w:t>International</w:t>
      </w:r>
      <w:r>
        <w:rPr>
          <w:rFonts w:ascii="Arial" w:cs="Arial" w:eastAsia="Arial" w:hAnsi="Arial"/>
          <w:sz w:val="18"/>
          <w:szCs w:val="18"/>
          <w:color w:val="auto"/>
        </w:rPr>
        <w:t xml:space="preserve"> segment revenues were impacted by unfavorable foreign exchange of $1.0 million in the period ended February 28, 2025.</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27" w:name="page28"/>
    <w:bookmarkEnd w:id="27"/>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08914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89140" cy="8890"/>
                    </a:xfrm>
                    <a:prstGeom prst="rect">
                      <a:avLst/>
                    </a:prstGeom>
                    <a:noFill/>
                  </pic:spPr>
                </pic:pic>
              </a:graphicData>
            </a:graphic>
          </wp:anchor>
        </w:drawing>
        <w:t>SCHOLASTIC CORPORATION</w:t>
      </w:r>
    </w:p>
    <w:p>
      <w:pPr>
        <w:ind w:left="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891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Components of Cost of goods sold for the three and nine months ended February 28, 2025 and February 29, 2024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180" w:type="dxa"/>
            <w:vAlign w:val="bottom"/>
            <w:gridSpan w:val="3"/>
          </w:tcPr>
          <w:p>
            <w:pPr>
              <w:jc w:val="right"/>
              <w:ind w:right="259"/>
              <w:spacing w:after="0"/>
              <w:rPr>
                <w:sz w:val="20"/>
                <w:szCs w:val="20"/>
                <w:color w:val="auto"/>
              </w:rPr>
            </w:pPr>
            <w:r>
              <w:rPr>
                <w:rFonts w:ascii="Arial" w:cs="Arial" w:eastAsia="Arial" w:hAnsi="Arial"/>
                <w:sz w:val="16"/>
                <w:szCs w:val="16"/>
                <w:b w:val="1"/>
                <w:bCs w:val="1"/>
                <w:color w:val="auto"/>
              </w:rPr>
              <w:t>Three months ended</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0" w:type="dxa"/>
            <w:vAlign w:val="bottom"/>
            <w:gridSpan w:val="3"/>
          </w:tcPr>
          <w:p>
            <w:pPr>
              <w:jc w:val="right"/>
              <w:ind w:right="339"/>
              <w:spacing w:after="0"/>
              <w:rPr>
                <w:sz w:val="20"/>
                <w:szCs w:val="20"/>
                <w:color w:val="auto"/>
              </w:rPr>
            </w:pPr>
            <w:r>
              <w:rPr>
                <w:rFonts w:ascii="Arial" w:cs="Arial" w:eastAsia="Arial" w:hAnsi="Arial"/>
                <w:sz w:val="16"/>
                <w:szCs w:val="16"/>
                <w:b w:val="1"/>
                <w:bCs w:val="1"/>
                <w:color w:val="auto"/>
              </w:rPr>
              <w:t>Nine months ended</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jc w:val="right"/>
              <w:ind w:right="339"/>
              <w:spacing w:after="0"/>
              <w:rPr>
                <w:sz w:val="20"/>
                <w:szCs w:val="20"/>
                <w:color w:val="auto"/>
              </w:rPr>
            </w:pPr>
            <w:r>
              <w:rPr>
                <w:rFonts w:ascii="Arial" w:cs="Arial" w:eastAsia="Arial" w:hAnsi="Arial"/>
                <w:sz w:val="16"/>
                <w:szCs w:val="16"/>
                <w:b w:val="1"/>
                <w:bCs w:val="1"/>
                <w:color w:val="auto"/>
              </w:rPr>
              <w:t>February 28, 2025</w:t>
            </w:r>
          </w:p>
        </w:tc>
        <w:tc>
          <w:tcPr>
            <w:tcW w:w="3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jc w:val="right"/>
              <w:ind w:right="339"/>
              <w:spacing w:after="0"/>
              <w:rPr>
                <w:sz w:val="20"/>
                <w:szCs w:val="20"/>
                <w:color w:val="auto"/>
              </w:rPr>
            </w:pPr>
            <w:r>
              <w:rPr>
                <w:rFonts w:ascii="Arial" w:cs="Arial" w:eastAsia="Arial" w:hAnsi="Arial"/>
                <w:sz w:val="16"/>
                <w:szCs w:val="16"/>
                <w:b w:val="1"/>
                <w:bCs w:val="1"/>
                <w:color w:val="auto"/>
              </w:rPr>
              <w:t>February 29, 2024</w:t>
            </w:r>
          </w:p>
        </w:tc>
        <w:tc>
          <w:tcPr>
            <w:tcW w:w="3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2"/>
          </w:tcPr>
          <w:p>
            <w:pPr>
              <w:jc w:val="right"/>
              <w:ind w:right="339"/>
              <w:spacing w:after="0"/>
              <w:rPr>
                <w:sz w:val="20"/>
                <w:szCs w:val="20"/>
                <w:color w:val="auto"/>
              </w:rPr>
            </w:pPr>
            <w:r>
              <w:rPr>
                <w:rFonts w:ascii="Arial" w:cs="Arial" w:eastAsia="Arial" w:hAnsi="Arial"/>
                <w:sz w:val="16"/>
                <w:szCs w:val="16"/>
                <w:b w:val="1"/>
                <w:bCs w:val="1"/>
                <w:color w:val="auto"/>
              </w:rPr>
              <w:t>February 28, 2025</w:t>
            </w: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6"/>
                <w:szCs w:val="16"/>
                <w:b w:val="1"/>
                <w:bCs w:val="1"/>
                <w:color w:val="auto"/>
              </w:rPr>
              <w:t>February 29, 2024</w:t>
            </w:r>
          </w:p>
        </w:tc>
        <w:tc>
          <w:tcPr>
            <w:tcW w:w="0" w:type="dxa"/>
            <w:vAlign w:val="bottom"/>
          </w:tcPr>
          <w:p>
            <w:pPr>
              <w:spacing w:after="0"/>
              <w:rPr>
                <w:sz w:val="1"/>
                <w:szCs w:val="1"/>
                <w:color w:val="auto"/>
              </w:rPr>
            </w:pPr>
          </w:p>
        </w:tc>
      </w:tr>
      <w:tr>
        <w:trPr>
          <w:trHeight w:val="156"/>
        </w:trPr>
        <w:tc>
          <w:tcPr>
            <w:tcW w:w="27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 amounts in millions)</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jc w:val="right"/>
              <w:ind w:right="59"/>
              <w:spacing w:after="0" w:line="155" w:lineRule="exact"/>
              <w:rPr>
                <w:sz w:val="20"/>
                <w:szCs w:val="20"/>
                <w:color w:val="auto"/>
              </w:rPr>
            </w:pPr>
            <w:r>
              <w:rPr>
                <w:rFonts w:ascii="Arial" w:cs="Arial" w:eastAsia="Arial" w:hAnsi="Arial"/>
                <w:sz w:val="16"/>
                <w:szCs w:val="16"/>
                <w:b w:val="1"/>
                <w:bCs w:val="1"/>
                <w:color w:val="auto"/>
              </w:rPr>
              <w:t>% of</w:t>
            </w: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40" w:type="dxa"/>
            <w:vAlign w:val="bottom"/>
          </w:tcPr>
          <w:p>
            <w:pPr>
              <w:jc w:val="right"/>
              <w:ind w:right="59"/>
              <w:spacing w:after="0" w:line="155" w:lineRule="exact"/>
              <w:rPr>
                <w:sz w:val="20"/>
                <w:szCs w:val="20"/>
                <w:color w:val="auto"/>
              </w:rPr>
            </w:pPr>
            <w:r>
              <w:rPr>
                <w:rFonts w:ascii="Arial" w:cs="Arial" w:eastAsia="Arial" w:hAnsi="Arial"/>
                <w:sz w:val="16"/>
                <w:szCs w:val="16"/>
                <w:b w:val="1"/>
                <w:bCs w:val="1"/>
                <w:color w:val="auto"/>
              </w:rPr>
              <w:t>% of</w:t>
            </w: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tcPr>
          <w:p>
            <w:pPr>
              <w:jc w:val="right"/>
              <w:ind w:right="39"/>
              <w:spacing w:after="0" w:line="155" w:lineRule="exact"/>
              <w:rPr>
                <w:sz w:val="20"/>
                <w:szCs w:val="20"/>
                <w:color w:val="auto"/>
              </w:rPr>
            </w:pPr>
            <w:r>
              <w:rPr>
                <w:rFonts w:ascii="Arial" w:cs="Arial" w:eastAsia="Arial" w:hAnsi="Arial"/>
                <w:sz w:val="16"/>
                <w:szCs w:val="16"/>
                <w:b w:val="1"/>
                <w:bCs w:val="1"/>
                <w:color w:val="auto"/>
              </w:rPr>
              <w:t>% of</w:t>
            </w: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216"/>
        </w:trPr>
        <w:tc>
          <w:tcPr>
            <w:tcW w:w="272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Revenue</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Revenue</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Revenue</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Revenue</w:t>
            </w:r>
          </w:p>
        </w:tc>
        <w:tc>
          <w:tcPr>
            <w:tcW w:w="0" w:type="dxa"/>
            <w:vAlign w:val="bottom"/>
          </w:tcPr>
          <w:p>
            <w:pPr>
              <w:spacing w:after="0"/>
              <w:rPr>
                <w:sz w:val="1"/>
                <w:szCs w:val="1"/>
                <w:color w:val="auto"/>
              </w:rPr>
            </w:pPr>
          </w:p>
        </w:tc>
      </w:tr>
      <w:tr>
        <w:trPr>
          <w:trHeight w:val="156"/>
        </w:trPr>
        <w:tc>
          <w:tcPr>
            <w:tcW w:w="272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rPr>
              <w:t>Product, service and production</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87.4</w:t>
            </w:r>
          </w:p>
        </w:tc>
        <w:tc>
          <w:tcPr>
            <w:tcW w:w="10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26.1 %</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83.5</w:t>
            </w:r>
          </w:p>
        </w:tc>
        <w:tc>
          <w:tcPr>
            <w:tcW w:w="10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25.8 %</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294.4</w:t>
            </w:r>
          </w:p>
        </w:tc>
        <w:tc>
          <w:tcPr>
            <w:tcW w:w="10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26.3 %</w:t>
            </w:r>
          </w:p>
        </w:tc>
        <w:tc>
          <w:tcPr>
            <w:tcW w:w="3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299.3</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26.9 %</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and inventory reserves</w:t>
            </w:r>
          </w:p>
        </w:tc>
        <w:tc>
          <w:tcPr>
            <w:tcW w:w="24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20" w:type="dxa"/>
            <w:vAlign w:val="bottom"/>
          </w:tcPr>
          <w:p>
            <w:pPr>
              <w:ind w:left="20"/>
              <w:spacing w:after="0"/>
              <w:rPr>
                <w:sz w:val="20"/>
                <w:szCs w:val="20"/>
                <w:color w:val="auto"/>
              </w:rPr>
            </w:pPr>
            <w:r>
              <w:rPr>
                <w:rFonts w:ascii="Arial" w:cs="Arial" w:eastAsia="Arial" w:hAnsi="Arial"/>
                <w:sz w:val="16"/>
                <w:szCs w:val="16"/>
                <w:color w:val="auto"/>
              </w:rPr>
              <w:t>Royalty and participation costs</w:t>
            </w:r>
          </w:p>
        </w:tc>
        <w:tc>
          <w:tcPr>
            <w:tcW w:w="240" w:type="dxa"/>
            <w:vAlign w:val="bottom"/>
          </w:tcPr>
          <w:p>
            <w:pPr>
              <w:spacing w:after="0"/>
              <w:rPr>
                <w:sz w:val="18"/>
                <w:szCs w:val="18"/>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28.5</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8.5 %</w:t>
            </w:r>
          </w:p>
        </w:tc>
        <w:tc>
          <w:tcPr>
            <w:tcW w:w="300" w:type="dxa"/>
            <w:vAlign w:val="bottom"/>
          </w:tcPr>
          <w:p>
            <w:pPr>
              <w:spacing w:after="0"/>
              <w:rPr>
                <w:sz w:val="18"/>
                <w:szCs w:val="18"/>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26.9</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8.3 %</w:t>
            </w:r>
          </w:p>
        </w:tc>
        <w:tc>
          <w:tcPr>
            <w:tcW w:w="300" w:type="dxa"/>
            <w:vAlign w:val="bottom"/>
          </w:tcPr>
          <w:p>
            <w:pPr>
              <w:spacing w:after="0"/>
              <w:rPr>
                <w:sz w:val="18"/>
                <w:szCs w:val="18"/>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91.2</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8.2 %</w:t>
            </w:r>
          </w:p>
        </w:tc>
        <w:tc>
          <w:tcPr>
            <w:tcW w:w="320" w:type="dxa"/>
            <w:vAlign w:val="bottom"/>
          </w:tcPr>
          <w:p>
            <w:pPr>
              <w:spacing w:after="0"/>
              <w:rPr>
                <w:sz w:val="18"/>
                <w:szCs w:val="18"/>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90.5</w:t>
            </w:r>
          </w:p>
        </w:tc>
        <w:tc>
          <w:tcPr>
            <w:tcW w:w="920" w:type="dxa"/>
            <w:vAlign w:val="bottom"/>
          </w:tcPr>
          <w:p>
            <w:pPr>
              <w:jc w:val="right"/>
              <w:spacing w:after="0"/>
              <w:rPr>
                <w:sz w:val="20"/>
                <w:szCs w:val="20"/>
                <w:color w:val="auto"/>
              </w:rPr>
            </w:pPr>
            <w:r>
              <w:rPr>
                <w:rFonts w:ascii="Arial" w:cs="Arial" w:eastAsia="Arial" w:hAnsi="Arial"/>
                <w:sz w:val="16"/>
                <w:szCs w:val="16"/>
                <w:color w:val="auto"/>
              </w:rPr>
              <w:t>8.1 %</w:t>
            </w:r>
          </w:p>
        </w:tc>
        <w:tc>
          <w:tcPr>
            <w:tcW w:w="0" w:type="dxa"/>
            <w:vAlign w:val="bottom"/>
          </w:tcPr>
          <w:p>
            <w:pPr>
              <w:spacing w:after="0"/>
              <w:rPr>
                <w:sz w:val="1"/>
                <w:szCs w:val="1"/>
                <w:color w:val="auto"/>
              </w:rPr>
            </w:pPr>
          </w:p>
        </w:tc>
      </w:tr>
      <w:tr>
        <w:trPr>
          <w:trHeight w:val="163"/>
        </w:trPr>
        <w:tc>
          <w:tcPr>
            <w:tcW w:w="272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Prepublication and production</w:t>
            </w:r>
          </w:p>
        </w:tc>
        <w:tc>
          <w:tcPr>
            <w:tcW w:w="2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7.2</w:t>
            </w:r>
          </w:p>
        </w:tc>
        <w:tc>
          <w:tcPr>
            <w:tcW w:w="10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2.1 %</w:t>
            </w:r>
          </w:p>
        </w:tc>
        <w:tc>
          <w:tcPr>
            <w:tcW w:w="3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6.7</w:t>
            </w:r>
          </w:p>
        </w:tc>
        <w:tc>
          <w:tcPr>
            <w:tcW w:w="10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2.1 %</w:t>
            </w:r>
          </w:p>
        </w:tc>
        <w:tc>
          <w:tcPr>
            <w:tcW w:w="3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24.6</w:t>
            </w:r>
          </w:p>
        </w:tc>
        <w:tc>
          <w:tcPr>
            <w:tcW w:w="10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2.2 %</w:t>
            </w:r>
          </w:p>
        </w:tc>
        <w:tc>
          <w:tcPr>
            <w:tcW w:w="3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20.6</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20"/>
              <w:spacing w:after="0" w:line="162" w:lineRule="exact"/>
              <w:rPr>
                <w:sz w:val="20"/>
                <w:szCs w:val="20"/>
                <w:color w:val="auto"/>
              </w:rPr>
            </w:pPr>
            <w:r>
              <w:rPr>
                <w:rFonts w:ascii="Arial" w:cs="Arial" w:eastAsia="Arial" w:hAnsi="Arial"/>
                <w:sz w:val="16"/>
                <w:szCs w:val="16"/>
                <w:color w:val="auto"/>
              </w:rPr>
              <w:t>Postage, freight, shipping, fulfillment</w:t>
            </w:r>
          </w:p>
        </w:tc>
        <w:tc>
          <w:tcPr>
            <w:tcW w:w="240" w:type="dxa"/>
            <w:vAlign w:val="bottom"/>
          </w:tcPr>
          <w:p>
            <w:pPr>
              <w:spacing w:after="0"/>
              <w:rPr>
                <w:sz w:val="14"/>
                <w:szCs w:val="14"/>
                <w:color w:val="auto"/>
              </w:rPr>
            </w:pPr>
          </w:p>
        </w:tc>
        <w:tc>
          <w:tcPr>
            <w:tcW w:w="800" w:type="dxa"/>
            <w:vAlign w:val="bottom"/>
            <w:vMerge w:val="restart"/>
          </w:tcPr>
          <w:p>
            <w:pPr>
              <w:jc w:val="right"/>
              <w:ind w:right="139"/>
              <w:spacing w:after="0"/>
              <w:rPr>
                <w:sz w:val="20"/>
                <w:szCs w:val="20"/>
                <w:color w:val="auto"/>
              </w:rPr>
            </w:pPr>
            <w:r>
              <w:rPr>
                <w:rFonts w:ascii="Arial" w:cs="Arial" w:eastAsia="Arial" w:hAnsi="Arial"/>
                <w:sz w:val="16"/>
                <w:szCs w:val="16"/>
                <w:color w:val="auto"/>
              </w:rPr>
              <w:t>31.5</w:t>
            </w:r>
          </w:p>
        </w:tc>
        <w:tc>
          <w:tcPr>
            <w:tcW w:w="1060" w:type="dxa"/>
            <w:vAlign w:val="bottom"/>
            <w:vMerge w:val="restart"/>
          </w:tcPr>
          <w:p>
            <w:pPr>
              <w:jc w:val="right"/>
              <w:ind w:right="59"/>
              <w:spacing w:after="0"/>
              <w:rPr>
                <w:sz w:val="20"/>
                <w:szCs w:val="20"/>
                <w:color w:val="auto"/>
              </w:rPr>
            </w:pPr>
            <w:r>
              <w:rPr>
                <w:rFonts w:ascii="Arial" w:cs="Arial" w:eastAsia="Arial" w:hAnsi="Arial"/>
                <w:sz w:val="16"/>
                <w:szCs w:val="16"/>
                <w:color w:val="auto"/>
              </w:rPr>
              <w:t>9.4 %</w:t>
            </w:r>
          </w:p>
        </w:tc>
        <w:tc>
          <w:tcPr>
            <w:tcW w:w="300" w:type="dxa"/>
            <w:vAlign w:val="bottom"/>
          </w:tcPr>
          <w:p>
            <w:pPr>
              <w:spacing w:after="0"/>
              <w:rPr>
                <w:sz w:val="14"/>
                <w:szCs w:val="14"/>
                <w:color w:val="auto"/>
              </w:rPr>
            </w:pPr>
          </w:p>
        </w:tc>
        <w:tc>
          <w:tcPr>
            <w:tcW w:w="820" w:type="dxa"/>
            <w:vAlign w:val="bottom"/>
            <w:vMerge w:val="restart"/>
          </w:tcPr>
          <w:p>
            <w:pPr>
              <w:jc w:val="right"/>
              <w:ind w:right="139"/>
              <w:spacing w:after="0"/>
              <w:rPr>
                <w:sz w:val="20"/>
                <w:szCs w:val="20"/>
                <w:color w:val="auto"/>
              </w:rPr>
            </w:pPr>
            <w:r>
              <w:rPr>
                <w:rFonts w:ascii="Arial" w:cs="Arial" w:eastAsia="Arial" w:hAnsi="Arial"/>
                <w:sz w:val="16"/>
                <w:szCs w:val="16"/>
                <w:color w:val="auto"/>
              </w:rPr>
              <w:t>31.6</w:t>
            </w:r>
          </w:p>
        </w:tc>
        <w:tc>
          <w:tcPr>
            <w:tcW w:w="1040" w:type="dxa"/>
            <w:vAlign w:val="bottom"/>
            <w:vMerge w:val="restart"/>
          </w:tcPr>
          <w:p>
            <w:pPr>
              <w:jc w:val="right"/>
              <w:ind w:right="59"/>
              <w:spacing w:after="0"/>
              <w:rPr>
                <w:sz w:val="20"/>
                <w:szCs w:val="20"/>
                <w:color w:val="auto"/>
              </w:rPr>
            </w:pPr>
            <w:r>
              <w:rPr>
                <w:rFonts w:ascii="Arial" w:cs="Arial" w:eastAsia="Arial" w:hAnsi="Arial"/>
                <w:sz w:val="16"/>
                <w:szCs w:val="16"/>
                <w:color w:val="auto"/>
              </w:rPr>
              <w:t>9.7 %</w:t>
            </w:r>
          </w:p>
        </w:tc>
        <w:tc>
          <w:tcPr>
            <w:tcW w:w="300" w:type="dxa"/>
            <w:vAlign w:val="bottom"/>
          </w:tcPr>
          <w:p>
            <w:pPr>
              <w:spacing w:after="0"/>
              <w:rPr>
                <w:sz w:val="14"/>
                <w:szCs w:val="14"/>
                <w:color w:val="auto"/>
              </w:rPr>
            </w:pPr>
          </w:p>
        </w:tc>
        <w:tc>
          <w:tcPr>
            <w:tcW w:w="840" w:type="dxa"/>
            <w:vAlign w:val="bottom"/>
            <w:vMerge w:val="restart"/>
          </w:tcPr>
          <w:p>
            <w:pPr>
              <w:jc w:val="right"/>
              <w:ind w:right="159"/>
              <w:spacing w:after="0"/>
              <w:rPr>
                <w:sz w:val="20"/>
                <w:szCs w:val="20"/>
                <w:color w:val="auto"/>
              </w:rPr>
            </w:pPr>
            <w:r>
              <w:rPr>
                <w:rFonts w:ascii="Arial" w:cs="Arial" w:eastAsia="Arial" w:hAnsi="Arial"/>
                <w:sz w:val="16"/>
                <w:szCs w:val="16"/>
                <w:color w:val="auto"/>
              </w:rPr>
              <w:t>101.3</w:t>
            </w:r>
          </w:p>
        </w:tc>
        <w:tc>
          <w:tcPr>
            <w:tcW w:w="1040" w:type="dxa"/>
            <w:vAlign w:val="bottom"/>
            <w:vMerge w:val="restart"/>
          </w:tcPr>
          <w:p>
            <w:pPr>
              <w:jc w:val="right"/>
              <w:ind w:right="39"/>
              <w:spacing w:after="0"/>
              <w:rPr>
                <w:sz w:val="20"/>
                <w:szCs w:val="20"/>
                <w:color w:val="auto"/>
              </w:rPr>
            </w:pPr>
            <w:r>
              <w:rPr>
                <w:rFonts w:ascii="Arial" w:cs="Arial" w:eastAsia="Arial" w:hAnsi="Arial"/>
                <w:sz w:val="16"/>
                <w:szCs w:val="16"/>
                <w:color w:val="auto"/>
              </w:rPr>
              <w:t>9.1 %</w:t>
            </w:r>
          </w:p>
        </w:tc>
        <w:tc>
          <w:tcPr>
            <w:tcW w:w="320" w:type="dxa"/>
            <w:vAlign w:val="bottom"/>
          </w:tcPr>
          <w:p>
            <w:pPr>
              <w:spacing w:after="0"/>
              <w:rPr>
                <w:sz w:val="14"/>
                <w:szCs w:val="14"/>
                <w:color w:val="auto"/>
              </w:rPr>
            </w:pPr>
          </w:p>
        </w:tc>
        <w:tc>
          <w:tcPr>
            <w:tcW w:w="840" w:type="dxa"/>
            <w:vAlign w:val="bottom"/>
            <w:vMerge w:val="restart"/>
          </w:tcPr>
          <w:p>
            <w:pPr>
              <w:jc w:val="right"/>
              <w:ind w:right="159"/>
              <w:spacing w:after="0"/>
              <w:rPr>
                <w:sz w:val="20"/>
                <w:szCs w:val="20"/>
                <w:color w:val="auto"/>
              </w:rPr>
            </w:pPr>
            <w:r>
              <w:rPr>
                <w:rFonts w:ascii="Arial" w:cs="Arial" w:eastAsia="Arial" w:hAnsi="Arial"/>
                <w:sz w:val="16"/>
                <w:szCs w:val="16"/>
                <w:color w:val="auto"/>
              </w:rPr>
              <w:t>102.4</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9.2 %</w:t>
            </w:r>
          </w:p>
        </w:tc>
        <w:tc>
          <w:tcPr>
            <w:tcW w:w="0" w:type="dxa"/>
            <w:vAlign w:val="bottom"/>
          </w:tcPr>
          <w:p>
            <w:pPr>
              <w:spacing w:after="0"/>
              <w:rPr>
                <w:sz w:val="1"/>
                <w:szCs w:val="1"/>
                <w:color w:val="auto"/>
              </w:rPr>
            </w:pPr>
          </w:p>
        </w:tc>
      </w:tr>
      <w:tr>
        <w:trPr>
          <w:trHeight w:val="215"/>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and other</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154.6</w:t>
            </w:r>
          </w:p>
        </w:tc>
        <w:tc>
          <w:tcPr>
            <w:tcW w:w="10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46.1 %</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148.7</w:t>
            </w: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45.9 %</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511.5</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45.8 %</w:t>
            </w:r>
          </w:p>
        </w:tc>
        <w:tc>
          <w:tcPr>
            <w:tcW w:w="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512.8</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46.0 %</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Cost of goods sold for the quarter ended February 28, 2025 was $154.6 million, or 46.1% of revenues, compared to $ 148.7 million, or 45.9% of revenues, in the prior fiscal year quarter. Cost of goods sold was impacted by the addition of production and participation costs which were not present in the prior period as a result of the 9 Story acquisition in fiscal 2025. This increase was largely offset by the favorable mix of product sold in the quarter ended February 28, 2025, which resulted in lower product costs, primarily in the U.K. and New Zealand.</w:t>
      </w:r>
    </w:p>
    <w:p>
      <w:pPr>
        <w:spacing w:after="0" w:line="260"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Cost of goods sold for the nine months ended February 28, 2025 was $511.5 million, or 45.8% of revenues, compared to $512.8 million, or 46.0% of revenues, in the prior fiscal year period. Cost of goods sold benefited from favorable product mix in the U.S. trade and book fairs channels as well as in the U.K. and New Zealand, which resulted in lower product costs, partly offset by the addition of production costs as a result of the 9 Story acquisition. The Company does not expect the remainder of fiscal 2025 to be materially impacted by the current tariff increases.</w:t>
      </w:r>
    </w:p>
    <w:p>
      <w:pPr>
        <w:spacing w:after="0" w:line="27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Selling, general and administrative expenses for the quarter ended February 28, 2025 decreased to $187.5 million, compared to $194.8 million in the prior fiscal year quarter. The $7.3 million decrease was primarily attributable to lower employee-related costs within overhead, lower commission expense and external labor costs within </w:t>
      </w:r>
      <w:r>
        <w:rPr>
          <w:rFonts w:ascii="Arial" w:cs="Arial" w:eastAsia="Arial" w:hAnsi="Arial"/>
          <w:sz w:val="18"/>
          <w:szCs w:val="18"/>
          <w:i w:val="1"/>
          <w:iCs w:val="1"/>
          <w:color w:val="auto"/>
        </w:rPr>
        <w:t>Education Solutions</w:t>
      </w:r>
      <w:r>
        <w:rPr>
          <w:rFonts w:ascii="Arial" w:cs="Arial" w:eastAsia="Arial" w:hAnsi="Arial"/>
          <w:sz w:val="18"/>
          <w:szCs w:val="18"/>
          <w:color w:val="auto"/>
        </w:rPr>
        <w:t xml:space="preserve"> and a decrease in transaction costs related to the 9 Story acquisition of $2.5 million. This was partially offset by higher operating expenses from the addition of 9 Story and an increase in severance expense of $1.0 million from the Company's cost-saving initiatives.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expenses for the nine months ended February 28, 2025 increased to $594.5 million, compared to</w:t>
      </w:r>
    </w:p>
    <w:p>
      <w:pPr>
        <w:spacing w:after="0" w:line="27"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 xml:space="preserve">$592.1 million in the prior fiscal year period. The $2.4 million increase was primarily attributable to the addition of 9 Story, which resulted in higher operating expenses in the period ended February 28, 2025, partially offset by $0.3 million of lower severance expense from cost-saving initiatives and lower commission expense and external labor costs within </w:t>
      </w:r>
      <w:r>
        <w:rPr>
          <w:rFonts w:ascii="Arial" w:cs="Arial" w:eastAsia="Arial" w:hAnsi="Arial"/>
          <w:sz w:val="18"/>
          <w:szCs w:val="18"/>
          <w:i w:val="1"/>
          <w:iCs w:val="1"/>
          <w:color w:val="auto"/>
        </w:rPr>
        <w:t>Education Solutions.</w:t>
      </w:r>
    </w:p>
    <w:p>
      <w:pPr>
        <w:spacing w:after="0" w:line="259"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Depreciation and amortization expenses for the three and nine months ended February 28, 2025 were $16.9 million and $48.5 million, respectively, compared to $14.6 million and $42.1 million, respectively, in the prior fiscal year periods. The increase in Depreciation and amortization was primarily due to amortization expense on the intangible assets acquired as a result of the 9 Story acquisition. The Company also continues to shift spending to cloud computing arrangements in which the amortization expense is included in Selling, general and administrative expenses rather than Depreciation and amortization. Amortization related to cloud computing arrangements for the nine months ended February 28, 2025 increased by $2.0 million compared to the prior fiscal year period as a result of assets placed into service during fiscal 2024 and during the first half of fiscal 2025.</w:t>
      </w:r>
    </w:p>
    <w:p>
      <w:pPr>
        <w:spacing w:after="0" w:line="27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 xml:space="preserve">Asset impairments for the three and nine months ended February 28, 2025 were $0.3 million and $0.4 million, respectively, primarily related to the early exit of leased office space within the </w:t>
      </w:r>
      <w:r>
        <w:rPr>
          <w:rFonts w:ascii="Arial" w:cs="Arial" w:eastAsia="Arial" w:hAnsi="Arial"/>
          <w:sz w:val="18"/>
          <w:szCs w:val="18"/>
          <w:i w:val="1"/>
          <w:iCs w:val="1"/>
          <w:color w:val="auto"/>
        </w:rPr>
        <w:t>Entertainment</w:t>
      </w:r>
      <w:r>
        <w:rPr>
          <w:rFonts w:ascii="Arial" w:cs="Arial" w:eastAsia="Arial" w:hAnsi="Arial"/>
          <w:sz w:val="18"/>
          <w:szCs w:val="18"/>
          <w:color w:val="auto"/>
        </w:rPr>
        <w:t xml:space="preserve"> segment. Asset impairments for the three and nine months ended February 29, 2024 were $0.5 million, primarily related to the early exit of leased sales office space within the </w:t>
      </w:r>
      <w:r>
        <w:rPr>
          <w:rFonts w:ascii="Arial" w:cs="Arial" w:eastAsia="Arial" w:hAnsi="Arial"/>
          <w:sz w:val="18"/>
          <w:szCs w:val="18"/>
          <w:i w:val="1"/>
          <w:iCs w:val="1"/>
          <w:color w:val="auto"/>
        </w:rPr>
        <w:t>Children's Book Publishing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Distribution </w:t>
      </w:r>
      <w:r>
        <w:rPr>
          <w:rFonts w:ascii="Arial" w:cs="Arial" w:eastAsia="Arial" w:hAnsi="Arial"/>
          <w:sz w:val="18"/>
          <w:szCs w:val="18"/>
          <w:color w:val="auto"/>
        </w:rPr>
        <w:t>segment.</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28" w:name="page29"/>
    <w:bookmarkEnd w:id="28"/>
    <w:p>
      <w:pPr>
        <w:ind w:left="20" w:right="340"/>
        <w:spacing w:after="0" w:line="249"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08914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89140" cy="8890"/>
                    </a:xfrm>
                    <a:prstGeom prst="rect">
                      <a:avLst/>
                    </a:prstGeom>
                    <a:noFill/>
                  </pic:spPr>
                </pic:pic>
              </a:graphicData>
            </a:graphic>
          </wp:anchor>
        </w:drawing>
        <w:t>SCHOLASTIC CORPORATION Item 2. Management’s Discussion and Analysis of Financial Condition and Results of Operations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0891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right="160"/>
        <w:spacing w:after="0" w:line="262" w:lineRule="auto"/>
        <w:rPr>
          <w:sz w:val="20"/>
          <w:szCs w:val="20"/>
          <w:color w:val="auto"/>
        </w:rPr>
      </w:pPr>
      <w:r>
        <w:rPr>
          <w:rFonts w:ascii="Arial" w:cs="Arial" w:eastAsia="Arial" w:hAnsi="Arial"/>
          <w:sz w:val="18"/>
          <w:szCs w:val="18"/>
          <w:color w:val="auto"/>
        </w:rPr>
        <w:t>Interest expense for the three and nine months ended February 28, 2025 was $4.7 million and $13.4 million, respectively, compared to $0.5 million and $1.3 million, respectively, in the prior fiscal year periods. The increase in interest expense was due to borrowings under the U.S. Credit Agreement incurred during the first quarter of fiscal 2025 to fund the 9 Story acquisition. Interest expense is expected to increase by a similar amount for the fourth quarter of fiscal 2025.</w:t>
      </w:r>
    </w:p>
    <w:p>
      <w:pPr>
        <w:spacing w:after="0" w:line="27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Interest income for the three and nine months ended February 28, 2025 was $0.4 million and $1.7 million, respectively, compared to $1.1 million and $3.7 million, respectively, in the prior fiscal year periods. The decrease in interest income was attributable to lower average short term investment balances in the period ended February 28, 2025. The Company invests excess cash in short term investments which earn competitive interest rates that change directionally in relation to the Federal Funds rate.</w:t>
      </w:r>
    </w:p>
    <w:p>
      <w:pPr>
        <w:spacing w:after="0" w:line="2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interim effective tax rate, inclusive of discrete items, for the three and nine months ended February 28, 2025 was 87.3% and 65.5%, respectively, compared to 23.4% and 23.5%, respectively, for the prior fiscal year periods. The interim effective tax rate for the nine months ended February 28, 2025 varies from the statutory rate primarily due to the expected state and local income tax and non-deductible compensation for covered executive employees. Due to the seasonal nature of the business, the tax benefit on the operating loss for the nine months ended February 28, 2025 will be impacted by the Company's typically profitable fourth fiscal quarter.</w:t>
      </w:r>
    </w:p>
    <w:p>
      <w:pPr>
        <w:spacing w:after="0" w:line="20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Net loss for the quarter ended February 28, 2025 improved by $22.9 million to $3.6 million, compared to a net loss of $26.5 million in the prior fiscal year quarter. Loss per basic and diluted share of Class A and Common Stock was $0.13 for the fiscal quarter ended February 28, 2025, compared to $0.91 in the prior fiscal year quarter.</w:t>
      </w:r>
    </w:p>
    <w:p>
      <w:pPr>
        <w:spacing w:after="0" w:line="19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Net loss for the nine months ended February 28, 2025 improved by $6.5 million to $17.3 million compared to a net loss of $23.8 million in the prior fiscal year period. Loss per basic and diluted share of Class A and Common Stock was $0.61 for the nine months ended February 28, 2025, compared to $0.80 in the prior fiscal year period.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Children’s Book Publishing and Distribution</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9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300" w:type="dxa"/>
            <w:vAlign w:val="bottom"/>
            <w:tcBorders>
              <w:top w:val="single" w:sz="8" w:color="auto"/>
            </w:tcBorders>
            <w:gridSpan w:val="3"/>
          </w:tcPr>
          <w:p>
            <w:pPr>
              <w:jc w:val="right"/>
              <w:ind w:right="439"/>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280" w:type="dxa"/>
            <w:vAlign w:val="bottom"/>
            <w:tcBorders>
              <w:top w:val="single" w:sz="8" w:color="auto"/>
            </w:tcBorders>
            <w:gridSpan w:val="3"/>
          </w:tcPr>
          <w:p>
            <w:pPr>
              <w:jc w:val="right"/>
              <w:ind w:right="519"/>
              <w:spacing w:after="0"/>
              <w:rPr>
                <w:sz w:val="20"/>
                <w:szCs w:val="20"/>
                <w:color w:val="auto"/>
              </w:rPr>
            </w:pPr>
            <w:r>
              <w:rPr>
                <w:rFonts w:ascii="Arial" w:cs="Arial" w:eastAsia="Arial" w:hAnsi="Arial"/>
                <w:sz w:val="16"/>
                <w:szCs w:val="16"/>
                <w:b w:val="1"/>
                <w:bCs w:val="1"/>
                <w:color w:val="auto"/>
              </w:rPr>
              <w:t>Nine months ended</w:t>
            </w:r>
          </w:p>
        </w:tc>
        <w:tc>
          <w:tcPr>
            <w:tcW w:w="3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28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February 28,</w:t>
            </w:r>
          </w:p>
        </w:tc>
        <w:tc>
          <w:tcPr>
            <w:tcW w:w="132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February 29,</w:t>
            </w:r>
          </w:p>
        </w:tc>
        <w:tc>
          <w:tcPr>
            <w:tcW w:w="300" w:type="dxa"/>
            <w:vAlign w:val="bottom"/>
          </w:tcPr>
          <w:p>
            <w:pPr>
              <w:spacing w:after="0"/>
              <w:rPr>
                <w:sz w:val="18"/>
                <w:szCs w:val="18"/>
                <w:color w:val="auto"/>
              </w:rPr>
            </w:pPr>
          </w:p>
        </w:tc>
        <w:tc>
          <w:tcPr>
            <w:tcW w:w="720" w:type="dxa"/>
            <w:vAlign w:val="bottom"/>
          </w:tcPr>
          <w:p>
            <w:pPr>
              <w:jc w:val="right"/>
              <w:ind w:right="43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w:t>
            </w:r>
          </w:p>
        </w:tc>
        <w:tc>
          <w:tcPr>
            <w:tcW w:w="134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February 28,</w:t>
            </w:r>
          </w:p>
        </w:tc>
        <w:tc>
          <w:tcPr>
            <w:tcW w:w="136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February 29,</w:t>
            </w:r>
          </w:p>
        </w:tc>
        <w:tc>
          <w:tcPr>
            <w:tcW w:w="300" w:type="dxa"/>
            <w:vAlign w:val="bottom"/>
          </w:tcPr>
          <w:p>
            <w:pPr>
              <w:spacing w:after="0"/>
              <w:rPr>
                <w:sz w:val="18"/>
                <w:szCs w:val="18"/>
                <w:color w:val="auto"/>
              </w:rPr>
            </w:pPr>
          </w:p>
        </w:tc>
        <w:tc>
          <w:tcPr>
            <w:tcW w:w="78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7"/>
        </w:trPr>
        <w:tc>
          <w:tcPr>
            <w:tcW w:w="19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 amounts in millions)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2025</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2024</w:t>
            </w:r>
          </w:p>
        </w:tc>
        <w:tc>
          <w:tcPr>
            <w:tcW w:w="102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b w:val="1"/>
                <w:bCs w:val="1"/>
                <w:color w:val="auto"/>
              </w:rPr>
              <w:t>Change</w:t>
            </w:r>
          </w:p>
        </w:tc>
        <w:tc>
          <w:tcPr>
            <w:tcW w:w="10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Change</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108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b w:val="1"/>
                <w:bCs w:val="1"/>
                <w:color w:val="auto"/>
              </w:rPr>
              <w:t>Change</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0"/>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203.3</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193.1</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10.2</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5.3 %</w:t>
            </w:r>
          </w:p>
        </w:tc>
        <w:tc>
          <w:tcPr>
            <w:tcW w:w="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675.7</w:t>
            </w:r>
          </w:p>
        </w:tc>
        <w:tc>
          <w:tcPr>
            <w:tcW w:w="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687.9</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(12.2)</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5"/>
        </w:trPr>
        <w:tc>
          <w:tcPr>
            <w:tcW w:w="196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300" w:type="dxa"/>
            <w:vAlign w:val="bottom"/>
          </w:tcPr>
          <w:p>
            <w:pPr>
              <w:spacing w:after="0"/>
              <w:rPr>
                <w:sz w:val="18"/>
                <w:szCs w:val="18"/>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92.0</w:t>
            </w:r>
          </w:p>
        </w:tc>
        <w:tc>
          <w:tcPr>
            <w:tcW w:w="340" w:type="dxa"/>
            <w:vAlign w:val="bottom"/>
          </w:tcPr>
          <w:p>
            <w:pPr>
              <w:spacing w:after="0"/>
              <w:rPr>
                <w:sz w:val="18"/>
                <w:szCs w:val="18"/>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87.5</w:t>
            </w:r>
          </w:p>
        </w:tc>
        <w:tc>
          <w:tcPr>
            <w:tcW w:w="300" w:type="dxa"/>
            <w:vAlign w:val="bottom"/>
          </w:tcPr>
          <w:p>
            <w:pPr>
              <w:spacing w:after="0"/>
              <w:rPr>
                <w:sz w:val="18"/>
                <w:szCs w:val="18"/>
                <w:color w:val="auto"/>
              </w:rPr>
            </w:pPr>
          </w:p>
        </w:tc>
        <w:tc>
          <w:tcPr>
            <w:tcW w:w="720" w:type="dxa"/>
            <w:vAlign w:val="bottom"/>
          </w:tcPr>
          <w:p>
            <w:pPr>
              <w:jc w:val="right"/>
              <w:ind w:right="99"/>
              <w:spacing w:after="0"/>
              <w:rPr>
                <w:sz w:val="20"/>
                <w:szCs w:val="20"/>
                <w:color w:val="auto"/>
              </w:rPr>
            </w:pPr>
            <w:r>
              <w:rPr>
                <w:rFonts w:ascii="Arial" w:cs="Arial" w:eastAsia="Arial" w:hAnsi="Arial"/>
                <w:sz w:val="16"/>
                <w:szCs w:val="16"/>
                <w:color w:val="auto"/>
              </w:rPr>
              <w:t>4.5</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5.1 %</w:t>
            </w:r>
          </w:p>
        </w:tc>
        <w:tc>
          <w:tcPr>
            <w:tcW w:w="420" w:type="dxa"/>
            <w:vAlign w:val="bottom"/>
          </w:tcPr>
          <w:p>
            <w:pPr>
              <w:spacing w:after="0"/>
              <w:rPr>
                <w:sz w:val="18"/>
                <w:szCs w:val="18"/>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color w:val="auto"/>
              </w:rPr>
              <w:t>294.2</w:t>
            </w:r>
          </w:p>
        </w:tc>
        <w:tc>
          <w:tcPr>
            <w:tcW w:w="420" w:type="dxa"/>
            <w:vAlign w:val="bottom"/>
          </w:tcPr>
          <w:p>
            <w:pPr>
              <w:spacing w:after="0"/>
              <w:rPr>
                <w:sz w:val="18"/>
                <w:szCs w:val="18"/>
                <w:color w:val="auto"/>
              </w:rPr>
            </w:pPr>
          </w:p>
        </w:tc>
        <w:tc>
          <w:tcPr>
            <w:tcW w:w="940" w:type="dxa"/>
            <w:vAlign w:val="bottom"/>
          </w:tcPr>
          <w:p>
            <w:pPr>
              <w:jc w:val="right"/>
              <w:ind w:right="239"/>
              <w:spacing w:after="0"/>
              <w:rPr>
                <w:sz w:val="20"/>
                <w:szCs w:val="20"/>
                <w:color w:val="auto"/>
              </w:rPr>
            </w:pPr>
            <w:r>
              <w:rPr>
                <w:rFonts w:ascii="Arial" w:cs="Arial" w:eastAsia="Arial" w:hAnsi="Arial"/>
                <w:sz w:val="16"/>
                <w:szCs w:val="16"/>
                <w:color w:val="auto"/>
              </w:rPr>
              <w:t>306.9</w:t>
            </w:r>
          </w:p>
        </w:tc>
        <w:tc>
          <w:tcPr>
            <w:tcW w:w="30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(12.7)</w:t>
            </w:r>
          </w:p>
        </w:tc>
        <w:tc>
          <w:tcPr>
            <w:tcW w:w="86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163"/>
        </w:trPr>
        <w:tc>
          <w:tcPr>
            <w:tcW w:w="196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Other operating expenses</w:t>
            </w:r>
          </w:p>
        </w:tc>
        <w:tc>
          <w:tcPr>
            <w:tcW w:w="3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239"/>
              <w:spacing w:after="0"/>
              <w:rPr>
                <w:sz w:val="20"/>
                <w:szCs w:val="20"/>
                <w:color w:val="auto"/>
              </w:rPr>
            </w:pPr>
            <w:r>
              <w:rPr>
                <w:rFonts w:ascii="Arial" w:cs="Arial" w:eastAsia="Arial" w:hAnsi="Arial"/>
                <w:sz w:val="16"/>
                <w:szCs w:val="16"/>
                <w:color w:val="auto"/>
              </w:rPr>
              <w:t>103.7</w:t>
            </w:r>
          </w:p>
        </w:tc>
        <w:tc>
          <w:tcPr>
            <w:tcW w:w="3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239"/>
              <w:spacing w:after="0"/>
              <w:rPr>
                <w:sz w:val="20"/>
                <w:szCs w:val="20"/>
                <w:color w:val="auto"/>
              </w:rPr>
            </w:pPr>
            <w:r>
              <w:rPr>
                <w:rFonts w:ascii="Arial" w:cs="Arial" w:eastAsia="Arial" w:hAnsi="Arial"/>
                <w:sz w:val="16"/>
                <w:szCs w:val="16"/>
                <w:color w:val="auto"/>
              </w:rPr>
              <w:t>102.8</w:t>
            </w:r>
          </w:p>
        </w:tc>
        <w:tc>
          <w:tcPr>
            <w:tcW w:w="3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0.9</w:t>
            </w:r>
          </w:p>
        </w:tc>
        <w:tc>
          <w:tcPr>
            <w:tcW w:w="10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0.9 %</w:t>
            </w:r>
          </w:p>
        </w:tc>
        <w:tc>
          <w:tcPr>
            <w:tcW w:w="4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rPr>
              <w:t>308.4</w:t>
            </w:r>
          </w:p>
        </w:tc>
        <w:tc>
          <w:tcPr>
            <w:tcW w:w="4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239"/>
              <w:spacing w:after="0"/>
              <w:rPr>
                <w:sz w:val="20"/>
                <w:szCs w:val="20"/>
                <w:color w:val="auto"/>
              </w:rPr>
            </w:pPr>
            <w:r>
              <w:rPr>
                <w:rFonts w:ascii="Arial" w:cs="Arial" w:eastAsia="Arial" w:hAnsi="Arial"/>
                <w:sz w:val="16"/>
                <w:szCs w:val="16"/>
                <w:color w:val="auto"/>
              </w:rPr>
              <w:t>307.6</w:t>
            </w:r>
          </w:p>
        </w:tc>
        <w:tc>
          <w:tcPr>
            <w:tcW w:w="3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rPr>
              <w:t>0.8</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0" w:type="dxa"/>
            <w:vAlign w:val="bottom"/>
          </w:tcPr>
          <w:p>
            <w:pPr>
              <w:spacing w:after="0"/>
              <w:rPr>
                <w:sz w:val="1"/>
                <w:szCs w:val="1"/>
                <w:color w:val="auto"/>
              </w:rPr>
            </w:pPr>
          </w:p>
        </w:tc>
      </w:tr>
      <w:tr>
        <w:trPr>
          <w:trHeight w:val="142"/>
        </w:trPr>
        <w:tc>
          <w:tcPr>
            <w:tcW w:w="1960" w:type="dxa"/>
            <w:vAlign w:val="bottom"/>
            <w:tcBorders>
              <w:bottom w:val="single" w:sz="8" w:color="CCEEFF"/>
            </w:tcBorders>
            <w:shd w:val="clear" w:color="auto" w:fill="CCEEFF"/>
          </w:tcPr>
          <w:p>
            <w:pPr>
              <w:ind w:left="20"/>
              <w:spacing w:after="0" w:line="108" w:lineRule="exact"/>
              <w:rPr>
                <w:sz w:val="20"/>
                <w:szCs w:val="20"/>
                <w:color w:val="auto"/>
              </w:rPr>
            </w:pPr>
            <w:r>
              <w:rPr>
                <w:rFonts w:ascii="Arial" w:cs="Arial" w:eastAsia="Arial" w:hAnsi="Arial"/>
                <w:sz w:val="11"/>
                <w:szCs w:val="11"/>
                <w:color w:val="auto"/>
              </w:rPr>
              <w:t>(1)</w:t>
            </w:r>
          </w:p>
        </w:tc>
        <w:tc>
          <w:tcPr>
            <w:tcW w:w="3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vMerge w:val="continue"/>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vMerge w:val="continue"/>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20" w:type="dxa"/>
            <w:vAlign w:val="bottom"/>
            <w:tcBorders>
              <w:bottom w:val="single" w:sz="8" w:color="CCEEFF"/>
            </w:tcBorders>
            <w:vMerge w:val="continue"/>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1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Asset impairments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0.5</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(0.5)</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(100.0)%</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0.5</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10"/>
        </w:trPr>
        <w:tc>
          <w:tcPr>
            <w:tcW w:w="1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7.6</w:t>
            </w:r>
          </w:p>
        </w:tc>
        <w:tc>
          <w:tcPr>
            <w:tcW w:w="3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2.3</w:t>
            </w:r>
          </w:p>
        </w:tc>
        <w:tc>
          <w:tcPr>
            <w:tcW w:w="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5.3</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NM</w:t>
            </w:r>
          </w:p>
        </w:tc>
        <w:tc>
          <w:tcPr>
            <w:tcW w:w="4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73.1</w:t>
            </w:r>
          </w:p>
        </w:tc>
        <w:tc>
          <w:tcPr>
            <w:tcW w:w="4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72.9</w:t>
            </w:r>
          </w:p>
        </w:tc>
        <w:tc>
          <w:tcPr>
            <w:tcW w:w="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0.2</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0" w:type="dxa"/>
            <w:vAlign w:val="bottom"/>
          </w:tcPr>
          <w:p>
            <w:pPr>
              <w:spacing w:after="0"/>
              <w:rPr>
                <w:sz w:val="1"/>
                <w:szCs w:val="1"/>
                <w:color w:val="auto"/>
              </w:rPr>
            </w:pPr>
          </w:p>
        </w:tc>
      </w:tr>
      <w:tr>
        <w:trPr>
          <w:trHeight w:val="210"/>
        </w:trPr>
        <w:tc>
          <w:tcPr>
            <w:tcW w:w="19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Operating margin</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3.7 %</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1.2 %</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10.8 %</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10.6 %</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right="2460" w:firstLine="8"/>
        <w:spacing w:after="0" w:line="305" w:lineRule="auto"/>
        <w:tabs>
          <w:tab w:leader="none" w:pos="216" w:val="left"/>
        </w:tabs>
        <w:numPr>
          <w:ilvl w:val="0"/>
          <w:numId w:val="17"/>
        </w:numPr>
        <w:rPr>
          <w:rFonts w:ascii="Arial" w:cs="Arial" w:eastAsia="Arial" w:hAnsi="Arial"/>
          <w:sz w:val="14"/>
          <w:szCs w:val="14"/>
          <w:color w:val="auto"/>
        </w:rPr>
      </w:pPr>
      <w:r>
        <w:rPr>
          <w:rFonts w:ascii="Arial" w:cs="Arial" w:eastAsia="Arial" w:hAnsi="Arial"/>
          <w:sz w:val="14"/>
          <w:szCs w:val="14"/>
          <w:color w:val="auto"/>
        </w:rPr>
        <w:t>Other operating expenses include selling, general and administrative expenses, bad debt expenses and depreciation and amortization. NM Not meaningful</w:t>
      </w:r>
    </w:p>
    <w:p>
      <w:pPr>
        <w:spacing w:after="0" w:line="17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Revenues for the quarter ended February 28, 2025 increased by $10.2 million to $ 203.3 million, compared to $193.1 million in the prior fiscal year quarter. The increase in segment revenues was primarily driven by increased revenues from School Reading Events of $9.9 million. Book fairs channel revenues increased $8.0 million, driven by higher fair count as a larger number of fall-season fairs occurred in December compared to the prior year period. Revenue per fair was consistent with the prior fiscal year quarter. Book clubs channel revenues increased $1.9 million as a result of higher revenue per sponsor and an increase in events. Trade channel revenues were relatively consistent with the prior fiscal year quarter, increasing $0.3 million. In the quarter ended February 28, 2025, the Company benefited from increased sales from the Dog Man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series, which included the latest release, </w:t>
      </w:r>
      <w:r>
        <w:rPr>
          <w:rFonts w:ascii="Arial" w:cs="Arial" w:eastAsia="Arial" w:hAnsi="Arial"/>
          <w:sz w:val="18"/>
          <w:szCs w:val="18"/>
          <w:i w:val="1"/>
          <w:iCs w:val="1"/>
          <w:color w:val="auto"/>
        </w:rPr>
        <w:t>Dog Man #13: Big Jim Begins</w:t>
      </w:r>
      <w:r>
        <w:rPr>
          <w:rFonts w:ascii="Arial" w:cs="Arial" w:eastAsia="Arial" w:hAnsi="Arial"/>
          <w:sz w:val="18"/>
          <w:szCs w:val="18"/>
          <w:color w:val="auto"/>
        </w:rPr>
        <w:t xml:space="preserve">, in addition to sales of deluxe editions of titles in the </w:t>
      </w:r>
      <w:r>
        <w:rPr>
          <w:rFonts w:ascii="Arial" w:cs="Arial" w:eastAsia="Arial" w:hAnsi="Arial"/>
          <w:sz w:val="18"/>
          <w:szCs w:val="18"/>
          <w:i w:val="1"/>
          <w:iCs w:val="1"/>
          <w:color w:val="auto"/>
        </w:rPr>
        <w:t>Hunger Games</w:t>
      </w:r>
      <w:r>
        <w:rPr>
          <w:rFonts w:ascii="Arial" w:cs="Arial" w:eastAsia="Arial" w:hAnsi="Arial"/>
          <w:sz w:val="23"/>
          <w:szCs w:val="23"/>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series and the release of</w:t>
      </w:r>
      <w:r>
        <w:rPr>
          <w:rFonts w:ascii="Arial" w:cs="Arial" w:eastAsia="Arial" w:hAnsi="Arial"/>
          <w:sz w:val="18"/>
          <w:szCs w:val="18"/>
          <w:i w:val="1"/>
          <w:iCs w:val="1"/>
          <w:color w:val="auto"/>
        </w:rPr>
        <w:t xml:space="preserve"> Wings of Fire Graphix</w:t>
      </w:r>
      <w:r>
        <w:rPr>
          <w:rFonts w:ascii="Arial" w:cs="Arial" w:eastAsia="Arial" w:hAnsi="Arial"/>
          <w:sz w:val="23"/>
          <w:szCs w:val="23"/>
          <w:i w:val="1"/>
          <w:iCs w:val="1"/>
          <w:color w:val="auto"/>
          <w:vertAlign w:val="superscript"/>
        </w:rPr>
        <w:t>TM</w:t>
      </w:r>
      <w:r>
        <w:rPr>
          <w:rFonts w:ascii="Arial" w:cs="Arial" w:eastAsia="Arial" w:hAnsi="Arial"/>
          <w:sz w:val="18"/>
          <w:szCs w:val="18"/>
          <w:i w:val="1"/>
          <w:iCs w:val="1"/>
          <w:color w:val="auto"/>
        </w:rPr>
        <w:t xml:space="preserve"> Novel #8: Escaping Peril</w:t>
      </w:r>
      <w:r>
        <w:rPr>
          <w:rFonts w:ascii="Arial" w:cs="Arial" w:eastAsia="Arial" w:hAnsi="Arial"/>
          <w:sz w:val="18"/>
          <w:szCs w:val="18"/>
          <w:color w:val="auto"/>
        </w:rPr>
        <w:t>. This was offset by lower sales of backlist titles</w:t>
      </w:r>
      <w:r>
        <w:rPr>
          <w:rFonts w:ascii="Arial" w:cs="Arial" w:eastAsia="Arial" w:hAnsi="Arial"/>
          <w:sz w:val="18"/>
          <w:szCs w:val="18"/>
          <w:i w:val="1"/>
          <w:iCs w:val="1"/>
          <w:color w:val="auto"/>
        </w:rPr>
        <w:t xml:space="preserve"> </w:t>
      </w:r>
      <w:r>
        <w:rPr>
          <w:rFonts w:ascii="Arial" w:cs="Arial" w:eastAsia="Arial" w:hAnsi="Arial"/>
          <w:sz w:val="18"/>
          <w:szCs w:val="18"/>
          <w:color w:val="auto"/>
        </w:rPr>
        <w:t>reflecting continued softness in the retail book market.</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9" w:name="page30"/>
    <w:bookmarkEnd w:id="29"/>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08914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89140" cy="8890"/>
                    </a:xfrm>
                    <a:prstGeom prst="rect">
                      <a:avLst/>
                    </a:prstGeom>
                    <a:noFill/>
                  </pic:spPr>
                </pic:pic>
              </a:graphicData>
            </a:graphic>
          </wp:anchor>
        </w:drawing>
        <w:t>SCHOLASTIC CORPORATION</w:t>
      </w:r>
    </w:p>
    <w:p>
      <w:pPr>
        <w:ind w:left="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891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 xml:space="preserve">Revenues for the nine months ended February 28, 2025 decreased by $12.2 million to $675.7 million, compared to $687.9 million in the prior fiscal year period. Trade channel revenues decreased $ 13.4 million, primarily due to lower sales of backlist titles reflecting continued softness in the retail book market and the timing of new releases as the prior year period benefited from the release of several frontlist titles, including </w:t>
      </w:r>
      <w:r>
        <w:rPr>
          <w:rFonts w:ascii="Arial" w:cs="Arial" w:eastAsia="Arial" w:hAnsi="Arial"/>
          <w:sz w:val="18"/>
          <w:szCs w:val="18"/>
          <w:i w:val="1"/>
          <w:iCs w:val="1"/>
          <w:color w:val="auto"/>
        </w:rPr>
        <w:t>Cat Kid Comic Club</w:t>
      </w:r>
      <w:r>
        <w:rPr>
          <w:rFonts w:ascii="Arial" w:cs="Arial" w:eastAsia="Arial" w:hAnsi="Arial"/>
          <w:sz w:val="23"/>
          <w:szCs w:val="23"/>
          <w:color w:val="auto"/>
          <w:vertAlign w:val="superscript"/>
        </w:rPr>
        <w:t>®</w:t>
      </w:r>
      <w:r>
        <w:rPr>
          <w:rFonts w:ascii="Arial" w:cs="Arial" w:eastAsia="Arial" w:hAnsi="Arial"/>
          <w:sz w:val="18"/>
          <w:szCs w:val="18"/>
          <w:i w:val="1"/>
          <w:iCs w:val="1"/>
          <w:color w:val="auto"/>
        </w:rPr>
        <w:t>: Influencers</w:t>
      </w:r>
      <w:r>
        <w:rPr>
          <w:rFonts w:ascii="Arial" w:cs="Arial" w:eastAsia="Arial" w:hAnsi="Arial"/>
          <w:sz w:val="18"/>
          <w:szCs w:val="18"/>
          <w:color w:val="auto"/>
        </w:rPr>
        <w:t>, the interactive edition of</w:t>
      </w:r>
      <w:r>
        <w:rPr>
          <w:rFonts w:ascii="Arial" w:cs="Arial" w:eastAsia="Arial" w:hAnsi="Arial"/>
          <w:sz w:val="18"/>
          <w:szCs w:val="18"/>
          <w:i w:val="1"/>
          <w:iCs w:val="1"/>
          <w:color w:val="auto"/>
        </w:rPr>
        <w:t xml:space="preserve"> Harry Potter and the Prisoner of Azkaban</w:t>
      </w:r>
      <w:r>
        <w:rPr>
          <w:rFonts w:ascii="Arial" w:cs="Arial" w:eastAsia="Arial" w:hAnsi="Arial"/>
          <w:sz w:val="18"/>
          <w:szCs w:val="18"/>
          <w:color w:val="auto"/>
        </w:rPr>
        <w:t>, and the paperback edition of</w:t>
      </w:r>
      <w:r>
        <w:rPr>
          <w:rFonts w:ascii="Arial" w:cs="Arial" w:eastAsia="Arial" w:hAnsi="Arial"/>
          <w:sz w:val="18"/>
          <w:szCs w:val="18"/>
          <w:i w:val="1"/>
          <w:iCs w:val="1"/>
          <w:color w:val="auto"/>
        </w:rPr>
        <w:t xml:space="preserve"> The Ballad of Songbirds and Snakes</w:t>
      </w:r>
      <w:r>
        <w:rPr>
          <w:rFonts w:ascii="Arial" w:cs="Arial" w:eastAsia="Arial" w:hAnsi="Arial"/>
          <w:sz w:val="18"/>
          <w:szCs w:val="18"/>
          <w:color w:val="auto"/>
        </w:rPr>
        <w:t>. This decline was partially offset by increased sales from the</w:t>
      </w:r>
      <w:r>
        <w:rPr>
          <w:rFonts w:ascii="Arial" w:cs="Arial" w:eastAsia="Arial" w:hAnsi="Arial"/>
          <w:sz w:val="18"/>
          <w:szCs w:val="18"/>
          <w:i w:val="1"/>
          <w:iCs w:val="1"/>
          <w:color w:val="auto"/>
        </w:rPr>
        <w:t xml:space="preserve"> Dog Man </w:t>
      </w:r>
      <w:r>
        <w:rPr>
          <w:rFonts w:ascii="Arial" w:cs="Arial" w:eastAsia="Arial" w:hAnsi="Arial"/>
          <w:sz w:val="18"/>
          <w:szCs w:val="18"/>
          <w:color w:val="auto"/>
        </w:rPr>
        <w:t>series, which included the latest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release, </w:t>
      </w:r>
      <w:r>
        <w:rPr>
          <w:rFonts w:ascii="Arial" w:cs="Arial" w:eastAsia="Arial" w:hAnsi="Arial"/>
          <w:sz w:val="18"/>
          <w:szCs w:val="18"/>
          <w:i w:val="1"/>
          <w:iCs w:val="1"/>
          <w:color w:val="auto"/>
        </w:rPr>
        <w:t>Dog Man #13: Big Jim Begins,</w:t>
      </w:r>
      <w:r>
        <w:rPr>
          <w:rFonts w:ascii="Arial" w:cs="Arial" w:eastAsia="Arial" w:hAnsi="Arial"/>
          <w:sz w:val="18"/>
          <w:szCs w:val="18"/>
          <w:color w:val="auto"/>
        </w:rPr>
        <w:t xml:space="preserve"> and increased foreign rights sales in the period ended February 28, 2025. The overall decrease in segment revenues was partially offset by increased revenues from School Reading Events of $1.2 million. Book clubs channel revenues increased by $2.8 million, driven by higher revenue per sponsor and an increase in events. Book fairs channel revenues decreased $1.6 million as a result of slightly lower revenue per fair, due to the addition of smaller fairs, and decreased redemptions of book fairs incentive credits, partially offset by higher fair count.</w:t>
      </w:r>
    </w:p>
    <w:p>
      <w:pPr>
        <w:spacing w:after="0" w:line="22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Cost of goods sold for the quarter ended February 28, 2025 was $92.0 million, or 45.3% of revenues, which was comparable to $87.5 million, or 45.3% of revenues, in the prior fiscal year quarter.</w:t>
      </w:r>
    </w:p>
    <w:p>
      <w:pPr>
        <w:spacing w:after="0" w:line="180"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Cost of goods sold for the nine months ended February 28, 2025 was $294.2 million, or 43.5% of revenues, compared to $306.9 million, or 44.6% of revenues, in the prior fiscal year period. Cost of goods sold benefited from the mix of product sold in the period ended February 28, 2025, which included higher foreign rights sales in the trade channel and redemptions of book fair incentive credits for lower cost products, as well as lower print costs in the book fairs channel.</w:t>
      </w:r>
    </w:p>
    <w:p>
      <w:pPr>
        <w:spacing w:after="0" w:line="20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Other operating expenses for the three and nine months ended February 28, 2025 were $103.7 million and $308.4 million, respectively, compared to $102.8 million and $307.6 million, respectively, in the prior fiscal year periods. The increase in Other operating expenses was primarily attributable to higher distribution costs within the book fairs channel.</w:t>
      </w:r>
    </w:p>
    <w:p>
      <w:pPr>
        <w:spacing w:after="0" w:line="198"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Asset impairments for the three and nine months ended February 29, 2024 were $0.5 million. The Company ceased use of a leased sales office space, as a result of which the Company recognized an impairment expense of $0.5 million in the third quarter of fiscal 2024.</w:t>
      </w:r>
    </w:p>
    <w:p>
      <w:pPr>
        <w:spacing w:after="0" w:line="18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Segment operating income for the quarter ended February 28, 2025 was $7.6 million, compared to $2.3 million in the prior fiscal year quarter. The $ 5.3 million improvement was primarily attributable to higher revenues from School Reading Events, primarily driven by higher fair count in the book fairs channel.</w:t>
      </w:r>
    </w:p>
    <w:p>
      <w:pPr>
        <w:spacing w:after="0" w:line="19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Segment operating income for the nine months ended February 28, 2025 was $73.1 million, compared to $72.9 million in the prior fiscal year period. Lower revenues, primarily within the trade channel due to softness in the retail book market, were offset by lower product costs associated with the mix of product sold in the period ended February 28, 2025 and lower print costs in the book fairs channel.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 Solutions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200" w:type="dxa"/>
            <w:vAlign w:val="bottom"/>
            <w:tcBorders>
              <w:top w:val="single" w:sz="8" w:color="auto"/>
            </w:tcBorders>
            <w:gridSpan w:val="3"/>
          </w:tcPr>
          <w:p>
            <w:pPr>
              <w:jc w:val="right"/>
              <w:ind w:right="379"/>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220" w:type="dxa"/>
            <w:vAlign w:val="bottom"/>
            <w:tcBorders>
              <w:top w:val="single" w:sz="8" w:color="auto"/>
            </w:tcBorders>
            <w:gridSpan w:val="3"/>
          </w:tcPr>
          <w:p>
            <w:pPr>
              <w:jc w:val="right"/>
              <w:ind w:right="419"/>
              <w:spacing w:after="0"/>
              <w:rPr>
                <w:sz w:val="20"/>
                <w:szCs w:val="20"/>
                <w:color w:val="auto"/>
              </w:rPr>
            </w:pPr>
            <w:r>
              <w:rPr>
                <w:rFonts w:ascii="Arial" w:cs="Arial" w:eastAsia="Arial" w:hAnsi="Arial"/>
                <w:sz w:val="16"/>
                <w:szCs w:val="16"/>
                <w:b w:val="1"/>
                <w:bCs w:val="1"/>
                <w:color w:val="auto"/>
              </w:rPr>
              <w:t>Nine months ended</w:t>
            </w: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r>
      <w:tr>
        <w:trPr>
          <w:trHeight w:val="216"/>
        </w:trPr>
        <w:tc>
          <w:tcPr>
            <w:tcW w:w="2020" w:type="dxa"/>
            <w:vAlign w:val="bottom"/>
          </w:tcPr>
          <w:p>
            <w:pPr>
              <w:spacing w:after="0"/>
              <w:rPr>
                <w:sz w:val="18"/>
                <w:szCs w:val="18"/>
                <w:color w:val="auto"/>
              </w:rPr>
            </w:pPr>
          </w:p>
        </w:tc>
        <w:tc>
          <w:tcPr>
            <w:tcW w:w="126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February 28,</w:t>
            </w:r>
          </w:p>
        </w:tc>
        <w:tc>
          <w:tcPr>
            <w:tcW w:w="128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February 29,</w:t>
            </w:r>
          </w:p>
        </w:tc>
        <w:tc>
          <w:tcPr>
            <w:tcW w:w="320" w:type="dxa"/>
            <w:vAlign w:val="bottom"/>
          </w:tcPr>
          <w:p>
            <w:pPr>
              <w:spacing w:after="0"/>
              <w:rPr>
                <w:sz w:val="18"/>
                <w:szCs w:val="18"/>
                <w:color w:val="auto"/>
              </w:rPr>
            </w:pPr>
          </w:p>
        </w:tc>
        <w:tc>
          <w:tcPr>
            <w:tcW w:w="76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379"/>
              <w:spacing w:after="0"/>
              <w:rPr>
                <w:sz w:val="20"/>
                <w:szCs w:val="20"/>
                <w:color w:val="auto"/>
              </w:rPr>
            </w:pPr>
            <w:r>
              <w:rPr>
                <w:rFonts w:ascii="Arial" w:cs="Arial" w:eastAsia="Arial" w:hAnsi="Arial"/>
                <w:sz w:val="16"/>
                <w:szCs w:val="16"/>
                <w:b w:val="1"/>
                <w:bCs w:val="1"/>
                <w:color w:val="auto"/>
              </w:rPr>
              <w:t>%</w:t>
            </w:r>
          </w:p>
        </w:tc>
        <w:tc>
          <w:tcPr>
            <w:tcW w:w="126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February 28,</w:t>
            </w:r>
          </w:p>
        </w:tc>
        <w:tc>
          <w:tcPr>
            <w:tcW w:w="20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b w:val="1"/>
                <w:bCs w:val="1"/>
                <w:color w:val="auto"/>
                <w:w w:val="98"/>
              </w:rPr>
              <w:t>February 29,</w:t>
            </w:r>
          </w:p>
        </w:tc>
        <w:tc>
          <w:tcPr>
            <w:tcW w:w="20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319"/>
              <w:spacing w:after="0"/>
              <w:rPr>
                <w:sz w:val="20"/>
                <w:szCs w:val="20"/>
                <w:color w:val="auto"/>
              </w:rPr>
            </w:pPr>
            <w:r>
              <w:rPr>
                <w:rFonts w:ascii="Arial" w:cs="Arial" w:eastAsia="Arial" w:hAnsi="Arial"/>
                <w:sz w:val="16"/>
                <w:szCs w:val="16"/>
                <w:b w:val="1"/>
                <w:bCs w:val="1"/>
                <w:color w:val="auto"/>
              </w:rPr>
              <w:t>%</w:t>
            </w:r>
          </w:p>
        </w:tc>
      </w:tr>
      <w:tr>
        <w:trPr>
          <w:trHeight w:val="217"/>
        </w:trPr>
        <w:tc>
          <w:tcPr>
            <w:tcW w:w="20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 amounts in millions)</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2024</w:t>
            </w:r>
          </w:p>
        </w:tc>
        <w:tc>
          <w:tcPr>
            <w:tcW w:w="108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6"/>
                <w:szCs w:val="16"/>
                <w:b w:val="1"/>
                <w:bCs w:val="1"/>
                <w:color w:val="auto"/>
              </w:rPr>
              <w:t>Change</w:t>
            </w: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98"/>
              </w:rPr>
              <w:t>Change</w:t>
            </w: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r>
      <w:tr>
        <w:trPr>
          <w:trHeight w:val="209"/>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57.2</w:t>
            </w:r>
          </w:p>
        </w:tc>
        <w:tc>
          <w:tcPr>
            <w:tcW w:w="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68.5</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(11.3)</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(16.5)%</w:t>
            </w:r>
          </w:p>
        </w:tc>
        <w:tc>
          <w:tcPr>
            <w:tcW w:w="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184.1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215.5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(31.4)</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r>
      <w:tr>
        <w:trPr>
          <w:trHeight w:val="215"/>
        </w:trPr>
        <w:tc>
          <w:tcPr>
            <w:tcW w:w="202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340" w:type="dxa"/>
            <w:vAlign w:val="bottom"/>
          </w:tcPr>
          <w:p>
            <w:pPr>
              <w:spacing w:after="0"/>
              <w:rPr>
                <w:sz w:val="18"/>
                <w:szCs w:val="18"/>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23.0</w:t>
            </w:r>
          </w:p>
        </w:tc>
        <w:tc>
          <w:tcPr>
            <w:tcW w:w="360" w:type="dxa"/>
            <w:vAlign w:val="bottom"/>
          </w:tcPr>
          <w:p>
            <w:pPr>
              <w:spacing w:after="0"/>
              <w:rPr>
                <w:sz w:val="18"/>
                <w:szCs w:val="18"/>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26.2</w:t>
            </w:r>
          </w:p>
        </w:tc>
        <w:tc>
          <w:tcPr>
            <w:tcW w:w="320" w:type="dxa"/>
            <w:vAlign w:val="bottom"/>
          </w:tcPr>
          <w:p>
            <w:pPr>
              <w:spacing w:after="0"/>
              <w:rPr>
                <w:sz w:val="18"/>
                <w:szCs w:val="18"/>
                <w:color w:val="auto"/>
              </w:rPr>
            </w:pPr>
          </w:p>
        </w:tc>
        <w:tc>
          <w:tcPr>
            <w:tcW w:w="760" w:type="dxa"/>
            <w:vAlign w:val="bottom"/>
          </w:tcPr>
          <w:p>
            <w:pPr>
              <w:jc w:val="right"/>
              <w:ind w:right="99"/>
              <w:spacing w:after="0"/>
              <w:rPr>
                <w:sz w:val="20"/>
                <w:szCs w:val="20"/>
                <w:color w:val="auto"/>
              </w:rPr>
            </w:pPr>
            <w:r>
              <w:rPr>
                <w:rFonts w:ascii="Arial" w:cs="Arial" w:eastAsia="Arial" w:hAnsi="Arial"/>
                <w:sz w:val="16"/>
                <w:szCs w:val="16"/>
                <w:color w:val="auto"/>
              </w:rPr>
              <w:t>(3.2)</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(12.2)%</w:t>
            </w:r>
          </w:p>
        </w:tc>
        <w:tc>
          <w:tcPr>
            <w:tcW w:w="340" w:type="dxa"/>
            <w:vAlign w:val="bottom"/>
          </w:tcPr>
          <w:p>
            <w:pPr>
              <w:spacing w:after="0"/>
              <w:rPr>
                <w:sz w:val="18"/>
                <w:szCs w:val="18"/>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77.7</w:t>
            </w:r>
          </w:p>
        </w:tc>
        <w:tc>
          <w:tcPr>
            <w:tcW w:w="20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89.5</w:t>
            </w:r>
          </w:p>
        </w:tc>
        <w:tc>
          <w:tcPr>
            <w:tcW w:w="20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(11.8)</w:t>
            </w:r>
          </w:p>
        </w:tc>
        <w:tc>
          <w:tcPr>
            <w:tcW w:w="94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163"/>
        </w:trPr>
        <w:tc>
          <w:tcPr>
            <w:tcW w:w="202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Other operating expenses</w:t>
            </w: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67"/>
        </w:trPr>
        <w:tc>
          <w:tcPr>
            <w:tcW w:w="2020" w:type="dxa"/>
            <w:vAlign w:val="bottom"/>
            <w:tcBorders>
              <w:bottom w:val="single" w:sz="8" w:color="CCEEFF"/>
            </w:tcBorders>
            <w:shd w:val="clear" w:color="auto" w:fill="CCEEFF"/>
          </w:tcPr>
          <w:p>
            <w:pPr>
              <w:ind w:left="20"/>
              <w:spacing w:after="0" w:line="108" w:lineRule="exact"/>
              <w:rPr>
                <w:sz w:val="20"/>
                <w:szCs w:val="20"/>
                <w:color w:val="auto"/>
              </w:rPr>
            </w:pPr>
            <w:r>
              <w:rPr>
                <w:rFonts w:ascii="Arial" w:cs="Arial" w:eastAsia="Arial" w:hAnsi="Arial"/>
                <w:sz w:val="11"/>
                <w:szCs w:val="11"/>
                <w:color w:val="auto"/>
              </w:rPr>
              <w:t>(1)</w:t>
            </w:r>
          </w:p>
        </w:tc>
        <w:tc>
          <w:tcPr>
            <w:tcW w:w="3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ind w:right="99"/>
              <w:spacing w:after="0" w:line="162" w:lineRule="exact"/>
              <w:rPr>
                <w:sz w:val="20"/>
                <w:szCs w:val="20"/>
                <w:color w:val="auto"/>
              </w:rPr>
            </w:pPr>
            <w:r>
              <w:rPr>
                <w:rFonts w:ascii="Arial" w:cs="Arial" w:eastAsia="Arial" w:hAnsi="Arial"/>
                <w:sz w:val="16"/>
                <w:szCs w:val="16"/>
                <w:color w:val="auto"/>
              </w:rPr>
              <w:t>41.1</w:t>
            </w:r>
          </w:p>
        </w:tc>
        <w:tc>
          <w:tcPr>
            <w:tcW w:w="36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ind w:right="99"/>
              <w:spacing w:after="0" w:line="162" w:lineRule="exact"/>
              <w:rPr>
                <w:sz w:val="20"/>
                <w:szCs w:val="20"/>
                <w:color w:val="auto"/>
              </w:rPr>
            </w:pPr>
            <w:r>
              <w:rPr>
                <w:rFonts w:ascii="Arial" w:cs="Arial" w:eastAsia="Arial" w:hAnsi="Arial"/>
                <w:sz w:val="16"/>
                <w:szCs w:val="16"/>
                <w:color w:val="auto"/>
              </w:rPr>
              <w:t>43.1</w:t>
            </w:r>
          </w:p>
        </w:tc>
        <w:tc>
          <w:tcPr>
            <w:tcW w:w="3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ind w:right="99"/>
              <w:spacing w:after="0" w:line="162" w:lineRule="exact"/>
              <w:rPr>
                <w:sz w:val="20"/>
                <w:szCs w:val="20"/>
                <w:color w:val="auto"/>
              </w:rPr>
            </w:pPr>
            <w:r>
              <w:rPr>
                <w:rFonts w:ascii="Arial" w:cs="Arial" w:eastAsia="Arial" w:hAnsi="Arial"/>
                <w:sz w:val="16"/>
                <w:szCs w:val="16"/>
                <w:color w:val="auto"/>
              </w:rPr>
              <w:t>(2.0)</w:t>
            </w:r>
          </w:p>
        </w:tc>
        <w:tc>
          <w:tcPr>
            <w:tcW w:w="980" w:type="dxa"/>
            <w:vAlign w:val="bottom"/>
            <w:tcBorders>
              <w:bottom w:val="single" w:sz="8" w:color="CCEEFF"/>
            </w:tcBorders>
            <w:shd w:val="clear" w:color="auto" w:fill="CCEEFF"/>
          </w:tcPr>
          <w:p>
            <w:pPr>
              <w:jc w:val="right"/>
              <w:ind w:right="19"/>
              <w:spacing w:after="0" w:line="162" w:lineRule="exact"/>
              <w:rPr>
                <w:sz w:val="20"/>
                <w:szCs w:val="20"/>
                <w:color w:val="auto"/>
              </w:rPr>
            </w:pPr>
            <w:r>
              <w:rPr>
                <w:rFonts w:ascii="Arial" w:cs="Arial" w:eastAsia="Arial" w:hAnsi="Arial"/>
                <w:sz w:val="16"/>
                <w:szCs w:val="16"/>
                <w:color w:val="auto"/>
              </w:rPr>
              <w:t>(4.6)%</w:t>
            </w:r>
          </w:p>
        </w:tc>
        <w:tc>
          <w:tcPr>
            <w:tcW w:w="3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ind w:right="59"/>
              <w:spacing w:after="0" w:line="162" w:lineRule="exact"/>
              <w:rPr>
                <w:sz w:val="20"/>
                <w:szCs w:val="20"/>
                <w:color w:val="auto"/>
              </w:rPr>
            </w:pPr>
            <w:r>
              <w:rPr>
                <w:rFonts w:ascii="Arial" w:cs="Arial" w:eastAsia="Arial" w:hAnsi="Arial"/>
                <w:sz w:val="16"/>
                <w:szCs w:val="16"/>
                <w:color w:val="auto"/>
              </w:rPr>
              <w:t>130.8</w:t>
            </w:r>
          </w:p>
        </w:tc>
        <w:tc>
          <w:tcPr>
            <w:tcW w:w="20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ind w:right="59"/>
              <w:spacing w:after="0" w:line="162" w:lineRule="exact"/>
              <w:rPr>
                <w:sz w:val="20"/>
                <w:szCs w:val="20"/>
                <w:color w:val="auto"/>
              </w:rPr>
            </w:pPr>
            <w:r>
              <w:rPr>
                <w:rFonts w:ascii="Arial" w:cs="Arial" w:eastAsia="Arial" w:hAnsi="Arial"/>
                <w:sz w:val="16"/>
                <w:szCs w:val="16"/>
                <w:color w:val="auto"/>
              </w:rPr>
              <w:t>139.7</w:t>
            </w:r>
          </w:p>
        </w:tc>
        <w:tc>
          <w:tcPr>
            <w:tcW w:w="2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ind w:right="79"/>
              <w:spacing w:after="0" w:line="162" w:lineRule="exact"/>
              <w:rPr>
                <w:sz w:val="20"/>
                <w:szCs w:val="20"/>
                <w:color w:val="auto"/>
              </w:rPr>
            </w:pPr>
            <w:r>
              <w:rPr>
                <w:rFonts w:ascii="Arial" w:cs="Arial" w:eastAsia="Arial" w:hAnsi="Arial"/>
                <w:sz w:val="16"/>
                <w:szCs w:val="16"/>
                <w:color w:val="auto"/>
              </w:rPr>
              <w:t>(8.9)</w:t>
            </w:r>
          </w:p>
        </w:tc>
        <w:tc>
          <w:tcPr>
            <w:tcW w:w="94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(6.4)%</w:t>
            </w:r>
          </w:p>
        </w:tc>
      </w:tr>
      <w:tr>
        <w:trPr>
          <w:trHeight w:val="209"/>
        </w:trPr>
        <w:tc>
          <w:tcPr>
            <w:tcW w:w="20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Operating income (loss)</w:t>
            </w:r>
          </w:p>
        </w:tc>
        <w:tc>
          <w:tcPr>
            <w:tcW w:w="3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(6.9)</w:t>
            </w:r>
          </w:p>
        </w:tc>
        <w:tc>
          <w:tcPr>
            <w:tcW w:w="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(0.8)</w:t>
            </w:r>
          </w:p>
        </w:tc>
        <w:tc>
          <w:tcPr>
            <w:tcW w:w="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(6.1)</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NM</w:t>
            </w:r>
          </w:p>
        </w:tc>
        <w:tc>
          <w:tcPr>
            <w:tcW w:w="3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(24.4)</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(13.7)</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(10.7)</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(78.1)%</w:t>
            </w:r>
          </w:p>
        </w:tc>
      </w:tr>
    </w:tbl>
    <w:p>
      <w:pPr>
        <w:spacing w:after="0" w:line="58" w:lineRule="exact"/>
        <w:rPr>
          <w:sz w:val="20"/>
          <w:szCs w:val="20"/>
          <w:color w:val="auto"/>
        </w:rPr>
      </w:pPr>
    </w:p>
    <w:p>
      <w:pPr>
        <w:ind w:right="2460" w:firstLine="8"/>
        <w:spacing w:after="0" w:line="305" w:lineRule="auto"/>
        <w:tabs>
          <w:tab w:leader="none" w:pos="216" w:val="left"/>
        </w:tabs>
        <w:numPr>
          <w:ilvl w:val="0"/>
          <w:numId w:val="18"/>
        </w:numPr>
        <w:rPr>
          <w:rFonts w:ascii="Arial" w:cs="Arial" w:eastAsia="Arial" w:hAnsi="Arial"/>
          <w:sz w:val="14"/>
          <w:szCs w:val="14"/>
          <w:color w:val="auto"/>
        </w:rPr>
      </w:pPr>
      <w:r>
        <w:rPr>
          <w:rFonts w:ascii="Arial" w:cs="Arial" w:eastAsia="Arial" w:hAnsi="Arial"/>
          <w:sz w:val="14"/>
          <w:szCs w:val="14"/>
          <w:color w:val="auto"/>
        </w:rPr>
        <w:t>Other operating expenses include selling, general and administrative expenses, bad debt expenses and depreciation and amortization. NM Not meaningful</w:t>
      </w:r>
    </w:p>
    <w:p>
      <w:pPr>
        <w:spacing w:after="0" w:line="162" w:lineRule="exact"/>
        <w:rPr>
          <w:sz w:val="20"/>
          <w:szCs w:val="20"/>
          <w:color w:val="auto"/>
        </w:rPr>
      </w:pPr>
    </w:p>
    <w:p>
      <w:pPr>
        <w:jc w:val="both"/>
        <w:ind w:right="180"/>
        <w:spacing w:after="0" w:line="247" w:lineRule="auto"/>
        <w:rPr>
          <w:sz w:val="20"/>
          <w:szCs w:val="20"/>
          <w:color w:val="auto"/>
        </w:rPr>
      </w:pPr>
      <w:r>
        <w:rPr>
          <w:rFonts w:ascii="Arial" w:cs="Arial" w:eastAsia="Arial" w:hAnsi="Arial"/>
          <w:sz w:val="18"/>
          <w:szCs w:val="18"/>
          <w:color w:val="auto"/>
        </w:rPr>
        <w:t>Revenues for the quarter ended February 28, 2025 decreased by $11.3 million to $57.2 million, compared to $68.5 million in the prior fiscal year quarter. The decrease in segment revenues was primarily driven by the continued impact of market conditions as school districts have decreased spending on supplemental programs due to a focus on the adoption and implementation of new evidence-based core programs. The decrease in revenues was also attributable to lower subscription revenues from Magazines+ and lower revenues from</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30" w:name="page31"/>
    <w:bookmarkEnd w:id="30"/>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08914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89140" cy="8890"/>
                    </a:xfrm>
                    <a:prstGeom prst="rect">
                      <a:avLst/>
                    </a:prstGeom>
                    <a:noFill/>
                  </pic:spPr>
                </pic:pic>
              </a:graphicData>
            </a:graphic>
          </wp:anchor>
        </w:drawing>
        <w:t>SCHOLASTIC CORPORATION</w:t>
      </w:r>
    </w:p>
    <w:p>
      <w:pPr>
        <w:ind w:left="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8914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community literacy programs. Revenues from sponsored programs were consistent with the prior fiscal year quarter.</w:t>
      </w:r>
    </w:p>
    <w:p>
      <w:pPr>
        <w:spacing w:after="0" w:line="252"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 xml:space="preserve">Revenues for the nine months ended February 28, 2025 decreased by $31.4 million to $184.1 million, compared to $215.5 million in the prior fiscal year period. The decrease in segment revenues was primarily driven by the continued impact of market conditions as school districts focus on adopting and implementing new evidence-based core programs and decrease spending on supplemental materials. In addition, subscription revenues from Magazines+ and revenues from community literacy programs decreased from the prior fiscal year period. Partially offsetting the decline, the segment benefited from increased sales of the Company's </w:t>
      </w:r>
      <w:r>
        <w:rPr>
          <w:rFonts w:ascii="Arial" w:cs="Arial" w:eastAsia="Arial" w:hAnsi="Arial"/>
          <w:sz w:val="18"/>
          <w:szCs w:val="18"/>
          <w:i w:val="1"/>
          <w:iCs w:val="1"/>
          <w:color w:val="auto"/>
        </w:rPr>
        <w:t>Ready4Reading</w:t>
      </w:r>
      <w:r>
        <w:rPr>
          <w:rFonts w:ascii="Arial" w:cs="Arial" w:eastAsia="Arial" w:hAnsi="Arial"/>
          <w:sz w:val="23"/>
          <w:szCs w:val="23"/>
          <w:i w:val="1"/>
          <w:iCs w:val="1"/>
          <w:color w:val="auto"/>
          <w:vertAlign w:val="superscript"/>
        </w:rPr>
        <w:t>TM</w:t>
      </w:r>
      <w:r>
        <w:rPr>
          <w:rFonts w:ascii="Arial" w:cs="Arial" w:eastAsia="Arial" w:hAnsi="Arial"/>
          <w:sz w:val="18"/>
          <w:szCs w:val="18"/>
          <w:color w:val="auto"/>
        </w:rPr>
        <w:t xml:space="preserve"> phonics curriculum and increased revenues from sponsored programs in the first quarter.</w:t>
      </w:r>
    </w:p>
    <w:p>
      <w:pPr>
        <w:spacing w:after="0" w:line="21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Cost of goods sold for the quarter ended February 28, 2025 was $23.0 million, or 40.2% of revenues, compared to $26.2 million, or 38.2% of revenues, in the prior fiscal year quarter. Cost of goods sold as a percentage of revenues increased due to higher outbound freight costs related to sponsored programs and higher product costs associated with the mix of products sold during the quarter ended February 28, 2025. This was partially offset by lower prepublication amortization as a result of the impairment of certain education products in fiscal 2024.</w:t>
      </w:r>
    </w:p>
    <w:p>
      <w:pPr>
        <w:spacing w:after="0" w:line="20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Cost of goods sold for the nine months ended February 28, 2025 was $77.7 million, or 42.2% of revenues, compared to $89.5 million, or 41.5% of revenues, in the prior fiscal year period. Cost of goods sold as a percentage of revenues increased due to higher outbound freight costs related to sponsored programs, which was substantially offset by lower prepublication amortization as a result of the impairment of certain education products in fiscal 2024.</w:t>
      </w:r>
    </w:p>
    <w:p>
      <w:pPr>
        <w:spacing w:after="0" w:line="20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Other operating expenses for the three and nine months ended February 28, 2025 were $ 41.1 million and $130.8 million, respectively, compared to $43.1 million and $139.7 million, respectively, in the prior fiscal year periods. The decrease in Other operating expenses was primarily attributable to lower commission expense driven by the lower revenues, lower external labor costs and decreased marketing spend.</w:t>
      </w:r>
    </w:p>
    <w:p>
      <w:pPr>
        <w:spacing w:after="0" w:line="198" w:lineRule="exact"/>
        <w:rPr>
          <w:sz w:val="20"/>
          <w:szCs w:val="20"/>
          <w:color w:val="auto"/>
        </w:rPr>
      </w:pPr>
    </w:p>
    <w:p>
      <w:pPr>
        <w:jc w:val="both"/>
        <w:ind w:right="280"/>
        <w:spacing w:after="0" w:line="262" w:lineRule="auto"/>
        <w:rPr>
          <w:sz w:val="20"/>
          <w:szCs w:val="20"/>
          <w:color w:val="auto"/>
        </w:rPr>
      </w:pPr>
      <w:r>
        <w:rPr>
          <w:rFonts w:ascii="Arial" w:cs="Arial" w:eastAsia="Arial" w:hAnsi="Arial"/>
          <w:sz w:val="18"/>
          <w:szCs w:val="18"/>
          <w:color w:val="auto"/>
        </w:rPr>
        <w:t>Segment operating loss for the quarter ended February 28, 2025 was $6.9 million, compared to $0.8 million in the prior fiscal year quarter. Segment operating loss for the nine months ended February 28, 2025 was $24.4 million, compared to $13.7 million in the prior fiscal year period. The decline was driven by lower revenues, primarily attributable to the market conditions which resulted in decreased spending on supplemental materials and lower subscription revenues from Magazines+, partially offset by lower external labor costs.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Entertainment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2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40" w:type="dxa"/>
            <w:vAlign w:val="bottom"/>
            <w:tcBorders>
              <w:top w:val="single" w:sz="8" w:color="auto"/>
            </w:tcBorders>
            <w:gridSpan w:val="3"/>
          </w:tcPr>
          <w:p>
            <w:pPr>
              <w:jc w:val="right"/>
              <w:ind w:right="459"/>
              <w:spacing w:after="0"/>
              <w:rPr>
                <w:sz w:val="20"/>
                <w:szCs w:val="20"/>
                <w:color w:val="auto"/>
              </w:rPr>
            </w:pPr>
            <w:r>
              <w:rPr>
                <w:rFonts w:ascii="Arial" w:cs="Arial" w:eastAsia="Arial" w:hAnsi="Arial"/>
                <w:sz w:val="16"/>
                <w:szCs w:val="16"/>
                <w:b w:val="1"/>
                <w:bCs w:val="1"/>
                <w:color w:val="auto"/>
              </w:rPr>
              <w:t>Nine months ended</w:t>
            </w:r>
          </w:p>
        </w:tc>
        <w:tc>
          <w:tcPr>
            <w:tcW w:w="20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r>
      <w:tr>
        <w:trPr>
          <w:trHeight w:val="216"/>
        </w:trPr>
        <w:tc>
          <w:tcPr>
            <w:tcW w:w="2200" w:type="dxa"/>
            <w:vAlign w:val="bottom"/>
          </w:tcPr>
          <w:p>
            <w:pPr>
              <w:spacing w:after="0"/>
              <w:rPr>
                <w:sz w:val="18"/>
                <w:szCs w:val="18"/>
                <w:color w:val="auto"/>
              </w:rPr>
            </w:pPr>
          </w:p>
        </w:tc>
        <w:tc>
          <w:tcPr>
            <w:tcW w:w="132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February 28,</w:t>
            </w:r>
          </w:p>
        </w:tc>
        <w:tc>
          <w:tcPr>
            <w:tcW w:w="130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February 29,</w:t>
            </w:r>
          </w:p>
        </w:tc>
        <w:tc>
          <w:tcPr>
            <w:tcW w:w="340" w:type="dxa"/>
            <w:vAlign w:val="bottom"/>
          </w:tcPr>
          <w:p>
            <w:pPr>
              <w:spacing w:after="0"/>
              <w:rPr>
                <w:sz w:val="18"/>
                <w:szCs w:val="18"/>
                <w:color w:val="auto"/>
              </w:rPr>
            </w:pPr>
          </w:p>
        </w:tc>
        <w:tc>
          <w:tcPr>
            <w:tcW w:w="1120" w:type="dxa"/>
            <w:vAlign w:val="bottom"/>
          </w:tcPr>
          <w:p>
            <w:pPr>
              <w:jc w:val="right"/>
              <w:ind w:right="859"/>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spacing w:after="0"/>
              <w:rPr>
                <w:sz w:val="18"/>
                <w:szCs w:val="18"/>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b w:val="1"/>
                <w:bCs w:val="1"/>
                <w:color w:val="auto"/>
                <w:w w:val="98"/>
              </w:rPr>
              <w:t>February 28,</w:t>
            </w:r>
          </w:p>
        </w:tc>
        <w:tc>
          <w:tcPr>
            <w:tcW w:w="20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b w:val="1"/>
                <w:bCs w:val="1"/>
                <w:color w:val="auto"/>
              </w:rPr>
              <w:t>February 29,</w:t>
            </w:r>
          </w:p>
        </w:tc>
        <w:tc>
          <w:tcPr>
            <w:tcW w:w="200" w:type="dxa"/>
            <w:vAlign w:val="bottom"/>
          </w:tcPr>
          <w:p>
            <w:pPr>
              <w:spacing w:after="0"/>
              <w:rPr>
                <w:sz w:val="18"/>
                <w:szCs w:val="18"/>
                <w:color w:val="auto"/>
              </w:rPr>
            </w:pPr>
          </w:p>
        </w:tc>
        <w:tc>
          <w:tcPr>
            <w:tcW w:w="1680" w:type="dxa"/>
            <w:vAlign w:val="bottom"/>
          </w:tcPr>
          <w:p>
            <w:pPr>
              <w:jc w:val="right"/>
              <w:ind w:right="1239"/>
              <w:spacing w:after="0"/>
              <w:rPr>
                <w:sz w:val="20"/>
                <w:szCs w:val="20"/>
                <w:color w:val="auto"/>
              </w:rPr>
            </w:pPr>
            <w:r>
              <w:rPr>
                <w:rFonts w:ascii="Arial" w:cs="Arial" w:eastAsia="Arial" w:hAnsi="Arial"/>
                <w:sz w:val="16"/>
                <w:szCs w:val="16"/>
                <w:b w:val="1"/>
                <w:bCs w:val="1"/>
                <w:color w:val="auto"/>
              </w:rPr>
              <w:t>$</w:t>
            </w:r>
          </w:p>
        </w:tc>
      </w:tr>
      <w:tr>
        <w:trPr>
          <w:trHeight w:val="217"/>
        </w:trPr>
        <w:tc>
          <w:tcPr>
            <w:tcW w:w="22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 amounts in millions)</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599"/>
              <w:spacing w:after="0"/>
              <w:rPr>
                <w:sz w:val="20"/>
                <w:szCs w:val="20"/>
                <w:color w:val="auto"/>
              </w:rPr>
            </w:pPr>
            <w:r>
              <w:rPr>
                <w:rFonts w:ascii="Arial" w:cs="Arial" w:eastAsia="Arial" w:hAnsi="Arial"/>
                <w:sz w:val="16"/>
                <w:szCs w:val="16"/>
                <w:b w:val="1"/>
                <w:bCs w:val="1"/>
                <w:color w:val="auto"/>
              </w:rPr>
              <w:t>Change</w:t>
            </w:r>
          </w:p>
        </w:tc>
        <w:tc>
          <w:tcPr>
            <w:tcW w:w="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2025</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999"/>
              <w:spacing w:after="0"/>
              <w:rPr>
                <w:sz w:val="20"/>
                <w:szCs w:val="20"/>
                <w:color w:val="auto"/>
              </w:rPr>
            </w:pPr>
            <w:r>
              <w:rPr>
                <w:rFonts w:ascii="Arial" w:cs="Arial" w:eastAsia="Arial" w:hAnsi="Arial"/>
                <w:sz w:val="16"/>
                <w:szCs w:val="16"/>
                <w:b w:val="1"/>
                <w:bCs w:val="1"/>
                <w:color w:val="auto"/>
                <w:w w:val="98"/>
              </w:rPr>
              <w:t>Change</w:t>
            </w:r>
          </w:p>
        </w:tc>
      </w:tr>
      <w:tr>
        <w:trPr>
          <w:trHeight w:val="210"/>
        </w:trPr>
        <w:tc>
          <w:tcPr>
            <w:tcW w:w="2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12.8</w:t>
            </w:r>
          </w:p>
        </w:tc>
        <w:tc>
          <w:tcPr>
            <w:tcW w:w="84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0.5</w:t>
            </w:r>
          </w:p>
        </w:tc>
        <w:tc>
          <w:tcPr>
            <w:tcW w:w="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12.3</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46.2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rPr>
              <w:t>44.9</w:t>
            </w:r>
          </w:p>
        </w:tc>
      </w:tr>
      <w:tr>
        <w:trPr>
          <w:trHeight w:val="215"/>
        </w:trPr>
        <w:tc>
          <w:tcPr>
            <w:tcW w:w="220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360" w:type="dxa"/>
            <w:vAlign w:val="bottom"/>
          </w:tcPr>
          <w:p>
            <w:pPr>
              <w:spacing w:after="0"/>
              <w:rPr>
                <w:sz w:val="18"/>
                <w:szCs w:val="18"/>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7.2</w:t>
            </w:r>
          </w:p>
        </w:tc>
        <w:tc>
          <w:tcPr>
            <w:tcW w:w="840" w:type="dxa"/>
            <w:vAlign w:val="bottom"/>
          </w:tcPr>
          <w:p>
            <w:pPr>
              <w:spacing w:after="0"/>
              <w:rPr>
                <w:sz w:val="18"/>
                <w:szCs w:val="18"/>
                <w:color w:val="auto"/>
              </w:rPr>
            </w:pPr>
          </w:p>
        </w:tc>
        <w:tc>
          <w:tcPr>
            <w:tcW w:w="460" w:type="dxa"/>
            <w:vAlign w:val="bottom"/>
          </w:tcPr>
          <w:p>
            <w:pPr>
              <w:jc w:val="right"/>
              <w:ind w:right="99"/>
              <w:spacing w:after="0"/>
              <w:rPr>
                <w:sz w:val="20"/>
                <w:szCs w:val="20"/>
                <w:color w:val="auto"/>
              </w:rPr>
            </w:pPr>
            <w:r>
              <w:rPr>
                <w:rFonts w:ascii="Arial" w:cs="Arial" w:eastAsia="Arial" w:hAnsi="Arial"/>
                <w:sz w:val="16"/>
                <w:szCs w:val="16"/>
                <w:color w:val="auto"/>
              </w:rPr>
              <w:t>0.0</w:t>
            </w:r>
          </w:p>
        </w:tc>
        <w:tc>
          <w:tcPr>
            <w:tcW w:w="340" w:type="dxa"/>
            <w:vAlign w:val="bottom"/>
          </w:tcPr>
          <w:p>
            <w:pPr>
              <w:spacing w:after="0"/>
              <w:rPr>
                <w:sz w:val="18"/>
                <w:szCs w:val="18"/>
                <w:color w:val="auto"/>
              </w:rPr>
            </w:pPr>
          </w:p>
        </w:tc>
        <w:tc>
          <w:tcPr>
            <w:tcW w:w="1120" w:type="dxa"/>
            <w:vAlign w:val="bottom"/>
          </w:tcPr>
          <w:p>
            <w:pPr>
              <w:jc w:val="right"/>
              <w:ind w:right="499"/>
              <w:spacing w:after="0"/>
              <w:rPr>
                <w:sz w:val="20"/>
                <w:szCs w:val="20"/>
                <w:color w:val="auto"/>
              </w:rPr>
            </w:pPr>
            <w:r>
              <w:rPr>
                <w:rFonts w:ascii="Arial" w:cs="Arial" w:eastAsia="Arial" w:hAnsi="Arial"/>
                <w:sz w:val="16"/>
                <w:szCs w:val="16"/>
                <w:color w:val="auto"/>
              </w:rPr>
              <w:t>7.2</w:t>
            </w:r>
          </w:p>
        </w:tc>
        <w:tc>
          <w:tcPr>
            <w:tcW w:w="640" w:type="dxa"/>
            <w:vAlign w:val="bottom"/>
          </w:tcPr>
          <w:p>
            <w:pPr>
              <w:spacing w:after="0"/>
              <w:rPr>
                <w:sz w:val="18"/>
                <w:szCs w:val="18"/>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26.1</w:t>
            </w:r>
          </w:p>
        </w:tc>
        <w:tc>
          <w:tcPr>
            <w:tcW w:w="20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0.0</w:t>
            </w:r>
          </w:p>
        </w:tc>
        <w:tc>
          <w:tcPr>
            <w:tcW w:w="200" w:type="dxa"/>
            <w:vAlign w:val="bottom"/>
          </w:tcPr>
          <w:p>
            <w:pPr>
              <w:spacing w:after="0"/>
              <w:rPr>
                <w:sz w:val="18"/>
                <w:szCs w:val="18"/>
                <w:color w:val="auto"/>
              </w:rPr>
            </w:pPr>
          </w:p>
        </w:tc>
        <w:tc>
          <w:tcPr>
            <w:tcW w:w="1680" w:type="dxa"/>
            <w:vAlign w:val="bottom"/>
          </w:tcPr>
          <w:p>
            <w:pPr>
              <w:jc w:val="right"/>
              <w:ind w:right="879"/>
              <w:spacing w:after="0"/>
              <w:rPr>
                <w:sz w:val="20"/>
                <w:szCs w:val="20"/>
                <w:color w:val="auto"/>
              </w:rPr>
            </w:pPr>
            <w:r>
              <w:rPr>
                <w:rFonts w:ascii="Arial" w:cs="Arial" w:eastAsia="Arial" w:hAnsi="Arial"/>
                <w:sz w:val="16"/>
                <w:szCs w:val="16"/>
                <w:color w:val="auto"/>
              </w:rPr>
              <w:t>26.1</w:t>
            </w:r>
          </w:p>
        </w:tc>
      </w:tr>
      <w:tr>
        <w:trPr>
          <w:trHeight w:val="217"/>
        </w:trPr>
        <w:tc>
          <w:tcPr>
            <w:tcW w:w="220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Other operating expenses </w:t>
            </w:r>
            <w:r>
              <w:rPr>
                <w:rFonts w:ascii="Arial" w:cs="Arial" w:eastAsia="Arial" w:hAnsi="Arial"/>
                <w:sz w:val="21"/>
                <w:szCs w:val="21"/>
                <w:color w:val="auto"/>
                <w:vertAlign w:val="superscript"/>
              </w:rPr>
              <w:t>(1)</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9.2</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3.6</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5.6</w:t>
            </w: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28.9</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5.7</w:t>
            </w: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rPr>
              <w:t>23.2</w:t>
            </w:r>
          </w:p>
        </w:tc>
      </w:tr>
      <w:tr>
        <w:trPr>
          <w:trHeight w:val="215"/>
        </w:trPr>
        <w:tc>
          <w:tcPr>
            <w:tcW w:w="2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Asset impairments</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0.3</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0.3</w:t>
            </w:r>
          </w:p>
        </w:tc>
        <w:tc>
          <w:tcPr>
            <w:tcW w:w="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0.3</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color w:val="auto"/>
              </w:rPr>
              <w:t>0.3</w:t>
            </w:r>
          </w:p>
        </w:tc>
      </w:tr>
      <w:tr>
        <w:trPr>
          <w:trHeight w:val="210"/>
        </w:trPr>
        <w:tc>
          <w:tcPr>
            <w:tcW w:w="2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(3.9)</w:t>
            </w:r>
          </w:p>
        </w:tc>
        <w:tc>
          <w:tcPr>
            <w:tcW w:w="84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(3.1)</w:t>
            </w:r>
          </w:p>
        </w:tc>
        <w:tc>
          <w:tcPr>
            <w:tcW w:w="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(0.8)</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rPr>
              <w:t>(4.7)</w:t>
            </w:r>
          </w:p>
        </w:tc>
      </w:tr>
    </w:tbl>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(1) Other operating expenses include selling, general and administrative expenses, bad debt expenses, severance and depreciation and amortization.</w:t>
      </w:r>
    </w:p>
    <w:p>
      <w:pPr>
        <w:spacing w:after="0" w:line="24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Entertainment</w:t>
      </w:r>
      <w:r>
        <w:rPr>
          <w:rFonts w:ascii="Arial" w:cs="Arial" w:eastAsia="Arial" w:hAnsi="Arial"/>
          <w:sz w:val="18"/>
          <w:szCs w:val="18"/>
          <w:color w:val="auto"/>
        </w:rPr>
        <w:t xml:space="preserve"> segment includes the operations of 9 Story and Scholastic Entertainment Inc. ("SEI"). SEI was reported in the </w:t>
      </w:r>
      <w:r>
        <w:rPr>
          <w:rFonts w:ascii="Arial" w:cs="Arial" w:eastAsia="Arial" w:hAnsi="Arial"/>
          <w:sz w:val="18"/>
          <w:szCs w:val="18"/>
          <w:i w:val="1"/>
          <w:iCs w:val="1"/>
          <w:color w:val="auto"/>
        </w:rPr>
        <w:t>Children's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Book Publishing and Distribution </w:t>
      </w:r>
      <w:r>
        <w:rPr>
          <w:rFonts w:ascii="Arial" w:cs="Arial" w:eastAsia="Arial" w:hAnsi="Arial"/>
          <w:sz w:val="18"/>
          <w:szCs w:val="18"/>
          <w:color w:val="auto"/>
        </w:rPr>
        <w:t>segment in prior periods. The financial results for SEI for the three months and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February 29, 2024 have been reclassified to </w:t>
      </w:r>
      <w:r>
        <w:rPr>
          <w:rFonts w:ascii="Arial" w:cs="Arial" w:eastAsia="Arial" w:hAnsi="Arial"/>
          <w:sz w:val="18"/>
          <w:szCs w:val="18"/>
          <w:i w:val="1"/>
          <w:iCs w:val="1"/>
          <w:color w:val="auto"/>
        </w:rPr>
        <w:t>Entertainment</w:t>
      </w:r>
      <w:r>
        <w:rPr>
          <w:rFonts w:ascii="Arial" w:cs="Arial" w:eastAsia="Arial" w:hAnsi="Arial"/>
          <w:sz w:val="18"/>
          <w:szCs w:val="18"/>
          <w:color w:val="auto"/>
        </w:rPr>
        <w:t xml:space="preserve"> to reflect this change. Refer to Note 7 of Notes to Condensed Consolidated Financial Statements - unaudited in Item 1, “Financial Statements" for further details regarding the acquisition of 9 Story.</w:t>
      </w:r>
    </w:p>
    <w:p>
      <w:pPr>
        <w:spacing w:after="0" w:line="20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Revenues for the three and nine months ended February 28, 2025 were $12.8 million and $46.2 million, respectively, compared to $0.5 million and $1.3 million, respectively, in the prior fiscal year period. The increase reflected the addition of 9 Story from the date of acquisition on June 20, 2024 through February 28, 2025 in which a majority of the revenues were driven by production revenue related to episodic deliveries, production</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31" w:name="page32"/>
    <w:bookmarkEnd w:id="31"/>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08914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89140" cy="8890"/>
                    </a:xfrm>
                    <a:prstGeom prst="rect">
                      <a:avLst/>
                    </a:prstGeom>
                    <a:noFill/>
                  </pic:spPr>
                </pic:pic>
              </a:graphicData>
            </a:graphic>
          </wp:anchor>
        </w:drawing>
        <w:t>SCHOLASTIC CORPORATION</w:t>
      </w:r>
    </w:p>
    <w:p>
      <w:pPr>
        <w:ind w:left="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8914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services provided to third parties and, to a lesser extent, revenues from royalties and distribution. Entertainment revenues have been impacted by delays in production greenlights from major platforms.</w:t>
      </w:r>
    </w:p>
    <w:p>
      <w:pPr>
        <w:spacing w:after="0" w:line="180" w:lineRule="exact"/>
        <w:rPr>
          <w:sz w:val="20"/>
          <w:szCs w:val="20"/>
          <w:color w:val="auto"/>
        </w:rPr>
      </w:pPr>
    </w:p>
    <w:p>
      <w:pPr>
        <w:jc w:val="both"/>
        <w:ind w:right="400"/>
        <w:spacing w:after="0" w:line="268" w:lineRule="auto"/>
        <w:rPr>
          <w:sz w:val="20"/>
          <w:szCs w:val="20"/>
          <w:color w:val="auto"/>
        </w:rPr>
      </w:pPr>
      <w:r>
        <w:rPr>
          <w:rFonts w:ascii="Arial" w:cs="Arial" w:eastAsia="Arial" w:hAnsi="Arial"/>
          <w:sz w:val="18"/>
          <w:szCs w:val="18"/>
          <w:color w:val="auto"/>
        </w:rPr>
        <w:t>Cost of goods sold for the three and nine months ended February 28, 2025 was $7.2 million, or 56.3% of revenues, and $26.1 million, or 56.5% of revenues, respectively. Cost of goods sold primarily consists of production costs and amortization, participation expenses and interest on film related obligations.</w:t>
      </w:r>
    </w:p>
    <w:p>
      <w:pPr>
        <w:spacing w:after="0" w:line="19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Other operating expenses for the three months ended February 28, 2025 were $9.2 million, which included transaction costs of $0.5 million related to the 9 Story acquisition and severance expense of $0.7 million related to cost-saving initiatives. Other operating expenses for the three months ended February 29, 2024 were $3.6 million, which included transaction costs of $3.0 million related to the 9 Story acquisition.</w:t>
      </w:r>
    </w:p>
    <w:p>
      <w:pPr>
        <w:spacing w:after="0" w:line="198"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color w:val="auto"/>
        </w:rPr>
        <w:t>Other operating expenses for the nine months ended February 28, 2025 were $ 28.9 million, which included transaction costs of $2.6 million related to the 9 Story acquisition and severance expense of $1.1 million related to cost-saving initiatives. Other operating expenses for the nine months ended February 29, 2024 were $5.7 million, which included transaction costs of $3.0 million related to the 9 Story acquisition.</w:t>
      </w:r>
    </w:p>
    <w:p>
      <w:pPr>
        <w:spacing w:after="0" w:line="180"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Asset impairments for the three and nine months ended February 28, 2025 were $0.3 million. The Company ceased use of a leased office space as a result of which the Company recognized an impairment expense of $0.3 million in the third quarter of fiscal 2025.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Segment operating loss for the three and nine months ended February 28, 2025 was $3.9 million and $9.1 million, respectively.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200" w:type="dxa"/>
            <w:vAlign w:val="bottom"/>
            <w:tcBorders>
              <w:top w:val="single" w:sz="8" w:color="auto"/>
            </w:tcBorders>
            <w:gridSpan w:val="3"/>
          </w:tcPr>
          <w:p>
            <w:pPr>
              <w:jc w:val="right"/>
              <w:ind w:right="379"/>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240" w:type="dxa"/>
            <w:vAlign w:val="bottom"/>
            <w:tcBorders>
              <w:top w:val="single" w:sz="8" w:color="auto"/>
            </w:tcBorders>
            <w:gridSpan w:val="3"/>
          </w:tcPr>
          <w:p>
            <w:pPr>
              <w:jc w:val="right"/>
              <w:ind w:right="419"/>
              <w:spacing w:after="0"/>
              <w:rPr>
                <w:sz w:val="20"/>
                <w:szCs w:val="20"/>
                <w:color w:val="auto"/>
              </w:rPr>
            </w:pPr>
            <w:r>
              <w:rPr>
                <w:rFonts w:ascii="Arial" w:cs="Arial" w:eastAsia="Arial" w:hAnsi="Arial"/>
                <w:sz w:val="16"/>
                <w:szCs w:val="16"/>
                <w:b w:val="1"/>
                <w:bCs w:val="1"/>
                <w:color w:val="auto"/>
              </w:rPr>
              <w:t>Nine months ended</w:t>
            </w: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r>
      <w:tr>
        <w:trPr>
          <w:trHeight w:val="216"/>
        </w:trPr>
        <w:tc>
          <w:tcPr>
            <w:tcW w:w="2020" w:type="dxa"/>
            <w:vAlign w:val="bottom"/>
          </w:tcPr>
          <w:p>
            <w:pPr>
              <w:spacing w:after="0"/>
              <w:rPr>
                <w:sz w:val="18"/>
                <w:szCs w:val="18"/>
                <w:color w:val="auto"/>
              </w:rPr>
            </w:pPr>
          </w:p>
        </w:tc>
        <w:tc>
          <w:tcPr>
            <w:tcW w:w="126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February 28,</w:t>
            </w:r>
          </w:p>
        </w:tc>
        <w:tc>
          <w:tcPr>
            <w:tcW w:w="128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February 29,</w:t>
            </w:r>
          </w:p>
        </w:tc>
        <w:tc>
          <w:tcPr>
            <w:tcW w:w="320" w:type="dxa"/>
            <w:vAlign w:val="bottom"/>
          </w:tcPr>
          <w:p>
            <w:pPr>
              <w:spacing w:after="0"/>
              <w:rPr>
                <w:sz w:val="18"/>
                <w:szCs w:val="18"/>
                <w:color w:val="auto"/>
              </w:rPr>
            </w:pPr>
          </w:p>
        </w:tc>
        <w:tc>
          <w:tcPr>
            <w:tcW w:w="740" w:type="dxa"/>
            <w:vAlign w:val="bottom"/>
          </w:tcPr>
          <w:p>
            <w:pPr>
              <w:jc w:val="right"/>
              <w:ind w:right="47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w:t>
            </w:r>
          </w:p>
        </w:tc>
        <w:tc>
          <w:tcPr>
            <w:tcW w:w="128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February 28,</w:t>
            </w:r>
          </w:p>
        </w:tc>
        <w:tc>
          <w:tcPr>
            <w:tcW w:w="20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b w:val="1"/>
                <w:bCs w:val="1"/>
                <w:color w:val="auto"/>
                <w:w w:val="98"/>
              </w:rPr>
              <w:t>February 29,</w:t>
            </w:r>
          </w:p>
        </w:tc>
        <w:tc>
          <w:tcPr>
            <w:tcW w:w="200" w:type="dxa"/>
            <w:vAlign w:val="bottom"/>
          </w:tcPr>
          <w:p>
            <w:pPr>
              <w:spacing w:after="0"/>
              <w:rPr>
                <w:sz w:val="18"/>
                <w:szCs w:val="18"/>
                <w:color w:val="auto"/>
              </w:rPr>
            </w:pPr>
          </w:p>
        </w:tc>
        <w:tc>
          <w:tcPr>
            <w:tcW w:w="900" w:type="dxa"/>
            <w:vAlign w:val="bottom"/>
          </w:tcPr>
          <w:p>
            <w:pPr>
              <w:jc w:val="right"/>
              <w:ind w:right="47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339"/>
              <w:spacing w:after="0"/>
              <w:rPr>
                <w:sz w:val="20"/>
                <w:szCs w:val="20"/>
                <w:color w:val="auto"/>
              </w:rPr>
            </w:pPr>
            <w:r>
              <w:rPr>
                <w:rFonts w:ascii="Arial" w:cs="Arial" w:eastAsia="Arial" w:hAnsi="Arial"/>
                <w:sz w:val="16"/>
                <w:szCs w:val="16"/>
                <w:b w:val="1"/>
                <w:bCs w:val="1"/>
                <w:color w:val="auto"/>
              </w:rPr>
              <w:t>%</w:t>
            </w:r>
          </w:p>
        </w:tc>
      </w:tr>
      <w:tr>
        <w:trPr>
          <w:trHeight w:val="217"/>
        </w:trPr>
        <w:tc>
          <w:tcPr>
            <w:tcW w:w="20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 amounts in millions)</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2025</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2024</w:t>
            </w:r>
          </w:p>
        </w:tc>
        <w:tc>
          <w:tcPr>
            <w:tcW w:w="1060" w:type="dxa"/>
            <w:vAlign w:val="bottom"/>
            <w:tcBorders>
              <w:bottom w:val="single" w:sz="8" w:color="auto"/>
            </w:tcBorders>
            <w:gridSpan w:val="2"/>
          </w:tcPr>
          <w:p>
            <w:pPr>
              <w:jc w:val="center"/>
              <w:ind w:right="59"/>
              <w:spacing w:after="0"/>
              <w:rPr>
                <w:sz w:val="20"/>
                <w:szCs w:val="20"/>
                <w:color w:val="auto"/>
              </w:rPr>
            </w:pPr>
            <w:r>
              <w:rPr>
                <w:rFonts w:ascii="Arial" w:cs="Arial" w:eastAsia="Arial" w:hAnsi="Arial"/>
                <w:sz w:val="16"/>
                <w:szCs w:val="16"/>
                <w:b w:val="1"/>
                <w:bCs w:val="1"/>
                <w:color w:val="auto"/>
              </w:rPr>
              <w:t>Change</w:t>
            </w: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Change</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r>
      <w:tr>
        <w:trPr>
          <w:trHeight w:val="210"/>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59.3</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59.1</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8"/>
              </w:rPr>
              <w:t>0.2</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0.3 %</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202.8</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202.8</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center"/>
              <w:ind w:left="159"/>
              <w:spacing w:after="0"/>
              <w:rPr>
                <w:sz w:val="20"/>
                <w:szCs w:val="20"/>
                <w:color w:val="auto"/>
              </w:rPr>
            </w:pPr>
            <w:r>
              <w:rPr>
                <w:rFonts w:ascii="Arial" w:cs="Arial" w:eastAsia="Arial" w:hAnsi="Arial"/>
                <w:sz w:val="16"/>
                <w:szCs w:val="16"/>
                <w:color w:val="auto"/>
                <w:w w:val="98"/>
              </w:rPr>
              <w:t>0.0</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0.0 %</w:t>
            </w:r>
          </w:p>
        </w:tc>
      </w:tr>
      <w:tr>
        <w:trPr>
          <w:trHeight w:val="215"/>
        </w:trPr>
        <w:tc>
          <w:tcPr>
            <w:tcW w:w="202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340" w:type="dxa"/>
            <w:vAlign w:val="bottom"/>
          </w:tcPr>
          <w:p>
            <w:pPr>
              <w:spacing w:after="0"/>
              <w:rPr>
                <w:sz w:val="18"/>
                <w:szCs w:val="18"/>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33.8</w:t>
            </w:r>
          </w:p>
        </w:tc>
        <w:tc>
          <w:tcPr>
            <w:tcW w:w="340" w:type="dxa"/>
            <w:vAlign w:val="bottom"/>
          </w:tcPr>
          <w:p>
            <w:pPr>
              <w:spacing w:after="0"/>
              <w:rPr>
                <w:sz w:val="18"/>
                <w:szCs w:val="18"/>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36.5</w:t>
            </w:r>
          </w:p>
        </w:tc>
        <w:tc>
          <w:tcPr>
            <w:tcW w:w="3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rPr>
              <w:t>(2.7)</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(7.4)%</w:t>
            </w:r>
          </w:p>
        </w:tc>
        <w:tc>
          <w:tcPr>
            <w:tcW w:w="34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118.0</w:t>
            </w:r>
          </w:p>
        </w:tc>
        <w:tc>
          <w:tcPr>
            <w:tcW w:w="20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121.3</w:t>
            </w:r>
          </w:p>
        </w:tc>
        <w:tc>
          <w:tcPr>
            <w:tcW w:w="200" w:type="dxa"/>
            <w:vAlign w:val="bottom"/>
          </w:tcPr>
          <w:p>
            <w:pPr>
              <w:spacing w:after="0"/>
              <w:rPr>
                <w:sz w:val="18"/>
                <w:szCs w:val="18"/>
                <w:color w:val="auto"/>
              </w:rPr>
            </w:pPr>
          </w:p>
        </w:tc>
        <w:tc>
          <w:tcPr>
            <w:tcW w:w="900" w:type="dxa"/>
            <w:vAlign w:val="bottom"/>
          </w:tcPr>
          <w:p>
            <w:pPr>
              <w:jc w:val="center"/>
              <w:ind w:left="159"/>
              <w:spacing w:after="0"/>
              <w:rPr>
                <w:sz w:val="20"/>
                <w:szCs w:val="20"/>
                <w:color w:val="auto"/>
              </w:rPr>
            </w:pPr>
            <w:r>
              <w:rPr>
                <w:rFonts w:ascii="Arial" w:cs="Arial" w:eastAsia="Arial" w:hAnsi="Arial"/>
                <w:sz w:val="16"/>
                <w:szCs w:val="16"/>
                <w:color w:val="auto"/>
              </w:rPr>
              <w:t>(3.3)</w:t>
            </w:r>
          </w:p>
        </w:tc>
        <w:tc>
          <w:tcPr>
            <w:tcW w:w="94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163"/>
        </w:trPr>
        <w:tc>
          <w:tcPr>
            <w:tcW w:w="202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Other operating expenses</w:t>
            </w: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67"/>
        </w:trPr>
        <w:tc>
          <w:tcPr>
            <w:tcW w:w="2020" w:type="dxa"/>
            <w:vAlign w:val="bottom"/>
            <w:tcBorders>
              <w:bottom w:val="single" w:sz="8" w:color="CCEEFF"/>
            </w:tcBorders>
            <w:shd w:val="clear" w:color="auto" w:fill="CCEEFF"/>
          </w:tcPr>
          <w:p>
            <w:pPr>
              <w:ind w:left="20"/>
              <w:spacing w:after="0" w:line="108" w:lineRule="exact"/>
              <w:rPr>
                <w:sz w:val="20"/>
                <w:szCs w:val="20"/>
                <w:color w:val="auto"/>
              </w:rPr>
            </w:pPr>
            <w:r>
              <w:rPr>
                <w:rFonts w:ascii="Arial" w:cs="Arial" w:eastAsia="Arial" w:hAnsi="Arial"/>
                <w:sz w:val="11"/>
                <w:szCs w:val="11"/>
                <w:color w:val="auto"/>
              </w:rPr>
              <w:t>(1)</w:t>
            </w:r>
          </w:p>
        </w:tc>
        <w:tc>
          <w:tcPr>
            <w:tcW w:w="3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ind w:right="99"/>
              <w:spacing w:after="0" w:line="162" w:lineRule="exact"/>
              <w:rPr>
                <w:sz w:val="20"/>
                <w:szCs w:val="20"/>
                <w:color w:val="auto"/>
              </w:rPr>
            </w:pPr>
            <w:r>
              <w:rPr>
                <w:rFonts w:ascii="Arial" w:cs="Arial" w:eastAsia="Arial" w:hAnsi="Arial"/>
                <w:sz w:val="16"/>
                <w:szCs w:val="16"/>
                <w:color w:val="auto"/>
              </w:rPr>
              <w:t>27.6</w:t>
            </w:r>
          </w:p>
        </w:tc>
        <w:tc>
          <w:tcPr>
            <w:tcW w:w="3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ind w:right="99"/>
              <w:spacing w:after="0" w:line="162" w:lineRule="exact"/>
              <w:rPr>
                <w:sz w:val="20"/>
                <w:szCs w:val="20"/>
                <w:color w:val="auto"/>
              </w:rPr>
            </w:pPr>
            <w:r>
              <w:rPr>
                <w:rFonts w:ascii="Arial" w:cs="Arial" w:eastAsia="Arial" w:hAnsi="Arial"/>
                <w:sz w:val="16"/>
                <w:szCs w:val="16"/>
                <w:color w:val="auto"/>
              </w:rPr>
              <w:t>28.5</w:t>
            </w:r>
          </w:p>
        </w:tc>
        <w:tc>
          <w:tcPr>
            <w:tcW w:w="3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center"/>
              <w:spacing w:after="0" w:line="162" w:lineRule="exact"/>
              <w:rPr>
                <w:sz w:val="20"/>
                <w:szCs w:val="20"/>
                <w:color w:val="auto"/>
              </w:rPr>
            </w:pPr>
            <w:r>
              <w:rPr>
                <w:rFonts w:ascii="Arial" w:cs="Arial" w:eastAsia="Arial" w:hAnsi="Arial"/>
                <w:sz w:val="16"/>
                <w:szCs w:val="16"/>
                <w:color w:val="auto"/>
              </w:rPr>
              <w:t>(0.9)</w:t>
            </w:r>
          </w:p>
        </w:tc>
        <w:tc>
          <w:tcPr>
            <w:tcW w:w="1000" w:type="dxa"/>
            <w:vAlign w:val="bottom"/>
            <w:tcBorders>
              <w:bottom w:val="single" w:sz="8" w:color="CCEEFF"/>
            </w:tcBorders>
            <w:shd w:val="clear" w:color="auto" w:fill="CCEEFF"/>
          </w:tcPr>
          <w:p>
            <w:pPr>
              <w:jc w:val="right"/>
              <w:ind w:right="19"/>
              <w:spacing w:after="0" w:line="162" w:lineRule="exact"/>
              <w:rPr>
                <w:sz w:val="20"/>
                <w:szCs w:val="20"/>
                <w:color w:val="auto"/>
              </w:rPr>
            </w:pPr>
            <w:r>
              <w:rPr>
                <w:rFonts w:ascii="Arial" w:cs="Arial" w:eastAsia="Arial" w:hAnsi="Arial"/>
                <w:sz w:val="16"/>
                <w:szCs w:val="16"/>
                <w:color w:val="auto"/>
              </w:rPr>
              <w:t>(3.2)%</w:t>
            </w:r>
          </w:p>
        </w:tc>
        <w:tc>
          <w:tcPr>
            <w:tcW w:w="3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ind w:right="59"/>
              <w:spacing w:after="0" w:line="162" w:lineRule="exact"/>
              <w:rPr>
                <w:sz w:val="20"/>
                <w:szCs w:val="20"/>
                <w:color w:val="auto"/>
              </w:rPr>
            </w:pPr>
            <w:r>
              <w:rPr>
                <w:rFonts w:ascii="Arial" w:cs="Arial" w:eastAsia="Arial" w:hAnsi="Arial"/>
                <w:sz w:val="16"/>
                <w:szCs w:val="16"/>
                <w:color w:val="auto"/>
              </w:rPr>
              <w:t>89.5</w:t>
            </w:r>
          </w:p>
        </w:tc>
        <w:tc>
          <w:tcPr>
            <w:tcW w:w="20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ind w:right="79"/>
              <w:spacing w:after="0" w:line="162" w:lineRule="exact"/>
              <w:rPr>
                <w:sz w:val="20"/>
                <w:szCs w:val="20"/>
                <w:color w:val="auto"/>
              </w:rPr>
            </w:pPr>
            <w:r>
              <w:rPr>
                <w:rFonts w:ascii="Arial" w:cs="Arial" w:eastAsia="Arial" w:hAnsi="Arial"/>
                <w:sz w:val="16"/>
                <w:szCs w:val="16"/>
                <w:color w:val="auto"/>
              </w:rPr>
              <w:t>87.6</w:t>
            </w:r>
          </w:p>
        </w:tc>
        <w:tc>
          <w:tcPr>
            <w:tcW w:w="2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center"/>
              <w:ind w:left="159"/>
              <w:spacing w:after="0" w:line="162" w:lineRule="exact"/>
              <w:rPr>
                <w:sz w:val="20"/>
                <w:szCs w:val="20"/>
                <w:color w:val="auto"/>
              </w:rPr>
            </w:pPr>
            <w:r>
              <w:rPr>
                <w:rFonts w:ascii="Arial" w:cs="Arial" w:eastAsia="Arial" w:hAnsi="Arial"/>
                <w:sz w:val="16"/>
                <w:szCs w:val="16"/>
                <w:color w:val="auto"/>
                <w:w w:val="98"/>
              </w:rPr>
              <w:t>1.9</w:t>
            </w:r>
          </w:p>
        </w:tc>
        <w:tc>
          <w:tcPr>
            <w:tcW w:w="94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2.2 %</w:t>
            </w:r>
          </w:p>
        </w:tc>
      </w:tr>
      <w:tr>
        <w:trPr>
          <w:trHeight w:val="209"/>
        </w:trPr>
        <w:tc>
          <w:tcPr>
            <w:tcW w:w="20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Operating income (loss)</w:t>
            </w:r>
          </w:p>
        </w:tc>
        <w:tc>
          <w:tcPr>
            <w:tcW w:w="3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(2.1)</w:t>
            </w:r>
          </w:p>
        </w:tc>
        <w:tc>
          <w:tcPr>
            <w:tcW w:w="3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(5.9)</w:t>
            </w:r>
          </w:p>
        </w:tc>
        <w:tc>
          <w:tcPr>
            <w:tcW w:w="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center"/>
              <w:ind w:left="39"/>
              <w:spacing w:after="0"/>
              <w:rPr>
                <w:sz w:val="20"/>
                <w:szCs w:val="20"/>
                <w:color w:val="auto"/>
              </w:rPr>
            </w:pPr>
            <w:r>
              <w:rPr>
                <w:rFonts w:ascii="Arial" w:cs="Arial" w:eastAsia="Arial" w:hAnsi="Arial"/>
                <w:sz w:val="16"/>
                <w:szCs w:val="16"/>
                <w:color w:val="auto"/>
                <w:w w:val="98"/>
              </w:rPr>
              <w:t>3.8</w:t>
            </w: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64.4 %</w:t>
            </w:r>
          </w:p>
        </w:tc>
        <w:tc>
          <w:tcPr>
            <w:tcW w:w="3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(4.7)</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(6.1)</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center"/>
              <w:ind w:left="159"/>
              <w:spacing w:after="0"/>
              <w:rPr>
                <w:sz w:val="20"/>
                <w:szCs w:val="20"/>
                <w:color w:val="auto"/>
              </w:rPr>
            </w:pPr>
            <w:r>
              <w:rPr>
                <w:rFonts w:ascii="Arial" w:cs="Arial" w:eastAsia="Arial" w:hAnsi="Arial"/>
                <w:sz w:val="16"/>
                <w:szCs w:val="16"/>
                <w:color w:val="auto"/>
                <w:w w:val="98"/>
              </w:rPr>
              <w:t>1.4</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23.0 %</w:t>
            </w:r>
          </w:p>
        </w:tc>
      </w:tr>
    </w:tbl>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(1) Other operating expenses include selling, general and administrative expenses, bad debt expenses, severance and depreciation and amortization.</w:t>
      </w:r>
    </w:p>
    <w:p>
      <w:pPr>
        <w:spacing w:after="0" w:line="24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Revenues for the quarter ended February 28, 2025 increased by $0.2 million to $59.3 million, compared to $59.1 million in the prior fiscal year quarter. Local currency revenues across the Company's foreign operations increased by $2.9 million, excluding unfavorable foreign exchange impact of $2.7 million. In Australia and New Zealand, local currency revenues increased $ 1.8 million, driven by increased sales of education products in New Zealand, which more than offset lower revenues in Australia. In the U.K., local currency revenues increased $1.2 million, primarily within the trade channel, driven by higher sales of titles within Dav Pilkey's </w:t>
      </w:r>
      <w:r>
        <w:rPr>
          <w:rFonts w:ascii="Arial" w:cs="Arial" w:eastAsia="Arial" w:hAnsi="Arial"/>
          <w:sz w:val="18"/>
          <w:szCs w:val="18"/>
          <w:i w:val="1"/>
          <w:iCs w:val="1"/>
          <w:color w:val="auto"/>
        </w:rPr>
        <w:t>Dog Man</w:t>
      </w:r>
      <w:r>
        <w:rPr>
          <w:rFonts w:ascii="Arial" w:cs="Arial" w:eastAsia="Arial" w:hAnsi="Arial"/>
          <w:sz w:val="18"/>
          <w:szCs w:val="18"/>
          <w:color w:val="auto"/>
        </w:rPr>
        <w:t xml:space="preserve"> series, which included the latest release, </w:t>
      </w:r>
      <w:r>
        <w:rPr>
          <w:rFonts w:ascii="Arial" w:cs="Arial" w:eastAsia="Arial" w:hAnsi="Arial"/>
          <w:sz w:val="18"/>
          <w:szCs w:val="18"/>
          <w:i w:val="1"/>
          <w:iCs w:val="1"/>
          <w:color w:val="auto"/>
        </w:rPr>
        <w:t>Dog Man #13: Big Jim Begins.</w:t>
      </w:r>
      <w:r>
        <w:rPr>
          <w:rFonts w:ascii="Arial" w:cs="Arial" w:eastAsia="Arial" w:hAnsi="Arial"/>
          <w:sz w:val="18"/>
          <w:szCs w:val="18"/>
          <w:color w:val="auto"/>
        </w:rPr>
        <w:t xml:space="preserve"> In Canada, local currency revenues increased $1.2 million driven by higher revenues from the trade and book clubs channels, partially offset by lower book fairs channel sales. The overall increase in segment revenues was partially offset by a $0.6 million decrease in local currency revenues in Asia, primarily within the trade and education channels, partly offset by growth in India, as well as lower export channel sales of $0.7 million.</w:t>
      </w:r>
    </w:p>
    <w:p>
      <w:pPr>
        <w:spacing w:after="0" w:line="208"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 xml:space="preserve">Revenues for the nine months ended February 28, 2025 and February 29, 2024 were $202.8 million. Local currency revenues across the Company's foreign operations increased by $1.0 million, excluding unfavorable foreign exchange impact of $1.0 million. In the U.K., local currency revenues increased $2.5 million, primarily driven by higher sales in the trade channel which benefited from the release of </w:t>
      </w:r>
      <w:r>
        <w:rPr>
          <w:rFonts w:ascii="Arial" w:cs="Arial" w:eastAsia="Arial" w:hAnsi="Arial"/>
          <w:sz w:val="18"/>
          <w:szCs w:val="18"/>
          <w:i w:val="1"/>
          <w:iCs w:val="1"/>
          <w:color w:val="auto"/>
        </w:rPr>
        <w:t>Jonty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Gentoo: The Adventures of a Penguin </w:t>
      </w:r>
      <w:r>
        <w:rPr>
          <w:rFonts w:ascii="Arial" w:cs="Arial" w:eastAsia="Arial" w:hAnsi="Arial"/>
          <w:sz w:val="18"/>
          <w:szCs w:val="18"/>
          <w:color w:val="auto"/>
        </w:rPr>
        <w:t>by Julia Donaldson and Axel Scheffler and</w:t>
      </w:r>
      <w:r>
        <w:rPr>
          <w:rFonts w:ascii="Arial" w:cs="Arial" w:eastAsia="Arial" w:hAnsi="Arial"/>
          <w:sz w:val="18"/>
          <w:szCs w:val="18"/>
          <w:i w:val="1"/>
          <w:iCs w:val="1"/>
          <w:color w:val="auto"/>
        </w:rPr>
        <w:t xml:space="preserve"> Dog Man #13: Big Jim Begins </w:t>
      </w:r>
      <w:r>
        <w:rPr>
          <w:rFonts w:ascii="Arial" w:cs="Arial" w:eastAsia="Arial" w:hAnsi="Arial"/>
          <w:sz w:val="18"/>
          <w:szCs w:val="18"/>
          <w:color w:val="auto"/>
        </w:rPr>
        <w:t>by Dav Pilkey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higher fair count in the book fairs channel. In Canada, local currency revenues increased $0.8 million, driven by higher sales from the book clubs channels, partially offset by lower sales of education products. Canada also benefited from lower trade sales returns from its major customers which partially offset the decline in trade channel sales. Partially offsetting the increase in segment revenues, local currency revenues in Australia and New</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32" w:name="page33"/>
    <w:bookmarkEnd w:id="32"/>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08914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89140" cy="8255"/>
                    </a:xfrm>
                    <a:prstGeom prst="rect">
                      <a:avLst/>
                    </a:prstGeom>
                    <a:noFill/>
                  </pic:spPr>
                </pic:pic>
              </a:graphicData>
            </a:graphic>
          </wp:anchor>
        </w:drawing>
        <w:t>SCHOLASTIC CORPORATION</w:t>
      </w:r>
    </w:p>
    <w:p>
      <w:pPr>
        <w:ind w:left="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8914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Zealand decreased $0.2 million as increased sales of education products in New Zealand were more than offset by lower revenues in Australia, primarily due to continued softness in the retail market. In Asia, local currency revenues decreased $0.5 million due to lower sales within the trade and education channels, partially offset by growth in India. In addition, export channel revenues decreased $1.6 million as compared to the prior fiscal year period.</w:t>
      </w:r>
    </w:p>
    <w:p>
      <w:pPr>
        <w:spacing w:after="0" w:line="20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Cost of goods sold for the quarter ended February 28, 2025 was $33.8 million, or 57.0% of revenues, compared to $36.5 million, or 61.8% of revenues, in the prior fiscal year quarter. Cost of goods sold as a percentage of revenues decreased as a result of lower product costs in the U.K. and New Zealand due to the mix of product sold in the quarter ended February 28, 2025, coupled with lower excess and obsolete inventory in Canada as a result of improved inventory usage.</w:t>
      </w:r>
    </w:p>
    <w:p>
      <w:pPr>
        <w:spacing w:after="0" w:line="20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Cost of goods sold for the nine months ended February 28, 2025 was $118.0 million, or 58.2% of revenues, compared to $121.3 million, or 59.8% of revenues, in the prior fiscal year period. Cost of goods sold as a percentage of revenues decreased as a result of lower product costs in the U.K. and New Zealand due to the mix of product sold in the period ended February 28, 2025, partly offset by increased fulfillment costs in Australia on lower revenues.</w:t>
      </w:r>
    </w:p>
    <w:p>
      <w:pPr>
        <w:spacing w:after="0" w:line="20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Other operating expenses for the three months ended February 28, 2025 were $27.6 million, compared to $28.5 million in the prior fiscal year quarter. Excluding favorable foreign exchange impact of $1.2 million, Other operating expenses were consistent with the prior quarter.</w:t>
      </w:r>
    </w:p>
    <w:p>
      <w:pPr>
        <w:spacing w:after="0" w:line="18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Other operating expenses for the nine months ended February 28, 2025 were $89.5 million, compared to $87.6 million in the prior fiscal year period. The $1.9 million increase in Other operating expenses was primarily due to higher general overhead costs and higher severance expense from the Company's cost-saving initiatives of $ 0.3 million in which the Company incurred $1.5 million in Asia in the period ended February 28, 2025, compared to $1.2 million in Canada in the prior fiscal year period.</w:t>
      </w:r>
    </w:p>
    <w:p>
      <w:pPr>
        <w:spacing w:after="0" w:line="20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Segment operating loss for the quarter ended February 28, 2025 was $2.1 million, compared to an operating loss of $5.9 million in the prior fiscal year quarter. The $3.8 million improvement was primarily attributable to higher revenues in Canada, the U.K. and New Zealand, coupled with lower product costs associated with the mix of product sold in the quarter ended February 28, 2025 and improved profitability in Canada which benefited from operating efficiencies.</w:t>
      </w:r>
    </w:p>
    <w:p>
      <w:pPr>
        <w:spacing w:after="0" w:line="20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Segment operating loss for the nine months ended February 28, 2025 was $4.7 million compared to an operating loss of $6.1 million in the prior fiscal year period. The $1.4 million improvement was primarily attributable to higher revenues in Canada, the U.K. and New Zealand, coupled with lower product costs associated with the mix of product sold in the period ended February 28, 2025 and improved profitability in Canada which benefited from operating efficiencies and lower trade sales returns. This improvement was partially offset by higher general overhead costs and lower profitability from Australia due to lower revenues and higher fulfillment costs.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Overhead</w:t>
      </w:r>
    </w:p>
    <w:p>
      <w:pPr>
        <w:spacing w:after="0" w:line="25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Unallocated overhead expense for the quarter ended February 28, 2025 decreased by $8.8 million to $18.6 million, from $27.4 million in the prior fiscal year quarter. The decrease was primarily attributable to lower employee-related costs, which were partially offset by increased severance expense of $0.2 million related to the Company's cost-savings initiatives and higher medical costs, as well as higher rental income of $0.3 million.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Unallocated overhead expense for the nine months ended February 28, 2025 decreased by $8.8 million to $72.6 million, from $81.4 million in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prior year period. The decrease was primarily attributable to lower employee-related costs, which included lower severance expense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 million related to the Company's cost-savings initiatives, partially offset by higher medical costs. In addition, the Company benefited from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higher rental income of $1.1 million as a result of a new tenant leasing space in the Company's headquarters.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33" w:name="page34"/>
    <w:bookmarkEnd w:id="33"/>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08914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89140" cy="8255"/>
                    </a:xfrm>
                    <a:prstGeom prst="rect">
                      <a:avLst/>
                    </a:prstGeom>
                    <a:noFill/>
                  </pic:spPr>
                </pic:pic>
              </a:graphicData>
            </a:graphic>
          </wp:anchor>
        </w:drawing>
        <w:t>SCHOLASTIC CORPORATION</w:t>
      </w:r>
    </w:p>
    <w:p>
      <w:pPr>
        <w:ind w:left="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8914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 xml:space="preserve">The Company’s </w:t>
      </w:r>
      <w:r>
        <w:rPr>
          <w:rFonts w:ascii="Arial" w:cs="Arial" w:eastAsia="Arial" w:hAnsi="Arial"/>
          <w:sz w:val="18"/>
          <w:szCs w:val="18"/>
          <w:i w:val="1"/>
          <w:iCs w:val="1"/>
          <w:color w:val="auto"/>
        </w:rPr>
        <w:t>Children’s Book Publishing and Distribution</w:t>
      </w:r>
      <w:r>
        <w:rPr>
          <w:rFonts w:ascii="Arial" w:cs="Arial" w:eastAsia="Arial" w:hAnsi="Arial"/>
          <w:sz w:val="18"/>
          <w:szCs w:val="18"/>
          <w:color w:val="auto"/>
        </w:rPr>
        <w:t xml:space="preserve"> school-based book club and book fair channels and most of its </w:t>
      </w:r>
      <w:r>
        <w:rPr>
          <w:rFonts w:ascii="Arial" w:cs="Arial" w:eastAsia="Arial" w:hAnsi="Arial"/>
          <w:sz w:val="18"/>
          <w:szCs w:val="18"/>
          <w:i w:val="1"/>
          <w:iCs w:val="1"/>
          <w:color w:val="auto"/>
        </w:rPr>
        <w:t>Education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Solutions </w:t>
      </w:r>
      <w:r>
        <w:rPr>
          <w:rFonts w:ascii="Arial" w:cs="Arial" w:eastAsia="Arial" w:hAnsi="Arial"/>
          <w:sz w:val="18"/>
          <w:szCs w:val="18"/>
          <w:color w:val="auto"/>
        </w:rPr>
        <w:t>businesses operate on a school-year basis; therefore, the Company’s business is highly seasonal. As a result,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revenues in the first and third quarters of the fiscal year generally are lower than its revenues in the other two fiscal quarters. Typically, school-based channels and magazine revenues are minimal in the first quarter of the fiscal year as schools are not in session. Education channel revenues are generally higher in the fourth quarter. Trade channel and </w:t>
      </w:r>
      <w:r>
        <w:rPr>
          <w:rFonts w:ascii="Arial" w:cs="Arial" w:eastAsia="Arial" w:hAnsi="Arial"/>
          <w:sz w:val="18"/>
          <w:szCs w:val="18"/>
          <w:i w:val="1"/>
          <w:iCs w:val="1"/>
          <w:color w:val="auto"/>
        </w:rPr>
        <w:t>Entertainment</w:t>
      </w:r>
      <w:r>
        <w:rPr>
          <w:rFonts w:ascii="Arial" w:cs="Arial" w:eastAsia="Arial" w:hAnsi="Arial"/>
          <w:sz w:val="18"/>
          <w:szCs w:val="18"/>
          <w:color w:val="auto"/>
        </w:rPr>
        <w:t xml:space="preserve"> segment revenues can vary throughout the year due to the timing of published titles' release dates and program production deliveries and the start dates of distribution license agreements.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Cash provided by operating activities was $17.3 million for the nine months ended February 28, 2025, compared to cash provided by operating activities of $84.7 million for the prior fiscal year period, representing a decrease in cash provided by operating activities of $67.4 million. The decrease in cash provided was primarily driven by lower customer remittances and increased inventory purchases and royalty advance payments in the period ended February 28, 2025, as well as increased medical claim payments, interest payments related to the Company's borrowings and higher spending in </w:t>
      </w:r>
      <w:r>
        <w:rPr>
          <w:rFonts w:ascii="Arial" w:cs="Arial" w:eastAsia="Arial" w:hAnsi="Arial"/>
          <w:sz w:val="18"/>
          <w:szCs w:val="18"/>
          <w:i w:val="1"/>
          <w:iCs w:val="1"/>
          <w:color w:val="auto"/>
        </w:rPr>
        <w:t>Entertainment</w:t>
      </w:r>
      <w:r>
        <w:rPr>
          <w:rFonts w:ascii="Arial" w:cs="Arial" w:eastAsia="Arial" w:hAnsi="Arial"/>
          <w:sz w:val="18"/>
          <w:szCs w:val="18"/>
          <w:color w:val="auto"/>
        </w:rPr>
        <w:t xml:space="preserve"> due to the acquisition of 9 Story in fiscal 2025. This was partially offset by lower tax payments and lower discretionary spending in the period ended February 28, 2025.</w:t>
      </w:r>
    </w:p>
    <w:p>
      <w:pPr>
        <w:spacing w:after="0" w:line="20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Cash used in investing activities was $232.0 million for the nine months ended February 28, 2025, compared to cash used in investing activities of $69.5 million in the prior fiscal year period, representing an increase in cash used in investing activities of $162.5 million. The increase in cash used was driven by the cash paid for the 9 Story acquisition of $176.2 million, net of cash acquired, during the nine months ended February 28, 2025, as compared to the prior year period in which the Company acquired certain amortizable intangible assets related to educational programs and a U.S.-based children's book publishing business for $6.0 million and purchased the remaining noncontrolling interest related to Make Believe Ideas Limited for $2.1 million. This was partially offset by lower capital expenditures of $3.9 million.</w:t>
      </w:r>
    </w:p>
    <w:p>
      <w:pPr>
        <w:spacing w:after="0" w:line="20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Cash provided by financing activities was $197.6 million for the nine months ended February 28, 2025, compared to cash used in financing activities of $129.4 million for the prior fiscal year period, representing an increase in cash provided by financing activities of $327.0 million. The increase in cash provided was primarily attributable to borrowings of $275 million under the U.S. Credit Agreement incurred during the nine months ended February 28, 2025 to fund the 9 Story acquisition and working capital needs. In addition, the Company repurchased common stock of $40.0 million, compared to repurchases of $143.0 million in the prior fiscal year quarter, which also resulted in lower dividends of $1.9 million, partially offset by $18.6 million of net repayments of film related obligations in the nine months ended February 28, 2025.</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Position</w:t>
      </w:r>
    </w:p>
    <w:p>
      <w:pPr>
        <w:spacing w:after="0" w:line="25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Company’s cash and cash equivalents totaled $ 94.7 million at February 28, 2025, $113.7 million at May 31, 2024 and $ 110.4 million at February 29, 2024. Cash and cash equivalents held by the Company’s U.S. operations totaled $41.0 million at February 28, 2025, $54.9 million at May 31, 2024 and $66.2 million at February 29, 2024. Due to the seasonal nature of its business as discussed under “Seasonality”, the Company usually experiences negative cash flows in the June through September time period.</w:t>
      </w:r>
    </w:p>
    <w:p>
      <w:pPr>
        <w:spacing w:after="0" w:line="203"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The Company’s operating philosophy is to use cash provided by operating activities to create value by paying down debt, reinvesting in existing businesses and, from time to time, making acquisitions that will complement its portfolio of businesses or acquiring other strategic assets, as well as engaging in shareholder enhancement initiatives, such as share repurchases or dividend declarations. Under the Company's open-market buy-back program, $46.6 million remained available for future purchases of common shares as of February 28, 2025. Subsequent to February 28, 2025, the Board authorized an increase of $53.4 million for common share repurchases, resulting in a current Board authorization of $100 million, which includes the remaining amount from the previous Board authorization.</w:t>
      </w:r>
    </w:p>
    <w:p>
      <w:pPr>
        <w:spacing w:after="0" w:line="20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Company has maintained, and expects to maintain for the foreseeable future, sufficient liquidity to fund ongoing operations, including working capital requirements, pension contributions, postretirement benefits, debt service, planned capital expenditures and other investments, as well as dividends and share repurchases. As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34" w:name="page35"/>
    <w:bookmarkEnd w:id="34"/>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08914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89140" cy="8255"/>
                    </a:xfrm>
                    <a:prstGeom prst="rect">
                      <a:avLst/>
                    </a:prstGeom>
                    <a:noFill/>
                  </pic:spPr>
                </pic:pic>
              </a:graphicData>
            </a:graphic>
          </wp:anchor>
        </w:drawing>
        <w:t>SCHOLASTIC CORPORATION</w:t>
      </w:r>
    </w:p>
    <w:p>
      <w:pPr>
        <w:ind w:left="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8914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of February 28, 2025, the Company’s primary sources of liquidity consisted of cash and cash equivalents of $94.7 million, cash from operations and the Company's U.S. Credit Agreement. On November 26, 2024, the U.S. Credit Agreement was amended, which, among other things, increased the borrowing limit from $ 300 million to $400 million and extended the maturity to November 26, 2029. See Note 4 of Notes to the Financial Statements - Unaudited in Item 1, "Financial Statements," for more information regarding the U.S. Credit Agreement. The Company expects the U.S. Credit Agreement to provide it with an appropriate level of flexibility to strategically manage its business operations. The Company's U.S. Credit Agreement, less borrowings of $275.0 million and commitments of $0.4 million, has $124.6 million of availability. Additionally, the Company has short-term credit facilities of $25.6 million, less current borrowings of $ 5.8 million and commitments of $3.6 million, resulting in $16.2 million of current availability under these facilities at February 28, 2025. Accordingly, the Company believes these sources of liquidity are sufficient to finance its currently anticipated ongoing operating needs, as well as its financing and investing activities.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22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Company is party to the U.S. Credit Agreement and certain credit lines with various banks, including those related to film related obligations, as described in Note 4 of Notes to Condensed Consolidated Financial Statements - unaudited in Item 1,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5" w:lineRule="exact"/>
        <w:rPr>
          <w:sz w:val="20"/>
          <w:szCs w:val="20"/>
          <w:color w:val="auto"/>
        </w:rPr>
      </w:pPr>
    </w:p>
    <w:p>
      <w:pPr>
        <w:ind w:right="280"/>
        <w:spacing w:after="0" w:line="318" w:lineRule="auto"/>
        <w:rPr>
          <w:sz w:val="20"/>
          <w:szCs w:val="20"/>
          <w:color w:val="auto"/>
        </w:rPr>
      </w:pPr>
      <w:r>
        <w:rPr>
          <w:rFonts w:ascii="Arial" w:cs="Arial" w:eastAsia="Arial" w:hAnsi="Arial"/>
          <w:sz w:val="17"/>
          <w:szCs w:val="17"/>
          <w:color w:val="auto"/>
        </w:rPr>
        <w:t>Reference is made to Note 1 of Notes to Financial Statements - unaudited in Item 1, “Financial Statements,” for information concerning recent accounting pronouncements since the filing of the Company’s Annual Report on Form 10-K for the fiscal year ended May 31, 2024.</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Quarterly Report on Form 10-Q contains forward-looking statements. Additional written and oral forward-looking statements may be made by the Company from time to time in Securities and Exchange Commission ("SEC") filings and otherwise. The Company cautions readers that results or expectations expressed by forward-looking statements, including, without limitation, those relating to the Company’s future business prospects and strategic plans, ecommerce and digital initiatives, new product introductions, strategies, new education standards, goals, revenues, improved efficiencies, general operating costs, including transportation and labor costs and the extent such costs are impacted by inflationary pressures, manufacturing costs, medical costs, potential cost savings, tax incentives, merit pay, operating margins, working capital, liquidity, capital needs, the cost and timing of capital projects, interest costs, cash flows and income, are subject to risks and uncertainties, which may have an impact on the Company's operations and could cause actual results to differ materially from those indicated in the forward-looking statements, due to factors including those noted in the Annual Report and this Quarterly Report and other risks and factors identified from time to time in the Company’s filings with the SEC. The Company disclaims any intention or obligation to update or revise forward-looking statements, whether as a result of new information, future events or otherwise.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35" w:name="page36"/>
    <w:bookmarkEnd w:id="35"/>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08914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89140" cy="8255"/>
                    </a:xfrm>
                    <a:prstGeom prst="rect">
                      <a:avLst/>
                    </a:prstGeom>
                    <a:noFill/>
                  </pic:spPr>
                </pic:pic>
              </a:graphicData>
            </a:graphic>
          </wp:anchor>
        </w:drawing>
        <w:t>SCHOLASTIC CORPORATION</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08914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Company conducts its business in various foreign countries, and as such, its cash flows and earnings are subject to fluctuations from changes in foreign currency exchange rates. The Company sells products from its domestic operations to its foreign subsidiaries, creating additional currency risk. The Company manages its exposures to this market risk through internally established procedures and, when deemed appropriate, through the use of short-term forward exchange contracts, which were not significant as of February 28, 2025. The Company does not enter into derivative transactions or use other financial instruments for trading or speculative purposes.</w:t>
      </w:r>
    </w:p>
    <w:p>
      <w:pPr>
        <w:spacing w:after="0" w:line="17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Market risks relating to the Company’s operations result primarily from changes in interest rates in its variable-rate borrowings. The Company is subject to the risk that market interest rates and its cost of borrowing will increase and thereby increase the interest charged under its variable-rate debt.</w:t>
      </w:r>
    </w:p>
    <w:p>
      <w:pPr>
        <w:spacing w:after="0" w:line="198"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Additional information relating to the Company’s outstanding financial instruments is included in Note 4 of Notes to Condensed Consolidated Financial Statements - unaudited in Item 1,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about the Company’s debt instruments as of February 28, 2025:</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1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 amounts in millions)</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Fiscal Year Maturity</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162"/>
        </w:trPr>
        <w:tc>
          <w:tcPr>
            <w:tcW w:w="2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7"/>
              </w:rPr>
              <w:t xml:space="preserve">2025 </w:t>
            </w:r>
            <w:r>
              <w:rPr>
                <w:rFonts w:ascii="Arial" w:cs="Arial" w:eastAsia="Arial" w:hAnsi="Arial"/>
                <w:sz w:val="21"/>
                <w:szCs w:val="21"/>
                <w:b w:val="1"/>
                <w:bCs w:val="1"/>
                <w:color w:val="auto"/>
                <w:w w:val="97"/>
                <w:vertAlign w:val="superscript"/>
              </w:rPr>
              <w:t>(1)</w:t>
            </w:r>
          </w:p>
        </w:tc>
        <w:tc>
          <w:tcPr>
            <w:tcW w:w="260" w:type="dxa"/>
            <w:vAlign w:val="bottom"/>
          </w:tcPr>
          <w:p>
            <w:pPr>
              <w:spacing w:after="0"/>
              <w:rPr>
                <w:sz w:val="14"/>
                <w:szCs w:val="14"/>
                <w:color w:val="auto"/>
              </w:rPr>
            </w:pPr>
          </w:p>
        </w:tc>
        <w:tc>
          <w:tcPr>
            <w:tcW w:w="80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2026</w:t>
            </w:r>
          </w:p>
        </w:tc>
        <w:tc>
          <w:tcPr>
            <w:tcW w:w="260" w:type="dxa"/>
            <w:vAlign w:val="bottom"/>
          </w:tcPr>
          <w:p>
            <w:pPr>
              <w:spacing w:after="0"/>
              <w:rPr>
                <w:sz w:val="14"/>
                <w:szCs w:val="14"/>
                <w:color w:val="auto"/>
              </w:rPr>
            </w:pPr>
          </w:p>
        </w:tc>
        <w:tc>
          <w:tcPr>
            <w:tcW w:w="82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2027</w:t>
            </w:r>
          </w:p>
        </w:tc>
        <w:tc>
          <w:tcPr>
            <w:tcW w:w="280" w:type="dxa"/>
            <w:vAlign w:val="bottom"/>
          </w:tcPr>
          <w:p>
            <w:pPr>
              <w:spacing w:after="0"/>
              <w:rPr>
                <w:sz w:val="14"/>
                <w:szCs w:val="14"/>
                <w:color w:val="auto"/>
              </w:rPr>
            </w:pPr>
          </w:p>
        </w:tc>
        <w:tc>
          <w:tcPr>
            <w:tcW w:w="82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2028</w:t>
            </w:r>
          </w:p>
        </w:tc>
        <w:tc>
          <w:tcPr>
            <w:tcW w:w="260" w:type="dxa"/>
            <w:vAlign w:val="bottom"/>
          </w:tcPr>
          <w:p>
            <w:pPr>
              <w:spacing w:after="0"/>
              <w:rPr>
                <w:sz w:val="14"/>
                <w:szCs w:val="14"/>
                <w:color w:val="auto"/>
              </w:rPr>
            </w:pPr>
          </w:p>
        </w:tc>
        <w:tc>
          <w:tcPr>
            <w:tcW w:w="82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2029</w:t>
            </w:r>
          </w:p>
        </w:tc>
        <w:tc>
          <w:tcPr>
            <w:tcW w:w="220" w:type="dxa"/>
            <w:vAlign w:val="bottom"/>
          </w:tcPr>
          <w:p>
            <w:pPr>
              <w:spacing w:after="0"/>
              <w:rPr>
                <w:sz w:val="14"/>
                <w:szCs w:val="14"/>
                <w:color w:val="auto"/>
              </w:rPr>
            </w:pPr>
          </w:p>
        </w:tc>
        <w:tc>
          <w:tcPr>
            <w:tcW w:w="114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Thereafter</w:t>
            </w:r>
          </w:p>
        </w:tc>
        <w:tc>
          <w:tcPr>
            <w:tcW w:w="220" w:type="dxa"/>
            <w:vAlign w:val="bottom"/>
          </w:tcPr>
          <w:p>
            <w:pPr>
              <w:spacing w:after="0"/>
              <w:rPr>
                <w:sz w:val="14"/>
                <w:szCs w:val="14"/>
                <w:color w:val="auto"/>
              </w:rPr>
            </w:pPr>
          </w:p>
        </w:tc>
        <w:tc>
          <w:tcPr>
            <w:tcW w:w="74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14"/>
                <w:szCs w:val="14"/>
                <w:color w:val="auto"/>
              </w:rPr>
            </w:pPr>
          </w:p>
        </w:tc>
        <w:tc>
          <w:tcPr>
            <w:tcW w:w="104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Value at</w:t>
            </w:r>
          </w:p>
        </w:tc>
        <w:tc>
          <w:tcPr>
            <w:tcW w:w="0" w:type="dxa"/>
            <w:vAlign w:val="bottom"/>
          </w:tcPr>
          <w:p>
            <w:pPr>
              <w:spacing w:after="0"/>
              <w:rPr>
                <w:sz w:val="1"/>
                <w:szCs w:val="1"/>
                <w:color w:val="auto"/>
              </w:rPr>
            </w:pPr>
          </w:p>
        </w:tc>
      </w:tr>
      <w:tr>
        <w:trPr>
          <w:trHeight w:val="216"/>
        </w:trPr>
        <w:tc>
          <w:tcPr>
            <w:tcW w:w="2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02/28/2025</w:t>
            </w:r>
          </w:p>
        </w:tc>
        <w:tc>
          <w:tcPr>
            <w:tcW w:w="0" w:type="dxa"/>
            <w:vAlign w:val="bottom"/>
          </w:tcPr>
          <w:p>
            <w:pPr>
              <w:spacing w:after="0"/>
              <w:rPr>
                <w:sz w:val="1"/>
                <w:szCs w:val="1"/>
                <w:color w:val="auto"/>
              </w:rPr>
            </w:pPr>
          </w:p>
        </w:tc>
      </w:tr>
      <w:tr>
        <w:trPr>
          <w:trHeight w:val="209"/>
        </w:trPr>
        <w:tc>
          <w:tcPr>
            <w:tcW w:w="2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Debt Obligations</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120" w:type="dxa"/>
            <w:vAlign w:val="bottom"/>
          </w:tcPr>
          <w:p>
            <w:pPr>
              <w:ind w:left="20"/>
              <w:spacing w:after="0" w:line="162" w:lineRule="exact"/>
              <w:rPr>
                <w:sz w:val="20"/>
                <w:szCs w:val="20"/>
                <w:color w:val="auto"/>
              </w:rPr>
            </w:pPr>
            <w:r>
              <w:rPr>
                <w:rFonts w:ascii="Arial" w:cs="Arial" w:eastAsia="Arial" w:hAnsi="Arial"/>
                <w:sz w:val="16"/>
                <w:szCs w:val="16"/>
                <w:color w:val="auto"/>
              </w:rPr>
              <w:t>Lines of credit and current</w:t>
            </w: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ind w:right="179"/>
              <w:spacing w:after="0"/>
              <w:rPr>
                <w:sz w:val="20"/>
                <w:szCs w:val="20"/>
                <w:color w:val="auto"/>
              </w:rPr>
            </w:pPr>
            <w:r>
              <w:rPr>
                <w:rFonts w:ascii="Arial" w:cs="Arial" w:eastAsia="Arial" w:hAnsi="Arial"/>
                <w:sz w:val="16"/>
                <w:szCs w:val="16"/>
                <w:color w:val="auto"/>
              </w:rPr>
              <w:t>—</w:t>
            </w:r>
          </w:p>
        </w:tc>
        <w:tc>
          <w:tcPr>
            <w:tcW w:w="26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ind w:right="179"/>
              <w:spacing w:after="0"/>
              <w:rPr>
                <w:sz w:val="20"/>
                <w:szCs w:val="20"/>
                <w:color w:val="auto"/>
              </w:rPr>
            </w:pPr>
            <w:r>
              <w:rPr>
                <w:rFonts w:ascii="Arial" w:cs="Arial" w:eastAsia="Arial" w:hAnsi="Arial"/>
                <w:sz w:val="16"/>
                <w:szCs w:val="16"/>
                <w:color w:val="auto"/>
              </w:rPr>
              <w:t>5.8</w:t>
            </w: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ind w:right="179"/>
              <w:spacing w:after="0"/>
              <w:rPr>
                <w:sz w:val="20"/>
                <w:szCs w:val="20"/>
                <w:color w:val="auto"/>
              </w:rPr>
            </w:pPr>
            <w:r>
              <w:rPr>
                <w:rFonts w:ascii="Arial" w:cs="Arial" w:eastAsia="Arial" w:hAnsi="Arial"/>
                <w:sz w:val="16"/>
                <w:szCs w:val="16"/>
                <w:color w:val="auto"/>
              </w:rPr>
              <w:t>—</w:t>
            </w:r>
          </w:p>
        </w:tc>
        <w:tc>
          <w:tcPr>
            <w:tcW w:w="28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ind w:right="179"/>
              <w:spacing w:after="0"/>
              <w:rPr>
                <w:sz w:val="20"/>
                <w:szCs w:val="20"/>
                <w:color w:val="auto"/>
              </w:rPr>
            </w:pPr>
            <w:r>
              <w:rPr>
                <w:rFonts w:ascii="Arial" w:cs="Arial" w:eastAsia="Arial" w:hAnsi="Arial"/>
                <w:sz w:val="16"/>
                <w:szCs w:val="16"/>
                <w:color w:val="auto"/>
              </w:rPr>
              <w:t>—</w:t>
            </w:r>
          </w:p>
        </w:tc>
        <w:tc>
          <w:tcPr>
            <w:tcW w:w="26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ind w:right="179"/>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ind w:right="179"/>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ind w:right="19"/>
              <w:spacing w:after="0"/>
              <w:rPr>
                <w:sz w:val="20"/>
                <w:szCs w:val="20"/>
                <w:color w:val="auto"/>
              </w:rPr>
            </w:pPr>
            <w:r>
              <w:rPr>
                <w:rFonts w:ascii="Arial" w:cs="Arial" w:eastAsia="Arial" w:hAnsi="Arial"/>
                <w:sz w:val="16"/>
                <w:szCs w:val="16"/>
                <w:color w:val="auto"/>
              </w:rPr>
              <w:t>5.8</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5"/>
        </w:trPr>
        <w:tc>
          <w:tcPr>
            <w:tcW w:w="2120" w:type="dxa"/>
            <w:vAlign w:val="bottom"/>
          </w:tcPr>
          <w:p>
            <w:pPr>
              <w:ind w:left="120"/>
              <w:spacing w:after="0"/>
              <w:rPr>
                <w:sz w:val="20"/>
                <w:szCs w:val="20"/>
                <w:color w:val="auto"/>
              </w:rPr>
            </w:pPr>
            <w:r>
              <w:rPr>
                <w:rFonts w:ascii="Arial" w:cs="Arial" w:eastAsia="Arial" w:hAnsi="Arial"/>
                <w:sz w:val="16"/>
                <w:szCs w:val="16"/>
                <w:color w:val="auto"/>
              </w:rPr>
              <w:t>portion of long-term debt</w:t>
            </w:r>
          </w:p>
        </w:tc>
        <w:tc>
          <w:tcPr>
            <w:tcW w:w="38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Average interest rate</w:t>
            </w: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4.9 %</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2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275.0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275.0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275.0</w:t>
            </w:r>
          </w:p>
        </w:tc>
        <w:tc>
          <w:tcPr>
            <w:tcW w:w="0" w:type="dxa"/>
            <w:vAlign w:val="bottom"/>
          </w:tcPr>
          <w:p>
            <w:pPr>
              <w:spacing w:after="0"/>
              <w:rPr>
                <w:sz w:val="1"/>
                <w:szCs w:val="1"/>
                <w:color w:val="auto"/>
              </w:rPr>
            </w:pPr>
          </w:p>
        </w:tc>
      </w:tr>
      <w:tr>
        <w:trPr>
          <w:trHeight w:val="216"/>
        </w:trPr>
        <w:tc>
          <w:tcPr>
            <w:tcW w:w="2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Average interest rate</w:t>
            </w: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6.1 %</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20" w:type="dxa"/>
            <w:vAlign w:val="bottom"/>
          </w:tcPr>
          <w:p>
            <w:pPr>
              <w:ind w:left="20"/>
              <w:spacing w:after="0" w:line="210" w:lineRule="exact"/>
              <w:rPr>
                <w:sz w:val="20"/>
                <w:szCs w:val="20"/>
                <w:color w:val="auto"/>
              </w:rPr>
            </w:pPr>
            <w:r>
              <w:rPr>
                <w:rFonts w:ascii="Arial" w:cs="Arial" w:eastAsia="Arial" w:hAnsi="Arial"/>
                <w:sz w:val="16"/>
                <w:szCs w:val="16"/>
                <w:color w:val="auto"/>
              </w:rPr>
              <w:t xml:space="preserve">Film related obligations </w:t>
            </w:r>
            <w:r>
              <w:rPr>
                <w:rFonts w:ascii="Arial" w:cs="Arial" w:eastAsia="Arial" w:hAnsi="Arial"/>
                <w:sz w:val="21"/>
                <w:szCs w:val="21"/>
                <w:color w:val="auto"/>
                <w:vertAlign w:val="superscript"/>
              </w:rPr>
              <w:t>(2)</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79"/>
              <w:spacing w:after="0"/>
              <w:rPr>
                <w:sz w:val="20"/>
                <w:szCs w:val="20"/>
                <w:color w:val="auto"/>
              </w:rPr>
            </w:pPr>
            <w:r>
              <w:rPr>
                <w:rFonts w:ascii="Arial" w:cs="Arial" w:eastAsia="Arial" w:hAnsi="Arial"/>
                <w:sz w:val="16"/>
                <w:szCs w:val="16"/>
                <w:color w:val="auto"/>
              </w:rPr>
              <w:t>1.9</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79"/>
              <w:spacing w:after="0"/>
              <w:rPr>
                <w:sz w:val="20"/>
                <w:szCs w:val="20"/>
                <w:color w:val="auto"/>
              </w:rPr>
            </w:pPr>
            <w:r>
              <w:rPr>
                <w:rFonts w:ascii="Arial" w:cs="Arial" w:eastAsia="Arial" w:hAnsi="Arial"/>
                <w:sz w:val="16"/>
                <w:szCs w:val="16"/>
                <w:color w:val="auto"/>
              </w:rPr>
              <w:t>6.7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79"/>
              <w:spacing w:after="0"/>
              <w:rPr>
                <w:sz w:val="20"/>
                <w:szCs w:val="20"/>
                <w:color w:val="auto"/>
              </w:rPr>
            </w:pPr>
            <w:r>
              <w:rPr>
                <w:rFonts w:ascii="Arial" w:cs="Arial" w:eastAsia="Arial" w:hAnsi="Arial"/>
                <w:sz w:val="16"/>
                <w:szCs w:val="16"/>
                <w:color w:val="auto"/>
              </w:rPr>
              <w:t>7.4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79"/>
              <w:spacing w:after="0"/>
              <w:rPr>
                <w:sz w:val="20"/>
                <w:szCs w:val="20"/>
                <w:color w:val="auto"/>
              </w:rPr>
            </w:pPr>
            <w:r>
              <w:rPr>
                <w:rFonts w:ascii="Arial" w:cs="Arial" w:eastAsia="Arial" w:hAnsi="Arial"/>
                <w:sz w:val="16"/>
                <w:szCs w:val="16"/>
                <w:color w:val="auto"/>
              </w:rPr>
              <w:t>0.7</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79"/>
              <w:spacing w:after="0"/>
              <w:rPr>
                <w:sz w:val="20"/>
                <w:szCs w:val="20"/>
                <w:color w:val="auto"/>
              </w:rPr>
            </w:pPr>
            <w:r>
              <w:rPr>
                <w:rFonts w:ascii="Arial" w:cs="Arial" w:eastAsia="Arial" w:hAnsi="Arial"/>
                <w:sz w:val="16"/>
                <w:szCs w:val="16"/>
                <w:color w:val="auto"/>
              </w:rPr>
              <w:t>2.1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18.8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15"/>
        </w:trPr>
        <w:tc>
          <w:tcPr>
            <w:tcW w:w="2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Average interest rate</w:t>
            </w: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5.6 %</w:t>
            </w: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6.5 %</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6.4 %</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5.8 %</w:t>
            </w: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220" w:hanging="212"/>
        <w:spacing w:after="0"/>
        <w:tabs>
          <w:tab w:leader="none" w:pos="22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Fiscal 2025 includes the remaining three months of the current fiscal year ending May 31, 2025.</w:t>
      </w:r>
    </w:p>
    <w:p>
      <w:pPr>
        <w:spacing w:after="0" w:line="13" w:lineRule="exact"/>
        <w:rPr>
          <w:rFonts w:ascii="Arial" w:cs="Arial" w:eastAsia="Arial" w:hAnsi="Arial"/>
          <w:sz w:val="14"/>
          <w:szCs w:val="14"/>
          <w:i w:val="1"/>
          <w:iCs w:val="1"/>
          <w:color w:val="auto"/>
        </w:rPr>
      </w:pPr>
    </w:p>
    <w:p>
      <w:pPr>
        <w:ind w:left="220" w:hanging="212"/>
        <w:spacing w:after="0"/>
        <w:tabs>
          <w:tab w:leader="none" w:pos="22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Film related obligations are due on demand. Outstanding borrowings are presented by fiscal year maturity based on expected repayment dates per loan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8" w:right="339" w:bottom="1440" w:gutter="0" w:footer="0" w:header="0"/>
        </w:sectPr>
      </w:pPr>
    </w:p>
    <w:bookmarkStart w:id="36" w:name="page37"/>
    <w:bookmarkEnd w:id="36"/>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08914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89140" cy="8255"/>
                    </a:xfrm>
                    <a:prstGeom prst="rect">
                      <a:avLst/>
                    </a:prstGeom>
                    <a:noFill/>
                  </pic:spPr>
                </pic:pic>
              </a:graphicData>
            </a:graphic>
          </wp:anchor>
        </w:drawing>
        <w:t>SCHOLASTIC CORPORATION</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4.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08914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Chief Executive Officer and the Chief Financial Officer of the Corporation, after conducting an evaluation, together with other members of the Company’s management, of the effectiveness of the design and operation of the Corporation’s disclosure controls and procedures as of February 28, 2025, have concluded that the Corporation’s disclosure controls and procedures were effective to ensure that information required to be disclosed by the Corporation in its reports filed or submitted under the Securities Exchange Act of 1934 is recorded, processed, summarized, and reported within the time periods specified in the rules and forms of the SEC and accumulated and communicated to members of the Company’s management, including the Chief Executive Officer and Chief Financial Officer, to allow timely decisions regarding required disclosure. There was no change in the Corporation’s internal control over financial reporting that occurred during the quarter ended February 28, 2025 that has materially affected, or is reasonably likely to materially affect, the Corporation’s internal control over financial reporting.</w:t>
      </w:r>
    </w:p>
    <w:p>
      <w:pPr>
        <w:spacing w:after="0" w:line="200" w:lineRule="exact"/>
        <w:rPr>
          <w:sz w:val="20"/>
          <w:szCs w:val="20"/>
          <w:color w:val="auto"/>
        </w:rPr>
      </w:pPr>
    </w:p>
    <w:p>
      <w:pPr>
        <w:spacing w:after="0" w:line="35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88" w:right="4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1517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15175" cy="8255"/>
                    </a:xfrm>
                    <a:prstGeom prst="rect">
                      <a:avLst/>
                    </a:prstGeom>
                    <a:noFill/>
                  </pic:spPr>
                </pic:pic>
              </a:graphicData>
            </a:graphic>
          </wp:anchor>
        </w:drawing>
        <w:t>PART II –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151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11517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SCHOLASTIC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1517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Item 1 (Business) in Part I of the Company’s Annual Report on Form 10-K for the fiscal year ended May 31, 2024, the Company included a description of its business activities. Except as set forth below, as of the date of this Quarterly Report on Form 10-Q there have been no material changes to the business described in the Company’s Annual Report for the fiscal year ended May 31, 2024.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Company categorizes its businesses into four reportable segments: </w:t>
      </w:r>
      <w:r>
        <w:rPr>
          <w:rFonts w:ascii="Arial" w:cs="Arial" w:eastAsia="Arial" w:hAnsi="Arial"/>
          <w:sz w:val="18"/>
          <w:szCs w:val="18"/>
          <w:i w:val="1"/>
          <w:iCs w:val="1"/>
          <w:color w:val="auto"/>
        </w:rPr>
        <w:t>Children's Book Publishing and Distribution, Education Solutions,</w:t>
      </w:r>
    </w:p>
    <w:p>
      <w:pPr>
        <w:spacing w:after="0" w:line="234"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and the newly formed</w:t>
      </w:r>
      <w:r>
        <w:rPr>
          <w:rFonts w:ascii="Arial" w:cs="Arial" w:eastAsia="Arial" w:hAnsi="Arial"/>
          <w:sz w:val="18"/>
          <w:szCs w:val="18"/>
          <w:i w:val="1"/>
          <w:iCs w:val="1"/>
          <w:color w:val="auto"/>
        </w:rPr>
        <w:t xml:space="preserve"> Entertainment </w:t>
      </w:r>
      <w:r>
        <w:rPr>
          <w:rFonts w:ascii="Arial" w:cs="Arial" w:eastAsia="Arial" w:hAnsi="Arial"/>
          <w:sz w:val="18"/>
          <w:szCs w:val="18"/>
          <w:color w:val="auto"/>
        </w:rPr>
        <w:t>segment. The</w:t>
      </w:r>
      <w:r>
        <w:rPr>
          <w:rFonts w:ascii="Arial" w:cs="Arial" w:eastAsia="Arial" w:hAnsi="Arial"/>
          <w:sz w:val="18"/>
          <w:szCs w:val="18"/>
          <w:i w:val="1"/>
          <w:iCs w:val="1"/>
          <w:color w:val="auto"/>
        </w:rPr>
        <w:t xml:space="preserve"> Entertainment </w:t>
      </w:r>
      <w:r>
        <w:rPr>
          <w:rFonts w:ascii="Arial" w:cs="Arial" w:eastAsia="Arial" w:hAnsi="Arial"/>
          <w:sz w:val="18"/>
          <w:szCs w:val="18"/>
          <w:color w:val="auto"/>
        </w:rPr>
        <w:t>segment includes the operations of 9 Story Media Group Inc.</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 xml:space="preserve">as acquired on June 20, 2024, including its studios in Canada, Ireland and Indonesia ("9 Story"), and Scholastic Entertainment Inc. ("SEI"). SEI was reported in the </w:t>
      </w:r>
      <w:r>
        <w:rPr>
          <w:rFonts w:ascii="Arial" w:cs="Arial" w:eastAsia="Arial" w:hAnsi="Arial"/>
          <w:sz w:val="18"/>
          <w:szCs w:val="18"/>
          <w:i w:val="1"/>
          <w:iCs w:val="1"/>
          <w:color w:val="auto"/>
        </w:rPr>
        <w:t>Children's Book Publishing and Distribution</w:t>
      </w:r>
      <w:r>
        <w:rPr>
          <w:rFonts w:ascii="Arial" w:cs="Arial" w:eastAsia="Arial" w:hAnsi="Arial"/>
          <w:sz w:val="18"/>
          <w:szCs w:val="18"/>
          <w:color w:val="auto"/>
        </w:rPr>
        <w:t xml:space="preserve"> segment in prior periods. Refer to Note 7 of Notes to Condensed Consolidated Financial Statements - unaudited in Item 1, “Financial Statements" for further details regarding the acquisition of 9 Story. There have been no other changes to the Company's segments. A description of the </w:t>
      </w:r>
      <w:r>
        <w:rPr>
          <w:rFonts w:ascii="Arial" w:cs="Arial" w:eastAsia="Arial" w:hAnsi="Arial"/>
          <w:sz w:val="18"/>
          <w:szCs w:val="18"/>
          <w:i w:val="1"/>
          <w:iCs w:val="1"/>
          <w:color w:val="auto"/>
        </w:rPr>
        <w:t>Entertainment</w:t>
      </w:r>
      <w:r>
        <w:rPr>
          <w:rFonts w:ascii="Arial" w:cs="Arial" w:eastAsia="Arial" w:hAnsi="Arial"/>
          <w:sz w:val="18"/>
          <w:szCs w:val="18"/>
          <w:color w:val="auto"/>
        </w:rPr>
        <w:t xml:space="preserve"> segment is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ENTERTAINMENT</w:t>
      </w:r>
    </w:p>
    <w:p>
      <w:pPr>
        <w:spacing w:after="0" w:line="252"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Entertainment</w:t>
      </w:r>
      <w:r>
        <w:rPr>
          <w:rFonts w:ascii="Arial" w:cs="Arial" w:eastAsia="Arial" w:hAnsi="Arial"/>
          <w:sz w:val="18"/>
          <w:szCs w:val="18"/>
          <w:color w:val="auto"/>
        </w:rPr>
        <w:t xml:space="preserve"> segment includes the development, production, distribution and licensing of kids and family film and television content. This segment creates, develops, and produces award-winning branded properties using owned or licensed IP through its creative affairs group. The Company has an in-house animation studio, Brown Bag Films, which is recognized for producing high-quality and popular programs such as “Doc McStuffins</w:t>
      </w:r>
      <w:r>
        <w:rPr>
          <w:rFonts w:ascii="Arial" w:cs="Arial" w:eastAsia="Arial" w:hAnsi="Arial"/>
          <w:sz w:val="23"/>
          <w:szCs w:val="23"/>
          <w:color w:val="auto"/>
          <w:vertAlign w:val="superscript"/>
        </w:rPr>
        <w:t>®</w:t>
      </w:r>
      <w:r>
        <w:rPr>
          <w:rFonts w:ascii="Arial" w:cs="Arial" w:eastAsia="Arial" w:hAnsi="Arial"/>
          <w:sz w:val="18"/>
          <w:szCs w:val="18"/>
          <w:color w:val="auto"/>
        </w:rPr>
        <w:t>,” “Daniel Tiger’s Neighborhood</w:t>
      </w:r>
      <w:r>
        <w:rPr>
          <w:rFonts w:ascii="Arial" w:cs="Arial" w:eastAsia="Arial" w:hAnsi="Arial"/>
          <w:sz w:val="23"/>
          <w:szCs w:val="23"/>
          <w:color w:val="auto"/>
          <w:vertAlign w:val="superscript"/>
        </w:rPr>
        <w:t>®</w:t>
      </w:r>
      <w:r>
        <w:rPr>
          <w:rFonts w:ascii="Arial" w:cs="Arial" w:eastAsia="Arial" w:hAnsi="Arial"/>
          <w:sz w:val="18"/>
          <w:szCs w:val="18"/>
          <w:color w:val="auto"/>
        </w:rPr>
        <w:t>,” “Octonauts</w:t>
      </w:r>
      <w:r>
        <w:rPr>
          <w:rFonts w:ascii="Arial" w:cs="Arial" w:eastAsia="Arial" w:hAnsi="Arial"/>
          <w:sz w:val="23"/>
          <w:szCs w:val="23"/>
          <w:color w:val="auto"/>
          <w:vertAlign w:val="superscript"/>
        </w:rPr>
        <w:t>®</w:t>
      </w:r>
      <w:r>
        <w:rPr>
          <w:rFonts w:ascii="Arial" w:cs="Arial" w:eastAsia="Arial" w:hAnsi="Arial"/>
          <w:sz w:val="18"/>
          <w:szCs w:val="18"/>
          <w:color w:val="auto"/>
        </w:rPr>
        <w:t>,” “Wild Kratts</w:t>
      </w:r>
      <w:r>
        <w:rPr>
          <w:rFonts w:ascii="Arial" w:cs="Arial" w:eastAsia="Arial" w:hAnsi="Arial"/>
          <w:sz w:val="23"/>
          <w:szCs w:val="23"/>
          <w:color w:val="auto"/>
          <w:vertAlign w:val="superscript"/>
        </w:rPr>
        <w:t>®</w:t>
      </w:r>
      <w:r>
        <w:rPr>
          <w:rFonts w:ascii="Arial" w:cs="Arial" w:eastAsia="Arial" w:hAnsi="Arial"/>
          <w:sz w:val="18"/>
          <w:szCs w:val="18"/>
          <w:color w:val="auto"/>
        </w:rPr>
        <w:t>,” "Blue's Clue's &amp; You!</w:t>
      </w:r>
      <w:r>
        <w:rPr>
          <w:rFonts w:ascii="Arial" w:cs="Arial" w:eastAsia="Arial" w:hAnsi="Arial"/>
          <w:sz w:val="23"/>
          <w:szCs w:val="23"/>
          <w:color w:val="auto"/>
          <w:vertAlign w:val="superscript"/>
        </w:rPr>
        <w:t>®</w:t>
      </w:r>
      <w:r>
        <w:rPr>
          <w:rFonts w:ascii="Arial" w:cs="Arial" w:eastAsia="Arial" w:hAnsi="Arial"/>
          <w:sz w:val="18"/>
          <w:szCs w:val="18"/>
          <w:color w:val="auto"/>
        </w:rPr>
        <w:t>," and “The Magic School Bus Rides Again".</w:t>
      </w:r>
    </w:p>
    <w:p>
      <w:pPr>
        <w:spacing w:after="0" w:line="2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This segment is also responsible for exploiting the Company's film and television assets, which include a large television programming library based on the Company's IP as well as third party programs. The Company distributes its animated and, to a lesser extent, live-action programming through various domestic and international channels, including subscription video on demand (SVOD), linear TV (traditional broadcast) and advertising-based video on demand (AVOD) including YouTube.</w:t>
      </w:r>
    </w:p>
    <w:p>
      <w:pPr>
        <w:spacing w:after="0" w:line="203"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Company has a consumer products division which builds global entertainment brands for kids, with expertise across creative, brand marketing, licensing and merchandising, working closely with television and digital distribution teams, as well as third party IP owners, licensees and retailers to ensure coordinated and strategic brand management.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6"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711517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15175" cy="8890"/>
                    </a:xfrm>
                    <a:prstGeom prst="rect">
                      <a:avLst/>
                    </a:prstGeom>
                    <a:noFill/>
                  </pic:spPr>
                </pic:pic>
              </a:graphicData>
            </a:graphic>
          </wp:anchor>
        </w:drawing>
        <w:t>SCHOLASTIC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1517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Item 1A (Risk Factors) in Part I of the Company’s Annual Report on Form 10-K for the fiscal year ended May 31, 2024, the Company described material risk factors which could affect its business. Except as set forth below, as of the date of this Quarterly Report on Form 10-Q there have been no material changes to the risk factors described in the Company’s Annual Report for the fiscal year ended May 31, 2024. Any of the risks identified in such Annual Report, in this Quarterly Report on Form 10-Q or in other reports the Company files with the SEC, and other risks the Company has not anticipated or discussed, could have a material adverse impact on the Company’s business, financial condition or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tax laws or a change in tax status may result in a loss of government tax credits in the Company's entertainment business.</w:t>
      </w:r>
    </w:p>
    <w:p>
      <w:pPr>
        <w:spacing w:after="0" w:line="243" w:lineRule="exact"/>
        <w:rPr>
          <w:sz w:val="20"/>
          <w:szCs w:val="20"/>
          <w:color w:val="auto"/>
        </w:rPr>
      </w:pPr>
    </w:p>
    <w:p>
      <w:pPr>
        <w:ind w:right="600"/>
        <w:spacing w:after="0" w:line="259" w:lineRule="auto"/>
        <w:rPr>
          <w:sz w:val="20"/>
          <w:szCs w:val="20"/>
          <w:color w:val="auto"/>
        </w:rPr>
      </w:pPr>
      <w:r>
        <w:rPr>
          <w:rFonts w:ascii="Arial" w:cs="Arial" w:eastAsia="Arial" w:hAnsi="Arial"/>
          <w:sz w:val="17"/>
          <w:szCs w:val="17"/>
          <w:color w:val="auto"/>
        </w:rPr>
        <w:t>The Company, through its economic control of 9 Story, presently benefits from significant Canadian government tax credits at both the federal and provincial level. The Company's entertainment business finances a significant portion of its production budgets from such</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government tax credits and certain anticipated government tax credits are used as collateral for the production loans. Pursuant to an opinion issued by the Minister of Canadian Heritage with respect to the Company’s investment in 9 Story, the Company anticipates that 9 Story will</w:t>
      </w:r>
    </w:p>
    <w:p>
      <w:pPr>
        <w:spacing w:after="0" w:line="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continue to be eligible for such tax credits. The Company could lose its Canadian government tax credits and incentives if the Canadian regulated business into which the Company has invested (9 Story) ceases to be controlled by Canadian nationals. In order to preserve the benefits, the Company's voting equity ownership of 9 Story is limited to 25% of the total voting equity shares outstanding. Further, 9 Story’s business is managed by a board of directors, a majority of whose members are Canadian nationals who are not otherwise affiliated with the Company, consistent with the Company’s representations to the Canadian Ministry of Heritage. There can be no assurance that the individual tax incentive programs currently available to the Company will not be reduced, amended, or eliminated or that the Company or any specific production will continue to qualify for them, any of which may have an adverse effect on the Company’s entertainment business, results of operations, or financial condition.</w:t>
      </w:r>
    </w:p>
    <w:p>
      <w:pPr>
        <w:spacing w:after="0" w:line="228"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b w:val="1"/>
          <w:bCs w:val="1"/>
          <w:color w:val="auto"/>
        </w:rPr>
        <w:t>The Company's entertainment business depends on key relationships with buyers of film and television content and uncertainty with buyers or changes in demand for film and television content may impact the financial performance of the entertainment business.</w:t>
      </w:r>
    </w:p>
    <w:p>
      <w:pPr>
        <w:spacing w:after="0" w:line="162"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media and content industry in which the Company's entertainment business operates is rapidly evolving, including the market and demand for film and television content, with the entrance of new major streaming platforms and consolidation of traditional platforms, as well</w:t>
      </w:r>
    </w:p>
    <w:p>
      <w:pPr>
        <w:spacing w:after="0" w:line="1"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as the changing viewing habits of children and youth. While the Company believes that the demand for high-quality content will continue, industry trends may continue to change and the Company's entertainment business may be adversely affected by such changing industry trends, including potential impacts of mergers and acquisitions in the industry. There can be no certainty that demand for content will be sustained over the long term, that consumers will have an appetite for the programming produced by the Company's entertainment business or that the Company will be able to identify and be responsive to new content trends.</w:t>
      </w:r>
    </w:p>
    <w:p>
      <w:pPr>
        <w:spacing w:after="0" w:line="225" w:lineRule="exact"/>
        <w:rPr>
          <w:sz w:val="20"/>
          <w:szCs w:val="20"/>
          <w:color w:val="auto"/>
        </w:rPr>
      </w:pPr>
    </w:p>
    <w:p>
      <w:pPr>
        <w:ind w:right="520"/>
        <w:spacing w:after="0" w:line="296" w:lineRule="auto"/>
        <w:rPr>
          <w:sz w:val="20"/>
          <w:szCs w:val="20"/>
          <w:color w:val="auto"/>
        </w:rPr>
      </w:pPr>
      <w:r>
        <w:rPr>
          <w:rFonts w:ascii="Arial" w:cs="Arial" w:eastAsia="Arial" w:hAnsi="Arial"/>
          <w:sz w:val="16"/>
          <w:szCs w:val="16"/>
          <w:b w:val="1"/>
          <w:bCs w:val="1"/>
          <w:color w:val="auto"/>
        </w:rPr>
        <w:t>The Company may not be able to sustain, manage or effectively execute on its strategy with respect to its acquisition of 9 Story, which may impact the Company's financial performance.</w:t>
      </w:r>
    </w:p>
    <w:p>
      <w:pPr>
        <w:spacing w:after="0" w:line="17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expected financial benefits of the Company's acquisition of 9 Story depend, among other things, on its ability to realize synergies with 9 Story and develop new programming utilizing Scholastic's current and future IP that achieves market and audience acceptance. If the Company is unable to do this, the Company's business, financial condition, and performance could be materially and adversely affected.</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826135</wp:posOffset>
            </wp:positionV>
            <wp:extent cx="711517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15175" cy="8890"/>
                    </a:xfrm>
                    <a:prstGeom prst="rect">
                      <a:avLst/>
                    </a:prstGeom>
                    <a:noFill/>
                  </pic:spPr>
                </pic:pic>
              </a:graphicData>
            </a:graphic>
          </wp:anchor>
        </w:drawing>
        <w:t>SCHOLASTIC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1517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3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following table provides information with respect to repurchases of shares of Common Stock by the Corporation during the three months ended February 28, 2025:</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7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960" w:type="dxa"/>
            <w:vAlign w:val="bottom"/>
          </w:tcPr>
          <w:p>
            <w:pPr>
              <w:ind w:left="280"/>
              <w:spacing w:after="0"/>
              <w:rPr>
                <w:sz w:val="20"/>
                <w:szCs w:val="20"/>
                <w:color w:val="auto"/>
              </w:rPr>
            </w:pPr>
            <w:r>
              <w:rPr>
                <w:rFonts w:ascii="Arial" w:cs="Arial" w:eastAsia="Arial" w:hAnsi="Arial"/>
                <w:sz w:val="18"/>
                <w:szCs w:val="18"/>
                <w:b w:val="1"/>
                <w:bCs w:val="1"/>
                <w:color w:val="auto"/>
              </w:rPr>
              <w:t>Total number of</w:t>
            </w:r>
          </w:p>
        </w:tc>
        <w:tc>
          <w:tcPr>
            <w:tcW w:w="256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Maximum number of</w:t>
            </w:r>
          </w:p>
        </w:tc>
        <w:tc>
          <w:tcPr>
            <w:tcW w:w="0" w:type="dxa"/>
            <w:vAlign w:val="bottom"/>
          </w:tcPr>
          <w:p>
            <w:pPr>
              <w:spacing w:after="0"/>
              <w:rPr>
                <w:sz w:val="1"/>
                <w:szCs w:val="1"/>
                <w:color w:val="auto"/>
              </w:rPr>
            </w:pPr>
          </w:p>
        </w:tc>
      </w:tr>
      <w:tr>
        <w:trPr>
          <w:trHeight w:val="181"/>
        </w:trPr>
        <w:tc>
          <w:tcPr>
            <w:tcW w:w="37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960" w:type="dxa"/>
            <w:vAlign w:val="bottom"/>
          </w:tcPr>
          <w:p>
            <w:pPr>
              <w:ind w:left="280"/>
              <w:spacing w:after="0" w:line="181" w:lineRule="exact"/>
              <w:rPr>
                <w:sz w:val="20"/>
                <w:szCs w:val="20"/>
                <w:color w:val="auto"/>
              </w:rPr>
            </w:pPr>
            <w:r>
              <w:rPr>
                <w:rFonts w:ascii="Arial" w:cs="Arial" w:eastAsia="Arial" w:hAnsi="Arial"/>
                <w:sz w:val="18"/>
                <w:szCs w:val="18"/>
                <w:b w:val="1"/>
                <w:bCs w:val="1"/>
                <w:color w:val="auto"/>
              </w:rPr>
              <w:t>shares</w:t>
            </w:r>
          </w:p>
        </w:tc>
        <w:tc>
          <w:tcPr>
            <w:tcW w:w="2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60" w:type="dxa"/>
            <w:vAlign w:val="bottom"/>
          </w:tcPr>
          <w:p>
            <w:pPr>
              <w:spacing w:after="0"/>
              <w:rPr>
                <w:sz w:val="15"/>
                <w:szCs w:val="15"/>
                <w:color w:val="auto"/>
              </w:rPr>
            </w:pPr>
          </w:p>
        </w:tc>
        <w:tc>
          <w:tcPr>
            <w:tcW w:w="164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Total number</w:t>
            </w:r>
          </w:p>
        </w:tc>
        <w:tc>
          <w:tcPr>
            <w:tcW w:w="1260" w:type="dxa"/>
            <w:vAlign w:val="bottom"/>
          </w:tcPr>
          <w:p>
            <w:pPr>
              <w:spacing w:after="0"/>
              <w:rPr>
                <w:sz w:val="15"/>
                <w:szCs w:val="15"/>
                <w:color w:val="auto"/>
              </w:rPr>
            </w:pPr>
          </w:p>
        </w:tc>
        <w:tc>
          <w:tcPr>
            <w:tcW w:w="1960" w:type="dxa"/>
            <w:vAlign w:val="bottom"/>
          </w:tcPr>
          <w:p>
            <w:pPr>
              <w:ind w:left="280"/>
              <w:spacing w:after="0" w:line="176" w:lineRule="exact"/>
              <w:rPr>
                <w:sz w:val="20"/>
                <w:szCs w:val="20"/>
                <w:color w:val="auto"/>
              </w:rPr>
            </w:pPr>
            <w:r>
              <w:rPr>
                <w:rFonts w:ascii="Arial" w:cs="Arial" w:eastAsia="Arial" w:hAnsi="Arial"/>
                <w:sz w:val="18"/>
                <w:szCs w:val="18"/>
                <w:b w:val="1"/>
                <w:bCs w:val="1"/>
                <w:color w:val="auto"/>
              </w:rPr>
              <w:t>purchased as part</w:t>
            </w:r>
          </w:p>
        </w:tc>
        <w:tc>
          <w:tcPr>
            <w:tcW w:w="2560" w:type="dxa"/>
            <w:vAlign w:val="bottom"/>
          </w:tcPr>
          <w:p>
            <w:pPr>
              <w:ind w:left="120"/>
              <w:spacing w:after="0" w:line="176" w:lineRule="exact"/>
              <w:rPr>
                <w:sz w:val="20"/>
                <w:szCs w:val="20"/>
                <w:color w:val="auto"/>
              </w:rPr>
            </w:pPr>
            <w:r>
              <w:rPr>
                <w:rFonts w:ascii="Arial" w:cs="Arial" w:eastAsia="Arial" w:hAnsi="Arial"/>
                <w:sz w:val="18"/>
                <w:szCs w:val="18"/>
                <w:b w:val="1"/>
                <w:bCs w:val="1"/>
                <w:color w:val="auto"/>
              </w:rPr>
              <w:t>shares (or</w:t>
            </w:r>
          </w:p>
        </w:tc>
        <w:tc>
          <w:tcPr>
            <w:tcW w:w="0" w:type="dxa"/>
            <w:vAlign w:val="bottom"/>
          </w:tcPr>
          <w:p>
            <w:pPr>
              <w:spacing w:after="0"/>
              <w:rPr>
                <w:sz w:val="1"/>
                <w:szCs w:val="1"/>
                <w:color w:val="auto"/>
              </w:rPr>
            </w:pPr>
          </w:p>
        </w:tc>
      </w:tr>
      <w:tr>
        <w:trPr>
          <w:trHeight w:val="175"/>
        </w:trPr>
        <w:tc>
          <w:tcPr>
            <w:tcW w:w="376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126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Average</w:t>
            </w:r>
          </w:p>
        </w:tc>
        <w:tc>
          <w:tcPr>
            <w:tcW w:w="1960" w:type="dxa"/>
            <w:vAlign w:val="bottom"/>
          </w:tcPr>
          <w:p>
            <w:pPr>
              <w:ind w:left="280"/>
              <w:spacing w:after="0" w:line="176" w:lineRule="exact"/>
              <w:rPr>
                <w:sz w:val="20"/>
                <w:szCs w:val="20"/>
                <w:color w:val="auto"/>
              </w:rPr>
            </w:pPr>
            <w:r>
              <w:rPr>
                <w:rFonts w:ascii="Arial" w:cs="Arial" w:eastAsia="Arial" w:hAnsi="Arial"/>
                <w:sz w:val="18"/>
                <w:szCs w:val="18"/>
                <w:b w:val="1"/>
                <w:bCs w:val="1"/>
                <w:color w:val="auto"/>
              </w:rPr>
              <w:t>of publicly</w:t>
            </w:r>
          </w:p>
        </w:tc>
        <w:tc>
          <w:tcPr>
            <w:tcW w:w="2560" w:type="dxa"/>
            <w:vAlign w:val="bottom"/>
          </w:tcPr>
          <w:p>
            <w:pPr>
              <w:ind w:left="120"/>
              <w:spacing w:after="0" w:line="176" w:lineRule="exact"/>
              <w:rPr>
                <w:sz w:val="20"/>
                <w:szCs w:val="20"/>
                <w:color w:val="auto"/>
              </w:rPr>
            </w:pPr>
            <w:r>
              <w:rPr>
                <w:rFonts w:ascii="Arial" w:cs="Arial" w:eastAsia="Arial" w:hAnsi="Arial"/>
                <w:sz w:val="18"/>
                <w:szCs w:val="18"/>
                <w:b w:val="1"/>
                <w:bCs w:val="1"/>
                <w:color w:val="auto"/>
              </w:rPr>
              <w:t>approximate dollar value)</w:t>
            </w:r>
          </w:p>
        </w:tc>
        <w:tc>
          <w:tcPr>
            <w:tcW w:w="0" w:type="dxa"/>
            <w:vAlign w:val="bottom"/>
          </w:tcPr>
          <w:p>
            <w:pPr>
              <w:spacing w:after="0"/>
              <w:rPr>
                <w:sz w:val="1"/>
                <w:szCs w:val="1"/>
                <w:color w:val="auto"/>
              </w:rPr>
            </w:pPr>
          </w:p>
        </w:tc>
      </w:tr>
      <w:tr>
        <w:trPr>
          <w:trHeight w:val="189"/>
        </w:trPr>
        <w:tc>
          <w:tcPr>
            <w:tcW w:w="3760" w:type="dxa"/>
            <w:vAlign w:val="bottom"/>
          </w:tcPr>
          <w:p>
            <w:pPr>
              <w:spacing w:after="0"/>
              <w:rPr>
                <w:sz w:val="16"/>
                <w:szCs w:val="16"/>
                <w:color w:val="auto"/>
              </w:rPr>
            </w:pPr>
          </w:p>
        </w:tc>
        <w:tc>
          <w:tcPr>
            <w:tcW w:w="1640" w:type="dxa"/>
            <w:vAlign w:val="bottom"/>
          </w:tcPr>
          <w:p>
            <w:pPr>
              <w:ind w:left="360"/>
              <w:spacing w:after="0" w:line="189" w:lineRule="exact"/>
              <w:rPr>
                <w:sz w:val="20"/>
                <w:szCs w:val="20"/>
                <w:color w:val="auto"/>
              </w:rPr>
            </w:pPr>
            <w:r>
              <w:rPr>
                <w:rFonts w:ascii="Arial" w:cs="Arial" w:eastAsia="Arial" w:hAnsi="Arial"/>
                <w:sz w:val="18"/>
                <w:szCs w:val="18"/>
                <w:b w:val="1"/>
                <w:bCs w:val="1"/>
                <w:color w:val="auto"/>
              </w:rPr>
              <w:t>of</w:t>
            </w:r>
          </w:p>
        </w:tc>
        <w:tc>
          <w:tcPr>
            <w:tcW w:w="1260" w:type="dxa"/>
            <w:vAlign w:val="bottom"/>
            <w:vMerge w:val="continue"/>
          </w:tcPr>
          <w:p>
            <w:pPr>
              <w:spacing w:after="0"/>
              <w:rPr>
                <w:sz w:val="16"/>
                <w:szCs w:val="16"/>
                <w:color w:val="auto"/>
              </w:rPr>
            </w:pPr>
          </w:p>
        </w:tc>
        <w:tc>
          <w:tcPr>
            <w:tcW w:w="1960" w:type="dxa"/>
            <w:vAlign w:val="bottom"/>
          </w:tcPr>
          <w:p>
            <w:pPr>
              <w:ind w:left="280"/>
              <w:spacing w:after="0" w:line="189" w:lineRule="exact"/>
              <w:rPr>
                <w:sz w:val="20"/>
                <w:szCs w:val="20"/>
                <w:color w:val="auto"/>
              </w:rPr>
            </w:pPr>
            <w:r>
              <w:rPr>
                <w:rFonts w:ascii="Arial" w:cs="Arial" w:eastAsia="Arial" w:hAnsi="Arial"/>
                <w:sz w:val="18"/>
                <w:szCs w:val="18"/>
                <w:b w:val="1"/>
                <w:bCs w:val="1"/>
                <w:color w:val="auto"/>
              </w:rPr>
              <w:t>announced plans</w:t>
            </w:r>
          </w:p>
        </w:tc>
        <w:tc>
          <w:tcPr>
            <w:tcW w:w="2560" w:type="dxa"/>
            <w:vAlign w:val="bottom"/>
          </w:tcPr>
          <w:p>
            <w:pPr>
              <w:ind w:left="120"/>
              <w:spacing w:after="0" w:line="189" w:lineRule="exact"/>
              <w:rPr>
                <w:sz w:val="20"/>
                <w:szCs w:val="20"/>
                <w:color w:val="auto"/>
              </w:rPr>
            </w:pPr>
            <w:r>
              <w:rPr>
                <w:rFonts w:ascii="Arial" w:cs="Arial" w:eastAsia="Arial" w:hAnsi="Arial"/>
                <w:sz w:val="18"/>
                <w:szCs w:val="18"/>
                <w:b w:val="1"/>
                <w:bCs w:val="1"/>
                <w:color w:val="auto"/>
              </w:rPr>
              <w:t>that may yet be purchased</w:t>
            </w:r>
          </w:p>
        </w:tc>
        <w:tc>
          <w:tcPr>
            <w:tcW w:w="0" w:type="dxa"/>
            <w:vAlign w:val="bottom"/>
          </w:tcPr>
          <w:p>
            <w:pPr>
              <w:spacing w:after="0"/>
              <w:rPr>
                <w:sz w:val="1"/>
                <w:szCs w:val="1"/>
                <w:color w:val="auto"/>
              </w:rPr>
            </w:pPr>
          </w:p>
        </w:tc>
      </w:tr>
      <w:tr>
        <w:trPr>
          <w:trHeight w:val="176"/>
        </w:trPr>
        <w:tc>
          <w:tcPr>
            <w:tcW w:w="3760" w:type="dxa"/>
            <w:vAlign w:val="bottom"/>
            <w:vMerge w:val="restart"/>
          </w:tcPr>
          <w:p>
            <w:pPr>
              <w:spacing w:after="0"/>
              <w:rPr>
                <w:sz w:val="20"/>
                <w:szCs w:val="20"/>
                <w:color w:val="auto"/>
              </w:rPr>
            </w:pPr>
            <w:r>
              <w:rPr>
                <w:rFonts w:ascii="Arial" w:cs="Arial" w:eastAsia="Arial" w:hAnsi="Arial"/>
                <w:sz w:val="18"/>
                <w:szCs w:val="18"/>
                <w:b w:val="1"/>
                <w:bCs w:val="1"/>
                <w:color w:val="auto"/>
              </w:rPr>
              <w:t>Period</w:t>
            </w:r>
          </w:p>
        </w:tc>
        <w:tc>
          <w:tcPr>
            <w:tcW w:w="1640" w:type="dxa"/>
            <w:vAlign w:val="bottom"/>
          </w:tcPr>
          <w:p>
            <w:pPr>
              <w:ind w:left="360"/>
              <w:spacing w:after="0" w:line="176" w:lineRule="exact"/>
              <w:rPr>
                <w:sz w:val="20"/>
                <w:szCs w:val="20"/>
                <w:color w:val="auto"/>
              </w:rPr>
            </w:pPr>
            <w:r>
              <w:rPr>
                <w:rFonts w:ascii="Arial" w:cs="Arial" w:eastAsia="Arial" w:hAnsi="Arial"/>
                <w:sz w:val="18"/>
                <w:szCs w:val="18"/>
                <w:b w:val="1"/>
                <w:bCs w:val="1"/>
                <w:color w:val="auto"/>
              </w:rPr>
              <w:t>shares</w:t>
            </w:r>
          </w:p>
        </w:tc>
        <w:tc>
          <w:tcPr>
            <w:tcW w:w="1260" w:type="dxa"/>
            <w:vAlign w:val="bottom"/>
          </w:tcPr>
          <w:p>
            <w:pPr>
              <w:ind w:left="160"/>
              <w:spacing w:after="0" w:line="176" w:lineRule="exact"/>
              <w:rPr>
                <w:sz w:val="20"/>
                <w:szCs w:val="20"/>
                <w:color w:val="auto"/>
              </w:rPr>
            </w:pPr>
            <w:r>
              <w:rPr>
                <w:rFonts w:ascii="Arial" w:cs="Arial" w:eastAsia="Arial" w:hAnsi="Arial"/>
                <w:sz w:val="18"/>
                <w:szCs w:val="18"/>
                <w:b w:val="1"/>
                <w:bCs w:val="1"/>
                <w:color w:val="auto"/>
              </w:rPr>
              <w:t>price paid</w:t>
            </w:r>
          </w:p>
        </w:tc>
        <w:tc>
          <w:tcPr>
            <w:tcW w:w="1960" w:type="dxa"/>
            <w:vAlign w:val="bottom"/>
          </w:tcPr>
          <w:p>
            <w:pPr>
              <w:ind w:left="280"/>
              <w:spacing w:after="0" w:line="176" w:lineRule="exact"/>
              <w:rPr>
                <w:sz w:val="20"/>
                <w:szCs w:val="20"/>
                <w:color w:val="auto"/>
              </w:rPr>
            </w:pPr>
            <w:r>
              <w:rPr>
                <w:rFonts w:ascii="Arial" w:cs="Arial" w:eastAsia="Arial" w:hAnsi="Arial"/>
                <w:sz w:val="18"/>
                <w:szCs w:val="18"/>
                <w:b w:val="1"/>
                <w:bCs w:val="1"/>
                <w:color w:val="auto"/>
              </w:rPr>
              <w:t>or</w:t>
            </w:r>
          </w:p>
        </w:tc>
        <w:tc>
          <w:tcPr>
            <w:tcW w:w="2560" w:type="dxa"/>
            <w:vAlign w:val="bottom"/>
          </w:tcPr>
          <w:p>
            <w:pPr>
              <w:ind w:left="120"/>
              <w:spacing w:after="0" w:line="176" w:lineRule="exact"/>
              <w:rPr>
                <w:sz w:val="20"/>
                <w:szCs w:val="20"/>
                <w:color w:val="auto"/>
              </w:rPr>
            </w:pPr>
            <w:r>
              <w:rPr>
                <w:rFonts w:ascii="Arial" w:cs="Arial" w:eastAsia="Arial" w:hAnsi="Arial"/>
                <w:sz w:val="18"/>
                <w:szCs w:val="18"/>
                <w:b w:val="1"/>
                <w:bCs w:val="1"/>
                <w:color w:val="auto"/>
              </w:rPr>
              <w:t>under the plans or</w:t>
            </w:r>
          </w:p>
        </w:tc>
        <w:tc>
          <w:tcPr>
            <w:tcW w:w="0" w:type="dxa"/>
            <w:vAlign w:val="bottom"/>
          </w:tcPr>
          <w:p>
            <w:pPr>
              <w:spacing w:after="0"/>
              <w:rPr>
                <w:sz w:val="1"/>
                <w:szCs w:val="1"/>
                <w:color w:val="auto"/>
              </w:rPr>
            </w:pPr>
          </w:p>
        </w:tc>
      </w:tr>
      <w:tr>
        <w:trPr>
          <w:trHeight w:val="229"/>
        </w:trPr>
        <w:tc>
          <w:tcPr>
            <w:tcW w:w="3760" w:type="dxa"/>
            <w:vAlign w:val="bottom"/>
            <w:tcBorders>
              <w:bottom w:val="single" w:sz="8" w:color="auto"/>
            </w:tcBorders>
            <w:vMerge w:val="continue"/>
          </w:tcPr>
          <w:p>
            <w:pPr>
              <w:spacing w:after="0"/>
              <w:rPr>
                <w:sz w:val="19"/>
                <w:szCs w:val="19"/>
                <w:color w:val="auto"/>
              </w:rPr>
            </w:pPr>
          </w:p>
        </w:tc>
        <w:tc>
          <w:tcPr>
            <w:tcW w:w="16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purchased</w:t>
            </w:r>
          </w:p>
        </w:tc>
        <w:tc>
          <w:tcPr>
            <w:tcW w:w="1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per share</w:t>
            </w:r>
          </w:p>
        </w:tc>
        <w:tc>
          <w:tcPr>
            <w:tcW w:w="196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programs</w:t>
            </w:r>
          </w:p>
        </w:tc>
        <w:tc>
          <w:tcPr>
            <w:tcW w:w="2560" w:type="dxa"/>
            <w:vAlign w:val="bottom"/>
            <w:tcBorders>
              <w:bottom w:val="single" w:sz="8" w:color="auto"/>
            </w:tcBorders>
          </w:tcPr>
          <w:p>
            <w:pPr>
              <w:ind w:left="120"/>
              <w:spacing w:after="0" w:line="230" w:lineRule="exact"/>
              <w:rPr>
                <w:sz w:val="20"/>
                <w:szCs w:val="20"/>
                <w:color w:val="auto"/>
              </w:rPr>
            </w:pPr>
            <w:r>
              <w:rPr>
                <w:rFonts w:ascii="Arial" w:cs="Arial" w:eastAsia="Arial" w:hAnsi="Arial"/>
                <w:sz w:val="18"/>
                <w:szCs w:val="18"/>
                <w:b w:val="1"/>
                <w:bCs w:val="1"/>
                <w:color w:val="auto"/>
              </w:rPr>
              <w:t xml:space="preserve">programs </w:t>
            </w:r>
            <w:r>
              <w:rPr>
                <w:rFonts w:ascii="Arial" w:cs="Arial" w:eastAsia="Arial" w:hAnsi="Arial"/>
                <w:sz w:val="23"/>
                <w:szCs w:val="23"/>
                <w:b w:val="1"/>
                <w:bCs w:val="1"/>
                <w:color w:val="auto"/>
                <w:vertAlign w:val="superscript"/>
              </w:rPr>
              <w:t>(i)</w:t>
            </w:r>
          </w:p>
        </w:tc>
        <w:tc>
          <w:tcPr>
            <w:tcW w:w="0" w:type="dxa"/>
            <w:vAlign w:val="bottom"/>
          </w:tcPr>
          <w:p>
            <w:pPr>
              <w:spacing w:after="0"/>
              <w:rPr>
                <w:sz w:val="1"/>
                <w:szCs w:val="1"/>
                <w:color w:val="auto"/>
              </w:rPr>
            </w:pPr>
          </w:p>
        </w:tc>
      </w:tr>
      <w:tr>
        <w:trPr>
          <w:trHeight w:val="209"/>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December 1, 2024 through December 31, 2024</w:t>
            </w:r>
          </w:p>
        </w:tc>
        <w:tc>
          <w:tcPr>
            <w:tcW w:w="1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235,336</w:t>
            </w:r>
          </w:p>
        </w:tc>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$21.23</w:t>
            </w:r>
          </w:p>
        </w:tc>
        <w:tc>
          <w:tcPr>
            <w:tcW w:w="19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235,336</w:t>
            </w:r>
          </w:p>
        </w:tc>
        <w:tc>
          <w:tcPr>
            <w:tcW w:w="25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$71.6</w:t>
            </w:r>
          </w:p>
        </w:tc>
        <w:tc>
          <w:tcPr>
            <w:tcW w:w="0" w:type="dxa"/>
            <w:vAlign w:val="bottom"/>
          </w:tcPr>
          <w:p>
            <w:pPr>
              <w:spacing w:after="0"/>
              <w:rPr>
                <w:sz w:val="1"/>
                <w:szCs w:val="1"/>
                <w:color w:val="auto"/>
              </w:rPr>
            </w:pPr>
          </w:p>
        </w:tc>
      </w:tr>
      <w:tr>
        <w:trPr>
          <w:trHeight w:val="215"/>
        </w:trPr>
        <w:tc>
          <w:tcPr>
            <w:tcW w:w="3760" w:type="dxa"/>
            <w:vAlign w:val="bottom"/>
          </w:tcPr>
          <w:p>
            <w:pPr>
              <w:spacing w:after="0"/>
              <w:rPr>
                <w:sz w:val="20"/>
                <w:szCs w:val="20"/>
                <w:color w:val="auto"/>
              </w:rPr>
            </w:pPr>
            <w:r>
              <w:rPr>
                <w:rFonts w:ascii="Arial" w:cs="Arial" w:eastAsia="Arial" w:hAnsi="Arial"/>
                <w:sz w:val="16"/>
                <w:szCs w:val="16"/>
                <w:color w:val="auto"/>
              </w:rPr>
              <w:t>January 1, 2025 through January 31, 2025</w:t>
            </w:r>
          </w:p>
        </w:tc>
        <w:tc>
          <w:tcPr>
            <w:tcW w:w="1640" w:type="dxa"/>
            <w:vAlign w:val="bottom"/>
          </w:tcPr>
          <w:p>
            <w:pPr>
              <w:ind w:left="360"/>
              <w:spacing w:after="0"/>
              <w:rPr>
                <w:sz w:val="20"/>
                <w:szCs w:val="20"/>
                <w:color w:val="auto"/>
              </w:rPr>
            </w:pPr>
            <w:r>
              <w:rPr>
                <w:rFonts w:ascii="Arial" w:cs="Arial" w:eastAsia="Arial" w:hAnsi="Arial"/>
                <w:sz w:val="16"/>
                <w:szCs w:val="16"/>
                <w:color w:val="auto"/>
              </w:rPr>
              <w:t>237,344</w:t>
            </w:r>
          </w:p>
        </w:tc>
        <w:tc>
          <w:tcPr>
            <w:tcW w:w="1260" w:type="dxa"/>
            <w:vAlign w:val="bottom"/>
          </w:tcPr>
          <w:p>
            <w:pPr>
              <w:ind w:left="160"/>
              <w:spacing w:after="0"/>
              <w:rPr>
                <w:sz w:val="20"/>
                <w:szCs w:val="20"/>
                <w:color w:val="auto"/>
              </w:rPr>
            </w:pPr>
            <w:r>
              <w:rPr>
                <w:rFonts w:ascii="Arial" w:cs="Arial" w:eastAsia="Arial" w:hAnsi="Arial"/>
                <w:sz w:val="16"/>
                <w:szCs w:val="16"/>
                <w:color w:val="auto"/>
              </w:rPr>
              <w:t>$21.05</w:t>
            </w:r>
          </w:p>
        </w:tc>
        <w:tc>
          <w:tcPr>
            <w:tcW w:w="1960" w:type="dxa"/>
            <w:vAlign w:val="bottom"/>
          </w:tcPr>
          <w:p>
            <w:pPr>
              <w:ind w:left="280"/>
              <w:spacing w:after="0"/>
              <w:rPr>
                <w:sz w:val="20"/>
                <w:szCs w:val="20"/>
                <w:color w:val="auto"/>
              </w:rPr>
            </w:pPr>
            <w:r>
              <w:rPr>
                <w:rFonts w:ascii="Arial" w:cs="Arial" w:eastAsia="Arial" w:hAnsi="Arial"/>
                <w:sz w:val="16"/>
                <w:szCs w:val="16"/>
                <w:color w:val="auto"/>
              </w:rPr>
              <w:t>237,344</w:t>
            </w:r>
          </w:p>
        </w:tc>
        <w:tc>
          <w:tcPr>
            <w:tcW w:w="2560" w:type="dxa"/>
            <w:vAlign w:val="bottom"/>
          </w:tcPr>
          <w:p>
            <w:pPr>
              <w:ind w:left="120"/>
              <w:spacing w:after="0"/>
              <w:rPr>
                <w:sz w:val="20"/>
                <w:szCs w:val="20"/>
                <w:color w:val="auto"/>
              </w:rPr>
            </w:pPr>
            <w:r>
              <w:rPr>
                <w:rFonts w:ascii="Arial" w:cs="Arial" w:eastAsia="Arial" w:hAnsi="Arial"/>
                <w:sz w:val="16"/>
                <w:szCs w:val="16"/>
                <w:color w:val="auto"/>
              </w:rPr>
              <w:t>$66.6</w:t>
            </w:r>
          </w:p>
        </w:tc>
        <w:tc>
          <w:tcPr>
            <w:tcW w:w="0" w:type="dxa"/>
            <w:vAlign w:val="bottom"/>
          </w:tcPr>
          <w:p>
            <w:pPr>
              <w:spacing w:after="0"/>
              <w:rPr>
                <w:sz w:val="1"/>
                <w:szCs w:val="1"/>
                <w:color w:val="auto"/>
              </w:rPr>
            </w:pPr>
          </w:p>
        </w:tc>
      </w:tr>
      <w:tr>
        <w:trPr>
          <w:trHeight w:val="216"/>
        </w:trPr>
        <w:tc>
          <w:tcPr>
            <w:tcW w:w="3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February 1, 2025 through February 28, 2025</w:t>
            </w:r>
          </w:p>
        </w:tc>
        <w:tc>
          <w:tcPr>
            <w:tcW w:w="16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977,594</w:t>
            </w:r>
          </w:p>
        </w:tc>
        <w:tc>
          <w:tcPr>
            <w:tcW w:w="12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$20.44</w:t>
            </w:r>
          </w:p>
        </w:tc>
        <w:tc>
          <w:tcPr>
            <w:tcW w:w="19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977,594</w:t>
            </w:r>
          </w:p>
        </w:tc>
        <w:tc>
          <w:tcPr>
            <w:tcW w:w="25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$46.6</w:t>
            </w:r>
          </w:p>
        </w:tc>
        <w:tc>
          <w:tcPr>
            <w:tcW w:w="0" w:type="dxa"/>
            <w:vAlign w:val="bottom"/>
          </w:tcPr>
          <w:p>
            <w:pPr>
              <w:spacing w:after="0"/>
              <w:rPr>
                <w:sz w:val="1"/>
                <w:szCs w:val="1"/>
                <w:color w:val="auto"/>
              </w:rPr>
            </w:pPr>
          </w:p>
        </w:tc>
      </w:tr>
      <w:tr>
        <w:trPr>
          <w:trHeight w:val="210"/>
        </w:trPr>
        <w:tc>
          <w:tcPr>
            <w:tcW w:w="37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w:t>
            </w:r>
          </w:p>
        </w:tc>
        <w:tc>
          <w:tcPr>
            <w:tcW w:w="164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1,450,274</w:t>
            </w:r>
          </w:p>
        </w:tc>
        <w:tc>
          <w:tcPr>
            <w:tcW w:w="12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1,450,274</w:t>
            </w:r>
          </w:p>
        </w:tc>
        <w:tc>
          <w:tcPr>
            <w:tcW w:w="256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$46.6</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right="100" w:firstLine="8"/>
        <w:spacing w:after="0" w:line="266" w:lineRule="auto"/>
        <w:tabs>
          <w:tab w:leader="none" w:pos="168"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amount remaining at February 28, 2025 under the Board authorization for Common share repurchases announced on March 20, 2024, which is available for further repurchases, from time to time as conditions allow, on the open market or through privately negotiated transactions. See Note 12 of Notes to Condensed Consolidated Financial Statements - unaudited in Item 1, “Financial Statements,” for a description of the Company’s share buy-back program and share repurchase authorizations. Subsequent to February 28, 2025, the Board authorized an increase of $53.4 million for common stock repurchases, resulting in a current Board authorization of $100 million, which includes the remaining amount from the previous Board authorization.</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30" w:right="359" w:bottom="1440" w:gutter="0" w:footer="0" w:header="0"/>
        </w:sectPr>
      </w:pPr>
    </w:p>
    <w:bookmarkStart w:id="40" w:name="page41"/>
    <w:bookmarkEnd w:id="40"/>
    <w:p>
      <w:pPr>
        <w:spacing w:after="0" w:line="2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1014730</wp:posOffset>
            </wp:positionV>
            <wp:extent cx="711517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SCHOLASTIC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1517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7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During the three months ended February 28, 2025, none of our directors or officers informed us of the adoption or termination of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440" w:right="759" w:bottom="1440" w:gutter="0" w:footer="0" w:header="0"/>
        </w:sectPr>
      </w:pPr>
    </w:p>
    <w:bookmarkStart w:id="41" w:name="page42"/>
    <w:bookmarkEnd w:id="41"/>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1517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SCHOLASTIC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1517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760" w:type="dxa"/>
            <w:vAlign w:val="bottom"/>
          </w:tcPr>
          <w:p>
            <w:pPr>
              <w:spacing w:after="0"/>
              <w:rPr>
                <w:sz w:val="20"/>
                <w:szCs w:val="20"/>
                <w:color w:val="auto"/>
              </w:rPr>
            </w:pPr>
            <w:r>
              <w:rPr>
                <w:rFonts w:ascii="Arial" w:cs="Arial" w:eastAsia="Arial" w:hAnsi="Arial"/>
                <w:sz w:val="16"/>
                <w:szCs w:val="16"/>
                <w:color w:val="auto"/>
              </w:rPr>
              <w:t>10.1*</w:t>
            </w:r>
          </w:p>
        </w:tc>
        <w:tc>
          <w:tcPr>
            <w:tcW w:w="9360" w:type="dxa"/>
            <w:vAlign w:val="bottom"/>
            <w:gridSpan w:val="10"/>
          </w:tcPr>
          <w:p>
            <w:pPr>
              <w:spacing w:after="0"/>
              <w:rPr>
                <w:sz w:val="20"/>
                <w:szCs w:val="20"/>
                <w:color w:val="auto"/>
              </w:rPr>
            </w:pPr>
            <w:r>
              <w:rPr>
                <w:rFonts w:ascii="Arial" w:cs="Arial" w:eastAsia="Arial" w:hAnsi="Arial"/>
                <w:sz w:val="16"/>
                <w:szCs w:val="16"/>
                <w:color w:val="0000FF"/>
              </w:rPr>
              <w:t>Letter Agreement dated January 30, 2025 between Peter Warwick and the Company.</w:t>
            </w:r>
          </w:p>
        </w:tc>
      </w:tr>
      <w:tr>
        <w:trPr>
          <w:trHeight w:val="20"/>
        </w:trPr>
        <w:tc>
          <w:tcPr>
            <w:tcW w:w="17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760" w:type="dxa"/>
            <w:vAlign w:val="bottom"/>
          </w:tcPr>
          <w:p>
            <w:pPr>
              <w:spacing w:after="0"/>
              <w:rPr>
                <w:sz w:val="20"/>
                <w:szCs w:val="20"/>
                <w:color w:val="auto"/>
              </w:rPr>
            </w:pPr>
            <w:r>
              <w:rPr>
                <w:rFonts w:ascii="Arial" w:cs="Arial" w:eastAsia="Arial" w:hAnsi="Arial"/>
                <w:sz w:val="16"/>
                <w:szCs w:val="16"/>
                <w:color w:val="auto"/>
              </w:rPr>
              <w:t>10.2</w:t>
            </w:r>
          </w:p>
        </w:tc>
        <w:tc>
          <w:tcPr>
            <w:tcW w:w="9360" w:type="dxa"/>
            <w:vAlign w:val="bottom"/>
            <w:gridSpan w:val="10"/>
          </w:tcPr>
          <w:p>
            <w:pPr>
              <w:spacing w:after="0"/>
              <w:rPr>
                <w:rFonts w:ascii="Arial" w:cs="Arial" w:eastAsia="Arial" w:hAnsi="Arial"/>
                <w:sz w:val="16"/>
                <w:szCs w:val="16"/>
                <w:color w:val="0000FF"/>
              </w:rPr>
            </w:pPr>
            <w:hyperlink r:id="rId126">
              <w:r>
                <w:rPr>
                  <w:rFonts w:ascii="Arial" w:cs="Arial" w:eastAsia="Arial" w:hAnsi="Arial"/>
                  <w:sz w:val="16"/>
                  <w:szCs w:val="16"/>
                  <w:color w:val="0000FF"/>
                </w:rPr>
                <w:t>Third Amendment, dated as of November 26, 2024, to the Amended and Restated Credit Agreement dated as of October 27, 2021</w:t>
              </w:r>
            </w:hyperlink>
          </w:p>
        </w:tc>
      </w:tr>
      <w:tr>
        <w:trPr>
          <w:trHeight w:val="142"/>
        </w:trPr>
        <w:tc>
          <w:tcPr>
            <w:tcW w:w="1760" w:type="dxa"/>
            <w:vAlign w:val="bottom"/>
          </w:tcPr>
          <w:p>
            <w:pPr>
              <w:spacing w:after="0"/>
              <w:rPr>
                <w:sz w:val="12"/>
                <w:szCs w:val="12"/>
                <w:color w:val="auto"/>
              </w:rPr>
            </w:pPr>
          </w:p>
        </w:tc>
        <w:tc>
          <w:tcPr>
            <w:tcW w:w="9340" w:type="dxa"/>
            <w:vAlign w:val="bottom"/>
            <w:tcBorders>
              <w:top w:val="single" w:sz="8" w:color="0000FF"/>
            </w:tcBorders>
            <w:gridSpan w:val="9"/>
          </w:tcPr>
          <w:p>
            <w:pPr>
              <w:spacing w:after="0" w:line="142" w:lineRule="exact"/>
              <w:rPr>
                <w:rFonts w:ascii="Arial" w:cs="Arial" w:eastAsia="Arial" w:hAnsi="Arial"/>
                <w:sz w:val="16"/>
                <w:szCs w:val="16"/>
                <w:color w:val="0000FF"/>
              </w:rPr>
            </w:pPr>
            <w:hyperlink r:id="rId126">
              <w:r>
                <w:rPr>
                  <w:rFonts w:ascii="Arial" w:cs="Arial" w:eastAsia="Arial" w:hAnsi="Arial"/>
                  <w:sz w:val="16"/>
                  <w:szCs w:val="16"/>
                  <w:color w:val="0000FF"/>
                </w:rPr>
                <w:t>(the “Credit Agreement”) by and between Scholastic Corporation and Scholastic Inc., the lenders from time to time party thereto,</w:t>
              </w:r>
            </w:hyperlink>
          </w:p>
        </w:tc>
        <w:tc>
          <w:tcPr>
            <w:tcW w:w="20" w:type="dxa"/>
            <w:vAlign w:val="bottom"/>
          </w:tcPr>
          <w:p>
            <w:pPr>
              <w:spacing w:after="0"/>
              <w:rPr>
                <w:sz w:val="12"/>
                <w:szCs w:val="12"/>
                <w:color w:val="auto"/>
              </w:rPr>
            </w:pPr>
          </w:p>
        </w:tc>
      </w:tr>
      <w:tr>
        <w:trPr>
          <w:trHeight w:val="142"/>
        </w:trPr>
        <w:tc>
          <w:tcPr>
            <w:tcW w:w="1760" w:type="dxa"/>
            <w:vAlign w:val="bottom"/>
          </w:tcPr>
          <w:p>
            <w:pPr>
              <w:spacing w:after="0"/>
              <w:rPr>
                <w:sz w:val="12"/>
                <w:szCs w:val="12"/>
                <w:color w:val="auto"/>
              </w:rPr>
            </w:pPr>
          </w:p>
        </w:tc>
        <w:tc>
          <w:tcPr>
            <w:tcW w:w="9160" w:type="dxa"/>
            <w:vAlign w:val="bottom"/>
            <w:tcBorders>
              <w:top w:val="single" w:sz="8" w:color="0000FF"/>
            </w:tcBorders>
            <w:gridSpan w:val="8"/>
          </w:tcPr>
          <w:p>
            <w:pPr>
              <w:spacing w:after="0" w:line="142" w:lineRule="exact"/>
              <w:rPr>
                <w:rFonts w:ascii="Arial" w:cs="Arial" w:eastAsia="Arial" w:hAnsi="Arial"/>
                <w:sz w:val="16"/>
                <w:szCs w:val="16"/>
                <w:color w:val="0000FF"/>
              </w:rPr>
            </w:pPr>
            <w:hyperlink r:id="rId126">
              <w:r>
                <w:rPr>
                  <w:rFonts w:ascii="Arial" w:cs="Arial" w:eastAsia="Arial" w:hAnsi="Arial"/>
                  <w:sz w:val="16"/>
                  <w:szCs w:val="16"/>
                  <w:color w:val="0000FF"/>
                </w:rPr>
                <w:t>and Bank of America, N.A., as administrative agent (incorporated by reference to Form 8-K filed December 3, 2024).</w:t>
              </w:r>
            </w:hyperlink>
          </w:p>
        </w:tc>
        <w:tc>
          <w:tcPr>
            <w:tcW w:w="200" w:type="dxa"/>
            <w:vAlign w:val="bottom"/>
            <w:gridSpan w:val="2"/>
          </w:tcPr>
          <w:p>
            <w:pPr>
              <w:spacing w:after="0"/>
              <w:rPr>
                <w:sz w:val="12"/>
                <w:szCs w:val="12"/>
                <w:color w:val="auto"/>
              </w:rPr>
            </w:pPr>
          </w:p>
        </w:tc>
      </w:tr>
      <w:tr>
        <w:trPr>
          <w:trHeight w:val="412"/>
        </w:trPr>
        <w:tc>
          <w:tcPr>
            <w:tcW w:w="1760" w:type="dxa"/>
            <w:vAlign w:val="bottom"/>
          </w:tcPr>
          <w:p>
            <w:pPr>
              <w:spacing w:after="0"/>
              <w:rPr>
                <w:sz w:val="20"/>
                <w:szCs w:val="20"/>
                <w:color w:val="auto"/>
              </w:rPr>
            </w:pPr>
            <w:r>
              <w:rPr>
                <w:rFonts w:ascii="Arial" w:cs="Arial" w:eastAsia="Arial" w:hAnsi="Arial"/>
                <w:sz w:val="16"/>
                <w:szCs w:val="16"/>
                <w:color w:val="auto"/>
              </w:rPr>
              <w:t>21</w:t>
            </w:r>
          </w:p>
        </w:tc>
        <w:tc>
          <w:tcPr>
            <w:tcW w:w="408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6"/>
                <w:szCs w:val="16"/>
                <w:color w:val="0000FF"/>
              </w:rPr>
              <w:t>Subsidiaries of the Corporation, as of February 28, 2025.</w:t>
            </w:r>
          </w:p>
        </w:tc>
        <w:tc>
          <w:tcPr>
            <w:tcW w:w="4240" w:type="dxa"/>
            <w:vAlign w:val="bottom"/>
            <w:tcBorders>
              <w:top w:val="single" w:sz="8" w:color="0000FF"/>
            </w:tcBorders>
            <w:gridSpan w:val="2"/>
          </w:tcPr>
          <w:p>
            <w:pPr>
              <w:spacing w:after="0"/>
              <w:rPr>
                <w:sz w:val="24"/>
                <w:szCs w:val="24"/>
                <w:color w:val="auto"/>
              </w:rPr>
            </w:pPr>
          </w:p>
        </w:tc>
        <w:tc>
          <w:tcPr>
            <w:tcW w:w="1040" w:type="dxa"/>
            <w:vAlign w:val="bottom"/>
            <w:gridSpan w:val="5"/>
          </w:tcPr>
          <w:p>
            <w:pPr>
              <w:spacing w:after="0"/>
              <w:rPr>
                <w:sz w:val="24"/>
                <w:szCs w:val="24"/>
                <w:color w:val="auto"/>
              </w:rPr>
            </w:pPr>
          </w:p>
        </w:tc>
      </w:tr>
      <w:tr>
        <w:trPr>
          <w:trHeight w:val="412"/>
        </w:trPr>
        <w:tc>
          <w:tcPr>
            <w:tcW w:w="1760" w:type="dxa"/>
            <w:vAlign w:val="bottom"/>
          </w:tcPr>
          <w:p>
            <w:pPr>
              <w:spacing w:after="0"/>
              <w:rPr>
                <w:sz w:val="20"/>
                <w:szCs w:val="20"/>
                <w:color w:val="auto"/>
              </w:rPr>
            </w:pPr>
            <w:r>
              <w:rPr>
                <w:rFonts w:ascii="Arial" w:cs="Arial" w:eastAsia="Arial" w:hAnsi="Arial"/>
                <w:sz w:val="16"/>
                <w:szCs w:val="16"/>
                <w:color w:val="auto"/>
              </w:rPr>
              <w:t>31.1</w:t>
            </w:r>
          </w:p>
        </w:tc>
        <w:tc>
          <w:tcPr>
            <w:tcW w:w="9360" w:type="dxa"/>
            <w:vAlign w:val="bottom"/>
            <w:gridSpan w:val="10"/>
          </w:tcPr>
          <w:p>
            <w:pPr>
              <w:spacing w:after="0"/>
              <w:rPr>
                <w:sz w:val="20"/>
                <w:szCs w:val="20"/>
                <w:color w:val="auto"/>
              </w:rPr>
            </w:pPr>
            <w:r>
              <w:rPr>
                <w:rFonts w:ascii="Arial" w:cs="Arial" w:eastAsia="Arial" w:hAnsi="Arial"/>
                <w:sz w:val="16"/>
                <w:szCs w:val="16"/>
                <w:color w:val="0000FF"/>
              </w:rPr>
              <w:t>Certification of the Chief Executive Officer of Scholastic Corporation filed pursuant to Section 302 of the Sarbanes-Oxley Act of</w:t>
            </w:r>
          </w:p>
        </w:tc>
      </w:tr>
      <w:tr>
        <w:trPr>
          <w:trHeight w:val="142"/>
        </w:trPr>
        <w:tc>
          <w:tcPr>
            <w:tcW w:w="1760" w:type="dxa"/>
            <w:vAlign w:val="bottom"/>
          </w:tcPr>
          <w:p>
            <w:pPr>
              <w:spacing w:after="0"/>
              <w:rPr>
                <w:sz w:val="12"/>
                <w:szCs w:val="12"/>
                <w:color w:val="auto"/>
              </w:rPr>
            </w:pPr>
          </w:p>
        </w:tc>
        <w:tc>
          <w:tcPr>
            <w:tcW w:w="400" w:type="dxa"/>
            <w:vAlign w:val="bottom"/>
            <w:tcBorders>
              <w:top w:val="single" w:sz="8" w:color="0000FF"/>
              <w:bottom w:val="single" w:sz="8" w:color="0000FF"/>
            </w:tcBorders>
          </w:tcPr>
          <w:p>
            <w:pPr>
              <w:spacing w:after="0" w:line="142" w:lineRule="exact"/>
              <w:rPr>
                <w:sz w:val="20"/>
                <w:szCs w:val="20"/>
                <w:color w:val="auto"/>
              </w:rPr>
            </w:pPr>
            <w:r>
              <w:rPr>
                <w:rFonts w:ascii="Arial" w:cs="Arial" w:eastAsia="Arial" w:hAnsi="Arial"/>
                <w:sz w:val="16"/>
                <w:szCs w:val="16"/>
                <w:color w:val="0000FF"/>
                <w:w w:val="94"/>
              </w:rPr>
              <w:t>2002.</w:t>
            </w:r>
          </w:p>
        </w:tc>
        <w:tc>
          <w:tcPr>
            <w:tcW w:w="2120" w:type="dxa"/>
            <w:vAlign w:val="bottom"/>
            <w:tcBorders>
              <w:top w:val="single" w:sz="8" w:color="0000FF"/>
            </w:tcBorders>
          </w:tcPr>
          <w:p>
            <w:pPr>
              <w:spacing w:after="0"/>
              <w:rPr>
                <w:sz w:val="12"/>
                <w:szCs w:val="12"/>
                <w:color w:val="auto"/>
              </w:rPr>
            </w:pPr>
          </w:p>
        </w:tc>
        <w:tc>
          <w:tcPr>
            <w:tcW w:w="1560" w:type="dxa"/>
            <w:vAlign w:val="bottom"/>
            <w:tcBorders>
              <w:top w:val="single" w:sz="8" w:color="0000FF"/>
            </w:tcBorders>
          </w:tcPr>
          <w:p>
            <w:pPr>
              <w:spacing w:after="0"/>
              <w:rPr>
                <w:sz w:val="12"/>
                <w:szCs w:val="12"/>
                <w:color w:val="auto"/>
              </w:rPr>
            </w:pPr>
          </w:p>
        </w:tc>
        <w:tc>
          <w:tcPr>
            <w:tcW w:w="2020" w:type="dxa"/>
            <w:vAlign w:val="bottom"/>
            <w:tcBorders>
              <w:top w:val="single" w:sz="8" w:color="0000FF"/>
            </w:tcBorders>
          </w:tcPr>
          <w:p>
            <w:pPr>
              <w:spacing w:after="0"/>
              <w:rPr>
                <w:sz w:val="12"/>
                <w:szCs w:val="12"/>
                <w:color w:val="auto"/>
              </w:rPr>
            </w:pPr>
          </w:p>
        </w:tc>
        <w:tc>
          <w:tcPr>
            <w:tcW w:w="2220" w:type="dxa"/>
            <w:vAlign w:val="bottom"/>
            <w:tcBorders>
              <w:top w:val="single" w:sz="8" w:color="0000FF"/>
            </w:tcBorders>
          </w:tcPr>
          <w:p>
            <w:pPr>
              <w:spacing w:after="0"/>
              <w:rPr>
                <w:sz w:val="12"/>
                <w:szCs w:val="12"/>
                <w:color w:val="auto"/>
              </w:rPr>
            </w:pPr>
          </w:p>
        </w:tc>
        <w:tc>
          <w:tcPr>
            <w:tcW w:w="7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412"/>
        </w:trPr>
        <w:tc>
          <w:tcPr>
            <w:tcW w:w="1760" w:type="dxa"/>
            <w:vAlign w:val="bottom"/>
          </w:tcPr>
          <w:p>
            <w:pPr>
              <w:spacing w:after="0"/>
              <w:rPr>
                <w:sz w:val="20"/>
                <w:szCs w:val="20"/>
                <w:color w:val="auto"/>
              </w:rPr>
            </w:pPr>
            <w:r>
              <w:rPr>
                <w:rFonts w:ascii="Arial" w:cs="Arial" w:eastAsia="Arial" w:hAnsi="Arial"/>
                <w:sz w:val="16"/>
                <w:szCs w:val="16"/>
                <w:color w:val="auto"/>
              </w:rPr>
              <w:t>31.2</w:t>
            </w:r>
          </w:p>
        </w:tc>
        <w:tc>
          <w:tcPr>
            <w:tcW w:w="9360" w:type="dxa"/>
            <w:vAlign w:val="bottom"/>
            <w:gridSpan w:val="10"/>
          </w:tcPr>
          <w:p>
            <w:pPr>
              <w:spacing w:after="0"/>
              <w:rPr>
                <w:sz w:val="20"/>
                <w:szCs w:val="20"/>
                <w:color w:val="auto"/>
              </w:rPr>
            </w:pPr>
            <w:r>
              <w:rPr>
                <w:rFonts w:ascii="Arial" w:cs="Arial" w:eastAsia="Arial" w:hAnsi="Arial"/>
                <w:sz w:val="16"/>
                <w:szCs w:val="16"/>
                <w:color w:val="0000FF"/>
              </w:rPr>
              <w:t>Certification of the Chief Financial Officer of Scholastic Corporation filed pursuant to Section 302 of the Sarbanes-Oxley Act of</w:t>
            </w:r>
          </w:p>
        </w:tc>
      </w:tr>
      <w:tr>
        <w:trPr>
          <w:trHeight w:val="142"/>
        </w:trPr>
        <w:tc>
          <w:tcPr>
            <w:tcW w:w="1760" w:type="dxa"/>
            <w:vAlign w:val="bottom"/>
          </w:tcPr>
          <w:p>
            <w:pPr>
              <w:spacing w:after="0"/>
              <w:rPr>
                <w:sz w:val="12"/>
                <w:szCs w:val="12"/>
                <w:color w:val="auto"/>
              </w:rPr>
            </w:pPr>
          </w:p>
        </w:tc>
        <w:tc>
          <w:tcPr>
            <w:tcW w:w="400" w:type="dxa"/>
            <w:vAlign w:val="bottom"/>
            <w:tcBorders>
              <w:top w:val="single" w:sz="8" w:color="0000FF"/>
              <w:bottom w:val="single" w:sz="8" w:color="0000FF"/>
            </w:tcBorders>
          </w:tcPr>
          <w:p>
            <w:pPr>
              <w:spacing w:after="0" w:line="142" w:lineRule="exact"/>
              <w:rPr>
                <w:sz w:val="20"/>
                <w:szCs w:val="20"/>
                <w:color w:val="auto"/>
              </w:rPr>
            </w:pPr>
            <w:r>
              <w:rPr>
                <w:rFonts w:ascii="Arial" w:cs="Arial" w:eastAsia="Arial" w:hAnsi="Arial"/>
                <w:sz w:val="16"/>
                <w:szCs w:val="16"/>
                <w:color w:val="0000FF"/>
                <w:w w:val="94"/>
              </w:rPr>
              <w:t>2002.</w:t>
            </w:r>
          </w:p>
        </w:tc>
        <w:tc>
          <w:tcPr>
            <w:tcW w:w="2120" w:type="dxa"/>
            <w:vAlign w:val="bottom"/>
            <w:tcBorders>
              <w:top w:val="single" w:sz="8" w:color="0000FF"/>
            </w:tcBorders>
          </w:tcPr>
          <w:p>
            <w:pPr>
              <w:spacing w:after="0"/>
              <w:rPr>
                <w:sz w:val="12"/>
                <w:szCs w:val="12"/>
                <w:color w:val="auto"/>
              </w:rPr>
            </w:pPr>
          </w:p>
        </w:tc>
        <w:tc>
          <w:tcPr>
            <w:tcW w:w="1560" w:type="dxa"/>
            <w:vAlign w:val="bottom"/>
            <w:tcBorders>
              <w:top w:val="single" w:sz="8" w:color="0000FF"/>
            </w:tcBorders>
          </w:tcPr>
          <w:p>
            <w:pPr>
              <w:spacing w:after="0"/>
              <w:rPr>
                <w:sz w:val="12"/>
                <w:szCs w:val="12"/>
                <w:color w:val="auto"/>
              </w:rPr>
            </w:pPr>
          </w:p>
        </w:tc>
        <w:tc>
          <w:tcPr>
            <w:tcW w:w="2020" w:type="dxa"/>
            <w:vAlign w:val="bottom"/>
            <w:tcBorders>
              <w:top w:val="single" w:sz="8" w:color="0000FF"/>
            </w:tcBorders>
          </w:tcPr>
          <w:p>
            <w:pPr>
              <w:spacing w:after="0"/>
              <w:rPr>
                <w:sz w:val="12"/>
                <w:szCs w:val="12"/>
                <w:color w:val="auto"/>
              </w:rPr>
            </w:pPr>
          </w:p>
        </w:tc>
        <w:tc>
          <w:tcPr>
            <w:tcW w:w="2220" w:type="dxa"/>
            <w:vAlign w:val="bottom"/>
            <w:tcBorders>
              <w:top w:val="single" w:sz="8" w:color="0000FF"/>
            </w:tcBorders>
          </w:tcPr>
          <w:p>
            <w:pPr>
              <w:spacing w:after="0"/>
              <w:rPr>
                <w:sz w:val="12"/>
                <w:szCs w:val="12"/>
                <w:color w:val="auto"/>
              </w:rPr>
            </w:pPr>
          </w:p>
        </w:tc>
        <w:tc>
          <w:tcPr>
            <w:tcW w:w="70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412"/>
        </w:trPr>
        <w:tc>
          <w:tcPr>
            <w:tcW w:w="1760" w:type="dxa"/>
            <w:vAlign w:val="bottom"/>
          </w:tcPr>
          <w:p>
            <w:pPr>
              <w:spacing w:after="0"/>
              <w:rPr>
                <w:sz w:val="20"/>
                <w:szCs w:val="20"/>
                <w:color w:val="auto"/>
              </w:rPr>
            </w:pPr>
            <w:r>
              <w:rPr>
                <w:rFonts w:ascii="Arial" w:cs="Arial" w:eastAsia="Arial" w:hAnsi="Arial"/>
                <w:sz w:val="16"/>
                <w:szCs w:val="16"/>
                <w:color w:val="auto"/>
              </w:rPr>
              <w:t>32</w:t>
            </w:r>
          </w:p>
        </w:tc>
        <w:tc>
          <w:tcPr>
            <w:tcW w:w="9360" w:type="dxa"/>
            <w:vAlign w:val="bottom"/>
            <w:tcBorders>
              <w:bottom w:val="single" w:sz="8" w:color="0000FF"/>
            </w:tcBorders>
            <w:gridSpan w:val="10"/>
          </w:tcPr>
          <w:p>
            <w:pPr>
              <w:spacing w:after="0"/>
              <w:rPr>
                <w:sz w:val="20"/>
                <w:szCs w:val="20"/>
                <w:color w:val="auto"/>
              </w:rPr>
            </w:pPr>
            <w:r>
              <w:rPr>
                <w:rFonts w:ascii="Arial" w:cs="Arial" w:eastAsia="Arial" w:hAnsi="Arial"/>
                <w:sz w:val="16"/>
                <w:szCs w:val="16"/>
                <w:color w:val="0000FF"/>
              </w:rPr>
              <w:t>Certifications of the Chief Executive Officer and Chief Financial Officer of Scholastic Corporation furnished pursuant to Section 906</w:t>
            </w:r>
          </w:p>
        </w:tc>
      </w:tr>
      <w:tr>
        <w:trPr>
          <w:trHeight w:val="142"/>
        </w:trPr>
        <w:tc>
          <w:tcPr>
            <w:tcW w:w="1760" w:type="dxa"/>
            <w:vAlign w:val="bottom"/>
          </w:tcPr>
          <w:p>
            <w:pPr>
              <w:spacing w:after="0"/>
              <w:rPr>
                <w:sz w:val="12"/>
                <w:szCs w:val="12"/>
                <w:color w:val="auto"/>
              </w:rPr>
            </w:pPr>
          </w:p>
        </w:tc>
        <w:tc>
          <w:tcPr>
            <w:tcW w:w="9360" w:type="dxa"/>
            <w:vAlign w:val="bottom"/>
            <w:gridSpan w:val="10"/>
          </w:tcPr>
          <w:p>
            <w:pPr>
              <w:spacing w:after="0" w:line="142" w:lineRule="exact"/>
              <w:rPr>
                <w:sz w:val="20"/>
                <w:szCs w:val="20"/>
                <w:color w:val="auto"/>
              </w:rPr>
            </w:pPr>
            <w:r>
              <w:rPr>
                <w:rFonts w:ascii="Arial" w:cs="Arial" w:eastAsia="Arial" w:hAnsi="Arial"/>
                <w:sz w:val="16"/>
                <w:szCs w:val="16"/>
                <w:color w:val="0000FF"/>
              </w:rPr>
              <w:t>of the Sarbanes-Oxley Act of 2002.</w:t>
            </w:r>
          </w:p>
        </w:tc>
      </w:tr>
      <w:tr>
        <w:trPr>
          <w:trHeight w:val="20"/>
        </w:trPr>
        <w:tc>
          <w:tcPr>
            <w:tcW w:w="1760" w:type="dxa"/>
            <w:vAlign w:val="bottom"/>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6840" w:type="dxa"/>
            <w:vAlign w:val="bottom"/>
            <w:gridSpan w:val="8"/>
          </w:tcPr>
          <w:p>
            <w:pPr>
              <w:spacing w:after="0" w:line="20" w:lineRule="exact"/>
              <w:rPr>
                <w:sz w:val="1"/>
                <w:szCs w:val="1"/>
                <w:color w:val="auto"/>
              </w:rPr>
            </w:pPr>
          </w:p>
        </w:tc>
      </w:tr>
      <w:tr>
        <w:trPr>
          <w:trHeight w:val="399"/>
        </w:trPr>
        <w:tc>
          <w:tcPr>
            <w:tcW w:w="1760" w:type="dxa"/>
            <w:vAlign w:val="bottom"/>
          </w:tcPr>
          <w:p>
            <w:pPr>
              <w:spacing w:after="0"/>
              <w:rPr>
                <w:sz w:val="20"/>
                <w:szCs w:val="20"/>
                <w:color w:val="auto"/>
              </w:rPr>
            </w:pPr>
            <w:r>
              <w:rPr>
                <w:rFonts w:ascii="Arial" w:cs="Arial" w:eastAsia="Arial" w:hAnsi="Arial"/>
                <w:sz w:val="16"/>
                <w:szCs w:val="16"/>
                <w:color w:val="auto"/>
              </w:rPr>
              <w:t>101</w:t>
            </w:r>
          </w:p>
        </w:tc>
        <w:tc>
          <w:tcPr>
            <w:tcW w:w="9360" w:type="dxa"/>
            <w:vAlign w:val="bottom"/>
            <w:gridSpan w:val="10"/>
          </w:tcPr>
          <w:p>
            <w:pPr>
              <w:spacing w:after="0"/>
              <w:rPr>
                <w:sz w:val="20"/>
                <w:szCs w:val="20"/>
                <w:color w:val="auto"/>
              </w:rPr>
            </w:pPr>
            <w:r>
              <w:rPr>
                <w:rFonts w:ascii="Arial" w:cs="Arial" w:eastAsia="Arial" w:hAnsi="Arial"/>
                <w:sz w:val="16"/>
                <w:szCs w:val="16"/>
                <w:color w:val="auto"/>
              </w:rPr>
              <w:t>Financial Statements from the Quarterly Report on Form 10-Q of the Company for the quarter ended February 28, 2025 formatted</w:t>
            </w:r>
          </w:p>
        </w:tc>
      </w:tr>
      <w:tr>
        <w:trPr>
          <w:trHeight w:val="162"/>
        </w:trPr>
        <w:tc>
          <w:tcPr>
            <w:tcW w:w="1760" w:type="dxa"/>
            <w:vAlign w:val="bottom"/>
          </w:tcPr>
          <w:p>
            <w:pPr>
              <w:spacing w:after="0"/>
              <w:rPr>
                <w:sz w:val="14"/>
                <w:szCs w:val="14"/>
                <w:color w:val="auto"/>
              </w:rPr>
            </w:pPr>
          </w:p>
        </w:tc>
        <w:tc>
          <w:tcPr>
            <w:tcW w:w="9360" w:type="dxa"/>
            <w:vAlign w:val="bottom"/>
            <w:gridSpan w:val="10"/>
          </w:tcPr>
          <w:p>
            <w:pPr>
              <w:spacing w:after="0" w:line="162" w:lineRule="exact"/>
              <w:rPr>
                <w:sz w:val="20"/>
                <w:szCs w:val="20"/>
                <w:color w:val="auto"/>
              </w:rPr>
            </w:pPr>
            <w:r>
              <w:rPr>
                <w:rFonts w:ascii="Arial" w:cs="Arial" w:eastAsia="Arial" w:hAnsi="Arial"/>
                <w:sz w:val="16"/>
                <w:szCs w:val="16"/>
                <w:color w:val="auto"/>
              </w:rPr>
              <w:t>in Inline Extensible Business Reporting Language: (i) Condensed Consolidated Statements of Operations; (ii) Condensed</w:t>
            </w:r>
          </w:p>
        </w:tc>
      </w:tr>
      <w:tr>
        <w:trPr>
          <w:trHeight w:val="162"/>
        </w:trPr>
        <w:tc>
          <w:tcPr>
            <w:tcW w:w="1760" w:type="dxa"/>
            <w:vAlign w:val="bottom"/>
          </w:tcPr>
          <w:p>
            <w:pPr>
              <w:spacing w:after="0"/>
              <w:rPr>
                <w:sz w:val="14"/>
                <w:szCs w:val="14"/>
                <w:color w:val="auto"/>
              </w:rPr>
            </w:pPr>
          </w:p>
        </w:tc>
        <w:tc>
          <w:tcPr>
            <w:tcW w:w="9360" w:type="dxa"/>
            <w:vAlign w:val="bottom"/>
            <w:gridSpan w:val="10"/>
          </w:tcPr>
          <w:p>
            <w:pPr>
              <w:spacing w:after="0" w:line="162" w:lineRule="exact"/>
              <w:rPr>
                <w:sz w:val="20"/>
                <w:szCs w:val="20"/>
                <w:color w:val="auto"/>
              </w:rPr>
            </w:pPr>
            <w:r>
              <w:rPr>
                <w:rFonts w:ascii="Arial" w:cs="Arial" w:eastAsia="Arial" w:hAnsi="Arial"/>
                <w:sz w:val="16"/>
                <w:szCs w:val="16"/>
                <w:color w:val="auto"/>
              </w:rPr>
              <w:t>Consolidated Statements of Comprehensive Income (Loss), (iii) Condensed Consolidated Balance Sheets; (iv) Condensed</w:t>
            </w:r>
          </w:p>
        </w:tc>
      </w:tr>
      <w:tr>
        <w:trPr>
          <w:trHeight w:val="162"/>
        </w:trPr>
        <w:tc>
          <w:tcPr>
            <w:tcW w:w="1760" w:type="dxa"/>
            <w:vAlign w:val="bottom"/>
          </w:tcPr>
          <w:p>
            <w:pPr>
              <w:spacing w:after="0"/>
              <w:rPr>
                <w:sz w:val="14"/>
                <w:szCs w:val="14"/>
                <w:color w:val="auto"/>
              </w:rPr>
            </w:pPr>
          </w:p>
        </w:tc>
        <w:tc>
          <w:tcPr>
            <w:tcW w:w="9360" w:type="dxa"/>
            <w:vAlign w:val="bottom"/>
            <w:gridSpan w:val="10"/>
          </w:tcPr>
          <w:p>
            <w:pPr>
              <w:spacing w:after="0" w:line="162" w:lineRule="exact"/>
              <w:rPr>
                <w:sz w:val="20"/>
                <w:szCs w:val="20"/>
                <w:color w:val="auto"/>
              </w:rPr>
            </w:pPr>
            <w:r>
              <w:rPr>
                <w:rFonts w:ascii="Arial" w:cs="Arial" w:eastAsia="Arial" w:hAnsi="Arial"/>
                <w:sz w:val="16"/>
                <w:szCs w:val="16"/>
                <w:color w:val="auto"/>
              </w:rPr>
              <w:t>Consolidated Statements of Changes in Stockholders' Equity; (v) Condensed Consolidated Statements of Cash Flows; and (vi)</w:t>
            </w:r>
          </w:p>
        </w:tc>
      </w:tr>
      <w:tr>
        <w:trPr>
          <w:trHeight w:val="215"/>
        </w:trPr>
        <w:tc>
          <w:tcPr>
            <w:tcW w:w="1760" w:type="dxa"/>
            <w:vAlign w:val="bottom"/>
          </w:tcPr>
          <w:p>
            <w:pPr>
              <w:spacing w:after="0"/>
              <w:rPr>
                <w:sz w:val="18"/>
                <w:szCs w:val="18"/>
                <w:color w:val="auto"/>
              </w:rPr>
            </w:pPr>
          </w:p>
        </w:tc>
        <w:tc>
          <w:tcPr>
            <w:tcW w:w="9360" w:type="dxa"/>
            <w:vAlign w:val="bottom"/>
            <w:gridSpan w:val="10"/>
          </w:tcPr>
          <w:p>
            <w:pPr>
              <w:spacing w:after="0"/>
              <w:rPr>
                <w:sz w:val="20"/>
                <w:szCs w:val="20"/>
                <w:color w:val="auto"/>
              </w:rPr>
            </w:pPr>
            <w:r>
              <w:rPr>
                <w:rFonts w:ascii="Arial" w:cs="Arial" w:eastAsia="Arial" w:hAnsi="Arial"/>
                <w:sz w:val="16"/>
                <w:szCs w:val="16"/>
                <w:color w:val="auto"/>
              </w:rPr>
              <w:t>Notes to Condensed Consolidated Financial Statements.</w:t>
            </w:r>
          </w:p>
        </w:tc>
      </w:tr>
      <w:tr>
        <w:trPr>
          <w:trHeight w:val="431"/>
        </w:trPr>
        <w:tc>
          <w:tcPr>
            <w:tcW w:w="1760" w:type="dxa"/>
            <w:vAlign w:val="bottom"/>
          </w:tcPr>
          <w:p>
            <w:pPr>
              <w:spacing w:after="0"/>
              <w:rPr>
                <w:sz w:val="20"/>
                <w:szCs w:val="20"/>
                <w:color w:val="auto"/>
              </w:rPr>
            </w:pPr>
            <w:r>
              <w:rPr>
                <w:rFonts w:ascii="Arial" w:cs="Arial" w:eastAsia="Arial" w:hAnsi="Arial"/>
                <w:sz w:val="16"/>
                <w:szCs w:val="16"/>
                <w:color w:val="auto"/>
              </w:rPr>
              <w:t>104</w:t>
            </w:r>
          </w:p>
        </w:tc>
        <w:tc>
          <w:tcPr>
            <w:tcW w:w="9360" w:type="dxa"/>
            <w:vAlign w:val="bottom"/>
            <w:gridSpan w:val="10"/>
          </w:tcPr>
          <w:p>
            <w:pPr>
              <w:spacing w:after="0"/>
              <w:rPr>
                <w:sz w:val="20"/>
                <w:szCs w:val="20"/>
                <w:color w:val="auto"/>
              </w:rPr>
            </w:pPr>
            <w:r>
              <w:rPr>
                <w:rFonts w:ascii="Arial" w:cs="Arial" w:eastAsia="Arial" w:hAnsi="Arial"/>
                <w:sz w:val="16"/>
                <w:szCs w:val="16"/>
                <w:color w:val="auto"/>
              </w:rPr>
              <w:t>Cover Page, formatted in Inline Extensible Business Reporting Language and contained in Exhibit 101.</w:t>
            </w:r>
          </w:p>
        </w:tc>
      </w:tr>
    </w:tbl>
    <w:p>
      <w:pPr>
        <w:spacing w:after="0" w:line="217"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referenced exhibit is a management contract or compensation plan or arrangement described in Item 601(b) (10) (iii) of Regulation S-K.</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1517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15175" cy="8255"/>
                    </a:xfrm>
                    <a:prstGeom prst="rect">
                      <a:avLst/>
                    </a:prstGeom>
                    <a:noFill/>
                  </pic:spPr>
                </pic:pic>
              </a:graphicData>
            </a:graphic>
          </wp:anchor>
        </w:drawing>
        <w:t>SCHOLASTIC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REPORT ON FORM 10-Q, DATED February 28, 2025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 Index</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1480" w:type="dxa"/>
            <w:vAlign w:val="bottom"/>
          </w:tcPr>
          <w:p>
            <w:pPr>
              <w:spacing w:after="0"/>
              <w:rPr>
                <w:sz w:val="20"/>
                <w:szCs w:val="20"/>
                <w:color w:val="auto"/>
              </w:rPr>
            </w:pPr>
            <w:r>
              <w:rPr>
                <w:rFonts w:ascii="Arial" w:cs="Arial" w:eastAsia="Arial" w:hAnsi="Arial"/>
                <w:sz w:val="16"/>
                <w:szCs w:val="16"/>
                <w:b w:val="1"/>
                <w:bCs w:val="1"/>
                <w:color w:val="auto"/>
              </w:rPr>
              <w:t>Exhibit Number</w:t>
            </w:r>
          </w:p>
        </w:tc>
        <w:tc>
          <w:tcPr>
            <w:tcW w:w="9640" w:type="dxa"/>
            <w:vAlign w:val="bottom"/>
          </w:tcPr>
          <w:p>
            <w:pPr>
              <w:ind w:left="280"/>
              <w:spacing w:after="0"/>
              <w:rPr>
                <w:sz w:val="20"/>
                <w:szCs w:val="20"/>
                <w:color w:val="auto"/>
              </w:rPr>
            </w:pPr>
            <w:r>
              <w:rPr>
                <w:rFonts w:ascii="Arial" w:cs="Arial" w:eastAsia="Arial" w:hAnsi="Arial"/>
                <w:sz w:val="16"/>
                <w:szCs w:val="16"/>
                <w:b w:val="1"/>
                <w:bCs w:val="1"/>
                <w:color w:val="auto"/>
              </w:rPr>
              <w:t>Description of Document</w:t>
            </w:r>
          </w:p>
        </w:tc>
      </w:tr>
      <w:tr>
        <w:trPr>
          <w:trHeight w:val="424"/>
        </w:trPr>
        <w:tc>
          <w:tcPr>
            <w:tcW w:w="1480" w:type="dxa"/>
            <w:vAlign w:val="bottom"/>
          </w:tcPr>
          <w:p>
            <w:pPr>
              <w:spacing w:after="0"/>
              <w:rPr>
                <w:sz w:val="20"/>
                <w:szCs w:val="20"/>
                <w:color w:val="auto"/>
              </w:rPr>
            </w:pPr>
            <w:r>
              <w:rPr>
                <w:rFonts w:ascii="Arial" w:cs="Arial" w:eastAsia="Arial" w:hAnsi="Arial"/>
                <w:sz w:val="16"/>
                <w:szCs w:val="16"/>
                <w:color w:val="auto"/>
              </w:rPr>
              <w:t>10.1*</w:t>
            </w:r>
          </w:p>
        </w:tc>
        <w:tc>
          <w:tcPr>
            <w:tcW w:w="9640" w:type="dxa"/>
            <w:vAlign w:val="bottom"/>
          </w:tcPr>
          <w:p>
            <w:pPr>
              <w:ind w:left="280"/>
              <w:spacing w:after="0"/>
              <w:rPr>
                <w:sz w:val="20"/>
                <w:szCs w:val="20"/>
                <w:color w:val="auto"/>
              </w:rPr>
            </w:pPr>
            <w:r>
              <w:rPr>
                <w:rFonts w:ascii="Arial" w:cs="Arial" w:eastAsia="Arial" w:hAnsi="Arial"/>
                <w:sz w:val="16"/>
                <w:szCs w:val="16"/>
                <w:color w:val="auto"/>
              </w:rPr>
              <w:t>Letter Agreement dated January 30, 2025 between Peter Warwick and the Company.</w:t>
            </w:r>
          </w:p>
        </w:tc>
      </w:tr>
      <w:tr>
        <w:trPr>
          <w:trHeight w:val="380"/>
        </w:trPr>
        <w:tc>
          <w:tcPr>
            <w:tcW w:w="1480" w:type="dxa"/>
            <w:vAlign w:val="bottom"/>
          </w:tcPr>
          <w:p>
            <w:pPr>
              <w:spacing w:after="0"/>
              <w:rPr>
                <w:sz w:val="20"/>
                <w:szCs w:val="20"/>
                <w:color w:val="auto"/>
              </w:rPr>
            </w:pPr>
            <w:r>
              <w:rPr>
                <w:rFonts w:ascii="Arial" w:cs="Arial" w:eastAsia="Arial" w:hAnsi="Arial"/>
                <w:sz w:val="16"/>
                <w:szCs w:val="16"/>
                <w:color w:val="auto"/>
              </w:rPr>
              <w:t>10.2</w:t>
            </w:r>
          </w:p>
        </w:tc>
        <w:tc>
          <w:tcPr>
            <w:tcW w:w="9640" w:type="dxa"/>
            <w:vAlign w:val="bottom"/>
          </w:tcPr>
          <w:p>
            <w:pPr>
              <w:ind w:left="280"/>
              <w:spacing w:after="0"/>
              <w:rPr>
                <w:sz w:val="20"/>
                <w:szCs w:val="20"/>
                <w:color w:val="auto"/>
              </w:rPr>
            </w:pPr>
            <w:r>
              <w:rPr>
                <w:rFonts w:ascii="Arial" w:cs="Arial" w:eastAsia="Arial" w:hAnsi="Arial"/>
                <w:sz w:val="16"/>
                <w:szCs w:val="16"/>
                <w:color w:val="auto"/>
              </w:rPr>
              <w:t>Third Amendment, dated as of November 26, 2024, to the Amended and Restated Credit Agreement dated as of October 27, 2021</w:t>
            </w:r>
          </w:p>
        </w:tc>
      </w:tr>
      <w:tr>
        <w:trPr>
          <w:trHeight w:val="162"/>
        </w:trPr>
        <w:tc>
          <w:tcPr>
            <w:tcW w:w="1480" w:type="dxa"/>
            <w:vAlign w:val="bottom"/>
          </w:tcPr>
          <w:p>
            <w:pPr>
              <w:spacing w:after="0"/>
              <w:rPr>
                <w:sz w:val="14"/>
                <w:szCs w:val="14"/>
                <w:color w:val="auto"/>
              </w:rPr>
            </w:pPr>
          </w:p>
        </w:tc>
        <w:tc>
          <w:tcPr>
            <w:tcW w:w="9640" w:type="dxa"/>
            <w:vAlign w:val="bottom"/>
          </w:tcPr>
          <w:p>
            <w:pPr>
              <w:ind w:left="280"/>
              <w:spacing w:after="0" w:line="162" w:lineRule="exact"/>
              <w:rPr>
                <w:sz w:val="20"/>
                <w:szCs w:val="20"/>
                <w:color w:val="auto"/>
              </w:rPr>
            </w:pPr>
            <w:r>
              <w:rPr>
                <w:rFonts w:ascii="Arial" w:cs="Arial" w:eastAsia="Arial" w:hAnsi="Arial"/>
                <w:sz w:val="16"/>
                <w:szCs w:val="16"/>
                <w:color w:val="auto"/>
              </w:rPr>
              <w:t>(the “Credit Agreement”) by and between Scholastic Corporation and Scholastic Inc., the lenders from time to time party thereto,</w:t>
            </w:r>
          </w:p>
        </w:tc>
      </w:tr>
      <w:tr>
        <w:trPr>
          <w:trHeight w:val="215"/>
        </w:trPr>
        <w:tc>
          <w:tcPr>
            <w:tcW w:w="1480" w:type="dxa"/>
            <w:vAlign w:val="bottom"/>
          </w:tcPr>
          <w:p>
            <w:pPr>
              <w:spacing w:after="0"/>
              <w:rPr>
                <w:sz w:val="18"/>
                <w:szCs w:val="18"/>
                <w:color w:val="auto"/>
              </w:rPr>
            </w:pPr>
          </w:p>
        </w:tc>
        <w:tc>
          <w:tcPr>
            <w:tcW w:w="9640" w:type="dxa"/>
            <w:vAlign w:val="bottom"/>
          </w:tcPr>
          <w:p>
            <w:pPr>
              <w:ind w:left="280"/>
              <w:spacing w:after="0"/>
              <w:rPr>
                <w:sz w:val="20"/>
                <w:szCs w:val="20"/>
                <w:color w:val="auto"/>
              </w:rPr>
            </w:pPr>
            <w:r>
              <w:rPr>
                <w:rFonts w:ascii="Arial" w:cs="Arial" w:eastAsia="Arial" w:hAnsi="Arial"/>
                <w:sz w:val="16"/>
                <w:szCs w:val="16"/>
                <w:color w:val="auto"/>
              </w:rPr>
              <w:t>and Bank of America, N.A., as administrative agent (incorporated by reference to Form 8-K filed December 3, 2024).</w:t>
            </w:r>
          </w:p>
        </w:tc>
      </w:tr>
      <w:tr>
        <w:trPr>
          <w:trHeight w:val="431"/>
        </w:trPr>
        <w:tc>
          <w:tcPr>
            <w:tcW w:w="1480" w:type="dxa"/>
            <w:vAlign w:val="bottom"/>
          </w:tcPr>
          <w:p>
            <w:pPr>
              <w:spacing w:after="0"/>
              <w:rPr>
                <w:sz w:val="20"/>
                <w:szCs w:val="20"/>
                <w:color w:val="auto"/>
              </w:rPr>
            </w:pPr>
            <w:r>
              <w:rPr>
                <w:rFonts w:ascii="Arial" w:cs="Arial" w:eastAsia="Arial" w:hAnsi="Arial"/>
                <w:sz w:val="16"/>
                <w:szCs w:val="16"/>
                <w:color w:val="auto"/>
              </w:rPr>
              <w:t>21</w:t>
            </w:r>
          </w:p>
        </w:tc>
        <w:tc>
          <w:tcPr>
            <w:tcW w:w="9640" w:type="dxa"/>
            <w:vAlign w:val="bottom"/>
          </w:tcPr>
          <w:p>
            <w:pPr>
              <w:ind w:left="280"/>
              <w:spacing w:after="0"/>
              <w:rPr>
                <w:sz w:val="20"/>
                <w:szCs w:val="20"/>
                <w:color w:val="auto"/>
              </w:rPr>
            </w:pPr>
            <w:r>
              <w:rPr>
                <w:rFonts w:ascii="Arial" w:cs="Arial" w:eastAsia="Arial" w:hAnsi="Arial"/>
                <w:sz w:val="16"/>
                <w:szCs w:val="16"/>
                <w:color w:val="auto"/>
              </w:rPr>
              <w:t>Subsidiaries of the Corporation, as of February 28, 2025.</w:t>
            </w:r>
          </w:p>
        </w:tc>
      </w:tr>
      <w:tr>
        <w:trPr>
          <w:trHeight w:val="380"/>
        </w:trPr>
        <w:tc>
          <w:tcPr>
            <w:tcW w:w="1480" w:type="dxa"/>
            <w:vAlign w:val="bottom"/>
          </w:tcPr>
          <w:p>
            <w:pPr>
              <w:spacing w:after="0"/>
              <w:rPr>
                <w:sz w:val="20"/>
                <w:szCs w:val="20"/>
                <w:color w:val="auto"/>
              </w:rPr>
            </w:pPr>
            <w:r>
              <w:rPr>
                <w:rFonts w:ascii="Arial" w:cs="Arial" w:eastAsia="Arial" w:hAnsi="Arial"/>
                <w:sz w:val="16"/>
                <w:szCs w:val="16"/>
                <w:color w:val="auto"/>
              </w:rPr>
              <w:t>31.1</w:t>
            </w:r>
          </w:p>
        </w:tc>
        <w:tc>
          <w:tcPr>
            <w:tcW w:w="9640" w:type="dxa"/>
            <w:vAlign w:val="bottom"/>
          </w:tcPr>
          <w:p>
            <w:pPr>
              <w:ind w:left="280"/>
              <w:spacing w:after="0"/>
              <w:rPr>
                <w:sz w:val="20"/>
                <w:szCs w:val="20"/>
                <w:color w:val="auto"/>
              </w:rPr>
            </w:pPr>
            <w:r>
              <w:rPr>
                <w:rFonts w:ascii="Arial" w:cs="Arial" w:eastAsia="Arial" w:hAnsi="Arial"/>
                <w:sz w:val="16"/>
                <w:szCs w:val="16"/>
                <w:color w:val="auto"/>
              </w:rPr>
              <w:t>Certification of the Chief Executive Officer of Scholastic Corporation filed pursuant to Section 302 of the Sarbanes-Oxley Act of</w:t>
            </w:r>
          </w:p>
        </w:tc>
      </w:tr>
      <w:tr>
        <w:trPr>
          <w:trHeight w:val="215"/>
        </w:trPr>
        <w:tc>
          <w:tcPr>
            <w:tcW w:w="1480" w:type="dxa"/>
            <w:vAlign w:val="bottom"/>
          </w:tcPr>
          <w:p>
            <w:pPr>
              <w:spacing w:after="0"/>
              <w:rPr>
                <w:sz w:val="18"/>
                <w:szCs w:val="18"/>
                <w:color w:val="auto"/>
              </w:rPr>
            </w:pPr>
          </w:p>
        </w:tc>
        <w:tc>
          <w:tcPr>
            <w:tcW w:w="9640" w:type="dxa"/>
            <w:vAlign w:val="bottom"/>
          </w:tcPr>
          <w:p>
            <w:pPr>
              <w:ind w:left="280"/>
              <w:spacing w:after="0"/>
              <w:rPr>
                <w:sz w:val="20"/>
                <w:szCs w:val="20"/>
                <w:color w:val="auto"/>
              </w:rPr>
            </w:pPr>
            <w:r>
              <w:rPr>
                <w:rFonts w:ascii="Arial" w:cs="Arial" w:eastAsia="Arial" w:hAnsi="Arial"/>
                <w:sz w:val="16"/>
                <w:szCs w:val="16"/>
                <w:color w:val="auto"/>
              </w:rPr>
              <w:t>2002.</w:t>
            </w:r>
          </w:p>
        </w:tc>
      </w:tr>
      <w:tr>
        <w:trPr>
          <w:trHeight w:val="379"/>
        </w:trPr>
        <w:tc>
          <w:tcPr>
            <w:tcW w:w="1480" w:type="dxa"/>
            <w:vAlign w:val="bottom"/>
          </w:tcPr>
          <w:p>
            <w:pPr>
              <w:spacing w:after="0"/>
              <w:rPr>
                <w:sz w:val="20"/>
                <w:szCs w:val="20"/>
                <w:color w:val="auto"/>
              </w:rPr>
            </w:pPr>
            <w:r>
              <w:rPr>
                <w:rFonts w:ascii="Arial" w:cs="Arial" w:eastAsia="Arial" w:hAnsi="Arial"/>
                <w:sz w:val="16"/>
                <w:szCs w:val="16"/>
                <w:color w:val="auto"/>
              </w:rPr>
              <w:t>31.2</w:t>
            </w:r>
          </w:p>
        </w:tc>
        <w:tc>
          <w:tcPr>
            <w:tcW w:w="9640" w:type="dxa"/>
            <w:vAlign w:val="bottom"/>
          </w:tcPr>
          <w:p>
            <w:pPr>
              <w:ind w:left="280"/>
              <w:spacing w:after="0"/>
              <w:rPr>
                <w:sz w:val="20"/>
                <w:szCs w:val="20"/>
                <w:color w:val="auto"/>
              </w:rPr>
            </w:pPr>
            <w:r>
              <w:rPr>
                <w:rFonts w:ascii="Arial" w:cs="Arial" w:eastAsia="Arial" w:hAnsi="Arial"/>
                <w:sz w:val="16"/>
                <w:szCs w:val="16"/>
                <w:color w:val="auto"/>
              </w:rPr>
              <w:t>Certification of the Chief Financial Officer of Scholastic Corporation filed pursuant to Section 302 of the Sarbanes-Oxley Act of</w:t>
            </w:r>
          </w:p>
        </w:tc>
      </w:tr>
      <w:tr>
        <w:trPr>
          <w:trHeight w:val="215"/>
        </w:trPr>
        <w:tc>
          <w:tcPr>
            <w:tcW w:w="1480" w:type="dxa"/>
            <w:vAlign w:val="bottom"/>
          </w:tcPr>
          <w:p>
            <w:pPr>
              <w:spacing w:after="0"/>
              <w:rPr>
                <w:sz w:val="18"/>
                <w:szCs w:val="18"/>
                <w:color w:val="auto"/>
              </w:rPr>
            </w:pPr>
          </w:p>
        </w:tc>
        <w:tc>
          <w:tcPr>
            <w:tcW w:w="9640" w:type="dxa"/>
            <w:vAlign w:val="bottom"/>
          </w:tcPr>
          <w:p>
            <w:pPr>
              <w:ind w:left="280"/>
              <w:spacing w:after="0"/>
              <w:rPr>
                <w:sz w:val="20"/>
                <w:szCs w:val="20"/>
                <w:color w:val="auto"/>
              </w:rPr>
            </w:pPr>
            <w:r>
              <w:rPr>
                <w:rFonts w:ascii="Arial" w:cs="Arial" w:eastAsia="Arial" w:hAnsi="Arial"/>
                <w:sz w:val="16"/>
                <w:szCs w:val="16"/>
                <w:color w:val="auto"/>
              </w:rPr>
              <w:t>2002.</w:t>
            </w:r>
          </w:p>
        </w:tc>
      </w:tr>
      <w:tr>
        <w:trPr>
          <w:trHeight w:val="379"/>
        </w:trPr>
        <w:tc>
          <w:tcPr>
            <w:tcW w:w="1480" w:type="dxa"/>
            <w:vAlign w:val="bottom"/>
          </w:tcPr>
          <w:p>
            <w:pPr>
              <w:spacing w:after="0"/>
              <w:rPr>
                <w:sz w:val="20"/>
                <w:szCs w:val="20"/>
                <w:color w:val="auto"/>
              </w:rPr>
            </w:pPr>
            <w:r>
              <w:rPr>
                <w:rFonts w:ascii="Arial" w:cs="Arial" w:eastAsia="Arial" w:hAnsi="Arial"/>
                <w:sz w:val="16"/>
                <w:szCs w:val="16"/>
                <w:color w:val="auto"/>
              </w:rPr>
              <w:t>32</w:t>
            </w:r>
          </w:p>
        </w:tc>
        <w:tc>
          <w:tcPr>
            <w:tcW w:w="9640" w:type="dxa"/>
            <w:vAlign w:val="bottom"/>
          </w:tcPr>
          <w:p>
            <w:pPr>
              <w:ind w:left="280"/>
              <w:spacing w:after="0"/>
              <w:rPr>
                <w:sz w:val="20"/>
                <w:szCs w:val="20"/>
                <w:color w:val="auto"/>
              </w:rPr>
            </w:pPr>
            <w:r>
              <w:rPr>
                <w:rFonts w:ascii="Arial" w:cs="Arial" w:eastAsia="Arial" w:hAnsi="Arial"/>
                <w:sz w:val="16"/>
                <w:szCs w:val="16"/>
                <w:color w:val="auto"/>
              </w:rPr>
              <w:t>Certifications of the Chief Executive Officer and Chief Financial Officer of Scholastic Corporation furnished pursuant to Section 906</w:t>
            </w:r>
          </w:p>
        </w:tc>
      </w:tr>
      <w:tr>
        <w:trPr>
          <w:trHeight w:val="215"/>
        </w:trPr>
        <w:tc>
          <w:tcPr>
            <w:tcW w:w="1480" w:type="dxa"/>
            <w:vAlign w:val="bottom"/>
          </w:tcPr>
          <w:p>
            <w:pPr>
              <w:spacing w:after="0"/>
              <w:rPr>
                <w:sz w:val="18"/>
                <w:szCs w:val="18"/>
                <w:color w:val="auto"/>
              </w:rPr>
            </w:pPr>
          </w:p>
        </w:tc>
        <w:tc>
          <w:tcPr>
            <w:tcW w:w="9640" w:type="dxa"/>
            <w:vAlign w:val="bottom"/>
          </w:tcPr>
          <w:p>
            <w:pPr>
              <w:ind w:left="280"/>
              <w:spacing w:after="0"/>
              <w:rPr>
                <w:sz w:val="20"/>
                <w:szCs w:val="20"/>
                <w:color w:val="auto"/>
              </w:rPr>
            </w:pPr>
            <w:r>
              <w:rPr>
                <w:rFonts w:ascii="Arial" w:cs="Arial" w:eastAsia="Arial" w:hAnsi="Arial"/>
                <w:sz w:val="16"/>
                <w:szCs w:val="16"/>
                <w:color w:val="auto"/>
              </w:rPr>
              <w:t>of the Sarbanes-Oxley Act of 2002.</w:t>
            </w:r>
          </w:p>
        </w:tc>
      </w:tr>
      <w:tr>
        <w:trPr>
          <w:trHeight w:val="379"/>
        </w:trPr>
        <w:tc>
          <w:tcPr>
            <w:tcW w:w="1480" w:type="dxa"/>
            <w:vAlign w:val="bottom"/>
          </w:tcPr>
          <w:p>
            <w:pPr>
              <w:spacing w:after="0"/>
              <w:rPr>
                <w:sz w:val="20"/>
                <w:szCs w:val="20"/>
                <w:color w:val="auto"/>
              </w:rPr>
            </w:pPr>
            <w:r>
              <w:rPr>
                <w:rFonts w:ascii="Arial" w:cs="Arial" w:eastAsia="Arial" w:hAnsi="Arial"/>
                <w:sz w:val="16"/>
                <w:szCs w:val="16"/>
                <w:color w:val="auto"/>
              </w:rPr>
              <w:t>101</w:t>
            </w:r>
          </w:p>
        </w:tc>
        <w:tc>
          <w:tcPr>
            <w:tcW w:w="9640" w:type="dxa"/>
            <w:vAlign w:val="bottom"/>
          </w:tcPr>
          <w:p>
            <w:pPr>
              <w:ind w:left="280"/>
              <w:spacing w:after="0"/>
              <w:rPr>
                <w:sz w:val="20"/>
                <w:szCs w:val="20"/>
                <w:color w:val="auto"/>
              </w:rPr>
            </w:pPr>
            <w:r>
              <w:rPr>
                <w:rFonts w:ascii="Arial" w:cs="Arial" w:eastAsia="Arial" w:hAnsi="Arial"/>
                <w:sz w:val="16"/>
                <w:szCs w:val="16"/>
                <w:color w:val="auto"/>
              </w:rPr>
              <w:t>Financial Statements from the Quarterly Report on Form 10-Q of the Company for the quarter ended February 28, 2025 formatted</w:t>
            </w:r>
          </w:p>
        </w:tc>
      </w:tr>
      <w:tr>
        <w:trPr>
          <w:trHeight w:val="162"/>
        </w:trPr>
        <w:tc>
          <w:tcPr>
            <w:tcW w:w="1480" w:type="dxa"/>
            <w:vAlign w:val="bottom"/>
          </w:tcPr>
          <w:p>
            <w:pPr>
              <w:spacing w:after="0"/>
              <w:rPr>
                <w:sz w:val="14"/>
                <w:szCs w:val="14"/>
                <w:color w:val="auto"/>
              </w:rPr>
            </w:pPr>
          </w:p>
        </w:tc>
        <w:tc>
          <w:tcPr>
            <w:tcW w:w="9640" w:type="dxa"/>
            <w:vAlign w:val="bottom"/>
          </w:tcPr>
          <w:p>
            <w:pPr>
              <w:ind w:left="280"/>
              <w:spacing w:after="0" w:line="162" w:lineRule="exact"/>
              <w:rPr>
                <w:sz w:val="20"/>
                <w:szCs w:val="20"/>
                <w:color w:val="auto"/>
              </w:rPr>
            </w:pPr>
            <w:r>
              <w:rPr>
                <w:rFonts w:ascii="Arial" w:cs="Arial" w:eastAsia="Arial" w:hAnsi="Arial"/>
                <w:sz w:val="16"/>
                <w:szCs w:val="16"/>
                <w:color w:val="auto"/>
              </w:rPr>
              <w:t>in Inline Extensible Business Reporting Language: (i) Condensed Consolidated Statements of Operations; (ii) Condensed</w:t>
            </w:r>
          </w:p>
        </w:tc>
      </w:tr>
      <w:tr>
        <w:trPr>
          <w:trHeight w:val="162"/>
        </w:trPr>
        <w:tc>
          <w:tcPr>
            <w:tcW w:w="1480" w:type="dxa"/>
            <w:vAlign w:val="bottom"/>
          </w:tcPr>
          <w:p>
            <w:pPr>
              <w:spacing w:after="0"/>
              <w:rPr>
                <w:sz w:val="14"/>
                <w:szCs w:val="14"/>
                <w:color w:val="auto"/>
              </w:rPr>
            </w:pPr>
          </w:p>
        </w:tc>
        <w:tc>
          <w:tcPr>
            <w:tcW w:w="9640" w:type="dxa"/>
            <w:vAlign w:val="bottom"/>
          </w:tcPr>
          <w:p>
            <w:pPr>
              <w:ind w:left="280"/>
              <w:spacing w:after="0" w:line="162" w:lineRule="exact"/>
              <w:rPr>
                <w:sz w:val="20"/>
                <w:szCs w:val="20"/>
                <w:color w:val="auto"/>
              </w:rPr>
            </w:pPr>
            <w:r>
              <w:rPr>
                <w:rFonts w:ascii="Arial" w:cs="Arial" w:eastAsia="Arial" w:hAnsi="Arial"/>
                <w:sz w:val="16"/>
                <w:szCs w:val="16"/>
                <w:color w:val="auto"/>
              </w:rPr>
              <w:t>Consolidated Statements of Comprehensive Income (Loss), (iii) Condensed Consolidated Balance Sheets; (iv) Condensed</w:t>
            </w:r>
          </w:p>
        </w:tc>
      </w:tr>
      <w:tr>
        <w:trPr>
          <w:trHeight w:val="162"/>
        </w:trPr>
        <w:tc>
          <w:tcPr>
            <w:tcW w:w="1480" w:type="dxa"/>
            <w:vAlign w:val="bottom"/>
          </w:tcPr>
          <w:p>
            <w:pPr>
              <w:spacing w:after="0"/>
              <w:rPr>
                <w:sz w:val="14"/>
                <w:szCs w:val="14"/>
                <w:color w:val="auto"/>
              </w:rPr>
            </w:pPr>
          </w:p>
        </w:tc>
        <w:tc>
          <w:tcPr>
            <w:tcW w:w="9640" w:type="dxa"/>
            <w:vAlign w:val="bottom"/>
          </w:tcPr>
          <w:p>
            <w:pPr>
              <w:ind w:left="280"/>
              <w:spacing w:after="0" w:line="162" w:lineRule="exact"/>
              <w:rPr>
                <w:sz w:val="20"/>
                <w:szCs w:val="20"/>
                <w:color w:val="auto"/>
              </w:rPr>
            </w:pPr>
            <w:r>
              <w:rPr>
                <w:rFonts w:ascii="Arial" w:cs="Arial" w:eastAsia="Arial" w:hAnsi="Arial"/>
                <w:sz w:val="16"/>
                <w:szCs w:val="16"/>
                <w:color w:val="auto"/>
              </w:rPr>
              <w:t>Consolidated Statements of Changes in Stockholders' Equity; (v) Condensed Consolidated Statements of Cash Flows; and (vi)</w:t>
            </w:r>
          </w:p>
        </w:tc>
      </w:tr>
      <w:tr>
        <w:trPr>
          <w:trHeight w:val="215"/>
        </w:trPr>
        <w:tc>
          <w:tcPr>
            <w:tcW w:w="1480" w:type="dxa"/>
            <w:vAlign w:val="bottom"/>
          </w:tcPr>
          <w:p>
            <w:pPr>
              <w:spacing w:after="0"/>
              <w:rPr>
                <w:sz w:val="18"/>
                <w:szCs w:val="18"/>
                <w:color w:val="auto"/>
              </w:rPr>
            </w:pPr>
          </w:p>
        </w:tc>
        <w:tc>
          <w:tcPr>
            <w:tcW w:w="9640" w:type="dxa"/>
            <w:vAlign w:val="bottom"/>
          </w:tcPr>
          <w:p>
            <w:pPr>
              <w:ind w:left="280"/>
              <w:spacing w:after="0"/>
              <w:rPr>
                <w:sz w:val="20"/>
                <w:szCs w:val="20"/>
                <w:color w:val="auto"/>
              </w:rPr>
            </w:pPr>
            <w:r>
              <w:rPr>
                <w:rFonts w:ascii="Arial" w:cs="Arial" w:eastAsia="Arial" w:hAnsi="Arial"/>
                <w:sz w:val="16"/>
                <w:szCs w:val="16"/>
                <w:color w:val="auto"/>
              </w:rPr>
              <w:t>Notes to Condensed Consolidated Financial Statements.</w:t>
            </w:r>
          </w:p>
        </w:tc>
      </w:tr>
      <w:tr>
        <w:trPr>
          <w:trHeight w:val="431"/>
        </w:trPr>
        <w:tc>
          <w:tcPr>
            <w:tcW w:w="1480" w:type="dxa"/>
            <w:vAlign w:val="bottom"/>
          </w:tcPr>
          <w:p>
            <w:pPr>
              <w:spacing w:after="0"/>
              <w:rPr>
                <w:sz w:val="20"/>
                <w:szCs w:val="20"/>
                <w:color w:val="auto"/>
              </w:rPr>
            </w:pPr>
            <w:r>
              <w:rPr>
                <w:rFonts w:ascii="Arial" w:cs="Arial" w:eastAsia="Arial" w:hAnsi="Arial"/>
                <w:sz w:val="16"/>
                <w:szCs w:val="16"/>
                <w:color w:val="auto"/>
              </w:rPr>
              <w:t>104</w:t>
            </w:r>
          </w:p>
        </w:tc>
        <w:tc>
          <w:tcPr>
            <w:tcW w:w="9640" w:type="dxa"/>
            <w:vAlign w:val="bottom"/>
          </w:tcPr>
          <w:p>
            <w:pPr>
              <w:ind w:left="280"/>
              <w:spacing w:after="0"/>
              <w:rPr>
                <w:sz w:val="20"/>
                <w:szCs w:val="20"/>
                <w:color w:val="auto"/>
              </w:rPr>
            </w:pPr>
            <w:r>
              <w:rPr>
                <w:rFonts w:ascii="Arial" w:cs="Arial" w:eastAsia="Arial" w:hAnsi="Arial"/>
                <w:sz w:val="16"/>
                <w:szCs w:val="16"/>
                <w:color w:val="auto"/>
              </w:rPr>
              <w:t>Cover Page, formatted in Inline Extensible Business Reporting Language and contained in Exhibit 101.</w:t>
            </w:r>
          </w:p>
        </w:tc>
      </w:tr>
    </w:tbl>
    <w:p>
      <w:pPr>
        <w:spacing w:after="0" w:line="217"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referenced exhibit is a management contract or compensation plan or arrangement described in Item 601(b) (10) (iii) of Regulation S-K.</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7" w:right="4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1517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15175" cy="8255"/>
                    </a:xfrm>
                    <a:prstGeom prst="rect">
                      <a:avLst/>
                    </a:prstGeom>
                    <a:noFill/>
                  </pic:spPr>
                </pic:pic>
              </a:graphicData>
            </a:graphic>
          </wp:anchor>
        </w:drawing>
        <w:t>SCHOLASTIC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1517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5" w:lineRule="exact"/>
        <w:rPr>
          <w:sz w:val="20"/>
          <w:szCs w:val="20"/>
          <w:color w:val="auto"/>
        </w:rPr>
      </w:pPr>
    </w:p>
    <w:p>
      <w:pPr>
        <w:ind w:left="8080"/>
        <w:spacing w:after="0"/>
        <w:rPr>
          <w:sz w:val="20"/>
          <w:szCs w:val="20"/>
          <w:color w:val="auto"/>
        </w:rPr>
      </w:pPr>
      <w:r>
        <w:rPr>
          <w:rFonts w:ascii="Arial" w:cs="Arial" w:eastAsia="Arial" w:hAnsi="Arial"/>
          <w:sz w:val="16"/>
          <w:szCs w:val="16"/>
          <w:b w:val="1"/>
          <w:bCs w:val="1"/>
          <w:color w:val="auto"/>
        </w:rPr>
        <w:t>SCHOLASTIC CORPORATION</w:t>
      </w:r>
    </w:p>
    <w:p>
      <w:pPr>
        <w:spacing w:after="0" w:line="39" w:lineRule="exact"/>
        <w:rPr>
          <w:sz w:val="20"/>
          <w:szCs w:val="20"/>
          <w:color w:val="auto"/>
        </w:rPr>
      </w:pPr>
    </w:p>
    <w:p>
      <w:pPr>
        <w:ind w:left="8080"/>
        <w:spacing w:after="0"/>
        <w:rPr>
          <w:sz w:val="20"/>
          <w:szCs w:val="20"/>
          <w:color w:val="auto"/>
        </w:rPr>
      </w:pPr>
      <w:r>
        <w:rPr>
          <w:rFonts w:ascii="Arial" w:cs="Arial" w:eastAsia="Arial" w:hAnsi="Arial"/>
          <w:sz w:val="16"/>
          <w:szCs w:val="16"/>
          <w:color w:val="auto"/>
        </w:rPr>
        <w:t>(Registrant)</w:t>
      </w:r>
    </w:p>
    <w:p>
      <w:pPr>
        <w:spacing w:after="0" w:line="241" w:lineRule="exact"/>
        <w:rPr>
          <w:sz w:val="20"/>
          <w:szCs w:val="20"/>
          <w:color w:val="auto"/>
        </w:rPr>
      </w:pPr>
    </w:p>
    <w:p>
      <w:pPr>
        <w:ind w:left="20"/>
        <w:spacing w:after="0"/>
        <w:tabs>
          <w:tab w:leader="none" w:pos="7440" w:val="left"/>
          <w:tab w:leader="none" w:pos="8060" w:val="left"/>
        </w:tabs>
        <w:rPr>
          <w:sz w:val="20"/>
          <w:szCs w:val="20"/>
          <w:color w:val="auto"/>
        </w:rPr>
      </w:pPr>
      <w:r>
        <w:rPr>
          <w:rFonts w:ascii="Arial" w:cs="Arial" w:eastAsia="Arial" w:hAnsi="Arial"/>
          <w:sz w:val="16"/>
          <w:szCs w:val="16"/>
          <w:color w:val="auto"/>
        </w:rPr>
        <w:t>Date: March 21,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Peter Warwick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158115</wp:posOffset>
            </wp:positionV>
            <wp:extent cx="199707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8080"/>
        <w:spacing w:after="0"/>
        <w:rPr>
          <w:sz w:val="20"/>
          <w:szCs w:val="20"/>
          <w:color w:val="auto"/>
        </w:rPr>
      </w:pPr>
      <w:r>
        <w:rPr>
          <w:rFonts w:ascii="Arial" w:cs="Arial" w:eastAsia="Arial" w:hAnsi="Arial"/>
          <w:sz w:val="16"/>
          <w:szCs w:val="16"/>
          <w:color w:val="auto"/>
        </w:rPr>
        <w:t>Peter Warwick</w:t>
      </w:r>
    </w:p>
    <w:p>
      <w:pPr>
        <w:spacing w:after="0" w:line="269" w:lineRule="exact"/>
        <w:rPr>
          <w:sz w:val="20"/>
          <w:szCs w:val="20"/>
          <w:color w:val="auto"/>
        </w:rPr>
      </w:pPr>
    </w:p>
    <w:p>
      <w:pPr>
        <w:ind w:left="8080"/>
        <w:spacing w:after="0"/>
        <w:rPr>
          <w:sz w:val="20"/>
          <w:szCs w:val="20"/>
          <w:color w:val="auto"/>
        </w:rPr>
      </w:pPr>
      <w:r>
        <w:rPr>
          <w:rFonts w:ascii="Arial" w:cs="Arial" w:eastAsia="Arial" w:hAnsi="Arial"/>
          <w:sz w:val="16"/>
          <w:szCs w:val="16"/>
          <w:i w:val="1"/>
          <w:iCs w:val="1"/>
          <w:color w:val="auto"/>
        </w:rPr>
        <w:t>President and Chief Executive Officer</w:t>
      </w:r>
    </w:p>
    <w:p>
      <w:pPr>
        <w:ind w:left="8080"/>
        <w:spacing w:after="0"/>
        <w:rPr>
          <w:sz w:val="20"/>
          <w:szCs w:val="20"/>
          <w:color w:val="auto"/>
        </w:rPr>
      </w:pPr>
      <w:r>
        <w:rPr>
          <w:rFonts w:ascii="Arial" w:cs="Arial" w:eastAsia="Arial" w:hAnsi="Arial"/>
          <w:sz w:val="16"/>
          <w:szCs w:val="16"/>
          <w:i w:val="1"/>
          <w:iCs w:val="1"/>
          <w:color w:val="auto"/>
        </w:rPr>
        <w:t>(Principal Executive Officer)</w:t>
      </w:r>
    </w:p>
    <w:p>
      <w:pPr>
        <w:spacing w:after="0" w:line="232" w:lineRule="exact"/>
        <w:rPr>
          <w:sz w:val="20"/>
          <w:szCs w:val="20"/>
          <w:color w:val="auto"/>
        </w:rPr>
      </w:pPr>
    </w:p>
    <w:p>
      <w:pPr>
        <w:ind w:left="20"/>
        <w:spacing w:after="0"/>
        <w:tabs>
          <w:tab w:leader="none" w:pos="7440" w:val="left"/>
          <w:tab w:leader="none" w:pos="8060" w:val="left"/>
        </w:tabs>
        <w:rPr>
          <w:sz w:val="20"/>
          <w:szCs w:val="20"/>
          <w:color w:val="auto"/>
        </w:rPr>
      </w:pPr>
      <w:r>
        <w:rPr>
          <w:rFonts w:ascii="Arial" w:cs="Arial" w:eastAsia="Arial" w:hAnsi="Arial"/>
          <w:sz w:val="16"/>
          <w:szCs w:val="16"/>
          <w:color w:val="auto"/>
        </w:rPr>
        <w:t>Date: March 21,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Haji L. Glover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158115</wp:posOffset>
            </wp:positionV>
            <wp:extent cx="199707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8080"/>
        <w:spacing w:after="0"/>
        <w:rPr>
          <w:sz w:val="20"/>
          <w:szCs w:val="20"/>
          <w:color w:val="auto"/>
        </w:rPr>
      </w:pPr>
      <w:r>
        <w:rPr>
          <w:rFonts w:ascii="Arial" w:cs="Arial" w:eastAsia="Arial" w:hAnsi="Arial"/>
          <w:sz w:val="16"/>
          <w:szCs w:val="16"/>
          <w:color w:val="auto"/>
        </w:rPr>
        <w:t>Haji L. Glover</w:t>
      </w:r>
    </w:p>
    <w:p>
      <w:pPr>
        <w:spacing w:after="0" w:line="26" w:lineRule="exact"/>
        <w:rPr>
          <w:sz w:val="20"/>
          <w:szCs w:val="20"/>
          <w:color w:val="auto"/>
        </w:rPr>
      </w:pPr>
    </w:p>
    <w:p>
      <w:pPr>
        <w:ind w:left="8080"/>
        <w:spacing w:after="0"/>
        <w:rPr>
          <w:sz w:val="20"/>
          <w:szCs w:val="20"/>
          <w:color w:val="auto"/>
        </w:rPr>
      </w:pPr>
      <w:r>
        <w:rPr>
          <w:rFonts w:ascii="Arial" w:cs="Arial" w:eastAsia="Arial" w:hAnsi="Arial"/>
          <w:sz w:val="16"/>
          <w:szCs w:val="16"/>
          <w:i w:val="1"/>
          <w:iCs w:val="1"/>
          <w:color w:val="auto"/>
        </w:rPr>
        <w:t>Executive Vice President and Chief</w:t>
      </w:r>
    </w:p>
    <w:p>
      <w:pPr>
        <w:ind w:left="8080"/>
        <w:spacing w:after="0" w:line="211" w:lineRule="auto"/>
        <w:rPr>
          <w:sz w:val="20"/>
          <w:szCs w:val="20"/>
          <w:color w:val="auto"/>
        </w:rPr>
      </w:pPr>
      <w:r>
        <w:rPr>
          <w:rFonts w:ascii="Arial" w:cs="Arial" w:eastAsia="Arial" w:hAnsi="Arial"/>
          <w:sz w:val="16"/>
          <w:szCs w:val="16"/>
          <w:i w:val="1"/>
          <w:iCs w:val="1"/>
          <w:color w:val="auto"/>
        </w:rPr>
        <w:t>Financial Officer</w:t>
      </w:r>
    </w:p>
    <w:p>
      <w:pPr>
        <w:ind w:left="8080"/>
        <w:spacing w:after="0"/>
        <w:rPr>
          <w:sz w:val="20"/>
          <w:szCs w:val="20"/>
          <w:color w:val="auto"/>
        </w:rPr>
      </w:pPr>
      <w:r>
        <w:rPr>
          <w:rFonts w:ascii="Arial" w:cs="Arial" w:eastAsia="Arial" w:hAnsi="Arial"/>
          <w:sz w:val="16"/>
          <w:szCs w:val="16"/>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320" w:top="1106" w:right="37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165100</wp:posOffset>
            </wp:positionV>
            <wp:extent cx="2606040" cy="3168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260604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January 30, 2025</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Mr. Peter Warwick</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CEO, Scholastic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Peter,</w:t>
      </w:r>
    </w:p>
    <w:p>
      <w:pPr>
        <w:spacing w:after="0" w:line="260" w:lineRule="exact"/>
        <w:rPr>
          <w:sz w:val="20"/>
          <w:szCs w:val="20"/>
          <w:color w:val="auto"/>
        </w:rPr>
      </w:pPr>
    </w:p>
    <w:p>
      <w:pPr>
        <w:jc w:val="both"/>
        <w:ind w:right="280"/>
        <w:spacing w:after="0" w:line="281" w:lineRule="auto"/>
        <w:rPr>
          <w:sz w:val="20"/>
          <w:szCs w:val="20"/>
          <w:color w:val="auto"/>
        </w:rPr>
      </w:pPr>
      <w:r>
        <w:rPr>
          <w:rFonts w:ascii="Times New Roman" w:cs="Times New Roman" w:eastAsia="Times New Roman" w:hAnsi="Times New Roman"/>
          <w:sz w:val="21"/>
          <w:szCs w:val="21"/>
          <w:color w:val="auto"/>
        </w:rPr>
        <w:t xml:space="preserve">This letter will confirm our mutual agreement, in accordance with the terms of the First Amendment to Amended and Restated Employment Agreement, and as approved by Scholastic’s Board in December 2024, to extend the term of the Agreement from August 1, 2025 through July 31, 2026, on the current terms and conditions of your Employment Agreement; </w:t>
      </w:r>
      <w:r>
        <w:rPr>
          <w:rFonts w:ascii="Times New Roman" w:cs="Times New Roman" w:eastAsia="Times New Roman" w:hAnsi="Times New Roman"/>
          <w:sz w:val="21"/>
          <w:szCs w:val="21"/>
          <w:u w:val="single" w:color="auto"/>
          <w:color w:val="auto"/>
        </w:rPr>
        <w:t>except</w:t>
      </w:r>
      <w:r>
        <w:rPr>
          <w:rFonts w:ascii="Times New Roman" w:cs="Times New Roman" w:eastAsia="Times New Roman" w:hAnsi="Times New Roman"/>
          <w:sz w:val="21"/>
          <w:szCs w:val="21"/>
          <w:color w:val="auto"/>
        </w:rPr>
        <w:t>, your Base Salary, which, as agreed, will be increased to US $1,100,000 annually, effective August 1, 2025.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are grateful for your continued leadership and contributions to Scholastic.</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Cristina Juvier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Christina Juvier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People Officer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Accepted and agreed:</w:t>
      </w:r>
    </w:p>
    <w:p>
      <w:pPr>
        <w:sectPr>
          <w:pgSz w:w="11900" w:h="16838" w:orient="portrait"/>
          <w:cols w:equalWidth="0" w:num="1">
            <w:col w:w="11240"/>
          </w:cols>
          <w:pgMar w:left="320" w:top="126" w:right="339" w:bottom="1440" w:gutter="0" w:footer="0" w:header="0"/>
        </w:sectPr>
      </w:pPr>
    </w:p>
    <w:p>
      <w:pPr>
        <w:spacing w:after="0" w:line="260" w:lineRule="exact"/>
        <w:rPr>
          <w:sz w:val="20"/>
          <w:szCs w:val="20"/>
          <w:color w:val="auto"/>
        </w:rPr>
      </w:pPr>
    </w:p>
    <w:p>
      <w:pPr>
        <w:ind w:right="100"/>
        <w:spacing w:after="0" w:line="309" w:lineRule="auto"/>
        <w:rPr>
          <w:sz w:val="20"/>
          <w:szCs w:val="20"/>
          <w:color w:val="auto"/>
        </w:rPr>
      </w:pPr>
      <w:r>
        <w:rPr>
          <w:rFonts w:ascii="Times New Roman" w:cs="Times New Roman" w:eastAsia="Times New Roman" w:hAnsi="Times New Roman"/>
          <w:sz w:val="21"/>
          <w:szCs w:val="21"/>
          <w:color w:val="auto"/>
        </w:rPr>
        <w:t>/s/ Peter Warwick Peter Warwick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11430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auto"/>
        </w:rPr>
        <w:t>January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-6985</wp:posOffset>
            </wp:positionV>
            <wp:extent cx="107823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1078230" cy="825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ectPr>
          <w:pgSz w:w="11900" w:h="16838" w:orient="portrait"/>
          <w:cols w:equalWidth="0" w:num="2">
            <w:col w:w="1640" w:space="720"/>
            <w:col w:w="8880"/>
          </w:cols>
          <w:pgMar w:left="320" w:top="126" w:right="339" w:bottom="1440" w:gutter="0" w:footer="0" w:header="0"/>
          <w:type w:val="continuous"/>
        </w:sectPr>
      </w:pPr>
    </w:p>
    <w:bookmarkStart w:id="45" w:name="page46"/>
    <w:bookmarkEnd w:id="45"/>
    <w:p>
      <w:pPr>
        <w:jc w:val="center"/>
        <w:ind w:right="-291"/>
        <w:spacing w:after="0"/>
        <w:rPr>
          <w:sz w:val="20"/>
          <w:szCs w:val="20"/>
          <w:color w:val="auto"/>
        </w:rPr>
      </w:pPr>
      <w:r>
        <w:rPr>
          <w:rFonts w:ascii="Times New Roman" w:cs="Times New Roman" w:eastAsia="Times New Roman" w:hAnsi="Times New Roman"/>
          <w:sz w:val="16"/>
          <w:szCs w:val="16"/>
          <w:b w:val="1"/>
          <w:bCs w:val="1"/>
          <w:color w:val="auto"/>
        </w:rPr>
        <w:t>Exhibit 21</w:t>
      </w:r>
    </w:p>
    <w:p>
      <w:pPr>
        <w:spacing w:after="0" w:line="25" w:lineRule="exact"/>
        <w:rPr>
          <w:sz w:val="20"/>
          <w:szCs w:val="20"/>
          <w:color w:val="auto"/>
        </w:rPr>
      </w:pPr>
    </w:p>
    <w:p>
      <w:pPr>
        <w:jc w:val="center"/>
        <w:ind w:right="-291"/>
        <w:spacing w:after="0"/>
        <w:rPr>
          <w:sz w:val="20"/>
          <w:szCs w:val="20"/>
          <w:color w:val="auto"/>
        </w:rPr>
      </w:pPr>
      <w:r>
        <w:rPr>
          <w:rFonts w:ascii="Times New Roman" w:cs="Times New Roman" w:eastAsia="Times New Roman" w:hAnsi="Times New Roman"/>
          <w:sz w:val="16"/>
          <w:szCs w:val="16"/>
          <w:b w:val="1"/>
          <w:bCs w:val="1"/>
          <w:color w:val="auto"/>
        </w:rPr>
        <w:t>SCHOLASTIC CORPORATION – incorporated in Delaware, USA.</w:t>
      </w:r>
    </w:p>
    <w:p>
      <w:pPr>
        <w:spacing w:after="0" w:line="8" w:lineRule="exact"/>
        <w:rPr>
          <w:sz w:val="20"/>
          <w:szCs w:val="20"/>
          <w:color w:val="auto"/>
        </w:rPr>
      </w:pPr>
    </w:p>
    <w:p>
      <w:pPr>
        <w:jc w:val="center"/>
        <w:ind w:right="-291"/>
        <w:spacing w:after="0"/>
        <w:rPr>
          <w:sz w:val="20"/>
          <w:szCs w:val="20"/>
          <w:color w:val="auto"/>
        </w:rPr>
      </w:pPr>
      <w:r>
        <w:rPr>
          <w:rFonts w:ascii="Times New Roman" w:cs="Times New Roman" w:eastAsia="Times New Roman" w:hAnsi="Times New Roman"/>
          <w:sz w:val="16"/>
          <w:szCs w:val="16"/>
          <w:b w:val="1"/>
          <w:bCs w:val="1"/>
          <w:color w:val="auto"/>
        </w:rPr>
        <w:t>SUBSIDIARY LIST – as of February 28, 2025</w:t>
      </w:r>
    </w:p>
    <w:p>
      <w:pPr>
        <w:spacing w:after="0" w:line="15" w:lineRule="exact"/>
        <w:rPr>
          <w:sz w:val="20"/>
          <w:szCs w:val="20"/>
          <w:color w:val="auto"/>
        </w:rPr>
      </w:pPr>
    </w:p>
    <w:p>
      <w:pPr>
        <w:jc w:val="center"/>
        <w:ind w:right="-291"/>
        <w:spacing w:after="0"/>
        <w:rPr>
          <w:sz w:val="20"/>
          <w:szCs w:val="20"/>
          <w:color w:val="auto"/>
        </w:rPr>
      </w:pPr>
      <w:r>
        <w:rPr>
          <w:rFonts w:ascii="Times New Roman" w:cs="Times New Roman" w:eastAsia="Times New Roman" w:hAnsi="Times New Roman"/>
          <w:sz w:val="16"/>
          <w:szCs w:val="16"/>
          <w:b w:val="1"/>
          <w:bCs w:val="1"/>
          <w:color w:val="auto"/>
        </w:rPr>
        <w:t>(Subsidiaries are indented under its direct parent)</w:t>
      </w:r>
    </w:p>
    <w:p>
      <w:pPr>
        <w:sectPr>
          <w:pgSz w:w="11900" w:h="16838" w:orient="portrait"/>
          <w:cols w:equalWidth="0" w:num="1">
            <w:col w:w="10952"/>
          </w:cols>
          <w:pgMar w:left="328" w:top="124" w:right="61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72"/>
        <w:spacing w:after="0"/>
        <w:rPr>
          <w:sz w:val="20"/>
          <w:szCs w:val="20"/>
          <w:color w:val="auto"/>
        </w:rPr>
      </w:pPr>
      <w:r>
        <w:rPr>
          <w:rFonts w:ascii="Times New Roman" w:cs="Times New Roman" w:eastAsia="Times New Roman" w:hAnsi="Times New Roman"/>
          <w:sz w:val="15"/>
          <w:szCs w:val="15"/>
          <w:color w:val="auto"/>
        </w:rPr>
        <w:t>Scholastic Inc.</w:t>
      </w:r>
    </w:p>
    <w:p>
      <w:pPr>
        <w:spacing w:after="0" w:line="30"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5"/>
          <w:szCs w:val="15"/>
          <w:color w:val="auto"/>
        </w:rPr>
        <w:t>Scholastic Entertainment Inc.</w:t>
      </w:r>
    </w:p>
    <w:p>
      <w:pPr>
        <w:spacing w:after="0" w:line="30" w:lineRule="exact"/>
        <w:rPr>
          <w:sz w:val="20"/>
          <w:szCs w:val="20"/>
          <w:color w:val="auto"/>
        </w:rPr>
      </w:pPr>
    </w:p>
    <w:p>
      <w:pPr>
        <w:ind w:left="832"/>
        <w:spacing w:after="0"/>
        <w:rPr>
          <w:sz w:val="20"/>
          <w:szCs w:val="20"/>
          <w:color w:val="auto"/>
        </w:rPr>
      </w:pPr>
      <w:r>
        <w:rPr>
          <w:rFonts w:ascii="Times New Roman" w:cs="Times New Roman" w:eastAsia="Times New Roman" w:hAnsi="Times New Roman"/>
          <w:sz w:val="15"/>
          <w:szCs w:val="15"/>
          <w:color w:val="auto"/>
        </w:rPr>
        <w:t>524 Films L.L.C.</w:t>
      </w:r>
    </w:p>
    <w:p>
      <w:pPr>
        <w:spacing w:after="0" w:line="30" w:lineRule="exact"/>
        <w:rPr>
          <w:sz w:val="20"/>
          <w:szCs w:val="20"/>
          <w:color w:val="auto"/>
        </w:rPr>
      </w:pPr>
    </w:p>
    <w:p>
      <w:pPr>
        <w:ind w:left="832"/>
        <w:spacing w:after="0"/>
        <w:rPr>
          <w:sz w:val="20"/>
          <w:szCs w:val="20"/>
          <w:color w:val="auto"/>
        </w:rPr>
      </w:pPr>
      <w:r>
        <w:rPr>
          <w:rFonts w:ascii="Times New Roman" w:cs="Times New Roman" w:eastAsia="Times New Roman" w:hAnsi="Times New Roman"/>
          <w:sz w:val="15"/>
          <w:szCs w:val="15"/>
          <w:color w:val="auto"/>
        </w:rPr>
        <w:t>Listen Inn LLC (formerly Retroranch L.L.C.)</w:t>
      </w:r>
    </w:p>
    <w:p>
      <w:pPr>
        <w:spacing w:after="0" w:line="30" w:lineRule="exact"/>
        <w:rPr>
          <w:sz w:val="20"/>
          <w:szCs w:val="20"/>
          <w:color w:val="auto"/>
        </w:rPr>
      </w:pPr>
    </w:p>
    <w:p>
      <w:pPr>
        <w:ind w:left="832"/>
        <w:spacing w:after="0"/>
        <w:rPr>
          <w:sz w:val="20"/>
          <w:szCs w:val="20"/>
          <w:color w:val="auto"/>
        </w:rPr>
      </w:pPr>
      <w:r>
        <w:rPr>
          <w:rFonts w:ascii="Times New Roman" w:cs="Times New Roman" w:eastAsia="Times New Roman" w:hAnsi="Times New Roman"/>
          <w:sz w:val="15"/>
          <w:szCs w:val="15"/>
          <w:color w:val="auto"/>
        </w:rPr>
        <w:t>Yellow Bus, LLC</w:t>
      </w:r>
    </w:p>
    <w:p>
      <w:pPr>
        <w:spacing w:after="0" w:line="30" w:lineRule="exact"/>
        <w:rPr>
          <w:sz w:val="20"/>
          <w:szCs w:val="20"/>
          <w:color w:val="auto"/>
        </w:rPr>
      </w:pPr>
    </w:p>
    <w:p>
      <w:pPr>
        <w:ind w:left="832"/>
        <w:spacing w:after="0"/>
        <w:rPr>
          <w:sz w:val="20"/>
          <w:szCs w:val="20"/>
          <w:color w:val="auto"/>
        </w:rPr>
      </w:pPr>
      <w:r>
        <w:rPr>
          <w:rFonts w:ascii="Times New Roman" w:cs="Times New Roman" w:eastAsia="Times New Roman" w:hAnsi="Times New Roman"/>
          <w:sz w:val="15"/>
          <w:szCs w:val="15"/>
          <w:color w:val="auto"/>
        </w:rPr>
        <w:t>Out of the Blue Enterprises LLC dba 9 Story USA</w:t>
      </w:r>
    </w:p>
    <w:p>
      <w:pPr>
        <w:spacing w:after="0" w:line="30" w:lineRule="exact"/>
        <w:rPr>
          <w:sz w:val="20"/>
          <w:szCs w:val="20"/>
          <w:color w:val="auto"/>
        </w:rPr>
      </w:pPr>
    </w:p>
    <w:p>
      <w:pPr>
        <w:ind w:left="1212"/>
        <w:spacing w:after="0"/>
        <w:rPr>
          <w:sz w:val="20"/>
          <w:szCs w:val="20"/>
          <w:color w:val="auto"/>
        </w:rPr>
      </w:pPr>
      <w:r>
        <w:rPr>
          <w:rFonts w:ascii="Times New Roman" w:cs="Times New Roman" w:eastAsia="Times New Roman" w:hAnsi="Times New Roman"/>
          <w:sz w:val="15"/>
          <w:szCs w:val="15"/>
          <w:color w:val="auto"/>
        </w:rPr>
        <w:t>Out of the Blue Worldwide LLC</w:t>
      </w:r>
    </w:p>
    <w:p>
      <w:pPr>
        <w:spacing w:after="0" w:line="30" w:lineRule="exact"/>
        <w:rPr>
          <w:sz w:val="20"/>
          <w:szCs w:val="20"/>
          <w:color w:val="auto"/>
        </w:rPr>
      </w:pPr>
    </w:p>
    <w:p>
      <w:pPr>
        <w:ind w:left="1432"/>
        <w:spacing w:after="0"/>
        <w:rPr>
          <w:sz w:val="20"/>
          <w:szCs w:val="20"/>
          <w:color w:val="auto"/>
        </w:rPr>
      </w:pPr>
      <w:r>
        <w:rPr>
          <w:rFonts w:ascii="Times New Roman" w:cs="Times New Roman" w:eastAsia="Times New Roman" w:hAnsi="Times New Roman"/>
          <w:sz w:val="15"/>
          <w:szCs w:val="15"/>
          <w:color w:val="auto"/>
        </w:rPr>
        <w:t>OOTB Productions Inc.</w:t>
      </w:r>
    </w:p>
    <w:p>
      <w:pPr>
        <w:spacing w:after="0" w:line="30" w:lineRule="exact"/>
        <w:rPr>
          <w:sz w:val="20"/>
          <w:szCs w:val="20"/>
          <w:color w:val="auto"/>
        </w:rPr>
      </w:pPr>
    </w:p>
    <w:p>
      <w:pPr>
        <w:ind w:left="1212"/>
        <w:spacing w:after="0"/>
        <w:rPr>
          <w:sz w:val="20"/>
          <w:szCs w:val="20"/>
          <w:color w:val="auto"/>
        </w:rPr>
      </w:pPr>
      <w:r>
        <w:rPr>
          <w:rFonts w:ascii="Times New Roman" w:cs="Times New Roman" w:eastAsia="Times New Roman" w:hAnsi="Times New Roman"/>
          <w:sz w:val="15"/>
          <w:szCs w:val="15"/>
          <w:color w:val="auto"/>
        </w:rPr>
        <w:t>Colorforms Brand LLC</w:t>
      </w:r>
    </w:p>
    <w:p>
      <w:pPr>
        <w:spacing w:after="0" w:line="30"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5"/>
          <w:szCs w:val="15"/>
          <w:color w:val="auto"/>
        </w:rPr>
        <w:t>PT Bali Animasi Solusi Ekakarsa</w:t>
      </w:r>
      <w:r>
        <w:rPr>
          <w:rFonts w:ascii="Times New Roman" w:cs="Times New Roman" w:eastAsia="Times New Roman" w:hAnsi="Times New Roman"/>
          <w:sz w:val="9"/>
          <w:szCs w:val="9"/>
          <w:color w:val="auto"/>
        </w:rPr>
        <w:t>1</w:t>
      </w:r>
    </w:p>
    <w:p>
      <w:pPr>
        <w:spacing w:after="0" w:line="30"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5"/>
          <w:szCs w:val="15"/>
          <w:color w:val="auto"/>
        </w:rPr>
        <w:t>PT Bali Animation Studio</w:t>
      </w:r>
      <w:r>
        <w:rPr>
          <w:rFonts w:ascii="Times New Roman" w:cs="Times New Roman" w:eastAsia="Times New Roman" w:hAnsi="Times New Roman"/>
          <w:sz w:val="9"/>
          <w:szCs w:val="9"/>
          <w:color w:val="auto"/>
        </w:rPr>
        <w:t>1</w:t>
      </w:r>
    </w:p>
    <w:p>
      <w:pPr>
        <w:spacing w:after="0" w:line="30"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5"/>
          <w:szCs w:val="15"/>
          <w:color w:val="auto"/>
        </w:rPr>
        <w:t>9 Story Media Group Inc.</w:t>
      </w:r>
      <w:r>
        <w:rPr>
          <w:rFonts w:ascii="Times New Roman" w:cs="Times New Roman" w:eastAsia="Times New Roman" w:hAnsi="Times New Roman"/>
          <w:sz w:val="9"/>
          <w:szCs w:val="9"/>
          <w:color w:val="auto"/>
        </w:rPr>
        <w:t>2</w:t>
      </w:r>
    </w:p>
    <w:p>
      <w:pPr>
        <w:spacing w:after="0" w:line="30" w:lineRule="exact"/>
        <w:rPr>
          <w:sz w:val="20"/>
          <w:szCs w:val="20"/>
          <w:color w:val="auto"/>
        </w:rPr>
      </w:pPr>
    </w:p>
    <w:p>
      <w:pPr>
        <w:ind w:left="712"/>
        <w:spacing w:after="0"/>
        <w:rPr>
          <w:sz w:val="20"/>
          <w:szCs w:val="20"/>
          <w:color w:val="auto"/>
        </w:rPr>
      </w:pPr>
      <w:r>
        <w:rPr>
          <w:rFonts w:ascii="Times New Roman" w:cs="Times New Roman" w:eastAsia="Times New Roman" w:hAnsi="Times New Roman"/>
          <w:sz w:val="15"/>
          <w:szCs w:val="15"/>
          <w:color w:val="auto"/>
        </w:rPr>
        <w:t>9 Story Production Holdings 2 Inc.</w:t>
      </w:r>
    </w:p>
    <w:p>
      <w:pPr>
        <w:spacing w:after="0" w:line="30" w:lineRule="exact"/>
        <w:rPr>
          <w:sz w:val="20"/>
          <w:szCs w:val="20"/>
          <w:color w:val="auto"/>
        </w:rPr>
      </w:pPr>
    </w:p>
    <w:p>
      <w:pPr>
        <w:ind w:left="1212"/>
        <w:spacing w:after="0"/>
        <w:rPr>
          <w:sz w:val="20"/>
          <w:szCs w:val="20"/>
          <w:color w:val="auto"/>
        </w:rPr>
      </w:pPr>
      <w:r>
        <w:rPr>
          <w:rFonts w:ascii="Times New Roman" w:cs="Times New Roman" w:eastAsia="Times New Roman" w:hAnsi="Times New Roman"/>
          <w:sz w:val="15"/>
          <w:szCs w:val="15"/>
          <w:color w:val="auto"/>
        </w:rPr>
        <w:t>Carl Squared Productions, Inc.</w:t>
      </w:r>
    </w:p>
    <w:p>
      <w:pPr>
        <w:spacing w:after="0" w:line="30" w:lineRule="exact"/>
        <w:rPr>
          <w:sz w:val="20"/>
          <w:szCs w:val="20"/>
          <w:color w:val="auto"/>
        </w:rPr>
      </w:pPr>
    </w:p>
    <w:p>
      <w:pPr>
        <w:ind w:left="1212"/>
        <w:spacing w:after="0"/>
        <w:rPr>
          <w:sz w:val="20"/>
          <w:szCs w:val="20"/>
          <w:color w:val="auto"/>
        </w:rPr>
      </w:pPr>
      <w:r>
        <w:rPr>
          <w:rFonts w:ascii="Times New Roman" w:cs="Times New Roman" w:eastAsia="Times New Roman" w:hAnsi="Times New Roman"/>
          <w:sz w:val="15"/>
          <w:szCs w:val="15"/>
          <w:color w:val="auto"/>
        </w:rPr>
        <w:t>CITH Productions Inc.</w:t>
      </w:r>
    </w:p>
    <w:p>
      <w:pPr>
        <w:spacing w:after="0" w:line="30" w:lineRule="exact"/>
        <w:rPr>
          <w:sz w:val="20"/>
          <w:szCs w:val="20"/>
          <w:color w:val="auto"/>
        </w:rPr>
      </w:pPr>
    </w:p>
    <w:p>
      <w:pPr>
        <w:ind w:left="1212"/>
        <w:spacing w:after="0"/>
        <w:rPr>
          <w:sz w:val="20"/>
          <w:szCs w:val="20"/>
          <w:color w:val="auto"/>
        </w:rPr>
      </w:pPr>
      <w:r>
        <w:rPr>
          <w:rFonts w:ascii="Times New Roman" w:cs="Times New Roman" w:eastAsia="Times New Roman" w:hAnsi="Times New Roman"/>
          <w:sz w:val="15"/>
          <w:szCs w:val="15"/>
          <w:color w:val="auto"/>
        </w:rPr>
        <w:t>Groundling Marsh Productions Inc.</w:t>
      </w:r>
    </w:p>
    <w:p>
      <w:pPr>
        <w:spacing w:after="0" w:line="30" w:lineRule="exact"/>
        <w:rPr>
          <w:sz w:val="20"/>
          <w:szCs w:val="20"/>
          <w:color w:val="auto"/>
        </w:rPr>
      </w:pPr>
    </w:p>
    <w:p>
      <w:pPr>
        <w:ind w:left="1212"/>
        <w:spacing w:after="0"/>
        <w:rPr>
          <w:sz w:val="20"/>
          <w:szCs w:val="20"/>
          <w:color w:val="auto"/>
        </w:rPr>
      </w:pPr>
      <w:r>
        <w:rPr>
          <w:rFonts w:ascii="Times New Roman" w:cs="Times New Roman" w:eastAsia="Times New Roman" w:hAnsi="Times New Roman"/>
          <w:sz w:val="15"/>
          <w:szCs w:val="15"/>
          <w:color w:val="auto"/>
        </w:rPr>
        <w:t>Homeschooled Production Inc.</w:t>
      </w:r>
    </w:p>
    <w:p>
      <w:pPr>
        <w:spacing w:after="0" w:line="30" w:lineRule="exact"/>
        <w:rPr>
          <w:sz w:val="20"/>
          <w:szCs w:val="20"/>
          <w:color w:val="auto"/>
        </w:rPr>
      </w:pPr>
    </w:p>
    <w:p>
      <w:pPr>
        <w:ind w:left="1212"/>
        <w:spacing w:after="0"/>
        <w:rPr>
          <w:sz w:val="20"/>
          <w:szCs w:val="20"/>
          <w:color w:val="auto"/>
        </w:rPr>
      </w:pPr>
      <w:r>
        <w:rPr>
          <w:rFonts w:ascii="Times New Roman" w:cs="Times New Roman" w:eastAsia="Times New Roman" w:hAnsi="Times New Roman"/>
          <w:sz w:val="15"/>
          <w:szCs w:val="15"/>
          <w:color w:val="auto"/>
        </w:rPr>
        <w:t>Oliver Fits Productions Inc.</w:t>
      </w:r>
    </w:p>
    <w:p>
      <w:pPr>
        <w:spacing w:after="0" w:line="30" w:lineRule="exact"/>
        <w:rPr>
          <w:sz w:val="20"/>
          <w:szCs w:val="20"/>
          <w:color w:val="auto"/>
        </w:rPr>
      </w:pPr>
    </w:p>
    <w:p>
      <w:pPr>
        <w:ind w:left="1212"/>
        <w:spacing w:after="0"/>
        <w:rPr>
          <w:sz w:val="20"/>
          <w:szCs w:val="20"/>
          <w:color w:val="auto"/>
        </w:rPr>
      </w:pPr>
      <w:r>
        <w:rPr>
          <w:rFonts w:ascii="Times New Roman" w:cs="Times New Roman" w:eastAsia="Times New Roman" w:hAnsi="Times New Roman"/>
          <w:sz w:val="15"/>
          <w:szCs w:val="15"/>
          <w:color w:val="auto"/>
        </w:rPr>
        <w:t>Portfolio Completed Projects Inc.</w:t>
      </w:r>
    </w:p>
    <w:p>
      <w:pPr>
        <w:spacing w:after="0" w:line="30" w:lineRule="exact"/>
        <w:rPr>
          <w:sz w:val="20"/>
          <w:szCs w:val="20"/>
          <w:color w:val="auto"/>
        </w:rPr>
      </w:pPr>
    </w:p>
    <w:p>
      <w:pPr>
        <w:ind w:left="1212"/>
        <w:spacing w:after="0"/>
        <w:rPr>
          <w:sz w:val="20"/>
          <w:szCs w:val="20"/>
          <w:color w:val="auto"/>
        </w:rPr>
      </w:pPr>
      <w:r>
        <w:rPr>
          <w:rFonts w:ascii="Times New Roman" w:cs="Times New Roman" w:eastAsia="Times New Roman" w:hAnsi="Times New Roman"/>
          <w:sz w:val="15"/>
          <w:szCs w:val="15"/>
          <w:color w:val="auto"/>
        </w:rPr>
        <w:t>Roboroach Productions III Inc.</w:t>
      </w:r>
    </w:p>
    <w:p>
      <w:pPr>
        <w:spacing w:after="0" w:line="30" w:lineRule="exact"/>
        <w:rPr>
          <w:sz w:val="20"/>
          <w:szCs w:val="20"/>
          <w:color w:val="auto"/>
        </w:rPr>
      </w:pPr>
    </w:p>
    <w:p>
      <w:pPr>
        <w:ind w:left="1212"/>
        <w:spacing w:after="0"/>
        <w:rPr>
          <w:sz w:val="20"/>
          <w:szCs w:val="20"/>
          <w:color w:val="auto"/>
        </w:rPr>
      </w:pPr>
      <w:r>
        <w:rPr>
          <w:rFonts w:ascii="Times New Roman" w:cs="Times New Roman" w:eastAsia="Times New Roman" w:hAnsi="Times New Roman"/>
          <w:sz w:val="15"/>
          <w:szCs w:val="15"/>
          <w:color w:val="auto"/>
        </w:rPr>
        <w:t>SFN Productions Inc.</w:t>
      </w:r>
    </w:p>
    <w:p>
      <w:pPr>
        <w:spacing w:after="0" w:line="30" w:lineRule="exact"/>
        <w:rPr>
          <w:sz w:val="20"/>
          <w:szCs w:val="20"/>
          <w:color w:val="auto"/>
        </w:rPr>
      </w:pPr>
    </w:p>
    <w:p>
      <w:pPr>
        <w:ind w:left="832"/>
        <w:spacing w:after="0"/>
        <w:rPr>
          <w:sz w:val="20"/>
          <w:szCs w:val="20"/>
          <w:color w:val="auto"/>
        </w:rPr>
      </w:pPr>
      <w:r>
        <w:rPr>
          <w:rFonts w:ascii="Times New Roman" w:cs="Times New Roman" w:eastAsia="Times New Roman" w:hAnsi="Times New Roman"/>
          <w:sz w:val="15"/>
          <w:szCs w:val="15"/>
          <w:color w:val="auto"/>
        </w:rPr>
        <w:t>9 Story Interactive Inc.</w:t>
      </w:r>
    </w:p>
    <w:p>
      <w:pPr>
        <w:spacing w:after="0" w:line="30" w:lineRule="exact"/>
        <w:rPr>
          <w:sz w:val="20"/>
          <w:szCs w:val="20"/>
          <w:color w:val="auto"/>
        </w:rPr>
      </w:pPr>
    </w:p>
    <w:p>
      <w:pPr>
        <w:ind w:left="832"/>
        <w:spacing w:after="0"/>
        <w:rPr>
          <w:sz w:val="20"/>
          <w:szCs w:val="20"/>
          <w:color w:val="auto"/>
        </w:rPr>
      </w:pPr>
      <w:r>
        <w:rPr>
          <w:rFonts w:ascii="Times New Roman" w:cs="Times New Roman" w:eastAsia="Times New Roman" w:hAnsi="Times New Roman"/>
          <w:sz w:val="15"/>
          <w:szCs w:val="15"/>
          <w:color w:val="auto"/>
        </w:rPr>
        <w:t>9 Story Development Inc.</w:t>
      </w:r>
    </w:p>
    <w:p>
      <w:pPr>
        <w:spacing w:after="0" w:line="30" w:lineRule="exact"/>
        <w:rPr>
          <w:sz w:val="20"/>
          <w:szCs w:val="20"/>
          <w:color w:val="auto"/>
        </w:rPr>
      </w:pPr>
    </w:p>
    <w:p>
      <w:pPr>
        <w:ind w:left="832"/>
        <w:spacing w:after="0"/>
        <w:rPr>
          <w:sz w:val="20"/>
          <w:szCs w:val="20"/>
          <w:color w:val="auto"/>
        </w:rPr>
      </w:pPr>
      <w:r>
        <w:rPr>
          <w:rFonts w:ascii="Times New Roman" w:cs="Times New Roman" w:eastAsia="Times New Roman" w:hAnsi="Times New Roman"/>
          <w:sz w:val="15"/>
          <w:szCs w:val="15"/>
          <w:color w:val="auto"/>
        </w:rPr>
        <w:t>9 Story Digital Inc.</w:t>
      </w:r>
    </w:p>
    <w:p>
      <w:pPr>
        <w:spacing w:after="0" w:line="30" w:lineRule="exact"/>
        <w:rPr>
          <w:sz w:val="20"/>
          <w:szCs w:val="20"/>
          <w:color w:val="auto"/>
        </w:rPr>
      </w:pPr>
    </w:p>
    <w:p>
      <w:pPr>
        <w:ind w:left="832"/>
        <w:spacing w:after="0"/>
        <w:rPr>
          <w:sz w:val="20"/>
          <w:szCs w:val="20"/>
          <w:color w:val="auto"/>
        </w:rPr>
      </w:pPr>
      <w:r>
        <w:rPr>
          <w:rFonts w:ascii="Times New Roman" w:cs="Times New Roman" w:eastAsia="Times New Roman" w:hAnsi="Times New Roman"/>
          <w:sz w:val="15"/>
          <w:szCs w:val="15"/>
          <w:color w:val="auto"/>
        </w:rPr>
        <w:t>Banana Productions Inc.</w:t>
      </w:r>
    </w:p>
    <w:p>
      <w:pPr>
        <w:spacing w:after="0" w:line="30" w:lineRule="exact"/>
        <w:rPr>
          <w:sz w:val="20"/>
          <w:szCs w:val="20"/>
          <w:color w:val="auto"/>
        </w:rPr>
      </w:pPr>
    </w:p>
    <w:p>
      <w:pPr>
        <w:ind w:left="832"/>
        <w:spacing w:after="0"/>
        <w:rPr>
          <w:sz w:val="20"/>
          <w:szCs w:val="20"/>
          <w:color w:val="auto"/>
        </w:rPr>
      </w:pPr>
      <w:r>
        <w:rPr>
          <w:rFonts w:ascii="Times New Roman" w:cs="Times New Roman" w:eastAsia="Times New Roman" w:hAnsi="Times New Roman"/>
          <w:sz w:val="15"/>
          <w:szCs w:val="15"/>
          <w:color w:val="auto"/>
        </w:rPr>
        <w:t>BC 4 Productions Inc.</w:t>
      </w:r>
    </w:p>
    <w:p>
      <w:pPr>
        <w:spacing w:after="0" w:line="30" w:lineRule="exact"/>
        <w:rPr>
          <w:sz w:val="20"/>
          <w:szCs w:val="20"/>
          <w:color w:val="auto"/>
        </w:rPr>
      </w:pPr>
    </w:p>
    <w:p>
      <w:pPr>
        <w:ind w:left="832"/>
        <w:spacing w:after="0"/>
        <w:rPr>
          <w:sz w:val="20"/>
          <w:szCs w:val="20"/>
          <w:color w:val="auto"/>
        </w:rPr>
      </w:pPr>
      <w:r>
        <w:rPr>
          <w:rFonts w:ascii="Times New Roman" w:cs="Times New Roman" w:eastAsia="Times New Roman" w:hAnsi="Times New Roman"/>
          <w:sz w:val="15"/>
          <w:szCs w:val="15"/>
          <w:color w:val="auto"/>
        </w:rPr>
        <w:t>BC 5 Productions Inc.</w:t>
      </w:r>
    </w:p>
    <w:p>
      <w:pPr>
        <w:spacing w:after="0" w:line="30" w:lineRule="exact"/>
        <w:rPr>
          <w:sz w:val="20"/>
          <w:szCs w:val="20"/>
          <w:color w:val="auto"/>
        </w:rPr>
      </w:pPr>
    </w:p>
    <w:p>
      <w:pPr>
        <w:ind w:left="832"/>
        <w:spacing w:after="0"/>
        <w:rPr>
          <w:sz w:val="20"/>
          <w:szCs w:val="20"/>
          <w:color w:val="auto"/>
        </w:rPr>
      </w:pPr>
      <w:r>
        <w:rPr>
          <w:rFonts w:ascii="Times New Roman" w:cs="Times New Roman" w:eastAsia="Times New Roman" w:hAnsi="Times New Roman"/>
          <w:sz w:val="15"/>
          <w:szCs w:val="15"/>
          <w:color w:val="auto"/>
        </w:rPr>
        <w:t>Bot Productions Inc.</w:t>
      </w:r>
    </w:p>
    <w:p>
      <w:pPr>
        <w:spacing w:after="0" w:line="30" w:lineRule="exact"/>
        <w:rPr>
          <w:sz w:val="20"/>
          <w:szCs w:val="20"/>
          <w:color w:val="auto"/>
        </w:rPr>
      </w:pPr>
    </w:p>
    <w:p>
      <w:pPr>
        <w:ind w:left="832"/>
        <w:spacing w:after="0"/>
        <w:rPr>
          <w:sz w:val="20"/>
          <w:szCs w:val="20"/>
          <w:color w:val="auto"/>
        </w:rPr>
      </w:pPr>
      <w:r>
        <w:rPr>
          <w:rFonts w:ascii="Times New Roman" w:cs="Times New Roman" w:eastAsia="Times New Roman" w:hAnsi="Times New Roman"/>
          <w:sz w:val="15"/>
          <w:szCs w:val="15"/>
          <w:color w:val="auto"/>
        </w:rPr>
        <w:t>BRB 1 Productions Inc.</w:t>
      </w:r>
    </w:p>
    <w:p>
      <w:pPr>
        <w:spacing w:after="0" w:line="30" w:lineRule="exact"/>
        <w:rPr>
          <w:sz w:val="20"/>
          <w:szCs w:val="20"/>
          <w:color w:val="auto"/>
        </w:rPr>
      </w:pPr>
    </w:p>
    <w:p>
      <w:pPr>
        <w:ind w:left="832"/>
        <w:spacing w:after="0"/>
        <w:rPr>
          <w:sz w:val="20"/>
          <w:szCs w:val="20"/>
          <w:color w:val="auto"/>
        </w:rPr>
      </w:pPr>
      <w:r>
        <w:rPr>
          <w:rFonts w:ascii="Times New Roman" w:cs="Times New Roman" w:eastAsia="Times New Roman" w:hAnsi="Times New Roman"/>
          <w:sz w:val="15"/>
          <w:szCs w:val="15"/>
          <w:color w:val="auto"/>
        </w:rPr>
        <w:t>Camp Wild Productions Inc.</w:t>
      </w:r>
    </w:p>
    <w:p>
      <w:pPr>
        <w:spacing w:after="0" w:line="30" w:lineRule="exact"/>
        <w:rPr>
          <w:sz w:val="20"/>
          <w:szCs w:val="20"/>
          <w:color w:val="auto"/>
        </w:rPr>
      </w:pPr>
    </w:p>
    <w:p>
      <w:pPr>
        <w:ind w:left="832"/>
        <w:spacing w:after="0"/>
        <w:rPr>
          <w:sz w:val="20"/>
          <w:szCs w:val="20"/>
          <w:color w:val="auto"/>
        </w:rPr>
      </w:pPr>
      <w:r>
        <w:rPr>
          <w:rFonts w:ascii="Times New Roman" w:cs="Times New Roman" w:eastAsia="Times New Roman" w:hAnsi="Times New Roman"/>
          <w:sz w:val="15"/>
          <w:szCs w:val="15"/>
          <w:color w:val="auto"/>
        </w:rPr>
        <w:t>D6 Canada Inc.</w:t>
      </w:r>
    </w:p>
    <w:p>
      <w:pPr>
        <w:spacing w:after="0" w:line="30" w:lineRule="exact"/>
        <w:rPr>
          <w:sz w:val="20"/>
          <w:szCs w:val="20"/>
          <w:color w:val="auto"/>
        </w:rPr>
      </w:pPr>
    </w:p>
    <w:p>
      <w:pPr>
        <w:ind w:left="832"/>
        <w:spacing w:after="0"/>
        <w:rPr>
          <w:sz w:val="20"/>
          <w:szCs w:val="20"/>
          <w:color w:val="auto"/>
        </w:rPr>
      </w:pPr>
      <w:r>
        <w:rPr>
          <w:rFonts w:ascii="Times New Roman" w:cs="Times New Roman" w:eastAsia="Times New Roman" w:hAnsi="Times New Roman"/>
          <w:sz w:val="15"/>
          <w:szCs w:val="15"/>
          <w:color w:val="auto"/>
        </w:rPr>
        <w:t>D7 Canada Inc.</w:t>
      </w:r>
    </w:p>
    <w:p>
      <w:pPr>
        <w:spacing w:after="0" w:line="30" w:lineRule="exact"/>
        <w:rPr>
          <w:sz w:val="20"/>
          <w:szCs w:val="20"/>
          <w:color w:val="auto"/>
        </w:rPr>
      </w:pPr>
    </w:p>
    <w:p>
      <w:pPr>
        <w:ind w:left="832"/>
        <w:spacing w:after="0"/>
        <w:rPr>
          <w:sz w:val="20"/>
          <w:szCs w:val="20"/>
          <w:color w:val="auto"/>
        </w:rPr>
      </w:pPr>
      <w:r>
        <w:rPr>
          <w:rFonts w:ascii="Times New Roman" w:cs="Times New Roman" w:eastAsia="Times New Roman" w:hAnsi="Times New Roman"/>
          <w:sz w:val="15"/>
          <w:szCs w:val="15"/>
          <w:color w:val="auto"/>
        </w:rPr>
        <w:t>D8 Canada Inc.</w:t>
      </w:r>
    </w:p>
    <w:p>
      <w:pPr>
        <w:spacing w:after="0" w:line="30" w:lineRule="exact"/>
        <w:rPr>
          <w:sz w:val="20"/>
          <w:szCs w:val="20"/>
          <w:color w:val="auto"/>
        </w:rPr>
      </w:pPr>
    </w:p>
    <w:p>
      <w:pPr>
        <w:ind w:left="832"/>
        <w:spacing w:after="0"/>
        <w:rPr>
          <w:sz w:val="20"/>
          <w:szCs w:val="20"/>
          <w:color w:val="auto"/>
        </w:rPr>
      </w:pPr>
      <w:r>
        <w:rPr>
          <w:rFonts w:ascii="Times New Roman" w:cs="Times New Roman" w:eastAsia="Times New Roman" w:hAnsi="Times New Roman"/>
          <w:sz w:val="15"/>
          <w:szCs w:val="15"/>
          <w:color w:val="auto"/>
        </w:rPr>
        <w:t>DD 1 Productions Inc.</w:t>
      </w:r>
    </w:p>
    <w:p>
      <w:pPr>
        <w:spacing w:after="0" w:line="30" w:lineRule="exact"/>
        <w:rPr>
          <w:sz w:val="20"/>
          <w:szCs w:val="20"/>
          <w:color w:val="auto"/>
        </w:rPr>
      </w:pPr>
    </w:p>
    <w:p>
      <w:pPr>
        <w:ind w:left="832"/>
        <w:spacing w:after="0"/>
        <w:rPr>
          <w:sz w:val="20"/>
          <w:szCs w:val="20"/>
          <w:color w:val="auto"/>
        </w:rPr>
      </w:pPr>
      <w:r>
        <w:rPr>
          <w:rFonts w:ascii="Times New Roman" w:cs="Times New Roman" w:eastAsia="Times New Roman" w:hAnsi="Times New Roman"/>
          <w:sz w:val="15"/>
          <w:szCs w:val="15"/>
          <w:color w:val="auto"/>
        </w:rPr>
        <w:t>DNH 6 Productions Inc.</w:t>
      </w:r>
    </w:p>
    <w:p>
      <w:pPr>
        <w:spacing w:after="0" w:line="30" w:lineRule="exact"/>
        <w:rPr>
          <w:sz w:val="20"/>
          <w:szCs w:val="20"/>
          <w:color w:val="auto"/>
        </w:rPr>
      </w:pPr>
    </w:p>
    <w:p>
      <w:pPr>
        <w:ind w:left="832"/>
        <w:spacing w:after="0"/>
        <w:rPr>
          <w:sz w:val="20"/>
          <w:szCs w:val="20"/>
          <w:color w:val="auto"/>
        </w:rPr>
      </w:pPr>
      <w:r>
        <w:rPr>
          <w:rFonts w:ascii="Times New Roman" w:cs="Times New Roman" w:eastAsia="Times New Roman" w:hAnsi="Times New Roman"/>
          <w:sz w:val="15"/>
          <w:szCs w:val="15"/>
          <w:color w:val="auto"/>
        </w:rPr>
        <w:t>DNH 7 Productions Inc.</w:t>
      </w:r>
    </w:p>
    <w:p>
      <w:pPr>
        <w:spacing w:after="0" w:line="30" w:lineRule="exact"/>
        <w:rPr>
          <w:sz w:val="20"/>
          <w:szCs w:val="20"/>
          <w:color w:val="auto"/>
        </w:rPr>
      </w:pPr>
    </w:p>
    <w:p>
      <w:pPr>
        <w:ind w:left="832"/>
        <w:spacing w:after="0"/>
        <w:rPr>
          <w:sz w:val="20"/>
          <w:szCs w:val="20"/>
          <w:color w:val="auto"/>
        </w:rPr>
      </w:pPr>
      <w:r>
        <w:rPr>
          <w:rFonts w:ascii="Times New Roman" w:cs="Times New Roman" w:eastAsia="Times New Roman" w:hAnsi="Times New Roman"/>
          <w:sz w:val="15"/>
          <w:szCs w:val="15"/>
          <w:color w:val="auto"/>
        </w:rPr>
        <w:t>DNH 8 Productions Inc.</w:t>
      </w:r>
    </w:p>
    <w:p>
      <w:pPr>
        <w:spacing w:after="0" w:line="30" w:lineRule="exact"/>
        <w:rPr>
          <w:sz w:val="20"/>
          <w:szCs w:val="20"/>
          <w:color w:val="auto"/>
        </w:rPr>
      </w:pPr>
    </w:p>
    <w:p>
      <w:pPr>
        <w:ind w:left="832"/>
        <w:spacing w:after="0"/>
        <w:rPr>
          <w:sz w:val="20"/>
          <w:szCs w:val="20"/>
          <w:color w:val="auto"/>
        </w:rPr>
      </w:pPr>
      <w:r>
        <w:rPr>
          <w:rFonts w:ascii="Times New Roman" w:cs="Times New Roman" w:eastAsia="Times New Roman" w:hAnsi="Times New Roman"/>
          <w:sz w:val="15"/>
          <w:szCs w:val="15"/>
          <w:color w:val="auto"/>
        </w:rPr>
        <w:t>ER 1 Productions Inc.</w:t>
      </w:r>
    </w:p>
    <w:p>
      <w:pPr>
        <w:spacing w:after="0" w:line="30" w:lineRule="exact"/>
        <w:rPr>
          <w:sz w:val="20"/>
          <w:szCs w:val="20"/>
          <w:color w:val="auto"/>
        </w:rPr>
      </w:pPr>
    </w:p>
    <w:p>
      <w:pPr>
        <w:ind w:left="832"/>
        <w:spacing w:after="0"/>
        <w:rPr>
          <w:sz w:val="20"/>
          <w:szCs w:val="20"/>
          <w:color w:val="auto"/>
        </w:rPr>
      </w:pPr>
      <w:r>
        <w:rPr>
          <w:rFonts w:ascii="Times New Roman" w:cs="Times New Roman" w:eastAsia="Times New Roman" w:hAnsi="Times New Roman"/>
          <w:sz w:val="15"/>
          <w:szCs w:val="15"/>
          <w:color w:val="auto"/>
        </w:rPr>
        <w:t>FTT 1 Productions Inc.</w:t>
      </w:r>
    </w:p>
    <w:p>
      <w:pPr>
        <w:spacing w:after="0" w:line="30" w:lineRule="exact"/>
        <w:rPr>
          <w:sz w:val="20"/>
          <w:szCs w:val="20"/>
          <w:color w:val="auto"/>
        </w:rPr>
      </w:pPr>
    </w:p>
    <w:p>
      <w:pPr>
        <w:ind w:left="832"/>
        <w:spacing w:after="0"/>
        <w:rPr>
          <w:sz w:val="20"/>
          <w:szCs w:val="20"/>
          <w:color w:val="auto"/>
        </w:rPr>
      </w:pPr>
      <w:r>
        <w:rPr>
          <w:rFonts w:ascii="Times New Roman" w:cs="Times New Roman" w:eastAsia="Times New Roman" w:hAnsi="Times New Roman"/>
          <w:sz w:val="15"/>
          <w:szCs w:val="15"/>
          <w:color w:val="auto"/>
        </w:rPr>
        <w:t>LBL Productions Inc.</w:t>
      </w:r>
    </w:p>
    <w:p>
      <w:pPr>
        <w:spacing w:after="0" w:line="30" w:lineRule="exact"/>
        <w:rPr>
          <w:sz w:val="20"/>
          <w:szCs w:val="20"/>
          <w:color w:val="auto"/>
        </w:rPr>
      </w:pPr>
    </w:p>
    <w:p>
      <w:pPr>
        <w:ind w:left="832"/>
        <w:spacing w:after="0"/>
        <w:rPr>
          <w:sz w:val="20"/>
          <w:szCs w:val="20"/>
          <w:color w:val="auto"/>
        </w:rPr>
      </w:pPr>
      <w:r>
        <w:rPr>
          <w:rFonts w:ascii="Times New Roman" w:cs="Times New Roman" w:eastAsia="Times New Roman" w:hAnsi="Times New Roman"/>
          <w:sz w:val="15"/>
          <w:szCs w:val="15"/>
          <w:color w:val="auto"/>
        </w:rPr>
        <w:t>RS 1 Productions Inc.</w:t>
      </w:r>
    </w:p>
    <w:p>
      <w:pPr>
        <w:spacing w:after="0" w:line="30" w:lineRule="exact"/>
        <w:rPr>
          <w:sz w:val="20"/>
          <w:szCs w:val="20"/>
          <w:color w:val="auto"/>
        </w:rPr>
      </w:pPr>
    </w:p>
    <w:p>
      <w:pPr>
        <w:ind w:left="832"/>
        <w:spacing w:after="0"/>
        <w:rPr>
          <w:sz w:val="20"/>
          <w:szCs w:val="20"/>
          <w:color w:val="auto"/>
        </w:rPr>
      </w:pPr>
      <w:r>
        <w:rPr>
          <w:rFonts w:ascii="Times New Roman" w:cs="Times New Roman" w:eastAsia="Times New Roman" w:hAnsi="Times New Roman"/>
          <w:sz w:val="15"/>
          <w:szCs w:val="15"/>
          <w:color w:val="auto"/>
        </w:rPr>
        <w:t>Ruby Productions Inc. (formerly Alexaland Productions Inc.)</w:t>
      </w:r>
    </w:p>
    <w:p>
      <w:pPr>
        <w:spacing w:after="0" w:line="30" w:lineRule="exact"/>
        <w:rPr>
          <w:sz w:val="20"/>
          <w:szCs w:val="20"/>
          <w:color w:val="auto"/>
        </w:rPr>
      </w:pPr>
    </w:p>
    <w:p>
      <w:pPr>
        <w:ind w:left="832"/>
        <w:spacing w:after="0"/>
        <w:rPr>
          <w:sz w:val="20"/>
          <w:szCs w:val="20"/>
          <w:color w:val="auto"/>
        </w:rPr>
      </w:pPr>
      <w:r>
        <w:rPr>
          <w:rFonts w:ascii="Times New Roman" w:cs="Times New Roman" w:eastAsia="Times New Roman" w:hAnsi="Times New Roman"/>
          <w:sz w:val="15"/>
          <w:szCs w:val="15"/>
          <w:color w:val="auto"/>
        </w:rPr>
        <w:t>Ruby 2 Productions Inc.</w:t>
      </w:r>
    </w:p>
    <w:p>
      <w:pPr>
        <w:spacing w:after="0" w:line="30" w:lineRule="exact"/>
        <w:rPr>
          <w:sz w:val="20"/>
          <w:szCs w:val="20"/>
          <w:color w:val="auto"/>
        </w:rPr>
      </w:pPr>
    </w:p>
    <w:p>
      <w:pPr>
        <w:ind w:left="832"/>
        <w:spacing w:after="0"/>
        <w:rPr>
          <w:sz w:val="20"/>
          <w:szCs w:val="20"/>
          <w:color w:val="auto"/>
        </w:rPr>
      </w:pPr>
      <w:r>
        <w:rPr>
          <w:rFonts w:ascii="Times New Roman" w:cs="Times New Roman" w:eastAsia="Times New Roman" w:hAnsi="Times New Roman"/>
          <w:sz w:val="15"/>
          <w:szCs w:val="15"/>
          <w:color w:val="auto"/>
        </w:rPr>
        <w:t>SG 1 Productions Inc. (formerly RR 1 Productions Inc.)</w:t>
      </w:r>
    </w:p>
    <w:p>
      <w:pPr>
        <w:spacing w:after="0" w:line="30" w:lineRule="exact"/>
        <w:rPr>
          <w:sz w:val="20"/>
          <w:szCs w:val="20"/>
          <w:color w:val="auto"/>
        </w:rPr>
      </w:pPr>
    </w:p>
    <w:p>
      <w:pPr>
        <w:ind w:left="832"/>
        <w:spacing w:after="0"/>
        <w:rPr>
          <w:sz w:val="20"/>
          <w:szCs w:val="20"/>
          <w:color w:val="auto"/>
        </w:rPr>
      </w:pPr>
      <w:r>
        <w:rPr>
          <w:rFonts w:ascii="Times New Roman" w:cs="Times New Roman" w:eastAsia="Times New Roman" w:hAnsi="Times New Roman"/>
          <w:sz w:val="15"/>
          <w:szCs w:val="15"/>
          <w:color w:val="auto"/>
        </w:rPr>
        <w:t>9 Story Distribution (Canada) Inc. (formerly SG 2 Productions Inc.)</w:t>
      </w:r>
    </w:p>
    <w:p>
      <w:pPr>
        <w:spacing w:after="0" w:line="30" w:lineRule="exact"/>
        <w:rPr>
          <w:sz w:val="20"/>
          <w:szCs w:val="20"/>
          <w:color w:val="auto"/>
        </w:rPr>
      </w:pPr>
    </w:p>
    <w:p>
      <w:pPr>
        <w:ind w:left="832"/>
        <w:spacing w:after="0"/>
        <w:rPr>
          <w:sz w:val="20"/>
          <w:szCs w:val="20"/>
          <w:color w:val="auto"/>
        </w:rPr>
      </w:pPr>
      <w:r>
        <w:rPr>
          <w:rFonts w:ascii="Times New Roman" w:cs="Times New Roman" w:eastAsia="Times New Roman" w:hAnsi="Times New Roman"/>
          <w:sz w:val="15"/>
          <w:szCs w:val="15"/>
          <w:color w:val="auto"/>
        </w:rPr>
        <w:t>Why Productions Inc.</w:t>
      </w:r>
    </w:p>
    <w:p>
      <w:pPr>
        <w:spacing w:after="0" w:line="30" w:lineRule="exact"/>
        <w:rPr>
          <w:sz w:val="20"/>
          <w:szCs w:val="20"/>
          <w:color w:val="auto"/>
        </w:rPr>
      </w:pPr>
    </w:p>
    <w:p>
      <w:pPr>
        <w:ind w:left="832"/>
        <w:spacing w:after="0"/>
        <w:rPr>
          <w:sz w:val="20"/>
          <w:szCs w:val="20"/>
          <w:color w:val="auto"/>
        </w:rPr>
      </w:pPr>
      <w:r>
        <w:rPr>
          <w:rFonts w:ascii="Times New Roman" w:cs="Times New Roman" w:eastAsia="Times New Roman" w:hAnsi="Times New Roman"/>
          <w:sz w:val="15"/>
          <w:szCs w:val="15"/>
          <w:color w:val="auto"/>
        </w:rPr>
        <w:t>XR 2 Productions Inc</w:t>
      </w:r>
    </w:p>
    <w:p>
      <w:pPr>
        <w:spacing w:after="0" w:line="30" w:lineRule="exact"/>
        <w:rPr>
          <w:sz w:val="20"/>
          <w:szCs w:val="20"/>
          <w:color w:val="auto"/>
        </w:rPr>
      </w:pPr>
    </w:p>
    <w:p>
      <w:pPr>
        <w:ind w:left="832"/>
        <w:spacing w:after="0"/>
        <w:rPr>
          <w:sz w:val="20"/>
          <w:szCs w:val="20"/>
          <w:color w:val="auto"/>
        </w:rPr>
      </w:pPr>
      <w:r>
        <w:rPr>
          <w:rFonts w:ascii="Times New Roman" w:cs="Times New Roman" w:eastAsia="Times New Roman" w:hAnsi="Times New Roman"/>
          <w:sz w:val="15"/>
          <w:szCs w:val="15"/>
          <w:color w:val="auto"/>
        </w:rPr>
        <w:t>CBRD 1 Productions Inc.</w:t>
      </w:r>
    </w:p>
    <w:p>
      <w:pPr>
        <w:spacing w:after="0" w:line="30"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5"/>
          <w:szCs w:val="15"/>
          <w:color w:val="auto"/>
        </w:rPr>
        <w:t>Niagara Films Ireland Limited</w:t>
      </w:r>
    </w:p>
    <w:p>
      <w:pPr>
        <w:spacing w:after="0" w:line="30" w:lineRule="exact"/>
        <w:rPr>
          <w:sz w:val="20"/>
          <w:szCs w:val="20"/>
          <w:color w:val="auto"/>
        </w:rPr>
      </w:pPr>
    </w:p>
    <w:p>
      <w:pPr>
        <w:ind w:left="832"/>
        <w:spacing w:after="0"/>
        <w:rPr>
          <w:sz w:val="20"/>
          <w:szCs w:val="20"/>
          <w:color w:val="auto"/>
        </w:rPr>
      </w:pPr>
      <w:r>
        <w:rPr>
          <w:rFonts w:ascii="Times New Roman" w:cs="Times New Roman" w:eastAsia="Times New Roman" w:hAnsi="Times New Roman"/>
          <w:sz w:val="15"/>
          <w:szCs w:val="15"/>
          <w:color w:val="auto"/>
        </w:rPr>
        <w:t>9 Story Distribution International Limited</w:t>
      </w:r>
    </w:p>
    <w:p>
      <w:pPr>
        <w:spacing w:after="0" w:line="30" w:lineRule="exact"/>
        <w:rPr>
          <w:sz w:val="20"/>
          <w:szCs w:val="20"/>
          <w:color w:val="auto"/>
        </w:rPr>
      </w:pPr>
    </w:p>
    <w:p>
      <w:pPr>
        <w:ind w:left="832"/>
        <w:spacing w:after="0"/>
        <w:rPr>
          <w:sz w:val="20"/>
          <w:szCs w:val="20"/>
          <w:color w:val="auto"/>
        </w:rPr>
      </w:pPr>
      <w:r>
        <w:rPr>
          <w:rFonts w:ascii="Times New Roman" w:cs="Times New Roman" w:eastAsia="Times New Roman" w:hAnsi="Times New Roman"/>
          <w:sz w:val="15"/>
          <w:szCs w:val="15"/>
          <w:color w:val="auto"/>
        </w:rPr>
        <w:t>Brown Bag Films Unlimited Company</w:t>
      </w:r>
    </w:p>
    <w:p>
      <w:pPr>
        <w:spacing w:after="0" w:line="30" w:lineRule="exact"/>
        <w:rPr>
          <w:sz w:val="20"/>
          <w:szCs w:val="20"/>
          <w:color w:val="auto"/>
        </w:rPr>
      </w:pPr>
    </w:p>
    <w:p>
      <w:pPr>
        <w:ind w:left="1112"/>
        <w:spacing w:after="0"/>
        <w:rPr>
          <w:sz w:val="20"/>
          <w:szCs w:val="20"/>
          <w:color w:val="auto"/>
        </w:rPr>
      </w:pPr>
      <w:r>
        <w:rPr>
          <w:rFonts w:ascii="Times New Roman" w:cs="Times New Roman" w:eastAsia="Times New Roman" w:hAnsi="Times New Roman"/>
          <w:sz w:val="15"/>
          <w:szCs w:val="15"/>
          <w:color w:val="auto"/>
        </w:rPr>
        <w:t>ACBB Productions Limited</w:t>
      </w:r>
    </w:p>
    <w:p>
      <w:pPr>
        <w:spacing w:after="0" w:line="30" w:lineRule="exact"/>
        <w:rPr>
          <w:sz w:val="20"/>
          <w:szCs w:val="20"/>
          <w:color w:val="auto"/>
        </w:rPr>
      </w:pPr>
    </w:p>
    <w:p>
      <w:pPr>
        <w:ind w:left="1112"/>
        <w:spacing w:after="0"/>
        <w:rPr>
          <w:sz w:val="20"/>
          <w:szCs w:val="20"/>
          <w:color w:val="auto"/>
        </w:rPr>
      </w:pPr>
      <w:r>
        <w:rPr>
          <w:rFonts w:ascii="Times New Roman" w:cs="Times New Roman" w:eastAsia="Times New Roman" w:hAnsi="Times New Roman"/>
          <w:sz w:val="15"/>
          <w:szCs w:val="15"/>
          <w:color w:val="auto"/>
        </w:rPr>
        <w:t>ADAT Productions DAC</w:t>
      </w:r>
    </w:p>
    <w:p>
      <w:pPr>
        <w:spacing w:after="0" w:line="30" w:lineRule="exact"/>
        <w:rPr>
          <w:sz w:val="20"/>
          <w:szCs w:val="20"/>
          <w:color w:val="auto"/>
        </w:rPr>
      </w:pPr>
    </w:p>
    <w:p>
      <w:pPr>
        <w:ind w:left="1112"/>
        <w:spacing w:after="0"/>
        <w:rPr>
          <w:sz w:val="20"/>
          <w:szCs w:val="20"/>
          <w:color w:val="auto"/>
        </w:rPr>
      </w:pPr>
      <w:r>
        <w:rPr>
          <w:rFonts w:ascii="Times New Roman" w:cs="Times New Roman" w:eastAsia="Times New Roman" w:hAnsi="Times New Roman"/>
          <w:sz w:val="15"/>
          <w:szCs w:val="15"/>
          <w:color w:val="auto"/>
        </w:rPr>
        <w:t>ADAT 2 Productions DAC</w:t>
      </w:r>
    </w:p>
    <w:p>
      <w:pPr>
        <w:spacing w:after="0" w:line="30" w:lineRule="exact"/>
        <w:rPr>
          <w:sz w:val="20"/>
          <w:szCs w:val="20"/>
          <w:color w:val="auto"/>
        </w:rPr>
      </w:pPr>
    </w:p>
    <w:p>
      <w:pPr>
        <w:ind w:left="1112"/>
        <w:spacing w:after="0"/>
        <w:rPr>
          <w:sz w:val="20"/>
          <w:szCs w:val="20"/>
          <w:color w:val="auto"/>
        </w:rPr>
      </w:pPr>
      <w:r>
        <w:rPr>
          <w:rFonts w:ascii="Times New Roman" w:cs="Times New Roman" w:eastAsia="Times New Roman" w:hAnsi="Times New Roman"/>
          <w:sz w:val="15"/>
          <w:szCs w:val="15"/>
          <w:color w:val="auto"/>
        </w:rPr>
        <w:t>B5 Elk Productions DAC</w:t>
      </w:r>
    </w:p>
    <w:p>
      <w:pPr>
        <w:spacing w:after="0" w:line="30" w:lineRule="exact"/>
        <w:rPr>
          <w:sz w:val="20"/>
          <w:szCs w:val="20"/>
          <w:color w:val="auto"/>
        </w:rPr>
      </w:pPr>
    </w:p>
    <w:p>
      <w:pPr>
        <w:ind w:left="1112"/>
        <w:spacing w:after="0"/>
        <w:rPr>
          <w:sz w:val="20"/>
          <w:szCs w:val="20"/>
          <w:color w:val="auto"/>
        </w:rPr>
      </w:pPr>
      <w:r>
        <w:rPr>
          <w:rFonts w:ascii="Times New Roman" w:cs="Times New Roman" w:eastAsia="Times New Roman" w:hAnsi="Times New Roman"/>
          <w:sz w:val="15"/>
          <w:szCs w:val="15"/>
          <w:color w:val="auto"/>
        </w:rPr>
        <w:t>Bhean Productions Limited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Delaware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Delaware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Delaware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Indonesia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Indonesia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Ontario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Ontario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Ontario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Ontario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Ontario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Ontario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Ontario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Ontario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Ontario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Ontario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Ontario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Ontario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Ontario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Ontario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Ontario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Ontario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Ontario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Ontario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Ontario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Ontario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Ontario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Ontario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Ontario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Ontario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Ontario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Ontario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Ontario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Ontario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Ontario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Ontario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Ontario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Ontario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Ontario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Ontario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Ontario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Ontario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Ontario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Ireland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Ireland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Ireland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Ireland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Ireland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Ireland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Ireland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Ireland</w:t>
      </w:r>
    </w:p>
    <w:p>
      <w:pPr>
        <w:spacing w:after="0" w:line="200" w:lineRule="exact"/>
        <w:rPr>
          <w:sz w:val="20"/>
          <w:szCs w:val="20"/>
          <w:color w:val="auto"/>
        </w:rPr>
      </w:pPr>
    </w:p>
    <w:p>
      <w:pPr>
        <w:sectPr>
          <w:pgSz w:w="11900" w:h="16838" w:orient="portrait"/>
          <w:cols w:equalWidth="0" w:num="2">
            <w:col w:w="6912" w:space="720"/>
            <w:col w:w="3320"/>
          </w:cols>
          <w:pgMar w:left="328" w:top="124" w:right="619" w:bottom="1440" w:gutter="0" w:footer="0" w:header="0"/>
          <w:type w:val="continuous"/>
        </w:sectPr>
      </w:pPr>
    </w:p>
    <w:p>
      <w:pPr>
        <w:spacing w:after="0" w:line="288" w:lineRule="exact"/>
        <w:rPr>
          <w:sz w:val="20"/>
          <w:szCs w:val="20"/>
          <w:color w:val="auto"/>
        </w:rPr>
      </w:pPr>
    </w:p>
    <w:p>
      <w:pPr>
        <w:ind w:left="72" w:hanging="72"/>
        <w:spacing w:after="0"/>
        <w:tabs>
          <w:tab w:leader="none" w:pos="72"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0.5% owned by Scholastic Entertainment Inc.</w:t>
      </w:r>
    </w:p>
    <w:p>
      <w:pPr>
        <w:ind w:left="172" w:hanging="172"/>
        <w:spacing w:after="0" w:line="217" w:lineRule="auto"/>
        <w:tabs>
          <w:tab w:leader="none" w:pos="80" w:val="left"/>
        </w:tabs>
        <w:numPr>
          <w:ilvl w:val="0"/>
          <w:numId w:val="2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25% voting shares and 100% common shares owned by Scholastic Inc. and accounted for as a variable interest entity whose financial results are consolidated into the financial statements of Scholastic Corporation.</w:t>
      </w:r>
    </w:p>
    <w:p>
      <w:pPr>
        <w:sectPr>
          <w:pgSz w:w="11900" w:h="16838" w:orient="portrait"/>
          <w:cols w:equalWidth="0" w:num="1">
            <w:col w:w="10952"/>
          </w:cols>
          <w:pgMar w:left="328" w:top="124" w:right="619" w:bottom="1440" w:gutter="0" w:footer="0" w:header="0"/>
          <w:type w:val="continuous"/>
        </w:sectPr>
      </w:pPr>
    </w:p>
    <w:bookmarkStart w:id="46" w:name="page47"/>
    <w:bookmarkEnd w:id="46"/>
    <w:p>
      <w:pPr>
        <w:jc w:val="center"/>
        <w:ind w:right="-1112"/>
        <w:spacing w:after="0"/>
        <w:rPr>
          <w:sz w:val="20"/>
          <w:szCs w:val="20"/>
          <w:color w:val="auto"/>
        </w:rPr>
      </w:pPr>
      <w:r>
        <w:rPr>
          <w:rFonts w:ascii="Times New Roman" w:cs="Times New Roman" w:eastAsia="Times New Roman" w:hAnsi="Times New Roman"/>
          <w:sz w:val="16"/>
          <w:szCs w:val="16"/>
          <w:b w:val="1"/>
          <w:bCs w:val="1"/>
          <w:color w:val="auto"/>
        </w:rPr>
        <w:t>Exhibit 21</w:t>
      </w:r>
    </w:p>
    <w:p>
      <w:pPr>
        <w:spacing w:after="0" w:line="25" w:lineRule="exact"/>
        <w:rPr>
          <w:sz w:val="20"/>
          <w:szCs w:val="20"/>
          <w:color w:val="auto"/>
        </w:rPr>
      </w:pPr>
    </w:p>
    <w:p>
      <w:pPr>
        <w:jc w:val="center"/>
        <w:ind w:right="-1112"/>
        <w:spacing w:after="0"/>
        <w:rPr>
          <w:sz w:val="20"/>
          <w:szCs w:val="20"/>
          <w:color w:val="auto"/>
        </w:rPr>
      </w:pPr>
      <w:r>
        <w:rPr>
          <w:rFonts w:ascii="Times New Roman" w:cs="Times New Roman" w:eastAsia="Times New Roman" w:hAnsi="Times New Roman"/>
          <w:sz w:val="16"/>
          <w:szCs w:val="16"/>
          <w:b w:val="1"/>
          <w:bCs w:val="1"/>
          <w:color w:val="auto"/>
        </w:rPr>
        <w:t>SCHOLASTIC CORPORATION – incorporated in Delaware, USA.</w:t>
      </w:r>
    </w:p>
    <w:p>
      <w:pPr>
        <w:spacing w:after="0" w:line="8" w:lineRule="exact"/>
        <w:rPr>
          <w:sz w:val="20"/>
          <w:szCs w:val="20"/>
          <w:color w:val="auto"/>
        </w:rPr>
      </w:pPr>
    </w:p>
    <w:p>
      <w:pPr>
        <w:jc w:val="center"/>
        <w:ind w:right="-1112"/>
        <w:spacing w:after="0"/>
        <w:rPr>
          <w:sz w:val="20"/>
          <w:szCs w:val="20"/>
          <w:color w:val="auto"/>
        </w:rPr>
      </w:pPr>
      <w:r>
        <w:rPr>
          <w:rFonts w:ascii="Times New Roman" w:cs="Times New Roman" w:eastAsia="Times New Roman" w:hAnsi="Times New Roman"/>
          <w:sz w:val="16"/>
          <w:szCs w:val="16"/>
          <w:b w:val="1"/>
          <w:bCs w:val="1"/>
          <w:color w:val="auto"/>
        </w:rPr>
        <w:t>SUBSIDIARY LIST – as of February 28, 2025</w:t>
      </w:r>
    </w:p>
    <w:p>
      <w:pPr>
        <w:spacing w:after="0" w:line="15" w:lineRule="exact"/>
        <w:rPr>
          <w:sz w:val="20"/>
          <w:szCs w:val="20"/>
          <w:color w:val="auto"/>
        </w:rPr>
      </w:pPr>
    </w:p>
    <w:p>
      <w:pPr>
        <w:jc w:val="center"/>
        <w:ind w:right="-1112"/>
        <w:spacing w:after="0"/>
        <w:rPr>
          <w:sz w:val="20"/>
          <w:szCs w:val="20"/>
          <w:color w:val="auto"/>
        </w:rPr>
      </w:pPr>
      <w:r>
        <w:rPr>
          <w:rFonts w:ascii="Times New Roman" w:cs="Times New Roman" w:eastAsia="Times New Roman" w:hAnsi="Times New Roman"/>
          <w:sz w:val="16"/>
          <w:szCs w:val="16"/>
          <w:b w:val="1"/>
          <w:bCs w:val="1"/>
          <w:color w:val="auto"/>
        </w:rPr>
        <w:t>(Subsidiaries are indented under its direct parent)</w:t>
      </w:r>
    </w:p>
    <w:p>
      <w:pPr>
        <w:sectPr>
          <w:pgSz w:w="11900" w:h="16838" w:orient="portrait"/>
          <w:cols w:equalWidth="0" w:num="1">
            <w:col w:w="10131"/>
          </w:cols>
          <w:pgMar w:left="328" w:top="124" w:right="1440"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1112"/>
        <w:spacing w:after="0"/>
        <w:rPr>
          <w:sz w:val="20"/>
          <w:szCs w:val="20"/>
          <w:color w:val="auto"/>
        </w:rPr>
      </w:pPr>
      <w:r>
        <w:rPr>
          <w:rFonts w:ascii="Times New Roman" w:cs="Times New Roman" w:eastAsia="Times New Roman" w:hAnsi="Times New Roman"/>
          <w:sz w:val="15"/>
          <w:szCs w:val="15"/>
          <w:color w:val="auto"/>
        </w:rPr>
        <w:t>BOGO Productions DAC</w:t>
      </w:r>
    </w:p>
    <w:p>
      <w:pPr>
        <w:spacing w:after="0" w:line="30" w:lineRule="exact"/>
        <w:rPr>
          <w:sz w:val="20"/>
          <w:szCs w:val="20"/>
          <w:color w:val="auto"/>
        </w:rPr>
      </w:pPr>
    </w:p>
    <w:p>
      <w:pPr>
        <w:ind w:left="1112"/>
        <w:spacing w:after="0"/>
        <w:rPr>
          <w:sz w:val="20"/>
          <w:szCs w:val="20"/>
          <w:color w:val="auto"/>
        </w:rPr>
      </w:pPr>
      <w:r>
        <w:rPr>
          <w:rFonts w:ascii="Times New Roman" w:cs="Times New Roman" w:eastAsia="Times New Roman" w:hAnsi="Times New Roman"/>
          <w:sz w:val="15"/>
          <w:szCs w:val="15"/>
          <w:color w:val="auto"/>
        </w:rPr>
        <w:t>Bolgmor Productions DAC</w:t>
      </w:r>
    </w:p>
    <w:p>
      <w:pPr>
        <w:spacing w:after="0" w:line="30" w:lineRule="exact"/>
        <w:rPr>
          <w:sz w:val="20"/>
          <w:szCs w:val="20"/>
          <w:color w:val="auto"/>
        </w:rPr>
      </w:pPr>
    </w:p>
    <w:p>
      <w:pPr>
        <w:ind w:left="1112"/>
        <w:spacing w:after="0"/>
        <w:rPr>
          <w:sz w:val="20"/>
          <w:szCs w:val="20"/>
          <w:color w:val="auto"/>
        </w:rPr>
      </w:pPr>
      <w:r>
        <w:rPr>
          <w:rFonts w:ascii="Times New Roman" w:cs="Times New Roman" w:eastAsia="Times New Roman" w:hAnsi="Times New Roman"/>
          <w:sz w:val="15"/>
          <w:szCs w:val="15"/>
          <w:color w:val="auto"/>
        </w:rPr>
        <w:t>BOZ Productions Limited</w:t>
      </w:r>
    </w:p>
    <w:p>
      <w:pPr>
        <w:spacing w:after="0" w:line="30" w:lineRule="exact"/>
        <w:rPr>
          <w:sz w:val="20"/>
          <w:szCs w:val="20"/>
          <w:color w:val="auto"/>
        </w:rPr>
      </w:pPr>
    </w:p>
    <w:p>
      <w:pPr>
        <w:ind w:left="1112"/>
        <w:spacing w:after="0"/>
        <w:rPr>
          <w:sz w:val="20"/>
          <w:szCs w:val="20"/>
          <w:color w:val="auto"/>
        </w:rPr>
      </w:pPr>
      <w:r>
        <w:rPr>
          <w:rFonts w:ascii="Times New Roman" w:cs="Times New Roman" w:eastAsia="Times New Roman" w:hAnsi="Times New Roman"/>
          <w:sz w:val="15"/>
          <w:szCs w:val="15"/>
          <w:color w:val="auto"/>
        </w:rPr>
        <w:t>Brown Bag Films UK Ltd.</w:t>
      </w:r>
    </w:p>
    <w:p>
      <w:pPr>
        <w:spacing w:after="0" w:line="30" w:lineRule="exact"/>
        <w:rPr>
          <w:sz w:val="20"/>
          <w:szCs w:val="20"/>
          <w:color w:val="auto"/>
        </w:rPr>
      </w:pPr>
    </w:p>
    <w:p>
      <w:pPr>
        <w:ind w:left="1532"/>
        <w:spacing w:after="0"/>
        <w:rPr>
          <w:sz w:val="20"/>
          <w:szCs w:val="20"/>
          <w:color w:val="auto"/>
        </w:rPr>
      </w:pPr>
      <w:r>
        <w:rPr>
          <w:rFonts w:ascii="Times New Roman" w:cs="Times New Roman" w:eastAsia="Times New Roman" w:hAnsi="Times New Roman"/>
          <w:sz w:val="15"/>
          <w:szCs w:val="15"/>
          <w:color w:val="auto"/>
        </w:rPr>
        <w:t>NK2 Productions Limited</w:t>
      </w:r>
    </w:p>
    <w:p>
      <w:pPr>
        <w:spacing w:after="0" w:line="30" w:lineRule="exact"/>
        <w:rPr>
          <w:sz w:val="20"/>
          <w:szCs w:val="20"/>
          <w:color w:val="auto"/>
        </w:rPr>
      </w:pPr>
    </w:p>
    <w:p>
      <w:pPr>
        <w:ind w:left="1532"/>
        <w:spacing w:after="0"/>
        <w:rPr>
          <w:sz w:val="20"/>
          <w:szCs w:val="20"/>
          <w:color w:val="auto"/>
        </w:rPr>
      </w:pPr>
      <w:r>
        <w:rPr>
          <w:rFonts w:ascii="Times New Roman" w:cs="Times New Roman" w:eastAsia="Times New Roman" w:hAnsi="Times New Roman"/>
          <w:sz w:val="15"/>
          <w:szCs w:val="15"/>
          <w:color w:val="auto"/>
        </w:rPr>
        <w:t>PRS Productions Limited</w:t>
      </w:r>
    </w:p>
    <w:p>
      <w:pPr>
        <w:spacing w:after="0" w:line="30" w:lineRule="exact"/>
        <w:rPr>
          <w:sz w:val="20"/>
          <w:szCs w:val="20"/>
          <w:color w:val="auto"/>
        </w:rPr>
      </w:pPr>
    </w:p>
    <w:p>
      <w:pPr>
        <w:ind w:left="1532"/>
        <w:spacing w:after="0"/>
        <w:rPr>
          <w:sz w:val="20"/>
          <w:szCs w:val="20"/>
          <w:color w:val="auto"/>
        </w:rPr>
      </w:pPr>
      <w:r>
        <w:rPr>
          <w:rFonts w:ascii="Times New Roman" w:cs="Times New Roman" w:eastAsia="Times New Roman" w:hAnsi="Times New Roman"/>
          <w:sz w:val="15"/>
          <w:szCs w:val="15"/>
          <w:color w:val="auto"/>
        </w:rPr>
        <w:t>The Knight Productions Limited</w:t>
      </w:r>
    </w:p>
    <w:p>
      <w:pPr>
        <w:spacing w:after="0" w:line="30" w:lineRule="exact"/>
        <w:rPr>
          <w:sz w:val="20"/>
          <w:szCs w:val="20"/>
          <w:color w:val="auto"/>
        </w:rPr>
      </w:pPr>
    </w:p>
    <w:p>
      <w:pPr>
        <w:ind w:left="1532"/>
        <w:spacing w:after="0"/>
        <w:rPr>
          <w:sz w:val="20"/>
          <w:szCs w:val="20"/>
          <w:color w:val="auto"/>
        </w:rPr>
      </w:pPr>
      <w:r>
        <w:rPr>
          <w:rFonts w:ascii="Times New Roman" w:cs="Times New Roman" w:eastAsia="Times New Roman" w:hAnsi="Times New Roman"/>
          <w:sz w:val="15"/>
          <w:szCs w:val="15"/>
          <w:color w:val="auto"/>
        </w:rPr>
        <w:t>Kind of Productions Limited</w:t>
      </w:r>
    </w:p>
    <w:p>
      <w:pPr>
        <w:spacing w:after="0" w:line="30" w:lineRule="exact"/>
        <w:rPr>
          <w:sz w:val="20"/>
          <w:szCs w:val="20"/>
          <w:color w:val="auto"/>
        </w:rPr>
      </w:pPr>
    </w:p>
    <w:p>
      <w:pPr>
        <w:ind w:left="1112"/>
        <w:spacing w:after="0"/>
        <w:rPr>
          <w:sz w:val="20"/>
          <w:szCs w:val="20"/>
          <w:color w:val="auto"/>
        </w:rPr>
      </w:pPr>
      <w:r>
        <w:rPr>
          <w:rFonts w:ascii="Times New Roman" w:cs="Times New Roman" w:eastAsia="Times New Roman" w:hAnsi="Times New Roman"/>
          <w:sz w:val="15"/>
          <w:szCs w:val="15"/>
          <w:color w:val="auto"/>
        </w:rPr>
        <w:t>Cone Productions DAC</w:t>
      </w:r>
    </w:p>
    <w:p>
      <w:pPr>
        <w:spacing w:after="0" w:line="30" w:lineRule="exact"/>
        <w:rPr>
          <w:sz w:val="20"/>
          <w:szCs w:val="20"/>
          <w:color w:val="auto"/>
        </w:rPr>
      </w:pPr>
    </w:p>
    <w:p>
      <w:pPr>
        <w:ind w:left="1112"/>
        <w:spacing w:after="0"/>
        <w:rPr>
          <w:sz w:val="20"/>
          <w:szCs w:val="20"/>
          <w:color w:val="auto"/>
        </w:rPr>
      </w:pPr>
      <w:r>
        <w:rPr>
          <w:rFonts w:ascii="Times New Roman" w:cs="Times New Roman" w:eastAsia="Times New Roman" w:hAnsi="Times New Roman"/>
          <w:sz w:val="15"/>
          <w:szCs w:val="15"/>
          <w:color w:val="auto"/>
        </w:rPr>
        <w:t>ERK Film Productions DAC</w:t>
      </w:r>
    </w:p>
    <w:p>
      <w:pPr>
        <w:spacing w:after="0" w:line="30" w:lineRule="exact"/>
        <w:rPr>
          <w:sz w:val="20"/>
          <w:szCs w:val="20"/>
          <w:color w:val="auto"/>
        </w:rPr>
      </w:pPr>
    </w:p>
    <w:p>
      <w:pPr>
        <w:ind w:left="1112"/>
        <w:spacing w:after="0"/>
        <w:rPr>
          <w:sz w:val="20"/>
          <w:szCs w:val="20"/>
          <w:color w:val="auto"/>
        </w:rPr>
      </w:pPr>
      <w:r>
        <w:rPr>
          <w:rFonts w:ascii="Times New Roman" w:cs="Times New Roman" w:eastAsia="Times New Roman" w:hAnsi="Times New Roman"/>
          <w:sz w:val="15"/>
          <w:szCs w:val="15"/>
          <w:color w:val="auto"/>
        </w:rPr>
        <w:t>IMNI Productions DAC</w:t>
      </w:r>
    </w:p>
    <w:p>
      <w:pPr>
        <w:spacing w:after="0" w:line="30" w:lineRule="exact"/>
        <w:rPr>
          <w:sz w:val="20"/>
          <w:szCs w:val="20"/>
          <w:color w:val="auto"/>
        </w:rPr>
      </w:pPr>
    </w:p>
    <w:p>
      <w:pPr>
        <w:ind w:left="1112"/>
        <w:spacing w:after="0"/>
        <w:rPr>
          <w:sz w:val="20"/>
          <w:szCs w:val="20"/>
          <w:color w:val="auto"/>
        </w:rPr>
      </w:pPr>
      <w:r>
        <w:rPr>
          <w:rFonts w:ascii="Times New Roman" w:cs="Times New Roman" w:eastAsia="Times New Roman" w:hAnsi="Times New Roman"/>
          <w:sz w:val="15"/>
          <w:szCs w:val="15"/>
          <w:color w:val="auto"/>
        </w:rPr>
        <w:t>KOSA Productions DAC</w:t>
      </w:r>
    </w:p>
    <w:p>
      <w:pPr>
        <w:spacing w:after="0" w:line="30" w:lineRule="exact"/>
        <w:rPr>
          <w:sz w:val="20"/>
          <w:szCs w:val="20"/>
          <w:color w:val="auto"/>
        </w:rPr>
      </w:pPr>
    </w:p>
    <w:p>
      <w:pPr>
        <w:ind w:left="1112"/>
        <w:spacing w:after="0"/>
        <w:rPr>
          <w:sz w:val="20"/>
          <w:szCs w:val="20"/>
          <w:color w:val="auto"/>
        </w:rPr>
      </w:pPr>
      <w:r>
        <w:rPr>
          <w:rFonts w:ascii="Times New Roman" w:cs="Times New Roman" w:eastAsia="Times New Roman" w:hAnsi="Times New Roman"/>
          <w:sz w:val="15"/>
          <w:szCs w:val="15"/>
          <w:color w:val="auto"/>
        </w:rPr>
        <w:t>KWBB Productions Limited</w:t>
      </w:r>
    </w:p>
    <w:p>
      <w:pPr>
        <w:spacing w:after="0" w:line="30" w:lineRule="exact"/>
        <w:rPr>
          <w:sz w:val="20"/>
          <w:szCs w:val="20"/>
          <w:color w:val="auto"/>
        </w:rPr>
      </w:pPr>
    </w:p>
    <w:p>
      <w:pPr>
        <w:ind w:left="1112"/>
        <w:spacing w:after="0"/>
        <w:rPr>
          <w:sz w:val="20"/>
          <w:szCs w:val="20"/>
          <w:color w:val="auto"/>
        </w:rPr>
      </w:pPr>
      <w:r>
        <w:rPr>
          <w:rFonts w:ascii="Times New Roman" w:cs="Times New Roman" w:eastAsia="Times New Roman" w:hAnsi="Times New Roman"/>
          <w:sz w:val="15"/>
          <w:szCs w:val="15"/>
          <w:color w:val="auto"/>
        </w:rPr>
        <w:t>KWD Productions DAC</w:t>
      </w:r>
    </w:p>
    <w:p>
      <w:pPr>
        <w:spacing w:after="0" w:line="30" w:lineRule="exact"/>
        <w:rPr>
          <w:sz w:val="20"/>
          <w:szCs w:val="20"/>
          <w:color w:val="auto"/>
        </w:rPr>
      </w:pPr>
    </w:p>
    <w:p>
      <w:pPr>
        <w:ind w:left="1112"/>
        <w:spacing w:after="0"/>
        <w:rPr>
          <w:sz w:val="20"/>
          <w:szCs w:val="20"/>
          <w:color w:val="auto"/>
        </w:rPr>
      </w:pPr>
      <w:r>
        <w:rPr>
          <w:rFonts w:ascii="Times New Roman" w:cs="Times New Roman" w:eastAsia="Times New Roman" w:hAnsi="Times New Roman"/>
          <w:sz w:val="15"/>
          <w:szCs w:val="15"/>
          <w:color w:val="auto"/>
        </w:rPr>
        <w:t>Lubird Productions DAC</w:t>
      </w:r>
    </w:p>
    <w:p>
      <w:pPr>
        <w:spacing w:after="0" w:line="30" w:lineRule="exact"/>
        <w:rPr>
          <w:sz w:val="20"/>
          <w:szCs w:val="20"/>
          <w:color w:val="auto"/>
        </w:rPr>
      </w:pPr>
    </w:p>
    <w:p>
      <w:pPr>
        <w:ind w:left="1112"/>
        <w:spacing w:after="0"/>
        <w:rPr>
          <w:sz w:val="20"/>
          <w:szCs w:val="20"/>
          <w:color w:val="auto"/>
        </w:rPr>
      </w:pPr>
      <w:r>
        <w:rPr>
          <w:rFonts w:ascii="Times New Roman" w:cs="Times New Roman" w:eastAsia="Times New Roman" w:hAnsi="Times New Roman"/>
          <w:sz w:val="15"/>
          <w:szCs w:val="15"/>
          <w:color w:val="auto"/>
        </w:rPr>
        <w:t>OG Productions DAC</w:t>
      </w:r>
    </w:p>
    <w:p>
      <w:pPr>
        <w:spacing w:after="0" w:line="30" w:lineRule="exact"/>
        <w:rPr>
          <w:sz w:val="20"/>
          <w:szCs w:val="20"/>
          <w:color w:val="auto"/>
        </w:rPr>
      </w:pPr>
    </w:p>
    <w:p>
      <w:pPr>
        <w:ind w:left="1112"/>
        <w:spacing w:after="0"/>
        <w:rPr>
          <w:sz w:val="20"/>
          <w:szCs w:val="20"/>
          <w:color w:val="auto"/>
        </w:rPr>
      </w:pPr>
      <w:r>
        <w:rPr>
          <w:rFonts w:ascii="Times New Roman" w:cs="Times New Roman" w:eastAsia="Times New Roman" w:hAnsi="Times New Roman"/>
          <w:sz w:val="15"/>
          <w:szCs w:val="15"/>
          <w:color w:val="auto"/>
        </w:rPr>
        <w:t>RYD Productions DAC</w:t>
      </w:r>
    </w:p>
    <w:p>
      <w:pPr>
        <w:spacing w:after="0" w:line="30" w:lineRule="exact"/>
        <w:rPr>
          <w:sz w:val="20"/>
          <w:szCs w:val="20"/>
          <w:color w:val="auto"/>
        </w:rPr>
      </w:pPr>
    </w:p>
    <w:p>
      <w:pPr>
        <w:ind w:left="1112"/>
        <w:spacing w:after="0"/>
        <w:rPr>
          <w:sz w:val="20"/>
          <w:szCs w:val="20"/>
          <w:color w:val="auto"/>
        </w:rPr>
      </w:pPr>
      <w:r>
        <w:rPr>
          <w:rFonts w:ascii="Times New Roman" w:cs="Times New Roman" w:eastAsia="Times New Roman" w:hAnsi="Times New Roman"/>
          <w:sz w:val="15"/>
          <w:szCs w:val="15"/>
          <w:color w:val="auto"/>
        </w:rPr>
        <w:t>RYD 2 Productions DAC</w:t>
      </w:r>
    </w:p>
    <w:p>
      <w:pPr>
        <w:spacing w:after="0" w:line="30" w:lineRule="exact"/>
        <w:rPr>
          <w:sz w:val="20"/>
          <w:szCs w:val="20"/>
          <w:color w:val="auto"/>
        </w:rPr>
      </w:pPr>
    </w:p>
    <w:p>
      <w:pPr>
        <w:ind w:left="1112"/>
        <w:spacing w:after="0"/>
        <w:rPr>
          <w:sz w:val="20"/>
          <w:szCs w:val="20"/>
          <w:color w:val="auto"/>
        </w:rPr>
      </w:pPr>
      <w:r>
        <w:rPr>
          <w:rFonts w:ascii="Times New Roman" w:cs="Times New Roman" w:eastAsia="Times New Roman" w:hAnsi="Times New Roman"/>
          <w:sz w:val="15"/>
          <w:szCs w:val="15"/>
          <w:color w:val="auto"/>
        </w:rPr>
        <w:t>Silver Slipper Productions DAC</w:t>
      </w:r>
    </w:p>
    <w:p>
      <w:pPr>
        <w:spacing w:after="0" w:line="30"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5"/>
          <w:szCs w:val="15"/>
          <w:color w:val="auto"/>
        </w:rPr>
        <w:t>Scholastic UK Ltd.</w:t>
      </w:r>
    </w:p>
    <w:p>
      <w:pPr>
        <w:spacing w:after="0" w:line="30" w:lineRule="exact"/>
        <w:rPr>
          <w:sz w:val="20"/>
          <w:szCs w:val="20"/>
          <w:color w:val="auto"/>
        </w:rPr>
      </w:pPr>
    </w:p>
    <w:p>
      <w:pPr>
        <w:ind w:left="832"/>
        <w:spacing w:after="0"/>
        <w:rPr>
          <w:sz w:val="20"/>
          <w:szCs w:val="20"/>
          <w:color w:val="auto"/>
        </w:rPr>
      </w:pPr>
      <w:r>
        <w:rPr>
          <w:rFonts w:ascii="Times New Roman" w:cs="Times New Roman" w:eastAsia="Times New Roman" w:hAnsi="Times New Roman"/>
          <w:sz w:val="15"/>
          <w:szCs w:val="15"/>
          <w:color w:val="auto"/>
        </w:rPr>
        <w:t>Scholastic Book Clubs Limited</w:t>
      </w:r>
    </w:p>
    <w:p>
      <w:pPr>
        <w:spacing w:after="0" w:line="30" w:lineRule="exact"/>
        <w:rPr>
          <w:sz w:val="20"/>
          <w:szCs w:val="20"/>
          <w:color w:val="auto"/>
        </w:rPr>
      </w:pPr>
    </w:p>
    <w:p>
      <w:pPr>
        <w:ind w:left="832"/>
        <w:spacing w:after="0"/>
        <w:rPr>
          <w:sz w:val="20"/>
          <w:szCs w:val="20"/>
          <w:color w:val="auto"/>
        </w:rPr>
      </w:pPr>
      <w:r>
        <w:rPr>
          <w:rFonts w:ascii="Times New Roman" w:cs="Times New Roman" w:eastAsia="Times New Roman" w:hAnsi="Times New Roman"/>
          <w:sz w:val="15"/>
          <w:szCs w:val="15"/>
          <w:color w:val="auto"/>
        </w:rPr>
        <w:t>Make Believe Ideas Ltd.</w:t>
      </w:r>
    </w:p>
    <w:p>
      <w:pPr>
        <w:spacing w:after="0" w:line="30" w:lineRule="exact"/>
        <w:rPr>
          <w:sz w:val="20"/>
          <w:szCs w:val="20"/>
          <w:color w:val="auto"/>
        </w:rPr>
      </w:pPr>
    </w:p>
    <w:p>
      <w:pPr>
        <w:ind w:left="832"/>
        <w:spacing w:after="0"/>
        <w:rPr>
          <w:sz w:val="20"/>
          <w:szCs w:val="20"/>
          <w:color w:val="auto"/>
        </w:rPr>
      </w:pPr>
      <w:r>
        <w:rPr>
          <w:rFonts w:ascii="Times New Roman" w:cs="Times New Roman" w:eastAsia="Times New Roman" w:hAnsi="Times New Roman"/>
          <w:sz w:val="15"/>
          <w:szCs w:val="15"/>
          <w:color w:val="auto"/>
        </w:rPr>
        <w:t>Chicken House Publishing Limited</w:t>
      </w:r>
    </w:p>
    <w:p>
      <w:pPr>
        <w:spacing w:after="0" w:line="30" w:lineRule="exact"/>
        <w:rPr>
          <w:sz w:val="20"/>
          <w:szCs w:val="20"/>
          <w:color w:val="auto"/>
        </w:rPr>
      </w:pPr>
    </w:p>
    <w:p>
      <w:pPr>
        <w:ind w:left="832"/>
        <w:spacing w:after="0"/>
        <w:rPr>
          <w:sz w:val="20"/>
          <w:szCs w:val="20"/>
          <w:color w:val="auto"/>
        </w:rPr>
      </w:pPr>
      <w:r>
        <w:rPr>
          <w:rFonts w:ascii="Times New Roman" w:cs="Times New Roman" w:eastAsia="Times New Roman" w:hAnsi="Times New Roman"/>
          <w:sz w:val="15"/>
          <w:szCs w:val="15"/>
          <w:color w:val="auto"/>
        </w:rPr>
        <w:t>Scholastic Limited</w:t>
      </w:r>
    </w:p>
    <w:p>
      <w:pPr>
        <w:spacing w:after="0" w:line="30" w:lineRule="exact"/>
        <w:rPr>
          <w:sz w:val="20"/>
          <w:szCs w:val="20"/>
          <w:color w:val="auto"/>
        </w:rPr>
      </w:pPr>
    </w:p>
    <w:p>
      <w:pPr>
        <w:ind w:left="1112"/>
        <w:spacing w:after="0"/>
        <w:rPr>
          <w:sz w:val="20"/>
          <w:szCs w:val="20"/>
          <w:color w:val="auto"/>
        </w:rPr>
      </w:pPr>
      <w:r>
        <w:rPr>
          <w:rFonts w:ascii="Times New Roman" w:cs="Times New Roman" w:eastAsia="Times New Roman" w:hAnsi="Times New Roman"/>
          <w:sz w:val="15"/>
          <w:szCs w:val="15"/>
          <w:color w:val="auto"/>
        </w:rPr>
        <w:t>Scholastic Ireland Ltd.</w:t>
      </w:r>
    </w:p>
    <w:p>
      <w:pPr>
        <w:spacing w:after="0" w:line="30"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5"/>
          <w:szCs w:val="15"/>
          <w:color w:val="auto"/>
        </w:rPr>
        <w:t>Weston Woods Studios, Inc.</w:t>
      </w:r>
    </w:p>
    <w:p>
      <w:pPr>
        <w:spacing w:after="0" w:line="30" w:lineRule="exact"/>
        <w:rPr>
          <w:sz w:val="20"/>
          <w:szCs w:val="20"/>
          <w:color w:val="auto"/>
        </w:rPr>
      </w:pPr>
    </w:p>
    <w:p>
      <w:pPr>
        <w:ind w:left="832"/>
        <w:spacing w:after="0"/>
        <w:rPr>
          <w:sz w:val="20"/>
          <w:szCs w:val="20"/>
          <w:color w:val="auto"/>
        </w:rPr>
      </w:pPr>
      <w:r>
        <w:rPr>
          <w:rFonts w:ascii="Times New Roman" w:cs="Times New Roman" w:eastAsia="Times New Roman" w:hAnsi="Times New Roman"/>
          <w:sz w:val="15"/>
          <w:szCs w:val="15"/>
          <w:color w:val="auto"/>
        </w:rPr>
        <w:t>Georgetown Studios, Inc.</w:t>
      </w:r>
    </w:p>
    <w:p>
      <w:pPr>
        <w:spacing w:after="0" w:line="30" w:lineRule="exact"/>
        <w:rPr>
          <w:sz w:val="20"/>
          <w:szCs w:val="20"/>
          <w:color w:val="auto"/>
        </w:rPr>
      </w:pPr>
    </w:p>
    <w:p>
      <w:pPr>
        <w:ind w:left="832"/>
        <w:spacing w:after="0"/>
        <w:rPr>
          <w:sz w:val="20"/>
          <w:szCs w:val="20"/>
          <w:color w:val="auto"/>
        </w:rPr>
      </w:pPr>
      <w:r>
        <w:rPr>
          <w:rFonts w:ascii="Times New Roman" w:cs="Times New Roman" w:eastAsia="Times New Roman" w:hAnsi="Times New Roman"/>
          <w:sz w:val="15"/>
          <w:szCs w:val="15"/>
          <w:color w:val="auto"/>
        </w:rPr>
        <w:t>Children’s Music Library, Inc.</w:t>
      </w:r>
    </w:p>
    <w:p>
      <w:pPr>
        <w:spacing w:after="0" w:line="30"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5"/>
          <w:szCs w:val="15"/>
          <w:color w:val="auto"/>
        </w:rPr>
        <w:t>The Scholastic Store, Inc.</w:t>
      </w:r>
    </w:p>
    <w:p>
      <w:pPr>
        <w:spacing w:after="0" w:line="30"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5"/>
          <w:szCs w:val="15"/>
          <w:color w:val="auto"/>
        </w:rPr>
        <w:t>Scholastic Distribution Services L.L.C.</w:t>
      </w:r>
    </w:p>
    <w:p>
      <w:pPr>
        <w:spacing w:after="0" w:line="30"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5"/>
          <w:szCs w:val="15"/>
          <w:color w:val="auto"/>
        </w:rPr>
        <w:t>Klutz</w:t>
      </w:r>
    </w:p>
    <w:p>
      <w:pPr>
        <w:spacing w:after="0" w:line="30"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5"/>
          <w:szCs w:val="15"/>
          <w:color w:val="auto"/>
        </w:rPr>
        <w:t>Scholastic Export Inc.</w:t>
      </w:r>
    </w:p>
    <w:p>
      <w:pPr>
        <w:spacing w:after="0" w:line="30"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5"/>
          <w:szCs w:val="15"/>
          <w:color w:val="auto"/>
        </w:rPr>
        <w:t>Scholastic Book Fairs, Inc.</w:t>
      </w:r>
    </w:p>
    <w:p>
      <w:pPr>
        <w:spacing w:after="0" w:line="30"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5"/>
          <w:szCs w:val="15"/>
          <w:color w:val="auto"/>
        </w:rPr>
        <w:t>Scholastic 557 Broadway, LLC</w:t>
      </w:r>
    </w:p>
    <w:p>
      <w:pPr>
        <w:spacing w:after="0" w:line="30"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5"/>
          <w:szCs w:val="15"/>
          <w:color w:val="auto"/>
        </w:rPr>
        <w:t>Scholastic Australia Pty. Ltd.</w:t>
      </w:r>
    </w:p>
    <w:p>
      <w:pPr>
        <w:spacing w:after="0" w:line="30"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5"/>
          <w:szCs w:val="15"/>
          <w:color w:val="auto"/>
        </w:rPr>
        <w:t>Scholastic Canada Ltd.</w:t>
      </w:r>
    </w:p>
    <w:p>
      <w:pPr>
        <w:spacing w:after="0" w:line="30"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5"/>
          <w:szCs w:val="15"/>
          <w:color w:val="auto"/>
        </w:rPr>
        <w:t>Ooka Island Inc.</w:t>
      </w:r>
    </w:p>
    <w:p>
      <w:pPr>
        <w:spacing w:after="0" w:line="30"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5"/>
          <w:szCs w:val="15"/>
          <w:color w:val="auto"/>
        </w:rPr>
        <w:t>Scholastic Hong Kong Ltd.</w:t>
      </w:r>
    </w:p>
    <w:p>
      <w:pPr>
        <w:spacing w:after="0" w:line="30"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5"/>
          <w:szCs w:val="15"/>
          <w:color w:val="auto"/>
        </w:rPr>
        <w:t>Scholastic India Private Limited</w:t>
      </w:r>
      <w:r>
        <w:rPr>
          <w:rFonts w:ascii="Times New Roman" w:cs="Times New Roman" w:eastAsia="Times New Roman" w:hAnsi="Times New Roman"/>
          <w:sz w:val="9"/>
          <w:szCs w:val="9"/>
          <w:color w:val="auto"/>
        </w:rPr>
        <w:t>3</w:t>
      </w:r>
    </w:p>
    <w:p>
      <w:pPr>
        <w:spacing w:after="0" w:line="30"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5"/>
          <w:szCs w:val="15"/>
          <w:color w:val="auto"/>
        </w:rPr>
        <w:t>Scholastic Mexico S. de R. L. de C.V.</w:t>
      </w:r>
    </w:p>
    <w:p>
      <w:pPr>
        <w:spacing w:after="0" w:line="30"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5"/>
          <w:szCs w:val="15"/>
          <w:color w:val="auto"/>
        </w:rPr>
        <w:t>Scholastic New Zealand Ltd.</w:t>
      </w:r>
    </w:p>
    <w:p>
      <w:pPr>
        <w:spacing w:after="0" w:line="30"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5"/>
          <w:szCs w:val="15"/>
          <w:color w:val="auto"/>
        </w:rPr>
        <w:t>Scholastic Argentina S.R.L.</w:t>
      </w:r>
    </w:p>
    <w:p>
      <w:pPr>
        <w:spacing w:after="0" w:line="30"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5"/>
          <w:szCs w:val="15"/>
          <w:color w:val="auto"/>
        </w:rPr>
        <w:t>Scholastic Education Information Consulting (Shanghai) Co., Ltd.</w:t>
      </w:r>
    </w:p>
    <w:p>
      <w:pPr>
        <w:spacing w:after="0" w:line="30"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5"/>
          <w:szCs w:val="15"/>
          <w:color w:val="auto"/>
        </w:rPr>
        <w:t>Scholastic International IT Support Centre Private Limited</w:t>
      </w:r>
    </w:p>
    <w:p>
      <w:pPr>
        <w:spacing w:after="0" w:line="30"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5"/>
          <w:szCs w:val="15"/>
          <w:color w:val="auto"/>
        </w:rPr>
        <w:t>Scholastic Education International (Singapore) Private Limited</w:t>
      </w:r>
    </w:p>
    <w:p>
      <w:pPr>
        <w:spacing w:after="0" w:line="30" w:lineRule="exact"/>
        <w:rPr>
          <w:sz w:val="20"/>
          <w:szCs w:val="20"/>
          <w:color w:val="auto"/>
        </w:rPr>
      </w:pPr>
    </w:p>
    <w:p>
      <w:pPr>
        <w:ind w:left="832"/>
        <w:spacing w:after="0"/>
        <w:rPr>
          <w:sz w:val="20"/>
          <w:szCs w:val="20"/>
          <w:color w:val="auto"/>
        </w:rPr>
      </w:pPr>
      <w:r>
        <w:rPr>
          <w:rFonts w:ascii="Times New Roman" w:cs="Times New Roman" w:eastAsia="Times New Roman" w:hAnsi="Times New Roman"/>
          <w:sz w:val="15"/>
          <w:szCs w:val="15"/>
          <w:color w:val="auto"/>
        </w:rPr>
        <w:t>Scholastic Reading (Beijing) Culture Development Co. Ltd.</w:t>
      </w:r>
    </w:p>
    <w:p>
      <w:pPr>
        <w:spacing w:after="0" w:line="30"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5"/>
          <w:szCs w:val="15"/>
          <w:color w:val="auto"/>
        </w:rPr>
        <w:t>Scholastic (Asia) SDN. BHD</w:t>
      </w:r>
    </w:p>
    <w:p>
      <w:pPr>
        <w:spacing w:after="0" w:line="30"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5"/>
          <w:szCs w:val="15"/>
          <w:color w:val="auto"/>
        </w:rPr>
        <w:t>Grolier Incorporated</w:t>
      </w:r>
    </w:p>
    <w:p>
      <w:pPr>
        <w:spacing w:after="0" w:line="30" w:lineRule="exact"/>
        <w:rPr>
          <w:sz w:val="20"/>
          <w:szCs w:val="20"/>
          <w:color w:val="auto"/>
        </w:rPr>
      </w:pPr>
    </w:p>
    <w:p>
      <w:pPr>
        <w:ind w:left="832"/>
        <w:spacing w:after="0"/>
        <w:rPr>
          <w:sz w:val="20"/>
          <w:szCs w:val="20"/>
          <w:color w:val="auto"/>
        </w:rPr>
      </w:pPr>
      <w:r>
        <w:rPr>
          <w:rFonts w:ascii="Times New Roman" w:cs="Times New Roman" w:eastAsia="Times New Roman" w:hAnsi="Times New Roman"/>
          <w:sz w:val="15"/>
          <w:szCs w:val="15"/>
          <w:color w:val="auto"/>
        </w:rPr>
        <w:t>Scholastic Library Publishing, Inc.</w:t>
      </w:r>
    </w:p>
    <w:p>
      <w:pPr>
        <w:spacing w:after="0" w:line="30" w:lineRule="exact"/>
        <w:rPr>
          <w:sz w:val="20"/>
          <w:szCs w:val="20"/>
          <w:color w:val="auto"/>
        </w:rPr>
      </w:pPr>
    </w:p>
    <w:p>
      <w:pPr>
        <w:ind w:left="832"/>
        <w:spacing w:after="0"/>
        <w:rPr>
          <w:sz w:val="20"/>
          <w:szCs w:val="20"/>
          <w:color w:val="auto"/>
        </w:rPr>
      </w:pPr>
      <w:r>
        <w:rPr>
          <w:rFonts w:ascii="Times New Roman" w:cs="Times New Roman" w:eastAsia="Times New Roman" w:hAnsi="Times New Roman"/>
          <w:sz w:val="15"/>
          <w:szCs w:val="15"/>
          <w:color w:val="auto"/>
        </w:rPr>
        <w:t>Grolier International, Inc.</w:t>
      </w:r>
    </w:p>
    <w:p>
      <w:pPr>
        <w:spacing w:after="0" w:line="30" w:lineRule="exact"/>
        <w:rPr>
          <w:sz w:val="20"/>
          <w:szCs w:val="20"/>
          <w:color w:val="auto"/>
        </w:rPr>
      </w:pPr>
    </w:p>
    <w:p>
      <w:pPr>
        <w:ind w:left="1112"/>
        <w:spacing w:after="0"/>
        <w:rPr>
          <w:sz w:val="20"/>
          <w:szCs w:val="20"/>
          <w:color w:val="auto"/>
        </w:rPr>
      </w:pPr>
      <w:r>
        <w:rPr>
          <w:rFonts w:ascii="Times New Roman" w:cs="Times New Roman" w:eastAsia="Times New Roman" w:hAnsi="Times New Roman"/>
          <w:sz w:val="15"/>
          <w:szCs w:val="15"/>
          <w:color w:val="auto"/>
        </w:rPr>
        <w:t>Grolier International Finance Inc. (Philippines)</w:t>
      </w:r>
    </w:p>
    <w:p>
      <w:pPr>
        <w:spacing w:after="0" w:line="30" w:lineRule="exact"/>
        <w:rPr>
          <w:sz w:val="20"/>
          <w:szCs w:val="20"/>
          <w:color w:val="auto"/>
        </w:rPr>
      </w:pPr>
    </w:p>
    <w:p>
      <w:pPr>
        <w:ind w:left="1112"/>
        <w:spacing w:after="0"/>
        <w:rPr>
          <w:sz w:val="20"/>
          <w:szCs w:val="20"/>
          <w:color w:val="auto"/>
        </w:rPr>
      </w:pPr>
      <w:r>
        <w:rPr>
          <w:rFonts w:ascii="Times New Roman" w:cs="Times New Roman" w:eastAsia="Times New Roman" w:hAnsi="Times New Roman"/>
          <w:sz w:val="15"/>
          <w:szCs w:val="15"/>
          <w:color w:val="auto"/>
        </w:rPr>
        <w:t>Grolier International Private Limited (India)</w:t>
      </w:r>
    </w:p>
    <w:p>
      <w:pPr>
        <w:spacing w:after="0" w:line="30" w:lineRule="exact"/>
        <w:rPr>
          <w:sz w:val="20"/>
          <w:szCs w:val="20"/>
          <w:color w:val="auto"/>
        </w:rPr>
      </w:pPr>
    </w:p>
    <w:p>
      <w:pPr>
        <w:ind w:left="832"/>
        <w:spacing w:after="0"/>
        <w:rPr>
          <w:sz w:val="20"/>
          <w:szCs w:val="20"/>
          <w:color w:val="auto"/>
        </w:rPr>
      </w:pPr>
      <w:r>
        <w:rPr>
          <w:rFonts w:ascii="Times New Roman" w:cs="Times New Roman" w:eastAsia="Times New Roman" w:hAnsi="Times New Roman"/>
          <w:sz w:val="15"/>
          <w:szCs w:val="15"/>
          <w:color w:val="auto"/>
        </w:rPr>
        <w:t>Grolier Overseas Incorporated</w:t>
      </w:r>
    </w:p>
    <w:p>
      <w:pPr>
        <w:spacing w:after="0" w:line="30" w:lineRule="exact"/>
        <w:rPr>
          <w:sz w:val="20"/>
          <w:szCs w:val="20"/>
          <w:color w:val="auto"/>
        </w:rPr>
      </w:pPr>
    </w:p>
    <w:p>
      <w:pPr>
        <w:ind w:left="1112"/>
        <w:spacing w:after="0"/>
        <w:rPr>
          <w:sz w:val="20"/>
          <w:szCs w:val="20"/>
          <w:color w:val="auto"/>
        </w:rPr>
      </w:pPr>
      <w:r>
        <w:rPr>
          <w:rFonts w:ascii="Times New Roman" w:cs="Times New Roman" w:eastAsia="Times New Roman" w:hAnsi="Times New Roman"/>
          <w:sz w:val="15"/>
          <w:szCs w:val="15"/>
          <w:color w:val="auto"/>
        </w:rPr>
        <w:t>Caribe Grolier,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Ireland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Ireland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Ireland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England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England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England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England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England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Ireland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Ireland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Ireland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Ireland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Ireland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Ireland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Ireland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Ireland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Ireland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Ireland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Ireland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England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England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England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England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England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Ireland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Delaware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Connecticut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New York</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New York</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Delaware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California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Delaware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Delaware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Delaware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Australia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Canada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Canada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Hong Kong</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India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Mexico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New Zealand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Argentina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China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India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Singapore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China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Malaysia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Delaware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Delaware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Delaware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Philippines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India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Delaware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Puerto Rico</w:t>
      </w:r>
    </w:p>
    <w:p>
      <w:pPr>
        <w:spacing w:after="0" w:line="200" w:lineRule="exact"/>
        <w:rPr>
          <w:sz w:val="20"/>
          <w:szCs w:val="20"/>
          <w:color w:val="auto"/>
        </w:rPr>
      </w:pPr>
    </w:p>
    <w:p>
      <w:pPr>
        <w:sectPr>
          <w:pgSz w:w="11900" w:h="16838" w:orient="portrait"/>
          <w:cols w:equalWidth="0" w:num="2">
            <w:col w:w="6912" w:space="720"/>
            <w:col w:w="2499"/>
          </w:cols>
          <w:pgMar w:left="328" w:top="12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72" w:hanging="72"/>
        <w:spacing w:after="0"/>
        <w:tabs>
          <w:tab w:leader="none" w:pos="72"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1% owned by Scholastic Export Inc.</w:t>
      </w:r>
    </w:p>
    <w:p>
      <w:pPr>
        <w:sectPr>
          <w:pgSz w:w="11900" w:h="16838" w:orient="portrait"/>
          <w:cols w:equalWidth="0" w:num="1">
            <w:col w:w="10131"/>
          </w:cols>
          <w:pgMar w:left="328" w:top="124" w:right="1440" w:bottom="1440" w:gutter="0" w:footer="0" w:header="0"/>
          <w:type w:val="continuous"/>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Peter Warwick, the principal executive officer of Scholastic Corporation, certify that:</w:t>
      </w:r>
    </w:p>
    <w:p>
      <w:pPr>
        <w:spacing w:after="0" w:line="200" w:lineRule="exact"/>
        <w:rPr>
          <w:sz w:val="20"/>
          <w:szCs w:val="20"/>
          <w:color w:val="auto"/>
        </w:rPr>
      </w:pPr>
    </w:p>
    <w:p>
      <w:pPr>
        <w:spacing w:after="0" w:line="212" w:lineRule="exact"/>
        <w:rPr>
          <w:sz w:val="20"/>
          <w:szCs w:val="20"/>
          <w:color w:val="auto"/>
        </w:rPr>
      </w:pPr>
    </w:p>
    <w:p>
      <w:pPr>
        <w:ind w:left="660" w:hanging="399"/>
        <w:spacing w:after="0"/>
        <w:tabs>
          <w:tab w:leader="none" w:pos="6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Scholastic Corporation;</w:t>
      </w:r>
    </w:p>
    <w:p>
      <w:pPr>
        <w:spacing w:after="0" w:line="317" w:lineRule="exact"/>
        <w:rPr>
          <w:rFonts w:ascii="Times New Roman" w:cs="Times New Roman" w:eastAsia="Times New Roman" w:hAnsi="Times New Roman"/>
          <w:sz w:val="17"/>
          <w:szCs w:val="17"/>
          <w:color w:val="auto"/>
        </w:rPr>
      </w:pPr>
    </w:p>
    <w:p>
      <w:pPr>
        <w:ind w:left="660" w:right="160" w:hanging="399"/>
        <w:spacing w:after="0" w:line="281" w:lineRule="auto"/>
        <w:tabs>
          <w:tab w:leader="none" w:pos="6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57" w:lineRule="exact"/>
        <w:rPr>
          <w:rFonts w:ascii="Times New Roman" w:cs="Times New Roman" w:eastAsia="Times New Roman" w:hAnsi="Times New Roman"/>
          <w:sz w:val="17"/>
          <w:szCs w:val="17"/>
          <w:color w:val="auto"/>
        </w:rPr>
      </w:pPr>
    </w:p>
    <w:p>
      <w:pPr>
        <w:ind w:left="660" w:right="600" w:hanging="399"/>
        <w:spacing w:after="0" w:line="281" w:lineRule="auto"/>
        <w:tabs>
          <w:tab w:leader="none" w:pos="6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7" w:lineRule="exact"/>
        <w:rPr>
          <w:rFonts w:ascii="Times New Roman" w:cs="Times New Roman" w:eastAsia="Times New Roman" w:hAnsi="Times New Roman"/>
          <w:sz w:val="17"/>
          <w:szCs w:val="17"/>
          <w:color w:val="auto"/>
        </w:rPr>
      </w:pPr>
    </w:p>
    <w:p>
      <w:pPr>
        <w:ind w:left="660" w:right="100" w:hanging="399"/>
        <w:spacing w:after="0" w:line="265" w:lineRule="auto"/>
        <w:tabs>
          <w:tab w:leader="none" w:pos="6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283" w:lineRule="exact"/>
        <w:rPr>
          <w:rFonts w:ascii="Times New Roman" w:cs="Times New Roman" w:eastAsia="Times New Roman" w:hAnsi="Times New Roman"/>
          <w:sz w:val="17"/>
          <w:szCs w:val="17"/>
          <w:color w:val="auto"/>
        </w:rPr>
      </w:pPr>
    </w:p>
    <w:p>
      <w:pPr>
        <w:ind w:left="1320" w:right="220" w:hanging="659"/>
        <w:spacing w:after="0" w:line="265" w:lineRule="auto"/>
        <w:tabs>
          <w:tab w:leader="none" w:pos="132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3" w:lineRule="exact"/>
        <w:rPr>
          <w:rFonts w:ascii="Times New Roman" w:cs="Times New Roman" w:eastAsia="Times New Roman" w:hAnsi="Times New Roman"/>
          <w:sz w:val="17"/>
          <w:szCs w:val="17"/>
          <w:color w:val="auto"/>
        </w:rPr>
      </w:pPr>
    </w:p>
    <w:p>
      <w:pPr>
        <w:ind w:left="1320" w:right="520" w:hanging="659"/>
        <w:spacing w:after="0" w:line="265" w:lineRule="auto"/>
        <w:tabs>
          <w:tab w:leader="none" w:pos="132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3" w:lineRule="exact"/>
        <w:rPr>
          <w:rFonts w:ascii="Times New Roman" w:cs="Times New Roman" w:eastAsia="Times New Roman" w:hAnsi="Times New Roman"/>
          <w:sz w:val="17"/>
          <w:szCs w:val="17"/>
          <w:color w:val="auto"/>
        </w:rPr>
      </w:pPr>
    </w:p>
    <w:p>
      <w:pPr>
        <w:jc w:val="both"/>
        <w:ind w:left="1320" w:right="680" w:hanging="659"/>
        <w:spacing w:after="0" w:line="281" w:lineRule="auto"/>
        <w:tabs>
          <w:tab w:leader="none" w:pos="132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7" w:lineRule="exact"/>
        <w:rPr>
          <w:rFonts w:ascii="Times New Roman" w:cs="Times New Roman" w:eastAsia="Times New Roman" w:hAnsi="Times New Roman"/>
          <w:sz w:val="17"/>
          <w:szCs w:val="17"/>
          <w:color w:val="auto"/>
        </w:rPr>
      </w:pPr>
    </w:p>
    <w:p>
      <w:pPr>
        <w:ind w:left="1320" w:right="220" w:hanging="659"/>
        <w:spacing w:after="0" w:line="265" w:lineRule="auto"/>
        <w:tabs>
          <w:tab w:leader="none" w:pos="132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3" w:lineRule="exact"/>
        <w:rPr>
          <w:rFonts w:ascii="Times New Roman" w:cs="Times New Roman" w:eastAsia="Times New Roman" w:hAnsi="Times New Roman"/>
          <w:sz w:val="17"/>
          <w:szCs w:val="17"/>
          <w:color w:val="auto"/>
        </w:rPr>
      </w:pPr>
    </w:p>
    <w:p>
      <w:pPr>
        <w:ind w:left="660" w:right="540" w:hanging="399"/>
        <w:spacing w:after="0" w:line="281" w:lineRule="auto"/>
        <w:tabs>
          <w:tab w:leader="none" w:pos="6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57" w:lineRule="exact"/>
        <w:rPr>
          <w:rFonts w:ascii="Times New Roman" w:cs="Times New Roman" w:eastAsia="Times New Roman" w:hAnsi="Times New Roman"/>
          <w:sz w:val="17"/>
          <w:szCs w:val="17"/>
          <w:color w:val="auto"/>
        </w:rPr>
      </w:pPr>
    </w:p>
    <w:p>
      <w:pPr>
        <w:ind w:left="1320" w:right="120" w:hanging="659"/>
        <w:spacing w:after="0" w:line="281" w:lineRule="auto"/>
        <w:tabs>
          <w:tab w:leader="none" w:pos="132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7" w:lineRule="exact"/>
        <w:rPr>
          <w:rFonts w:ascii="Times New Roman" w:cs="Times New Roman" w:eastAsia="Times New Roman" w:hAnsi="Times New Roman"/>
          <w:sz w:val="17"/>
          <w:szCs w:val="17"/>
          <w:color w:val="auto"/>
        </w:rPr>
      </w:pPr>
    </w:p>
    <w:p>
      <w:pPr>
        <w:ind w:left="1320" w:right="100" w:hanging="659"/>
        <w:spacing w:after="0" w:line="281" w:lineRule="auto"/>
        <w:tabs>
          <w:tab w:leader="none" w:pos="132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March 21, 2025</w:t>
      </w:r>
    </w:p>
    <w:p>
      <w:pPr>
        <w:spacing w:after="0" w:line="6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/s/ Peter Warwick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35560</wp:posOffset>
            </wp:positionV>
            <wp:extent cx="227139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2271395" cy="8890"/>
                    </a:xfrm>
                    <a:prstGeom prst="rect">
                      <a:avLst/>
                    </a:prstGeom>
                    <a:noFill/>
                  </pic:spPr>
                </pic:pic>
              </a:graphicData>
            </a:graphic>
          </wp:anchor>
        </w:drawing>
      </w:r>
    </w:p>
    <w:p>
      <w:pPr>
        <w:spacing w:after="0" w:line="5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Peter Warwick</w:t>
      </w:r>
    </w:p>
    <w:p>
      <w:pPr>
        <w:spacing w:after="0" w:line="6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ectPr>
          <w:pgSz w:w="11900" w:h="16838" w:orient="portrait"/>
          <w:cols w:equalWidth="0" w:num="1">
            <w:col w:w="11240"/>
          </w:cols>
          <w:pgMar w:left="320" w:top="904"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Haji L. Glover, the principal financial officer of Scholastic Corporation, certify that:</w:t>
      </w:r>
    </w:p>
    <w:p>
      <w:pPr>
        <w:spacing w:after="0" w:line="200" w:lineRule="exact"/>
        <w:rPr>
          <w:sz w:val="20"/>
          <w:szCs w:val="20"/>
          <w:color w:val="auto"/>
        </w:rPr>
      </w:pPr>
    </w:p>
    <w:p>
      <w:pPr>
        <w:spacing w:after="0" w:line="212" w:lineRule="exact"/>
        <w:rPr>
          <w:sz w:val="20"/>
          <w:szCs w:val="20"/>
          <w:color w:val="auto"/>
        </w:rPr>
      </w:pPr>
    </w:p>
    <w:p>
      <w:pPr>
        <w:ind w:left="660" w:hanging="399"/>
        <w:spacing w:after="0"/>
        <w:tabs>
          <w:tab w:leader="none" w:pos="6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Scholastic Corporation;</w:t>
      </w:r>
    </w:p>
    <w:p>
      <w:pPr>
        <w:spacing w:after="0" w:line="371" w:lineRule="exact"/>
        <w:rPr>
          <w:rFonts w:ascii="Times New Roman" w:cs="Times New Roman" w:eastAsia="Times New Roman" w:hAnsi="Times New Roman"/>
          <w:sz w:val="17"/>
          <w:szCs w:val="17"/>
          <w:color w:val="auto"/>
        </w:rPr>
      </w:pPr>
    </w:p>
    <w:p>
      <w:pPr>
        <w:ind w:left="660" w:right="160" w:hanging="399"/>
        <w:spacing w:after="0" w:line="184" w:lineRule="auto"/>
        <w:tabs>
          <w:tab w:leader="none" w:pos="660" w:val="left"/>
        </w:tabs>
        <w:numPr>
          <w:ilvl w:val="0"/>
          <w:numId w:val="25"/>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9" w:lineRule="exact"/>
        <w:rPr>
          <w:rFonts w:ascii="Times New Roman" w:cs="Times New Roman" w:eastAsia="Times New Roman" w:hAnsi="Times New Roman"/>
          <w:sz w:val="32"/>
          <w:szCs w:val="32"/>
          <w:color w:val="auto"/>
          <w:vertAlign w:val="superscript"/>
        </w:rPr>
      </w:pPr>
    </w:p>
    <w:p>
      <w:pPr>
        <w:ind w:left="660" w:right="600" w:hanging="399"/>
        <w:spacing w:after="0" w:line="281" w:lineRule="auto"/>
        <w:tabs>
          <w:tab w:leader="none" w:pos="6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7" w:lineRule="exact"/>
        <w:rPr>
          <w:rFonts w:ascii="Times New Roman" w:cs="Times New Roman" w:eastAsia="Times New Roman" w:hAnsi="Times New Roman"/>
          <w:sz w:val="17"/>
          <w:szCs w:val="17"/>
          <w:color w:val="auto"/>
        </w:rPr>
      </w:pPr>
    </w:p>
    <w:p>
      <w:pPr>
        <w:ind w:left="660" w:right="100" w:hanging="399"/>
        <w:spacing w:after="0" w:line="265" w:lineRule="auto"/>
        <w:tabs>
          <w:tab w:leader="none" w:pos="6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3" w:lineRule="exact"/>
        <w:rPr>
          <w:rFonts w:ascii="Times New Roman" w:cs="Times New Roman" w:eastAsia="Times New Roman" w:hAnsi="Times New Roman"/>
          <w:sz w:val="17"/>
          <w:szCs w:val="17"/>
          <w:color w:val="auto"/>
        </w:rPr>
      </w:pPr>
    </w:p>
    <w:p>
      <w:pPr>
        <w:ind w:left="1320" w:right="220" w:hanging="659"/>
        <w:spacing w:after="0" w:line="265" w:lineRule="auto"/>
        <w:tabs>
          <w:tab w:leader="none" w:pos="132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3" w:lineRule="exact"/>
        <w:rPr>
          <w:rFonts w:ascii="Times New Roman" w:cs="Times New Roman" w:eastAsia="Times New Roman" w:hAnsi="Times New Roman"/>
          <w:sz w:val="17"/>
          <w:szCs w:val="17"/>
          <w:color w:val="auto"/>
        </w:rPr>
      </w:pPr>
    </w:p>
    <w:p>
      <w:pPr>
        <w:ind w:left="1320" w:right="520" w:hanging="659"/>
        <w:spacing w:after="0" w:line="265" w:lineRule="auto"/>
        <w:tabs>
          <w:tab w:leader="none" w:pos="132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3" w:lineRule="exact"/>
        <w:rPr>
          <w:rFonts w:ascii="Times New Roman" w:cs="Times New Roman" w:eastAsia="Times New Roman" w:hAnsi="Times New Roman"/>
          <w:sz w:val="17"/>
          <w:szCs w:val="17"/>
          <w:color w:val="auto"/>
        </w:rPr>
      </w:pPr>
    </w:p>
    <w:p>
      <w:pPr>
        <w:jc w:val="both"/>
        <w:ind w:left="1320" w:right="680" w:hanging="659"/>
        <w:spacing w:after="0" w:line="281" w:lineRule="auto"/>
        <w:tabs>
          <w:tab w:leader="none" w:pos="132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7" w:lineRule="exact"/>
        <w:rPr>
          <w:rFonts w:ascii="Times New Roman" w:cs="Times New Roman" w:eastAsia="Times New Roman" w:hAnsi="Times New Roman"/>
          <w:sz w:val="17"/>
          <w:szCs w:val="17"/>
          <w:color w:val="auto"/>
        </w:rPr>
      </w:pPr>
    </w:p>
    <w:p>
      <w:pPr>
        <w:ind w:left="1320" w:right="220" w:hanging="659"/>
        <w:spacing w:after="0" w:line="265" w:lineRule="auto"/>
        <w:tabs>
          <w:tab w:leader="none" w:pos="132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3" w:lineRule="exact"/>
        <w:rPr>
          <w:rFonts w:ascii="Times New Roman" w:cs="Times New Roman" w:eastAsia="Times New Roman" w:hAnsi="Times New Roman"/>
          <w:sz w:val="17"/>
          <w:szCs w:val="17"/>
          <w:color w:val="auto"/>
        </w:rPr>
      </w:pPr>
    </w:p>
    <w:p>
      <w:pPr>
        <w:ind w:left="660" w:right="540" w:hanging="399"/>
        <w:spacing w:after="0" w:line="281" w:lineRule="auto"/>
        <w:tabs>
          <w:tab w:leader="none" w:pos="6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57" w:lineRule="exact"/>
        <w:rPr>
          <w:rFonts w:ascii="Times New Roman" w:cs="Times New Roman" w:eastAsia="Times New Roman" w:hAnsi="Times New Roman"/>
          <w:sz w:val="17"/>
          <w:szCs w:val="17"/>
          <w:color w:val="auto"/>
        </w:rPr>
      </w:pPr>
    </w:p>
    <w:p>
      <w:pPr>
        <w:ind w:left="1320" w:right="120" w:hanging="659"/>
        <w:spacing w:after="0" w:line="281" w:lineRule="auto"/>
        <w:tabs>
          <w:tab w:leader="none" w:pos="132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7" w:lineRule="exact"/>
        <w:rPr>
          <w:rFonts w:ascii="Times New Roman" w:cs="Times New Roman" w:eastAsia="Times New Roman" w:hAnsi="Times New Roman"/>
          <w:sz w:val="17"/>
          <w:szCs w:val="17"/>
          <w:color w:val="auto"/>
        </w:rPr>
      </w:pPr>
    </w:p>
    <w:p>
      <w:pPr>
        <w:ind w:left="1320" w:right="100" w:hanging="659"/>
        <w:spacing w:after="0" w:line="281" w:lineRule="auto"/>
        <w:tabs>
          <w:tab w:leader="none" w:pos="132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March 21, 2025</w:t>
      </w:r>
    </w:p>
    <w:p>
      <w:pPr>
        <w:spacing w:after="0" w:line="6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7"/>
          <w:szCs w:val="17"/>
          <w:color w:val="auto"/>
        </w:rPr>
        <w:t>/s/ Haji L. Glover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35560</wp:posOffset>
            </wp:positionV>
            <wp:extent cx="275145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5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7"/>
          <w:szCs w:val="17"/>
          <w:color w:val="auto"/>
        </w:rPr>
        <w:t>Haji L. Glover</w:t>
      </w:r>
    </w:p>
    <w:p>
      <w:pPr>
        <w:spacing w:after="0" w:line="6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ectPr>
          <w:pgSz w:w="11900" w:h="16838" w:orient="portrait"/>
          <w:cols w:equalWidth="0" w:num="1">
            <w:col w:w="11240"/>
          </w:cols>
          <w:pgMar w:left="320" w:top="783"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28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5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 Respect to the Quarterly Report on Form 10-Q</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February 28, 2025</w:t>
      </w:r>
    </w:p>
    <w:p>
      <w:pPr>
        <w:spacing w:after="0" w:line="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of Scholastic Corporation</w:t>
      </w:r>
    </w:p>
    <w:p>
      <w:pPr>
        <w:spacing w:after="0" w:line="229" w:lineRule="exact"/>
        <w:rPr>
          <w:sz w:val="20"/>
          <w:szCs w:val="20"/>
          <w:color w:val="auto"/>
        </w:rPr>
      </w:pPr>
    </w:p>
    <w:p>
      <w:pPr>
        <w:ind w:left="320" w:right="200"/>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Scholastic Corporation, a Delaware corporation (the “Company”), does hereby certify, to the best of such officer’s knowledge, that:</w:t>
      </w:r>
    </w:p>
    <w:p>
      <w:pPr>
        <w:spacing w:after="0" w:line="311" w:lineRule="exact"/>
        <w:rPr>
          <w:sz w:val="20"/>
          <w:szCs w:val="20"/>
          <w:color w:val="auto"/>
        </w:rPr>
      </w:pPr>
    </w:p>
    <w:p>
      <w:pPr>
        <w:ind w:left="800" w:right="920" w:hanging="477"/>
        <w:spacing w:after="0" w:line="282" w:lineRule="auto"/>
        <w:tabs>
          <w:tab w:leader="none" w:pos="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ended February 28, 2025 (the “Form 10-Q”) fully complies with the requirements of Section 13(a) or 15(d) of the Securities Exchange Act of 1934, as amended; and</w:t>
      </w:r>
    </w:p>
    <w:p>
      <w:pPr>
        <w:spacing w:after="0" w:line="269" w:lineRule="exact"/>
        <w:rPr>
          <w:rFonts w:ascii="Times New Roman" w:cs="Times New Roman" w:eastAsia="Times New Roman" w:hAnsi="Times New Roman"/>
          <w:sz w:val="18"/>
          <w:szCs w:val="18"/>
          <w:color w:val="auto"/>
        </w:rPr>
      </w:pPr>
    </w:p>
    <w:p>
      <w:pPr>
        <w:ind w:left="800" w:right="760" w:hanging="477"/>
        <w:spacing w:after="0" w:line="282" w:lineRule="auto"/>
        <w:tabs>
          <w:tab w:leader="none" w:pos="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3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21, 2025</w:t>
      </w:r>
    </w:p>
    <w:p>
      <w:pPr>
        <w:spacing w:after="0" w:line="6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 Peter Warwick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34290</wp:posOffset>
            </wp:positionV>
            <wp:extent cx="14230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Peter Warwick</w:t>
      </w:r>
    </w:p>
    <w:p>
      <w:pPr>
        <w:spacing w:after="0" w:line="6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21, 2025</w:t>
      </w:r>
    </w:p>
    <w:p>
      <w:pPr>
        <w:spacing w:after="0" w:line="6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 Haji L. Glover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34290</wp:posOffset>
            </wp:positionV>
            <wp:extent cx="14230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Haji L. Glover</w:t>
      </w:r>
    </w:p>
    <w:p>
      <w:pPr>
        <w:spacing w:after="0" w:line="6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95" w:lineRule="exact"/>
        <w:rPr>
          <w:sz w:val="20"/>
          <w:szCs w:val="20"/>
          <w:color w:val="auto"/>
        </w:rPr>
      </w:pPr>
    </w:p>
    <w:p>
      <w:pPr>
        <w:ind w:right="260"/>
        <w:spacing w:after="0" w:line="313" w:lineRule="auto"/>
        <w:rPr>
          <w:sz w:val="20"/>
          <w:szCs w:val="20"/>
          <w:color w:val="auto"/>
        </w:rPr>
      </w:pPr>
      <w:r>
        <w:rPr>
          <w:rFonts w:ascii="Times New Roman" w:cs="Times New Roman" w:eastAsia="Times New Roman" w:hAnsi="Times New Roman"/>
          <w:sz w:val="18"/>
          <w:szCs w:val="18"/>
          <w:color w:val="auto"/>
        </w:rPr>
        <w:t>The certification set forth above is being furnished solely pursuant to Section 906 of the Sarbanes-Oxley Act of 2002 and is not being filed as part of the Form 10-Q or as a separate disclosure document of the Company or the certifying officers.</w:t>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decimal"/>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2"/>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lvl w:ilvl="1">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decimal"/>
      <w:start w:val="15"/>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lowerRoman"/>
      <w:start w:val="1"/>
    </w:lvl>
  </w:abstractNum>
  <w:abstractNum w:abstractNumId="20">
    <w:nsid w:val="6763845E"/>
    <w:multiLevelType w:val="hybridMultilevel"/>
    <w:lvl w:ilvl="0">
      <w:lvlJc w:val="left"/>
      <w:lvlText w:val="1"/>
      <w:numFmt w:val="bullet"/>
      <w:start w:val="1"/>
    </w:lvl>
  </w:abstractNum>
  <w:abstractNum w:abstractNumId="21">
    <w:nsid w:val="75A2A8D4"/>
    <w:multiLevelType w:val="hybridMultilevel"/>
    <w:lvl w:ilvl="0">
      <w:lvlJc w:val="left"/>
      <w:lvlText w:val="2"/>
      <w:numFmt w:val="bullet"/>
      <w:start w:val="1"/>
    </w:lvl>
  </w:abstractNum>
  <w:abstractNum w:abstractNumId="22">
    <w:nsid w:val="8EDBDAB"/>
    <w:multiLevelType w:val="hybridMultilevel"/>
    <w:lvl w:ilvl="0">
      <w:lvlJc w:val="left"/>
      <w:lvlText w:val="4"/>
      <w:numFmt w:val="bullet"/>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jpe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26" Type="http://schemas.openxmlformats.org/officeDocument/2006/relationships/hyperlink" Target="https://www.sec.gov/ix?doc=/Archives/edgar/data/0000866729/000119312524270026/d916617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2025-03-21T15:13:46Z</dcterms:created>
  <dcterms:modified xsi:type="dcterms:W3CDTF">2025-03-21T15:13:46Z</dcterms:modified>
</cp:coreProperties>
</file>