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UNITED STATES</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SECURITIES AND EXCHANGE COMMISSION</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18"/>
        </w:rPr>
      </w:pPr>
      <w:r>
        <w:rPr>
          <w:rFonts w:ascii="Museo Sans 700;sans-serif" w:hAnsi="Museo Sans 700;sans-serif"/>
          <w:b/>
          <w:color w:val="000000"/>
          <w:sz w:val="18"/>
        </w:rPr>
        <w:t>CURRENT REPORT</w:t>
      </w:r>
    </w:p>
    <w:p>
      <w:pPr>
        <w:pStyle w:val="TextBody"/>
        <w:bidi w:val="0"/>
        <w:spacing w:before="0" w:after="0"/>
        <w:jc w:val="center"/>
        <w:rPr/>
      </w:pPr>
      <w:r>
        <w:rPr/>
      </w:r>
    </w:p>
    <w:p>
      <w:pPr>
        <w:pStyle w:val="TextBody"/>
        <w:bidi w:val="0"/>
        <w:spacing w:lineRule="auto" w:line="288" w:before="0" w:after="0"/>
        <w:jc w:val="center"/>
        <w:rPr>
          <w:rFonts w:ascii="Museo Sans 700;sans-serif" w:hAnsi="Museo Sans 700;sans-serif"/>
          <w:b/>
          <w:color w:val="000000"/>
          <w:sz w:val="18"/>
        </w:rPr>
      </w:pPr>
      <w:r>
        <w:rPr>
          <w:rFonts w:ascii="Museo Sans 700;sans-serif" w:hAnsi="Museo Sans 700;sans-serif"/>
          <w:b/>
          <w:color w:val="000000"/>
          <w:sz w:val="18"/>
        </w:rPr>
        <w:t xml:space="preserve">Pursuant to Section 13 or 15(d) of </w:t>
      </w:r>
    </w:p>
    <w:p>
      <w:pPr>
        <w:pStyle w:val="TextBody"/>
        <w:bidi w:val="0"/>
        <w:spacing w:lineRule="auto" w:line="288" w:before="0" w:after="0"/>
        <w:jc w:val="center"/>
        <w:rPr>
          <w:rFonts w:ascii="Museo Sans 700;sans-serif" w:hAnsi="Museo Sans 700;sans-serif"/>
          <w:b/>
          <w:color w:val="000000"/>
          <w:sz w:val="18"/>
        </w:rPr>
      </w:pPr>
      <w:r>
        <w:rPr>
          <w:rFonts w:ascii="Museo Sans 700;sans-serif" w:hAnsi="Museo Sans 700;sans-serif"/>
          <w:b/>
          <w:color w:val="000000"/>
          <w:sz w:val="18"/>
        </w:rPr>
        <w:t>the Securities Exchange Act of 1934</w:t>
      </w:r>
    </w:p>
    <w:tbl>
      <w:tblPr>
        <w:tblW w:w="6494" w:type="dxa"/>
        <w:jc w:val="center"/>
        <w:tblInd w:w="0" w:type="dxa"/>
        <w:tblLayout w:type="fixed"/>
        <w:tblCellMar>
          <w:top w:w="28" w:type="dxa"/>
          <w:left w:w="28" w:type="dxa"/>
          <w:bottom w:w="28" w:type="dxa"/>
          <w:right w:w="28" w:type="dxa"/>
        </w:tblCellMar>
      </w:tblPr>
      <w:tblGrid>
        <w:gridCol w:w="1832"/>
        <w:gridCol w:w="1609"/>
        <w:gridCol w:w="1614"/>
        <w:gridCol w:w="421"/>
        <w:gridCol w:w="421"/>
        <w:gridCol w:w="597"/>
      </w:tblGrid>
      <w:tr>
        <w:trPr/>
        <w:tc>
          <w:tcPr>
            <w:tcW w:w="183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Date of Report (Date of earliest event reported):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July 23, 2026</w:t>
            </w:r>
          </w:p>
        </w:tc>
      </w:tr>
    </w:tbl>
    <w:p>
      <w:pPr>
        <w:pStyle w:val="TextBody"/>
        <w:bidi w:val="0"/>
        <w:spacing w:before="100" w:after="283"/>
        <w:jc w:val="left"/>
        <w:rPr/>
      </w:pPr>
      <w:r>
        <w:rPr/>
      </w:r>
    </w:p>
    <w:p>
      <w:pPr>
        <w:pStyle w:val="TextBody"/>
        <w:bidi w:val="0"/>
        <w:spacing w:lineRule="auto" w:line="288" w:before="0" w:after="0"/>
        <w:jc w:val="center"/>
        <w:rPr/>
      </w:pPr>
      <w:r>
        <w:rPr>
          <w:color w:val="000000"/>
        </w:rPr>
        <w:t> </w:t>
      </w:r>
      <w:r>
        <w:rPr>
          <w:rFonts w:ascii="Museo Sans 700;sans-serif" w:hAnsi="Museo Sans 700;sans-serif"/>
          <w:b/>
          <w:color w:val="000000"/>
          <w:sz w:val="20"/>
        </w:rPr>
        <w:t xml:space="preserve">SCHOLASTIC CORPORATION </w:t>
      </w:r>
    </w:p>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(Exact Name of Registrant as Specified in its Charter)</w:t>
      </w:r>
    </w:p>
    <w:p>
      <w:pPr>
        <w:pStyle w:val="TextBody"/>
        <w:bidi w:val="0"/>
        <w:spacing w:before="0" w:after="0"/>
        <w:jc w:val="center"/>
        <w:rPr/>
      </w:pPr>
      <w:r>
        <w:rPr/>
      </w:r>
    </w:p>
    <w:tbl>
      <w:tblPr>
        <w:tblW w:w="9281" w:type="dxa"/>
        <w:jc w:val="left"/>
        <w:tblInd w:w="0" w:type="dxa"/>
        <w:tblLayout w:type="fixed"/>
        <w:tblCellMar>
          <w:top w:w="28" w:type="dxa"/>
          <w:left w:w="28" w:type="dxa"/>
          <w:bottom w:w="28" w:type="dxa"/>
          <w:right w:w="28" w:type="dxa"/>
        </w:tblCellMar>
      </w:tblPr>
      <w:tblGrid>
        <w:gridCol w:w="674"/>
        <w:gridCol w:w="591"/>
        <w:gridCol w:w="591"/>
        <w:gridCol w:w="591"/>
        <w:gridCol w:w="591"/>
        <w:gridCol w:w="619"/>
        <w:gridCol w:w="827"/>
        <w:gridCol w:w="827"/>
        <w:gridCol w:w="835"/>
        <w:gridCol w:w="485"/>
        <w:gridCol w:w="485"/>
        <w:gridCol w:w="485"/>
        <w:gridCol w:w="485"/>
        <w:gridCol w:w="485"/>
        <w:gridCol w:w="710"/>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36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Delaware</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000-19860</w:t>
            </w:r>
          </w:p>
        </w:tc>
        <w:tc>
          <w:tcPr>
            <w:tcW w:w="31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13-3385513</w:t>
            </w:r>
          </w:p>
        </w:tc>
      </w:tr>
      <w:tr>
        <w:trPr/>
        <w:tc>
          <w:tcPr>
            <w:tcW w:w="36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(State or Other Jurisdiction of</w:t>
              <w:br/>
              <w:t>Incorporation)</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(Commission File Number)</w:t>
            </w:r>
          </w:p>
        </w:tc>
        <w:tc>
          <w:tcPr>
            <w:tcW w:w="31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(IRS Employer Identification No.)</w:t>
            </w:r>
          </w:p>
        </w:tc>
      </w:tr>
      <w:tr>
        <w:trPr/>
        <w:tc>
          <w:tcPr>
            <w:tcW w:w="36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557 Broadway,</w:t>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New York,</w:t>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New York</w:t>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10012</w:t>
            </w:r>
          </w:p>
        </w:tc>
      </w:tr>
      <w:tr>
        <w:trPr/>
        <w:tc>
          <w:tcPr>
            <w:tcW w:w="36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(Address of Principal Executive Offices)</w:t>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(Zip Code)</w:t>
            </w:r>
          </w:p>
        </w:tc>
      </w:tr>
    </w:tbl>
    <w:p>
      <w:pPr>
        <w:pStyle w:val="TextBody"/>
        <w:bidi w:val="0"/>
        <w:spacing w:lineRule="auto" w:line="288" w:before="0" w:after="0"/>
        <w:jc w:val="center"/>
        <w:rPr>
          <w:rFonts w:ascii="Museo Sans 700;sans-serif" w:hAnsi="Museo Sans 700;sans-serif"/>
          <w:b/>
          <w:color w:val="000000"/>
          <w:sz w:val="18"/>
        </w:rPr>
      </w:pPr>
      <w:r>
        <w:rPr>
          <w:rFonts w:ascii="Museo Sans 700;sans-serif" w:hAnsi="Museo Sans 700;sans-serif"/>
          <w:b/>
          <w:color w:val="000000"/>
          <w:sz w:val="18"/>
        </w:rPr>
        <w:t>(212) 343-6100</w:t>
      </w:r>
    </w:p>
    <w:p>
      <w:pPr>
        <w:pStyle w:val="TextBody"/>
        <w:bidi w:val="0"/>
        <w:spacing w:lineRule="auto" w:line="288" w:before="0" w:after="0"/>
        <w:jc w:val="center"/>
        <w:rPr>
          <w:rFonts w:ascii="Museo Sans 300;sans-serif" w:hAnsi="Museo Sans 300;sans-serif"/>
          <w:b w:val="false"/>
          <w:color w:val="000000"/>
          <w:sz w:val="18"/>
        </w:rPr>
      </w:pPr>
      <w:r>
        <w:rPr>
          <w:rFonts w:ascii="Museo Sans 300;sans-serif" w:hAnsi="Museo Sans 300;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Museo Sans 700;sans-serif" w:hAnsi="Museo Sans 700;sans-serif"/>
          <w:b w:val="false"/>
          <w:color w:val="000000"/>
          <w:sz w:val="18"/>
          <w:u w:val="single"/>
        </w:rPr>
      </w:pPr>
      <w:r>
        <w:rPr>
          <w:rFonts w:ascii="Museo Sans 700;sans-serif" w:hAnsi="Museo Sans 700;sans-serif"/>
          <w:b w:val="false"/>
          <w:color w:val="000000"/>
          <w:sz w:val="18"/>
          <w:u w:val="single"/>
        </w:rPr>
        <w:t>N/A</w:t>
      </w:r>
    </w:p>
    <w:p>
      <w:pPr>
        <w:pStyle w:val="TextBody"/>
        <w:bidi w:val="0"/>
        <w:spacing w:lineRule="auto" w:line="288" w:before="0" w:after="0"/>
        <w:jc w:val="center"/>
        <w:rPr>
          <w:rFonts w:ascii="Museo Sans 300;sans-serif" w:hAnsi="Museo Sans 300;sans-serif"/>
          <w:b w:val="false"/>
          <w:color w:val="000000"/>
          <w:sz w:val="18"/>
        </w:rPr>
      </w:pPr>
      <w:r>
        <w:rPr>
          <w:rFonts w:ascii="Museo Sans 300;sans-serif" w:hAnsi="Museo Sans 300;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60" w:after="283"/>
        <w:jc w:val="left"/>
        <w:rPr>
          <w:color w:val="000000"/>
        </w:rPr>
      </w:pPr>
      <w:r>
        <w:rPr>
          <w:color w:val="000000"/>
        </w:rPr>
        <w:t>☐    </w:t>
      </w:r>
      <w:r>
        <w:rPr>
          <w:rFonts w:ascii="Museo Sans 300;sans-serif" w:hAnsi="Museo Sans 300;sans-serif"/>
          <w:b w:val="false"/>
          <w:color w:val="000000"/>
          <w:sz w:val="18"/>
        </w:rPr>
        <w:t>Written communications pursuant to Rule 425 under the Securities Act (17 CFR 230.425)</w:t>
      </w:r>
    </w:p>
    <w:p>
      <w:pPr>
        <w:pStyle w:val="TextBody"/>
        <w:bidi w:val="0"/>
        <w:spacing w:lineRule="auto" w:line="288" w:before="60" w:after="283"/>
        <w:jc w:val="left"/>
        <w:rPr>
          <w:color w:val="000000"/>
        </w:rPr>
      </w:pPr>
      <w:r>
        <w:rPr>
          <w:color w:val="000000"/>
        </w:rPr>
        <w:t>☐    </w:t>
      </w:r>
      <w:r>
        <w:rPr>
          <w:rFonts w:ascii="Museo Sans 300;sans-serif" w:hAnsi="Museo Sans 300;sans-serif"/>
          <w:b w:val="false"/>
          <w:color w:val="000000"/>
          <w:sz w:val="18"/>
        </w:rPr>
        <w:t>Soliciting material pursuant to Rule 14a-12(b) under the Exchange Act (17 CFR 240.14a-12)</w:t>
      </w:r>
    </w:p>
    <w:p>
      <w:pPr>
        <w:pStyle w:val="TextBody"/>
        <w:bidi w:val="0"/>
        <w:spacing w:lineRule="auto" w:line="288" w:before="60" w:after="283"/>
        <w:jc w:val="left"/>
        <w:rPr>
          <w:color w:val="000000"/>
        </w:rPr>
      </w:pPr>
      <w:r>
        <w:rPr>
          <w:color w:val="000000"/>
        </w:rPr>
        <w:t>☐    </w:t>
      </w:r>
      <w:r>
        <w:rPr>
          <w:rFonts w:ascii="Museo Sans 300;sans-serif" w:hAnsi="Museo Sans 300;sans-serif"/>
          <w:b w:val="false"/>
          <w:color w:val="000000"/>
          <w:sz w:val="18"/>
        </w:rPr>
        <w:t>Pre-commencement communications pursuant to Rule 14d-2(b) under the Exchange Act (17 CFR 240.14d-2(b))</w:t>
      </w:r>
    </w:p>
    <w:p>
      <w:pPr>
        <w:pStyle w:val="TextBody"/>
        <w:bidi w:val="0"/>
        <w:spacing w:lineRule="auto" w:line="288" w:before="60" w:after="283"/>
        <w:jc w:val="left"/>
        <w:rPr>
          <w:color w:val="000000"/>
        </w:rPr>
      </w:pPr>
      <w:r>
        <w:rPr>
          <w:color w:val="000000"/>
        </w:rPr>
        <w:t>☐    </w:t>
      </w:r>
      <w:r>
        <w:rPr>
          <w:rFonts w:ascii="Museo Sans 300;sans-serif" w:hAnsi="Museo Sans 300;sans-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Securities registered pursuant to Section 12(b) of the Act:</w:t>
      </w:r>
    </w:p>
    <w:tbl>
      <w:tblPr>
        <w:tblW w:w="9464" w:type="dxa"/>
        <w:jc w:val="center"/>
        <w:tblInd w:w="0" w:type="dxa"/>
        <w:tblLayout w:type="fixed"/>
        <w:tblCellMar>
          <w:top w:w="28" w:type="dxa"/>
          <w:left w:w="28" w:type="dxa"/>
          <w:bottom w:w="28" w:type="dxa"/>
          <w:right w:w="28" w:type="dxa"/>
        </w:tblCellMar>
      </w:tblPr>
      <w:tblGrid>
        <w:gridCol w:w="1108"/>
        <w:gridCol w:w="974"/>
        <w:gridCol w:w="978"/>
        <w:gridCol w:w="574"/>
        <w:gridCol w:w="574"/>
        <w:gridCol w:w="576"/>
        <w:gridCol w:w="1370"/>
        <w:gridCol w:w="1370"/>
        <w:gridCol w:w="1940"/>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Title of each class</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Trading Symbol</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Name of each exchange on which registered</w:t>
            </w:r>
          </w:p>
        </w:tc>
      </w:tr>
      <w:tr>
        <w:trPr/>
        <w:tc>
          <w:tcPr>
            <w:tcW w:w="3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Common Stock, par value $0.01</w:t>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SCHL</w:t>
            </w:r>
          </w:p>
        </w:tc>
        <w:tc>
          <w:tcPr>
            <w:tcW w:w="46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The NASDAQ Stock Market LLC</w:t>
            </w:r>
          </w:p>
        </w:tc>
      </w:tr>
    </w:tbl>
    <w:p>
      <w:pPr>
        <w:pStyle w:val="TextBody"/>
        <w:bidi w:val="0"/>
        <w:spacing w:before="0" w:after="0"/>
        <w:jc w:val="center"/>
        <w:rPr/>
      </w:pPr>
      <w:r>
        <w:rPr/>
      </w:r>
    </w:p>
    <w:p>
      <w:pPr>
        <w:pStyle w:val="TextBody"/>
        <w:bidi w:val="0"/>
        <w:spacing w:lineRule="auto" w:line="288"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Museo Sans 300;sans-serif" w:hAnsi="Museo Sans 300;sans-serif"/>
          <w:b w:val="false"/>
          <w:color w:val="000000"/>
          <w:sz w:val="18"/>
        </w:rPr>
        <w:t>Emerging growth company</w:t>
      </w:r>
    </w:p>
    <w:p>
      <w:pPr>
        <w:pStyle w:val="TextBody"/>
        <w:bidi w:val="0"/>
        <w:spacing w:before="0" w:after="0"/>
        <w:jc w:val="center"/>
        <w:rPr/>
      </w:pPr>
      <w:r>
        <w:rPr/>
      </w:r>
    </w:p>
    <w:p>
      <w:pPr>
        <w:pStyle w:val="TextBody"/>
        <w:bidi w:val="0"/>
        <w:spacing w:lineRule="auto" w:line="288"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7955"/>
                <wp:effectExtent l="0" t="0" r="0" b="0"/>
                <wp:wrapNone/>
                <wp:docPr id="1" name="Frame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8"/>
        </w:rPr>
      </w:pPr>
      <w:r>
        <w:rPr>
          <w:rFonts w:ascii="Museo Sans 300;sans-serif" w:hAnsi="Museo Sans 300;sans-serif"/>
          <w:b w:val="false"/>
          <w:color w:val="000000"/>
          <w:sz w:val="18"/>
        </w:rPr>
        <w:t xml:space="preserve">On July 23, 2026, Scholastic Corporation (the "Company") issued the press release attached hereto as Exhibit 99.1 announcing its results of operations for the fiscal year ended May 31, 2026. </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8"/>
        </w:rPr>
      </w:pPr>
      <w:r>
        <w:rPr>
          <w:rFonts w:ascii="Museo Sans 300;sans-serif" w:hAnsi="Museo Sans 300;sans-serif"/>
          <w:b w:val="false"/>
          <w:color w:val="000000"/>
          <w:sz w:val="18"/>
        </w:rPr>
        <w:t>The information in this Current Report on Form 8-K, including Exhibits, is being furnished to the Securities and Exchange Commission (the “SEC”) and shall not be deemed to be incorporated by reference into any of the Company's filings with the SEC under the Securities Act of 1933.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9.01 Financial Statements and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0"/>
        <w:gridCol w:w="122"/>
        <w:gridCol w:w="122"/>
        <w:gridCol w:w="487"/>
        <w:gridCol w:w="487"/>
        <w:gridCol w:w="487"/>
        <w:gridCol w:w="500"/>
        <w:gridCol w:w="487"/>
        <w:gridCol w:w="487"/>
        <w:gridCol w:w="2025"/>
        <w:gridCol w:w="1997"/>
        <w:gridCol w:w="2864"/>
      </w:tblGrid>
      <w:tr>
        <w:trPr/>
        <w:tc>
          <w:tcPr>
            <w:tcW w:w="1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r>
      <w:tr>
        <w:trPr/>
        <w:tc>
          <w:tcPr>
            <w:tcW w:w="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w:t>
            </w:r>
          </w:p>
        </w:tc>
        <w:tc>
          <w:tcPr>
            <w:tcW w:w="98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Not applicable</w:t>
            </w:r>
          </w:p>
        </w:tc>
      </w:tr>
      <w:tr>
        <w:trPr/>
        <w:tc>
          <w:tcPr>
            <w:tcW w:w="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w:t>
            </w:r>
          </w:p>
        </w:tc>
        <w:tc>
          <w:tcPr>
            <w:tcW w:w="98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Not applicable</w:t>
            </w:r>
          </w:p>
        </w:tc>
      </w:tr>
      <w:tr>
        <w:trPr/>
        <w:tc>
          <w:tcPr>
            <w:tcW w:w="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w:t>
            </w:r>
          </w:p>
        </w:tc>
        <w:tc>
          <w:tcPr>
            <w:tcW w:w="98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Not applicable</w:t>
            </w:r>
          </w:p>
        </w:tc>
      </w:tr>
      <w:tr>
        <w:trPr/>
        <w:tc>
          <w:tcPr>
            <w:tcW w:w="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w:t>
            </w:r>
          </w:p>
        </w:tc>
        <w:tc>
          <w:tcPr>
            <w:tcW w:w="98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The following exhibits are filed as part of this report:</w:t>
            </w:r>
          </w:p>
        </w:tc>
      </w:tr>
      <w:tr>
        <w:trPr/>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99.1</w:t>
            </w:r>
          </w:p>
        </w:tc>
        <w:tc>
          <w:tcPr>
            <w:tcW w:w="6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6q4pressrelease.htm">
              <w:r>
                <w:rPr>
                  <w:rStyle w:val="InternetLink"/>
                  <w:rFonts w:ascii="Museo Sans 300;sans-serif" w:hAnsi="Museo Sans 300;sans-serif"/>
                  <w:b w:val="false"/>
                  <w:color w:val="000080"/>
                  <w:sz w:val="18"/>
                  <w:u w:val="single"/>
                </w:rPr>
                <w:t>Press release of the Company dated July 2</w:t>
              </w:r>
            </w:hyperlink>
            <w:hyperlink w:anchor="fy26q4pressrelease.htm">
              <w:r>
                <w:rPr>
                  <w:rStyle w:val="InternetLink"/>
                  <w:rFonts w:ascii="Museo Sans 300;sans-serif" w:hAnsi="Museo Sans 300;sans-serif"/>
                  <w:b w:val="false"/>
                  <w:color w:val="000080"/>
                  <w:sz w:val="18"/>
                  <w:u w:val="single"/>
                </w:rPr>
                <w:t>3</w:t>
              </w:r>
            </w:hyperlink>
            <w:hyperlink w:anchor="fy26q4pressrelease.htm">
              <w:r>
                <w:rPr>
                  <w:rStyle w:val="InternetLink"/>
                  <w:rFonts w:ascii="Museo Sans 300;sans-serif" w:hAnsi="Museo Sans 300;sans-serif"/>
                  <w:b w:val="false"/>
                  <w:color w:val="000080"/>
                  <w:sz w:val="18"/>
                  <w:u w:val="single"/>
                </w:rPr>
                <w:t>, 202</w:t>
              </w:r>
            </w:hyperlink>
            <w:hyperlink w:anchor="fy26q4pressrelease.htm">
              <w:r>
                <w:rPr>
                  <w:rStyle w:val="InternetLink"/>
                  <w:rFonts w:ascii="Museo Sans 300;sans-serif" w:hAnsi="Museo Sans 300;sans-serif"/>
                  <w:b w:val="false"/>
                  <w:color w:val="000080"/>
                  <w:sz w:val="18"/>
                  <w:u w:val="single"/>
                </w:rPr>
                <w:t>6</w:t>
              </w:r>
            </w:hyperlink>
            <w:hyperlink w:anchor="fy26q4pressrelease.htm">
              <w:r>
                <w:rPr>
                  <w:rStyle w:val="InternetLink"/>
                  <w:rFonts w:ascii="Museo Sans 300;sans-serif" w:hAnsi="Museo Sans 300;sans-serif"/>
                  <w:b w:val="false"/>
                  <w:color w:val="000080"/>
                  <w:sz w:val="18"/>
                  <w:u w:val="single"/>
                </w:rPr>
                <w:t>.</w:t>
              </w:r>
            </w:hyperlink>
          </w:p>
        </w:tc>
      </w:tr>
      <w:tr>
        <w:trPr/>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104</w:t>
            </w:r>
          </w:p>
        </w:tc>
        <w:tc>
          <w:tcPr>
            <w:tcW w:w="6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pPr>
      <w:r>
        <w:rPr/>
      </w:r>
    </w:p>
    <w:tbl>
      <w:tblPr>
        <w:tblW w:w="7378" w:type="dxa"/>
        <w:jc w:val="center"/>
        <w:tblInd w:w="0" w:type="dxa"/>
        <w:tblLayout w:type="fixed"/>
        <w:tblCellMar>
          <w:top w:w="28" w:type="dxa"/>
          <w:left w:w="28" w:type="dxa"/>
          <w:bottom w:w="28" w:type="dxa"/>
          <w:right w:w="28" w:type="dxa"/>
        </w:tblCellMar>
      </w:tblPr>
      <w:tblGrid>
        <w:gridCol w:w="350"/>
        <w:gridCol w:w="308"/>
        <w:gridCol w:w="308"/>
        <w:gridCol w:w="308"/>
        <w:gridCol w:w="308"/>
        <w:gridCol w:w="308"/>
        <w:gridCol w:w="228"/>
        <w:gridCol w:w="228"/>
        <w:gridCol w:w="233"/>
        <w:gridCol w:w="1404"/>
        <w:gridCol w:w="1404"/>
        <w:gridCol w:w="1991"/>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SCHOLASTIC CORPORATION</w:t>
            </w:r>
          </w:p>
        </w:tc>
      </w:tr>
      <w:tr>
        <w:trPr/>
        <w:tc>
          <w:tcPr>
            <w:tcW w:w="737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Date: July 23, 2026</w:t>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By:</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 Haji L. Glover</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Name:</w:t>
            </w:r>
          </w:p>
        </w:tc>
        <w:tc>
          <w:tcPr>
            <w:tcW w:w="4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Haji L. Glover</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Title:</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w:t>
                      </w:r>
                    </w:p>
                  </w:txbxContent>
                </v:textbox>
                <w10:wrap type="none"/>
              </v:rect>
            </w:pict>
          </mc:Fallback>
        </mc:AlternateContent>
      </w:r>
    </w:p>
    <w:p>
      <w:pPr>
        <w:pStyle w:val="TextBody"/>
        <w:bidi w:val="0"/>
        <w:spacing w:before="0" w:after="0"/>
        <w:jc w:val="center"/>
        <w:rPr/>
      </w:pPr>
      <w:r>
        <w:rPr/>
        <w:drawing>
          <wp:inline distT="0" distB="0" distL="0" distR="0">
            <wp:extent cx="2152650" cy="2476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52650" cy="2476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pPr>
      <w:r>
        <w:rPr>
          <w:rFonts w:ascii="Museo Sans 700;sans-serif" w:hAnsi="Museo Sans 700;sans-serif"/>
          <w:b/>
          <w:color w:val="000000"/>
          <w:sz w:val="20"/>
        </w:rPr>
        <w:t>Scholastic Reports Fourth Quarter and Fiscal 2026 Results</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Fiscal 2026 Operating Income of $15.2 Million; Adjusted EBITDA of $151.5 Million, Up 4%, in Line With Guidance</w:t>
      </w:r>
    </w:p>
    <w:p>
      <w:pPr>
        <w:pStyle w:val="TextBody"/>
        <w:bidi w:val="0"/>
        <w:spacing w:before="0" w:after="0"/>
        <w:jc w:val="center"/>
        <w:rPr/>
      </w:pPr>
      <w:r>
        <w:rPr/>
      </w:r>
    </w:p>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Returned Over $285 Million to Shareholders During Fiscal Year</w:t>
      </w:r>
    </w:p>
    <w:p>
      <w:pPr>
        <w:pStyle w:val="TextBody"/>
        <w:bidi w:val="0"/>
        <w:spacing w:before="0" w:after="0"/>
        <w:jc w:val="center"/>
        <w:rPr/>
      </w:pPr>
      <w:r>
        <w:rPr/>
      </w:r>
    </w:p>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 xml:space="preserve">Fiscal 2027 Outlook Targets Return to Revenue Growth and Higher Adjusted EBITDA </w:t>
        <w:br/>
        <w:t>on Comparable Basis</w:t>
      </w:r>
    </w:p>
    <w:p>
      <w:pPr>
        <w:pStyle w:val="TextBody"/>
        <w:bidi w:val="0"/>
        <w:spacing w:before="0" w:after="0"/>
        <w:jc w:val="center"/>
        <w:rPr/>
      </w:pPr>
      <w:r>
        <w:rPr/>
      </w:r>
    </w:p>
    <w:p>
      <w:pPr>
        <w:pStyle w:val="TextBody"/>
        <w:bidi w:val="0"/>
        <w:spacing w:lineRule="auto" w:line="288" w:before="0" w:after="120"/>
        <w:jc w:val="both"/>
        <w:rPr/>
      </w:pPr>
      <w:r>
        <w:rPr>
          <w:rFonts w:ascii="Museo Sans 700;sans-serif" w:hAnsi="Museo Sans 700;sans-serif"/>
          <w:b/>
          <w:color w:val="000000"/>
          <w:sz w:val="20"/>
        </w:rPr>
        <w:t xml:space="preserve">New York – July 23, 2026 - </w:t>
      </w:r>
      <w:r>
        <w:rPr>
          <w:rFonts w:ascii="Museo Sans 300;sans-serif" w:hAnsi="Museo Sans 300;sans-serif"/>
          <w:b w:val="false"/>
          <w:color w:val="000000"/>
          <w:sz w:val="20"/>
        </w:rPr>
        <w:t>Scholastic Corporation (NASDAQ: SCHL), the global children’s publishing, education and media company, today reported financial results for the Company’s fiscal fourth quarter and full year ended May 31, 2026.</w:t>
      </w:r>
    </w:p>
    <w:p>
      <w:pPr>
        <w:pStyle w:val="TextBody"/>
        <w:bidi w:val="0"/>
        <w:spacing w:lineRule="auto" w:line="288" w:before="0" w:after="120"/>
        <w:jc w:val="both"/>
        <w:rPr>
          <w:rFonts w:ascii="Museo Sans 300;sans-serif" w:hAnsi="Museo Sans 300;sans-serif"/>
          <w:b w:val="false"/>
          <w:color w:val="000000"/>
          <w:sz w:val="20"/>
        </w:rPr>
      </w:pPr>
      <w:r>
        <w:rPr>
          <w:rFonts w:ascii="Museo Sans 300;sans-serif" w:hAnsi="Museo Sans 300;sans-serif"/>
          <w:b w:val="false"/>
          <w:color w:val="000000"/>
          <w:sz w:val="20"/>
        </w:rPr>
        <w:t>Peter Warwick, President and Chief Executive Officer, said, “Fiscal 2026 demonstrated the earnings power of a more focused Scholastic, as the Company made substantial progress in a multi-year transformation of its governance, organization, strategy and balance sheet. Adjusted EBITDA rose, in line with guidance, positioning the Company for growth in fiscal 2027.”</w:t>
      </w:r>
    </w:p>
    <w:p>
      <w:pPr>
        <w:pStyle w:val="TextBody"/>
        <w:bidi w:val="0"/>
        <w:spacing w:lineRule="auto" w:line="288" w:before="0" w:after="120"/>
        <w:jc w:val="both"/>
        <w:rPr>
          <w:rFonts w:ascii="Museo Sans 300;sans-serif" w:hAnsi="Museo Sans 300;sans-serif"/>
          <w:b w:val="false"/>
          <w:color w:val="000000"/>
          <w:sz w:val="20"/>
        </w:rPr>
      </w:pPr>
      <w:r>
        <w:rPr>
          <w:rFonts w:ascii="Museo Sans 300;sans-serif" w:hAnsi="Museo Sans 300;sans-serif"/>
          <w:b w:val="false"/>
          <w:color w:val="000000"/>
          <w:sz w:val="20"/>
        </w:rPr>
        <w:t>Fiscal 2026 revenue decreased 3%, and operating income was $15.2 million, compared with $15.8 million in fiscal 2025. Adjusted operating income, excluding one-time items, increased to $47.1 million from $35.8 million in the prior year period. Adjusted EBITDA was $151.5 million, up 4%, and increased 15% on a comparable basis, reflecting the full-year impact of additional lease expense and the loss of rental income from the sale-leaseback transactions in both periods. In the fourth quarter, Adjusted EBITDA increased $1.0 million on that same comparable basis, driven by continued strong execution in Book Fairs, Entertainment’s return to growth and disciplined cost management across the Company, even as revenue was affected by expected comparisons against an exceptional prior-year quarter in Trade and continued funding volatility in Education.</w:t>
      </w:r>
    </w:p>
    <w:p>
      <w:pPr>
        <w:pStyle w:val="TextBody"/>
        <w:bidi w:val="0"/>
        <w:spacing w:lineRule="auto" w:line="288" w:before="0" w:after="120"/>
        <w:jc w:val="both"/>
        <w:rPr>
          <w:rFonts w:ascii="Museo Sans 300;sans-serif" w:hAnsi="Museo Sans 300;sans-serif"/>
          <w:b w:val="false"/>
          <w:color w:val="000000"/>
          <w:sz w:val="20"/>
        </w:rPr>
      </w:pPr>
      <w:r>
        <w:rPr>
          <w:rFonts w:ascii="Museo Sans 300;sans-serif" w:hAnsi="Museo Sans 300;sans-serif"/>
          <w:b w:val="false"/>
          <w:color w:val="000000"/>
          <w:sz w:val="20"/>
        </w:rPr>
        <w:t>Mr. Warwick continued, “Today, our company is more clearly organized around the advantages that make Scholastic distinctive: a trusted brand, beloved IP, proprietary school-based channels and deep relationships with educators and families built over more than a century. Scholastic remains uniquely positioned to connect books, schools, homes and screens in ways that deepen kids’ engagement with stories and bring more children back to reading at a scale and depth that others cannot easily replicate.</w:t>
      </w:r>
    </w:p>
    <w:p>
      <w:pPr>
        <w:pStyle w:val="TextBody"/>
        <w:bidi w:val="0"/>
        <w:spacing w:lineRule="auto" w:line="288" w:before="0" w:after="120"/>
        <w:jc w:val="left"/>
        <w:rPr>
          <w:color w:val="000000"/>
        </w:rPr>
      </w:pPr>
      <w:r>
        <w:rPr>
          <w:color w:val="000000"/>
        </w:rPr>
        <w:t>“</w:t>
      </w:r>
      <w:r>
        <w:rPr>
          <w:rFonts w:ascii="Museo Sans 300;sans-serif" w:hAnsi="Museo Sans 300;sans-serif"/>
          <w:b w:val="false"/>
          <w:color w:val="000000"/>
          <w:sz w:val="20"/>
        </w:rPr>
        <w:t>During the fourth quarter, we continued to see the impact of this strategy across the business. Book Fairs deepened our reach with schools and families, Trade Publishing remained anchored by enduring children’s franchises, and Entertainment expanded discovery and engagement with Scholastic IP across platforms. In Education, while funding volatility and a challenging supplemental curriculum market continued to pressure results, we made progress repositioning the business around a more focused strategy, improved execution and lower cost structure, with trends improving throughout the year.</w:t>
      </w:r>
    </w:p>
    <w:p>
      <w:pPr>
        <w:pStyle w:val="TextBody"/>
        <w:bidi w:val="0"/>
        <w:spacing w:lineRule="auto" w:line="288" w:before="0" w:after="120"/>
        <w:jc w:val="left"/>
        <w:rPr>
          <w:color w:val="000000"/>
        </w:rPr>
      </w:pPr>
      <w:r>
        <w:rPr>
          <w:color w:val="000000"/>
        </w:rPr>
        <w:t>“</w:t>
      </w:r>
      <w:r>
        <w:rPr>
          <w:rFonts w:ascii="Museo Sans 300;sans-serif" w:hAnsi="Museo Sans 300;sans-serif"/>
          <w:b w:val="false"/>
          <w:color w:val="000000"/>
          <w:sz w:val="20"/>
        </w:rPr>
        <w:t>Fiscal 2026 was also an important year of capital deployment and shareholder value creation. Following the sale-leaseback transactions, we returned significant capital to shareholders through share repurchases, a modified Dutch auction tender offer and dividends, and established a long-term leverage framework that supports both disciplined investment and continued capital returns. Together, these actions completed major elements of our financial transformation and provide Scholastic with greater financial flexibility to enhance shareholder returns.</w:t>
      </w:r>
    </w:p>
    <w:p>
      <w:pPr>
        <w:pStyle w:val="TextBody"/>
        <w:bidi w:val="0"/>
        <w:spacing w:lineRule="auto" w:line="288"/>
        <w:jc w:val="left"/>
        <w:rPr>
          <w:color w:val="000000"/>
        </w:rPr>
      </w:pPr>
      <w:r>
        <w:rPr>
          <w:color w:val="000000"/>
        </w:rPr>
        <w:t>“</w:t>
      </w:r>
      <w:r>
        <w:rPr>
          <w:rFonts w:ascii="Museo Sans 300;sans-serif" w:hAnsi="Museo Sans 300;sans-serif"/>
          <w:b w:val="false"/>
          <w:color w:val="000000"/>
          <w:sz w:val="20"/>
        </w:rPr>
        <w:t xml:space="preserve">As we enter fiscal 2027, Scholastic is strongly positioned to translate its durable advantages into profitable, sustained growth. Our outlook reflects expected revenue growth and higher Adjusted EBITDA on a comparable basis, reflecting the full-year impact of the sale-leaseback transactions in both periods. We remain focused on continued execution of our plan, disciplined cost management and targeted investment in the areas where Scholastic has the greatest opportunity to drive long-term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w:t>
                      </w:r>
                    </w:p>
                  </w:txbxContent>
                </v:textbox>
                <w10:wrap type="none"/>
              </v:rect>
            </w:pict>
          </mc:Fallback>
        </mc:AlternateConten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growth, deepen our impact with children, families and educators, and create sustained value for shareholders.”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Outlook </w:t>
      </w:r>
    </w:p>
    <w:p>
      <w:pPr>
        <w:pStyle w:val="TextBody"/>
        <w:bidi w:val="0"/>
        <w:spacing w:before="0" w:after="0"/>
        <w:jc w:val="left"/>
        <w:rPr/>
      </w:pPr>
      <w:r>
        <w:rPr/>
      </w:r>
    </w:p>
    <w:p>
      <w:pPr>
        <w:pStyle w:val="TextBody"/>
        <w:bidi w:val="0"/>
        <w:spacing w:lineRule="auto" w:line="288" w:before="0" w:after="120"/>
        <w:jc w:val="both"/>
        <w:rPr>
          <w:rFonts w:ascii="Museo Sans 300;sans-serif" w:hAnsi="Museo Sans 300;sans-serif"/>
          <w:b w:val="false"/>
          <w:color w:val="000000"/>
          <w:sz w:val="20"/>
        </w:rPr>
      </w:pPr>
      <w:r>
        <w:rPr>
          <w:rFonts w:ascii="Museo Sans 300;sans-serif" w:hAnsi="Museo Sans 300;sans-serif"/>
          <w:b w:val="false"/>
          <w:color w:val="000000"/>
          <w:sz w:val="20"/>
        </w:rPr>
        <w:t>In fiscal 2027, the Company expects revenue growth of approximately 2% to 4% and Adjusted EBITDA of approximately $135 million to $145 million. The Adjusted EBITDA range represents growth compared with fiscal 2026 Adjusted EBITDA on a comparable basis, reflecting the full-year impact of the sale-leaseback transactions in both periods.</w:t>
      </w:r>
    </w:p>
    <w:p>
      <w:pPr>
        <w:pStyle w:val="TextBody"/>
        <w:bidi w:val="0"/>
        <w:spacing w:lineRule="auto" w:line="288" w:before="0" w:after="12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This outlook reflects expected growth in Children’s Books, Entertainment and International, improved performance in Education, disciplined cost management and targeted investment in long-term growth opportunities. </w:t>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The Company also expects Free Cash Flow (a non-GAAP financial measure, explained in the accompanying tables) of approximately $35 million to $40 million.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Fiscal 2026 Q4 Review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5"/>
        <w:gridCol w:w="1065"/>
        <w:gridCol w:w="1067"/>
        <w:gridCol w:w="194"/>
        <w:gridCol w:w="194"/>
        <w:gridCol w:w="194"/>
        <w:gridCol w:w="467"/>
        <w:gridCol w:w="467"/>
        <w:gridCol w:w="200"/>
        <w:gridCol w:w="144"/>
        <w:gridCol w:w="144"/>
        <w:gridCol w:w="144"/>
        <w:gridCol w:w="194"/>
        <w:gridCol w:w="194"/>
        <w:gridCol w:w="194"/>
        <w:gridCol w:w="467"/>
        <w:gridCol w:w="467"/>
        <w:gridCol w:w="200"/>
        <w:gridCol w:w="144"/>
        <w:gridCol w:w="144"/>
        <w:gridCol w:w="144"/>
        <w:gridCol w:w="144"/>
        <w:gridCol w:w="144"/>
        <w:gridCol w:w="144"/>
        <w:gridCol w:w="416"/>
        <w:gridCol w:w="417"/>
        <w:gridCol w:w="144"/>
        <w:gridCol w:w="345"/>
        <w:gridCol w:w="350"/>
        <w:gridCol w:w="428"/>
      </w:tblGrid>
      <w:tr>
        <w:trPr/>
        <w:tc>
          <w:tcPr>
            <w:tcW w:w="124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3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 $ millions (except per share data)</w:t>
            </w:r>
          </w:p>
        </w:tc>
        <w:tc>
          <w:tcPr>
            <w:tcW w:w="38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Fourth Quarter</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r>
      <w:tr>
        <w:trPr/>
        <w:tc>
          <w:tcPr>
            <w:tcW w:w="3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Fiscal 2026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Fiscal 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1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r>
      <w:tr>
        <w:trPr/>
        <w:tc>
          <w:tcPr>
            <w:tcW w:w="3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476.1 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508.3 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(32.2)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w:t>
            </w:r>
          </w:p>
        </w:tc>
        <w:tc>
          <w:tcPr>
            <w:tcW w:w="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53.5 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Earnings (loss) before taxes</w:t>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(70)</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Diluted earnings (loss) per share</w:t>
            </w:r>
          </w:p>
        </w:tc>
        <w:tc>
          <w:tcPr>
            <w:tcW w:w="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Operating income (loss), ex. one-time items* </w:t>
            </w:r>
            <w:r>
              <w:rPr>
                <w:rFonts w:ascii="Museo Sans 300;sans-serif" w:hAnsi="Museo Sans 300;sans-serif"/>
                <w:b w:val="false"/>
                <w:color w:val="000000"/>
                <w:sz w:val="12"/>
              </w:rPr>
              <w:t>(1)</w:t>
            </w:r>
          </w:p>
        </w:tc>
        <w:tc>
          <w:tcPr>
            <w:tcW w:w="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37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both"/>
              <w:rPr>
                <w:rFonts w:ascii="Museo Sans 300;sans-serif" w:hAnsi="Museo Sans 300;sans-serif"/>
                <w:b w:val="false"/>
                <w:color w:val="000000"/>
                <w:sz w:val="18"/>
              </w:rPr>
            </w:pPr>
            <w:r>
              <w:rPr>
                <w:rFonts w:ascii="Museo Sans 300;sans-serif" w:hAnsi="Museo Sans 300;sans-serif"/>
                <w:b w:val="false"/>
                <w:color w:val="000000"/>
                <w:sz w:val="18"/>
              </w:rPr>
              <w:t>Diluted earnings (loss) per share, ex. one-time items*</w:t>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152 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Adjusted EBITDA* </w:t>
            </w:r>
            <w:r>
              <w:rPr>
                <w:rFonts w:ascii="Museo Sans 300;sans-serif" w:hAnsi="Museo Sans 300;sans-serif"/>
                <w:b w:val="false"/>
                <w:color w:val="000000"/>
                <w:sz w:val="12"/>
              </w:rPr>
              <w:t xml:space="preserve">(1) </w:t>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91.2 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Pro forma Adjusted operating income*</w:t>
            </w:r>
            <w:r>
              <w:rPr>
                <w:color w:val="000000"/>
              </w:rPr>
              <w:t xml:space="preserve"> </w:t>
            </w:r>
            <w:r>
              <w:rPr>
                <w:rFonts w:ascii="Museo Sans 300;sans-serif" w:hAnsi="Museo Sans 300;sans-serif"/>
                <w:b w:val="false"/>
                <w:color w:val="000000"/>
                <w:sz w:val="12"/>
              </w:rPr>
              <w:t>(2)</w:t>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Pro forma Adjusted EBITDA* </w:t>
            </w:r>
            <w:r>
              <w:rPr>
                <w:rFonts w:ascii="Museo Sans 300;sans-serif" w:hAnsi="Museo Sans 300;sans-serif"/>
                <w:b w:val="false"/>
                <w:color w:val="000000"/>
                <w:sz w:val="12"/>
              </w:rPr>
              <w:t>(2)</w:t>
            </w:r>
          </w:p>
        </w:tc>
        <w:tc>
          <w:tcPr>
            <w:tcW w:w="58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84.7 </w:t>
            </w:r>
          </w:p>
        </w:tc>
        <w:tc>
          <w:tcPr>
            <w:tcW w:w="2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83.7 </w:t>
            </w:r>
          </w:p>
        </w:tc>
        <w:tc>
          <w:tcPr>
            <w:tcW w:w="2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3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1 </w:t>
            </w:r>
          </w:p>
        </w:tc>
        <w:tc>
          <w:tcPr>
            <w:tcW w:w="42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0205"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both"/>
              <w:rPr>
                <w:rFonts w:ascii="Museo Sans 300;sans-serif" w:hAnsi="Museo Sans 300;sans-serif"/>
                <w:b w:val="false"/>
                <w:color w:val="000000"/>
                <w:sz w:val="16"/>
              </w:rPr>
            </w:pPr>
            <w:r>
              <w:rPr>
                <w:rFonts w:ascii="Museo Sans 300;sans-serif" w:hAnsi="Museo Sans 300;sans-serif"/>
                <w:b w:val="false"/>
                <w:color w:val="000000"/>
                <w:sz w:val="16"/>
              </w:rPr>
              <w:t>* Please refer to the non-GAAP financial tables attached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(1) Fiscal 2026 fourth-quarter Operating income excluding one-time items and Adjusted EBITDA include net costs of $4.2 and $7.8, respectively, related to the sale-leaseback transactions completed in December 2025.</w:t>
            </w:r>
          </w:p>
        </w:tc>
      </w:tr>
      <w:tr>
        <w:trPr/>
        <w:tc>
          <w:tcPr>
            <w:tcW w:w="10205" w:type="dxa"/>
            <w:gridSpan w:val="30"/>
            <w:tcBorders/>
            <w:tcMar>
              <w:top w:w="0" w:type="dxa"/>
              <w:left w:w="0" w:type="dxa"/>
              <w:bottom w:w="0" w:type="dxa"/>
              <w:right w:w="0" w:type="dxa"/>
            </w:tcMar>
            <w:vAlign w:val="center"/>
          </w:tcPr>
          <w:p>
            <w:pPr>
              <w:pStyle w:val="TableContents"/>
              <w:bidi w:val="0"/>
              <w:spacing w:lineRule="auto" w:line="256"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(2) Pro forma Adjusted operating income and Pro forma Adjusted EBITDA reflect the full-period impact of the sale-leaseback transactions in each period presented. The Company refers to these measures in this release as results “on a comparable basis.” See Table 7 for the reconciliation to Adjusted operating income and Adjusted EBITDA.</w:t>
            </w:r>
          </w:p>
        </w:tc>
      </w:tr>
    </w:tbl>
    <w:p>
      <w:pPr>
        <w:pStyle w:val="TextBody"/>
        <w:bidi w:val="0"/>
        <w:spacing w:before="0" w:after="0"/>
        <w:jc w:val="both"/>
        <w:rPr/>
      </w:pPr>
      <w:r>
        <w:rPr/>
      </w:r>
    </w:p>
    <w:p>
      <w:pPr>
        <w:pStyle w:val="TextBody"/>
        <w:bidi w:val="0"/>
        <w:spacing w:lineRule="auto" w:line="268" w:before="0" w:after="0"/>
        <w:jc w:val="both"/>
        <w:rPr/>
      </w:pPr>
      <w:r>
        <w:rPr>
          <w:rFonts w:ascii="Museo Sans 700;sans-serif" w:hAnsi="Museo Sans 700;sans-serif"/>
          <w:b/>
          <w:color w:val="000000"/>
          <w:sz w:val="20"/>
        </w:rPr>
        <w:t>Revenues</w:t>
      </w:r>
      <w:r>
        <w:rPr>
          <w:color w:val="000000"/>
        </w:rPr>
        <w:t xml:space="preserve"> </w:t>
      </w:r>
      <w:r>
        <w:rPr>
          <w:rFonts w:ascii="Museo Sans 300;sans-serif" w:hAnsi="Museo Sans 300;sans-serif"/>
          <w:b w:val="false"/>
          <w:color w:val="000000"/>
          <w:sz w:val="20"/>
        </w:rPr>
        <w:t xml:space="preserve">decreased 6% to $476.1 million, as continued growth in Book Fairs and higher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 xml:space="preserve">revenues were more than offset by lower Trade and </w:t>
      </w:r>
      <w:r>
        <w:rPr>
          <w:rFonts w:ascii="Museo Sans 300;sans-serif" w:hAnsi="Museo Sans 300;sans-serif"/>
          <w:b w:val="false"/>
          <w:i/>
          <w:color w:val="000000"/>
          <w:sz w:val="20"/>
        </w:rPr>
        <w:t>International</w:t>
      </w:r>
      <w:r>
        <w:rPr>
          <w:color w:val="000000"/>
        </w:rPr>
        <w:t xml:space="preserve"> </w:t>
      </w:r>
      <w:r>
        <w:rPr>
          <w:rFonts w:ascii="Museo Sans 300;sans-serif" w:hAnsi="Museo Sans 300;sans-serif"/>
          <w:b w:val="false"/>
          <w:color w:val="000000"/>
          <w:sz w:val="20"/>
        </w:rPr>
        <w:t xml:space="preserve">revenues due to more challenging comparisons with the prior-year publishing schedule and lower revenues in </w:t>
      </w:r>
      <w:r>
        <w:rPr>
          <w:rFonts w:ascii="Museo Sans 300;sans-serif" w:hAnsi="Museo Sans 300;sans-serif"/>
          <w:b w:val="false"/>
          <w:i/>
          <w:color w:val="000000"/>
          <w:sz w:val="20"/>
        </w:rPr>
        <w:t>Education</w:t>
      </w:r>
      <w:r>
        <w:rPr>
          <w:rFonts w:ascii="Museo Sans 300;sans-serif" w:hAnsi="Museo Sans 300;sans-serif"/>
          <w:b w:val="false"/>
          <w:color w:val="000000"/>
          <w:sz w:val="20"/>
        </w:rPr>
        <w:t>.</w:t>
      </w:r>
    </w:p>
    <w:p>
      <w:pPr>
        <w:pStyle w:val="TextBody"/>
        <w:bidi w:val="0"/>
        <w:spacing w:before="0" w:after="0"/>
        <w:jc w:val="both"/>
        <w:rPr/>
      </w:pPr>
      <w:r>
        <w:rPr/>
      </w:r>
    </w:p>
    <w:p>
      <w:pPr>
        <w:pStyle w:val="TextBody"/>
        <w:bidi w:val="0"/>
        <w:spacing w:lineRule="auto" w:line="288"/>
        <w:jc w:val="both"/>
        <w:rPr/>
      </w:pPr>
      <w:r>
        <w:rPr>
          <w:rFonts w:ascii="Museo Sans 700;sans-serif" w:hAnsi="Museo Sans 700;sans-serif"/>
          <w:b/>
          <w:color w:val="000000"/>
          <w:sz w:val="20"/>
        </w:rPr>
        <w:t xml:space="preserve">Operating Income </w:t>
      </w:r>
      <w:r>
        <w:rPr>
          <w:rFonts w:ascii="Museo Sans 300;sans-serif" w:hAnsi="Museo Sans 300;sans-serif"/>
          <w:b w:val="false"/>
          <w:color w:val="000000"/>
          <w:sz w:val="20"/>
        </w:rPr>
        <w:t xml:space="preserve">decreased 4% to $51.4 million in the quarter compared to $53.5 million a year ago, including $6.9 million and $9.9 million in one-time charges in each period, respectively. Excluding one-time charges in both periods, adjusted operating income decreased $5.1 million to $58.3 million. On a comparable basis, reflecting the full-period impact of the sale-leaseback in both periods, adjusted operating income decreased $1.2 million from $59.5 million. Adjusted EBITDA (a non-GAAP measure of operations explained in the accompanying tables) was $84.7 million, compared to $91.2 million in the prior-year period. On the same comparable basis, Adjusted EBITDA increased $1.0 million from $83.7 million in the prior year period, primarily reflecting improved profitability in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w:t>
                      </w:r>
                    </w:p>
                  </w:txbxContent>
                </v:textbox>
                <w10:wrap type="none"/>
              </v:rect>
            </w:pict>
          </mc:Fallback>
        </mc:AlternateContent>
      </w:r>
    </w:p>
    <w:p>
      <w:pPr>
        <w:pStyle w:val="TextBody"/>
        <w:bidi w:val="0"/>
        <w:spacing w:lineRule="auto" w:line="288" w:before="0" w:after="0"/>
        <w:jc w:val="both"/>
        <w:rPr/>
      </w:pPr>
      <w:r>
        <w:rPr>
          <w:rFonts w:ascii="Museo Sans 300;sans-serif" w:hAnsi="Museo Sans 300;sans-serif"/>
          <w:b w:val="false"/>
          <w:i/>
          <w:color w:val="000000"/>
          <w:sz w:val="20"/>
        </w:rPr>
        <w:t>Children’s Book Publishing and Distribution</w:t>
      </w:r>
      <w:r>
        <w:rPr>
          <w:color w:val="000000"/>
        </w:rPr>
        <w:t xml:space="preserve"> </w:t>
      </w:r>
      <w:r>
        <w:rPr>
          <w:rFonts w:ascii="Museo Sans 300;sans-serif" w:hAnsi="Museo Sans 300;sans-serif"/>
          <w:b w:val="false"/>
          <w:color w:val="000000"/>
          <w:sz w:val="20"/>
        </w:rPr>
        <w:t xml:space="preserve">and </w:t>
      </w:r>
      <w:r>
        <w:rPr>
          <w:rFonts w:ascii="Museo Sans 300;sans-serif" w:hAnsi="Museo Sans 300;sans-serif"/>
          <w:b w:val="false"/>
          <w:i/>
          <w:color w:val="000000"/>
          <w:sz w:val="20"/>
        </w:rPr>
        <w:t>Entertainment</w:t>
      </w:r>
      <w:r>
        <w:rPr>
          <w:rFonts w:ascii="Museo Sans 300;sans-serif" w:hAnsi="Museo Sans 300;sans-serif"/>
          <w:b w:val="false"/>
          <w:color w:val="000000"/>
          <w:sz w:val="20"/>
        </w:rPr>
        <w:t xml:space="preserve">, partly offset by lower results in </w:t>
      </w:r>
      <w:r>
        <w:rPr>
          <w:rFonts w:ascii="Museo Sans 300;sans-serif" w:hAnsi="Museo Sans 300;sans-serif"/>
          <w:b w:val="false"/>
          <w:i/>
          <w:color w:val="000000"/>
          <w:sz w:val="20"/>
        </w:rPr>
        <w:t>Education</w:t>
      </w:r>
      <w:r>
        <w:rPr>
          <w:color w:val="000000"/>
        </w:rPr>
        <w:t xml:space="preserve"> </w:t>
      </w:r>
      <w:r>
        <w:rPr>
          <w:rFonts w:ascii="Museo Sans 300;sans-serif" w:hAnsi="Museo Sans 300;sans-serif"/>
          <w:b w:val="false"/>
          <w:color w:val="000000"/>
          <w:sz w:val="20"/>
        </w:rPr>
        <w:t xml:space="preserve">and </w:t>
      </w:r>
      <w:r>
        <w:rPr>
          <w:rFonts w:ascii="Museo Sans 300;sans-serif" w:hAnsi="Museo Sans 300;sans-serif"/>
          <w:b w:val="false"/>
          <w:i/>
          <w:color w:val="000000"/>
          <w:sz w:val="20"/>
        </w:rPr>
        <w:t>International</w:t>
      </w:r>
      <w:r>
        <w:rPr>
          <w:rFonts w:ascii="Museo Sans 300;sans-serif" w:hAnsi="Museo Sans 300;sans-serif"/>
          <w:b w:val="false"/>
          <w:color w:val="000000"/>
          <w:sz w:val="20"/>
        </w:rPr>
        <w:t>.</w:t>
      </w:r>
    </w:p>
    <w:p>
      <w:pPr>
        <w:pStyle w:val="TextBody"/>
        <w:bidi w:val="0"/>
        <w:spacing w:before="0" w:after="0"/>
        <w:jc w:val="both"/>
        <w:rPr/>
      </w:pPr>
      <w:r>
        <w:rPr/>
      </w:r>
    </w:p>
    <w:p>
      <w:pPr>
        <w:pStyle w:val="TextBody"/>
        <w:bidi w:val="0"/>
        <w:spacing w:lineRule="auto" w:line="288" w:before="0" w:after="200"/>
        <w:jc w:val="both"/>
        <w:rPr>
          <w:rFonts w:ascii="Museo Sans 700;sans-serif" w:hAnsi="Museo Sans 700;sans-serif"/>
          <w:b/>
          <w:color w:val="000000"/>
          <w:sz w:val="20"/>
        </w:rPr>
      </w:pPr>
      <w:r>
        <w:rPr>
          <w:rFonts w:ascii="Museo Sans 700;sans-serif" w:hAnsi="Museo Sans 700;sans-serif"/>
          <w:b/>
          <w:color w:val="000000"/>
          <w:sz w:val="20"/>
        </w:rPr>
        <w:t>Quarterly Results</w:t>
      </w:r>
    </w:p>
    <w:p>
      <w:pPr>
        <w:pStyle w:val="TextBody"/>
        <w:bidi w:val="0"/>
        <w:spacing w:lineRule="auto" w:line="288" w:before="0" w:after="180"/>
        <w:jc w:val="both"/>
        <w:rPr>
          <w:rFonts w:ascii="Museo Sans 300;sans-serif" w:hAnsi="Museo Sans 300;sans-serif"/>
          <w:b w:val="false"/>
          <w:i/>
          <w:color w:val="000000"/>
          <w:sz w:val="20"/>
        </w:rPr>
      </w:pPr>
      <w:r>
        <w:rPr>
          <w:rFonts w:ascii="Museo Sans 300;sans-serif" w:hAnsi="Museo Sans 300;sans-serif"/>
          <w:b w:val="false"/>
          <w:i/>
          <w:color w:val="000000"/>
          <w:sz w:val="20"/>
        </w:rPr>
        <w:t>Children’s Book Publishing and Distribution</w:t>
      </w:r>
    </w:p>
    <w:p>
      <w:pPr>
        <w:pStyle w:val="TextBody"/>
        <w:bidi w:val="0"/>
        <w:spacing w:lineRule="auto" w:line="288" w:before="0" w:after="0"/>
        <w:jc w:val="both"/>
        <w:rPr/>
      </w:pPr>
      <w:r>
        <w:rPr>
          <w:rFonts w:ascii="Museo Sans 300;sans-serif" w:hAnsi="Museo Sans 300;sans-serif"/>
          <w:b w:val="false"/>
          <w:color w:val="000000"/>
          <w:sz w:val="20"/>
        </w:rPr>
        <w:t xml:space="preserve">In the fiscal fourth quarter, the </w:t>
      </w:r>
      <w:r>
        <w:rPr>
          <w:rFonts w:ascii="Museo Sans 300;sans-serif" w:hAnsi="Museo Sans 300;sans-serif"/>
          <w:b w:val="false"/>
          <w:i/>
          <w:color w:val="000000"/>
          <w:sz w:val="20"/>
        </w:rPr>
        <w:t>Children’s Book Publishing and Distribution</w:t>
      </w:r>
      <w:r>
        <w:rPr>
          <w:color w:val="000000"/>
        </w:rPr>
        <w:t xml:space="preserve"> </w:t>
      </w:r>
      <w:r>
        <w:rPr>
          <w:rFonts w:ascii="Museo Sans 300;sans-serif" w:hAnsi="Museo Sans 300;sans-serif"/>
          <w:b w:val="false"/>
          <w:color w:val="000000"/>
          <w:sz w:val="20"/>
        </w:rPr>
        <w:t>segment’s revenues decreased 4% to $276.3 million.</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In School Reading Events, Book Fairs revenues were $186.6 million, up 5% from the prior year period, reflecting higher fair count. Book Clubs revenues were $12.2 million, a decline of 7% from the prior year period, primarily reflecting lower participation throughout the year.</w:t>
      </w:r>
    </w:p>
    <w:p>
      <w:pPr>
        <w:pStyle w:val="TextBody"/>
        <w:bidi w:val="0"/>
        <w:spacing w:before="0" w:after="0"/>
        <w:jc w:val="both"/>
        <w:rPr/>
      </w:pPr>
      <w:r>
        <w:rPr/>
      </w:r>
    </w:p>
    <w:p>
      <w:pPr>
        <w:pStyle w:val="TextBody"/>
        <w:bidi w:val="0"/>
        <w:spacing w:lineRule="auto" w:line="268" w:before="0" w:after="0"/>
        <w:jc w:val="left"/>
        <w:rPr/>
      </w:pPr>
      <w:r>
        <w:rPr>
          <w:rFonts w:ascii="Museo Sans 300;sans-serif" w:hAnsi="Museo Sans 300;sans-serif"/>
          <w:b w:val="false"/>
          <w:color w:val="000000"/>
          <w:sz w:val="20"/>
        </w:rPr>
        <w:t xml:space="preserve">Consolidated Trade revenues decreased 20% from the prior year period to $77.5 million, reflecting a challenging comparison with the prior-year publishing schedule, which included the release of </w:t>
      </w:r>
      <w:r>
        <w:rPr>
          <w:rFonts w:ascii="Museo Sans 300;sans-serif" w:hAnsi="Museo Sans 300;sans-serif"/>
          <w:b w:val="false"/>
          <w:i/>
          <w:color w:val="000000"/>
          <w:sz w:val="20"/>
        </w:rPr>
        <w:t>Sunrise on the Reaping</w:t>
      </w:r>
      <w:r>
        <w:rPr>
          <w:rFonts w:ascii="Museo Sans 300;sans-serif" w:hAnsi="Museo Sans 300;sans-serif"/>
          <w:b w:val="false"/>
          <w:color w:val="000000"/>
          <w:sz w:val="20"/>
        </w:rPr>
        <w:t>, the fifth book in Suzanne Collins’ global bestselling The Hunger Games</w:t>
      </w:r>
      <w:r>
        <w:rPr>
          <w:rFonts w:ascii="sans-serif" w:hAnsi="sans-serif"/>
          <w:b w:val="false"/>
          <w:color w:val="000000"/>
          <w:sz w:val="22"/>
        </w:rPr>
        <w:t>®</w:t>
      </w:r>
      <w:r>
        <w:rPr>
          <w:color w:val="000000"/>
        </w:rPr>
        <w:t xml:space="preserve"> </w:t>
      </w:r>
      <w:r>
        <w:rPr>
          <w:rFonts w:ascii="Museo Sans 300;sans-serif" w:hAnsi="Museo Sans 300;sans-serif"/>
          <w:b w:val="false"/>
          <w:color w:val="000000"/>
          <w:sz w:val="20"/>
        </w:rPr>
        <w:t>series.</w:t>
      </w:r>
    </w:p>
    <w:p>
      <w:pPr>
        <w:pStyle w:val="TextBody"/>
        <w:bidi w:val="0"/>
        <w:spacing w:before="0" w:after="0"/>
        <w:jc w:val="both"/>
        <w:rPr/>
      </w:pPr>
      <w:r>
        <w:rPr/>
      </w:r>
    </w:p>
    <w:p>
      <w:pPr>
        <w:pStyle w:val="TextBody"/>
        <w:bidi w:val="0"/>
        <w:spacing w:lineRule="auto" w:line="26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Segment operating income was $60.3 million, compared to $57.6 million a year ago, which included one-time charges of $0.6 million. Excluding one-time charges, adjusted operating income increased $2.1 million, primarily driven by higher revenues and improved profitability in Book Fairs, partly offset by lower Trade results.</w:t>
      </w:r>
    </w:p>
    <w:p>
      <w:pPr>
        <w:pStyle w:val="TextBody"/>
        <w:bidi w:val="0"/>
        <w:spacing w:before="0" w:after="0"/>
        <w:jc w:val="both"/>
        <w:rPr/>
      </w:pPr>
      <w:r>
        <w:rPr/>
      </w:r>
    </w:p>
    <w:p>
      <w:pPr>
        <w:pStyle w:val="TextBody"/>
        <w:bidi w:val="0"/>
        <w:spacing w:lineRule="auto" w:line="268" w:before="0" w:after="0"/>
        <w:jc w:val="both"/>
        <w:rPr>
          <w:rFonts w:ascii="Museo Sans 300;sans-serif" w:hAnsi="Museo Sans 300;sans-serif"/>
          <w:b w:val="false"/>
          <w:i/>
          <w:color w:val="000000"/>
          <w:sz w:val="20"/>
        </w:rPr>
      </w:pPr>
      <w:r>
        <w:rPr>
          <w:rFonts w:ascii="Museo Sans 300;sans-serif" w:hAnsi="Museo Sans 300;sans-serif"/>
          <w:b w:val="false"/>
          <w:i/>
          <w:color w:val="000000"/>
          <w:sz w:val="20"/>
        </w:rPr>
        <w:t>Education</w:t>
      </w:r>
    </w:p>
    <w:p>
      <w:pPr>
        <w:pStyle w:val="TextBody"/>
        <w:bidi w:val="0"/>
        <w:spacing w:before="0" w:after="0"/>
        <w:jc w:val="both"/>
        <w:rPr/>
      </w:pPr>
      <w:r>
        <w:rPr/>
      </w:r>
    </w:p>
    <w:p>
      <w:pPr>
        <w:pStyle w:val="TextBody"/>
        <w:bidi w:val="0"/>
        <w:spacing w:lineRule="auto" w:line="268" w:before="0" w:after="0"/>
        <w:jc w:val="both"/>
        <w:rPr/>
      </w:pPr>
      <w:r>
        <w:rPr>
          <w:rFonts w:ascii="Museo Sans 300;sans-serif" w:hAnsi="Museo Sans 300;sans-serif"/>
          <w:b w:val="false"/>
          <w:i/>
          <w:color w:val="000000"/>
          <w:sz w:val="20"/>
        </w:rPr>
        <w:t xml:space="preserve">Education </w:t>
      </w:r>
      <w:r>
        <w:rPr>
          <w:rFonts w:ascii="Museo Sans 300;sans-serif" w:hAnsi="Museo Sans 300;sans-serif"/>
          <w:b w:val="false"/>
          <w:color w:val="000000"/>
          <w:sz w:val="20"/>
        </w:rPr>
        <w:t>revenues decreased 13% to $109.2 million, primarily reflecting continued pressure on school and district spending for supplemental curriculum materials. Segment operating income was $27.0 million, which included one-time charges of $0.9 million, compared to $30.7 million in the prior year period, which included one-time charges of $0.6 million. Excluding one-time charges, adjusted operating income decreased by $3.4 million, as a result of lower revenues, partly offset by benefits from the segment’s improved cost structure. While fourth-quarter revenues remained below the prior year, the rate of decline improved in the second half of fiscal 2026 compared to the first half of the year, as the segment advanced its product, marketing and sales strategies following its repositioning.</w:t>
      </w:r>
    </w:p>
    <w:p>
      <w:pPr>
        <w:pStyle w:val="TextBody"/>
        <w:bidi w:val="0"/>
        <w:spacing w:before="0" w:after="0"/>
        <w:jc w:val="both"/>
        <w:rPr/>
      </w:pPr>
      <w:r>
        <w:rPr/>
      </w:r>
    </w:p>
    <w:p>
      <w:pPr>
        <w:pStyle w:val="TextBody"/>
        <w:bidi w:val="0"/>
        <w:spacing w:lineRule="auto" w:line="268" w:before="0" w:after="180"/>
        <w:jc w:val="both"/>
        <w:rPr>
          <w:rFonts w:ascii="Museo Sans 300;sans-serif" w:hAnsi="Museo Sans 300;sans-serif"/>
          <w:b w:val="false"/>
          <w:i/>
          <w:color w:val="000000"/>
          <w:sz w:val="20"/>
        </w:rPr>
      </w:pPr>
      <w:r>
        <w:rPr>
          <w:rFonts w:ascii="Museo Sans 300;sans-serif" w:hAnsi="Museo Sans 300;sans-serif"/>
          <w:b w:val="false"/>
          <w:i/>
          <w:color w:val="000000"/>
          <w:sz w:val="20"/>
        </w:rPr>
        <w:t>Entertainment</w:t>
      </w:r>
    </w:p>
    <w:p>
      <w:pPr>
        <w:pStyle w:val="TextBody"/>
        <w:bidi w:val="0"/>
        <w:spacing w:lineRule="auto" w:line="288" w:before="0" w:after="180"/>
        <w:jc w:val="both"/>
        <w:rPr/>
      </w:pPr>
      <w:r>
        <w:rPr>
          <w:rFonts w:ascii="Museo Sans 300;sans-serif" w:hAnsi="Museo Sans 300;sans-serif"/>
          <w:b w:val="false"/>
          <w:color w:val="000000"/>
          <w:sz w:val="20"/>
        </w:rPr>
        <w:t>Segment revenues increased 42% to $21.0 million, reflecting higher production services revenues</w:t>
      </w:r>
      <w:r>
        <w:rPr>
          <w:rFonts w:ascii="Museo Sans 300;sans-serif" w:hAnsi="Museo Sans 300;sans-serif"/>
          <w:b w:val="false"/>
          <w:color w:val="EE2724"/>
          <w:sz w:val="20"/>
        </w:rPr>
        <w:t>.</w:t>
      </w:r>
      <w:r>
        <w:rPr>
          <w:color w:val="000000"/>
        </w:rPr>
        <w:t xml:space="preserve"> </w:t>
      </w:r>
      <w:r>
        <w:rPr>
          <w:rFonts w:ascii="Museo Sans 300;sans-serif" w:hAnsi="Museo Sans 300;sans-serif"/>
          <w:b w:val="false"/>
          <w:color w:val="000000"/>
          <w:sz w:val="20"/>
        </w:rPr>
        <w:t>Segment operating income was $0.4 million, which included one-time charges of $0.4 million, compared to an operating loss of $3.0 million in the prior year period, which included one-time charges of $0.9 million. Excluding one-time charges, adjusted segment operating income improved $2.9 million to $0.8 million, primarily reflecting higher revenues.</w:t>
      </w:r>
    </w:p>
    <w:p>
      <w:pPr>
        <w:pStyle w:val="TextBody"/>
        <w:bidi w:val="0"/>
        <w:spacing w:lineRule="auto" w:line="288" w:before="0" w:after="180"/>
        <w:jc w:val="both"/>
        <w:rPr>
          <w:rFonts w:ascii="Museo Sans 300;sans-serif" w:hAnsi="Museo Sans 300;sans-serif"/>
          <w:b w:val="false"/>
          <w:i/>
          <w:color w:val="000000"/>
          <w:sz w:val="20"/>
        </w:rPr>
      </w:pPr>
      <w:r>
        <w:rPr>
          <w:rFonts w:ascii="Museo Sans 300;sans-serif" w:hAnsi="Museo Sans 300;sans-serif"/>
          <w:b w:val="false"/>
          <w:i/>
          <w:color w:val="000000"/>
          <w:sz w:val="20"/>
        </w:rPr>
        <w:t>International</w:t>
      </w:r>
    </w:p>
    <w:p>
      <w:pPr>
        <w:pStyle w:val="TextBody"/>
        <w:bidi w:val="0"/>
        <w:spacing w:lineRule="auto" w:line="288" w:before="0" w:after="0"/>
        <w:jc w:val="both"/>
        <w:rPr/>
      </w:pPr>
      <w:r>
        <w:rPr>
          <w:rFonts w:ascii="Museo Sans 300;sans-serif" w:hAnsi="Museo Sans 300;sans-serif"/>
          <w:b w:val="false"/>
          <w:i/>
          <w:color w:val="000000"/>
          <w:sz w:val="20"/>
        </w:rPr>
        <w:t>International</w:t>
      </w:r>
      <w:r>
        <w:rPr>
          <w:color w:val="000000"/>
        </w:rPr>
        <w:t xml:space="preserve"> </w:t>
      </w:r>
      <w:r>
        <w:rPr>
          <w:rFonts w:ascii="Museo Sans 300;sans-serif" w:hAnsi="Museo Sans 300;sans-serif"/>
          <w:b w:val="false"/>
          <w:color w:val="000000"/>
          <w:sz w:val="20"/>
        </w:rPr>
        <w:t>revenues decreased 13% to $69.6 million, excluding favorable foreign currency exchange of $3.1 million, primarily reflecting lower Trade revenues against a more challenging comparison with the prior-year publishing schedule. Segment operating income was $2.9 million, which included one-time charges of $0.2 million, compared to $3.7 million in the prior year period, which included one-time charges of $2.4 million. Excluding one-time charges, adjusted operating income decreased by $3.0 million to $3.1 million primarily reflecting lower revenues, partly offset by cost management.</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i/>
          <w:color w:val="000000"/>
          <w:sz w:val="20"/>
        </w:rPr>
      </w:pPr>
      <w:r>
        <w:rPr>
          <w:rFonts w:ascii="Museo Sans 300;sans-serif" w:hAnsi="Museo Sans 300;sans-serif"/>
          <w:b w:val="false"/>
          <w:i/>
          <w:color w:val="000000"/>
          <w:sz w:val="20"/>
        </w:rPr>
        <w:t>Overhead</w:t>
      </w:r>
    </w:p>
    <w:p>
      <w:pPr>
        <w:pStyle w:val="TextBody"/>
        <w:bidi w:val="0"/>
        <w:spacing w:before="0" w:after="0"/>
        <w:jc w:val="both"/>
        <w:rPr/>
      </w:pPr>
      <w:r>
        <w:rPr/>
      </w:r>
    </w:p>
    <w:p>
      <w:pPr>
        <w:pStyle w:val="TextBody"/>
        <w:bidi w:val="0"/>
        <w:spacing w:lineRule="auto" w:line="288"/>
        <w:jc w:val="both"/>
        <w:rPr>
          <w:rFonts w:ascii="Museo Sans 300;sans-serif" w:hAnsi="Museo Sans 300;sans-serif"/>
          <w:b w:val="false"/>
          <w:color w:val="000000"/>
          <w:sz w:val="20"/>
        </w:rPr>
      </w:pPr>
      <w:r>
        <w:rPr>
          <w:rFonts w:ascii="Museo Sans 300;sans-serif" w:hAnsi="Museo Sans 300;sans-serif"/>
          <w:b w:val="false"/>
          <w:color w:val="000000"/>
          <w:sz w:val="20"/>
        </w:rPr>
        <w:t xml:space="preserve">Overhead costs were $39.2 million, which included one-time charges of $5.4 million, compared to $35.5 million in the prior year period, which included one-time charges of $5.4 million. Excluding one-time charges, adjusted overhead costs increased $3.7 million to $33.8 million. On a comparable basis,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w:t>
                      </w:r>
                    </w:p>
                  </w:txbxContent>
                </v:textbox>
                <w10:wrap type="none"/>
              </v:rect>
            </w:pict>
          </mc:Fallback>
        </mc:AlternateContent>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reflecting the pro forma impact of the sale-leaseback transactions in both periods, adjusted overhead costs were approximately in line with the prior-year period.</w:t>
      </w:r>
    </w:p>
    <w:p>
      <w:pPr>
        <w:pStyle w:val="TextBody"/>
        <w:bidi w:val="0"/>
        <w:spacing w:before="0" w:after="0"/>
        <w:jc w:val="both"/>
        <w:rPr/>
      </w:pPr>
      <w:r>
        <w:rPr/>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 xml:space="preserve">Fiscal 2026 Full Year Review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87"/>
        <w:gridCol w:w="1014"/>
        <w:gridCol w:w="1016"/>
        <w:gridCol w:w="188"/>
        <w:gridCol w:w="188"/>
        <w:gridCol w:w="188"/>
        <w:gridCol w:w="575"/>
        <w:gridCol w:w="575"/>
        <w:gridCol w:w="194"/>
        <w:gridCol w:w="141"/>
        <w:gridCol w:w="141"/>
        <w:gridCol w:w="141"/>
        <w:gridCol w:w="188"/>
        <w:gridCol w:w="188"/>
        <w:gridCol w:w="188"/>
        <w:gridCol w:w="575"/>
        <w:gridCol w:w="575"/>
        <w:gridCol w:w="194"/>
        <w:gridCol w:w="141"/>
        <w:gridCol w:w="141"/>
        <w:gridCol w:w="141"/>
        <w:gridCol w:w="141"/>
        <w:gridCol w:w="141"/>
        <w:gridCol w:w="141"/>
        <w:gridCol w:w="407"/>
        <w:gridCol w:w="408"/>
        <w:gridCol w:w="141"/>
        <w:gridCol w:w="262"/>
        <w:gridCol w:w="264"/>
        <w:gridCol w:w="421"/>
      </w:tblGrid>
      <w:tr>
        <w:trPr/>
        <w:tc>
          <w:tcPr>
            <w:tcW w:w="118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 $ millions (except per share data)</w:t>
            </w:r>
          </w:p>
        </w:tc>
        <w:tc>
          <w:tcPr>
            <w:tcW w:w="42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Museo Sans 700;sans-serif" w:hAnsi="Museo Sans 700;sans-serif"/>
                <w:b/>
                <w:color w:val="000000"/>
                <w:sz w:val="18"/>
              </w:rPr>
            </w:pPr>
            <w:r>
              <w:rPr>
                <w:rFonts w:ascii="Museo Sans 700;sans-serif" w:hAnsi="Museo Sans 700;sans-serif"/>
                <w:b/>
                <w:color w:val="000000"/>
                <w:sz w:val="18"/>
              </w:rPr>
              <w:t>Full Year</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Fiscal 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Fiscal 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r>
      <w:tr>
        <w:trPr/>
        <w:tc>
          <w:tcPr>
            <w:tcW w:w="3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1,581.9 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1,625.5 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(43.6)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Earnings (loss) before taxes</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Diluted earnings (loss) per share</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Operating income (loss), ex. one-time items* </w:t>
            </w:r>
            <w:r>
              <w:rPr>
                <w:rFonts w:ascii="Museo Sans 300;sans-serif" w:hAnsi="Museo Sans 300;sans-serif"/>
                <w:b w:val="false"/>
                <w:color w:val="000000"/>
                <w:sz w:val="12"/>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32 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both"/>
              <w:rPr>
                <w:rFonts w:ascii="Museo Sans 300;sans-serif" w:hAnsi="Museo Sans 300;sans-serif"/>
                <w:b w:val="false"/>
                <w:color w:val="000000"/>
                <w:sz w:val="18"/>
              </w:rPr>
            </w:pPr>
            <w:r>
              <w:rPr>
                <w:rFonts w:ascii="Museo Sans 300;sans-serif" w:hAnsi="Museo Sans 300;sans-serif"/>
                <w:b w:val="false"/>
                <w:color w:val="000000"/>
                <w:sz w:val="18"/>
              </w:rPr>
              <w:t>Diluted earnings (loss) per share, ex. one-time items*</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Adjusted EBITDA* </w:t>
            </w:r>
            <w:r>
              <w:rPr>
                <w:rFonts w:ascii="Museo Sans 300;sans-serif" w:hAnsi="Museo Sans 300;sans-serif"/>
                <w:b w:val="false"/>
                <w:color w:val="000000"/>
                <w:sz w:val="12"/>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Pro forma Adjusted operating income*</w:t>
            </w:r>
            <w:r>
              <w:rPr>
                <w:color w:val="000000"/>
              </w:rPr>
              <w:t xml:space="preserve"> </w:t>
            </w:r>
            <w:r>
              <w:rPr>
                <w:rFonts w:ascii="Museo Sans 300;sans-serif" w:hAnsi="Museo Sans 300;sans-serif"/>
                <w:b w:val="false"/>
                <w:color w:val="000000"/>
                <w:sz w:val="12"/>
              </w:rPr>
              <w:t>(2)</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77 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321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Pro forma Adjusted EBITDA* </w:t>
            </w:r>
            <w:r>
              <w:rPr>
                <w:rFonts w:ascii="Museo Sans 300;sans-serif" w:hAnsi="Museo Sans 300;sans-serif"/>
                <w:b w:val="false"/>
                <w:color w:val="000000"/>
                <w:sz w:val="12"/>
              </w:rPr>
              <w:t>(2)</w:t>
            </w:r>
          </w:p>
        </w:tc>
        <w:tc>
          <w:tcPr>
            <w:tcW w:w="5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132.4 </w:t>
            </w:r>
          </w:p>
        </w:tc>
        <w:tc>
          <w:tcPr>
            <w:tcW w:w="19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115.3 </w:t>
            </w:r>
          </w:p>
        </w:tc>
        <w:tc>
          <w:tcPr>
            <w:tcW w:w="19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1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17.1 </w:t>
            </w:r>
          </w:p>
        </w:tc>
        <w:tc>
          <w:tcPr>
            <w:tcW w:w="1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15 </w:t>
            </w:r>
          </w:p>
        </w:tc>
        <w:tc>
          <w:tcPr>
            <w:tcW w:w="4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0205" w:type="dxa"/>
            <w:gridSpan w:val="30"/>
            <w:tcBorders/>
            <w:tcMar>
              <w:top w:w="0" w:type="dxa"/>
              <w:left w:w="0" w:type="dxa"/>
              <w:bottom w:w="0" w:type="dxa"/>
              <w:right w:w="0" w:type="dxa"/>
            </w:tcMar>
            <w:vAlign w:val="center"/>
          </w:tcPr>
          <w:p>
            <w:pPr>
              <w:pStyle w:val="TableContents"/>
              <w:bidi w:val="0"/>
              <w:spacing w:lineRule="auto" w:line="256" w:before="0" w:after="0"/>
              <w:jc w:val="both"/>
              <w:rPr>
                <w:rFonts w:ascii="Museo Sans 300;sans-serif" w:hAnsi="Museo Sans 300;sans-serif"/>
                <w:b w:val="false"/>
                <w:color w:val="000000"/>
                <w:sz w:val="16"/>
              </w:rPr>
            </w:pPr>
            <w:r>
              <w:rPr>
                <w:rFonts w:ascii="Museo Sans 300;sans-serif" w:hAnsi="Museo Sans 300;sans-serif"/>
                <w:b w:val="false"/>
                <w:color w:val="000000"/>
                <w:sz w:val="16"/>
              </w:rPr>
              <w:t>* Please refer to the non-GAAP financial tables attached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(1) Fiscal 2026 full-year Operating income excluding one-time items and Adjusted EBITDA include net costs of $7.2 and $14.5, respectively, related to the sale-leaseback transactions completed in December 2025.</w:t>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(2) Pro forma Adjusted operating income and Pro forma Adjusted EBITDA reflect the full-period impact of the sale-leaseback transactions in each period presented. The Company refers to these measures in this release as results “on a comparable basis.” See Table 7 for the reconciliation to Adjusted operating income and Adjusted EBITDA.</w:t>
            </w:r>
          </w:p>
        </w:tc>
      </w:tr>
    </w:tbl>
    <w:p>
      <w:pPr>
        <w:pStyle w:val="TextBody"/>
        <w:bidi w:val="0"/>
        <w:spacing w:before="0" w:after="0"/>
        <w:jc w:val="left"/>
        <w:rPr/>
      </w:pPr>
      <w:r>
        <w:rPr/>
      </w:r>
    </w:p>
    <w:p>
      <w:pPr>
        <w:pStyle w:val="TextBody"/>
        <w:bidi w:val="0"/>
        <w:spacing w:lineRule="auto" w:line="288" w:before="0" w:after="0"/>
        <w:jc w:val="both"/>
        <w:rPr/>
      </w:pPr>
      <w:r>
        <w:rPr>
          <w:rFonts w:ascii="Museo Sans 700;sans-serif" w:hAnsi="Museo Sans 700;sans-serif"/>
          <w:b/>
          <w:color w:val="000000"/>
          <w:sz w:val="20"/>
        </w:rPr>
        <w:t>Revenues</w:t>
      </w:r>
      <w:r>
        <w:rPr>
          <w:color w:val="000000"/>
        </w:rPr>
        <w:t xml:space="preserve"> </w:t>
      </w:r>
      <w:r>
        <w:rPr>
          <w:rFonts w:ascii="Museo Sans 300;sans-serif" w:hAnsi="Museo Sans 300;sans-serif"/>
          <w:b w:val="false"/>
          <w:color w:val="000000"/>
          <w:sz w:val="20"/>
        </w:rPr>
        <w:t xml:space="preserve">decreased 3% to $1,581.9 million, primarily reflecting lower revenues in </w:t>
      </w:r>
      <w:r>
        <w:rPr>
          <w:rFonts w:ascii="Museo Sans 300;sans-serif" w:hAnsi="Museo Sans 300;sans-serif"/>
          <w:b w:val="false"/>
          <w:i/>
          <w:color w:val="000000"/>
          <w:sz w:val="20"/>
        </w:rPr>
        <w:t>Education</w:t>
      </w:r>
      <w:r>
        <w:rPr>
          <w:color w:val="000000"/>
        </w:rPr>
        <w:t xml:space="preserve"> </w:t>
      </w:r>
      <w:r>
        <w:rPr>
          <w:rFonts w:ascii="Museo Sans 300;sans-serif" w:hAnsi="Museo Sans 300;sans-serif"/>
          <w:b w:val="false"/>
          <w:color w:val="000000"/>
          <w:sz w:val="20"/>
        </w:rPr>
        <w:t xml:space="preserve">and lower Consolidated Trade revenues against a more challenging comparison with the prior-year publishing schedule, partly offset by strong performance in Book Fairs and higher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revenues.</w:t>
      </w:r>
    </w:p>
    <w:p>
      <w:pPr>
        <w:pStyle w:val="TextBody"/>
        <w:bidi w:val="0"/>
        <w:spacing w:before="0" w:after="0"/>
        <w:jc w:val="both"/>
        <w:rPr/>
      </w:pPr>
      <w:r>
        <w:rPr/>
      </w:r>
    </w:p>
    <w:p>
      <w:pPr>
        <w:pStyle w:val="TextBody"/>
        <w:bidi w:val="0"/>
        <w:spacing w:lineRule="auto" w:line="288" w:before="0" w:after="0"/>
        <w:jc w:val="both"/>
        <w:rPr/>
      </w:pPr>
      <w:r>
        <w:rPr>
          <w:rFonts w:ascii="Museo Sans 700;sans-serif" w:hAnsi="Museo Sans 700;sans-serif"/>
          <w:b/>
          <w:color w:val="000000"/>
          <w:sz w:val="20"/>
        </w:rPr>
        <w:t xml:space="preserve">Operating Income </w:t>
      </w:r>
      <w:r>
        <w:rPr>
          <w:rFonts w:ascii="Museo Sans 300;sans-serif" w:hAnsi="Museo Sans 300;sans-serif"/>
          <w:b w:val="false"/>
          <w:color w:val="000000"/>
          <w:sz w:val="20"/>
        </w:rPr>
        <w:t xml:space="preserve">decreased 4% to $15.2 million, compared to $15.8 million a year ago, including $31.9 million and $20.0 million in one-time charges in each period, respectively. Excluding one-time charges in both periods, adjusted operating income increased $11.3 million to $47.1 million. On a comparable basis, reflecting the full-year impact of the sale-leaseback transactions in both periods, adjusted operating income increased $15.4 million to $35.3 million, compared to $19.9 million in the prior year. Adjusted EBITDA increased $6.1 million, or 4%, to $151.5 million, in-line with the Company’s guidance. On the same comparable basis, Adjusted EBITDA increased 15%, or $17.1 million, to $132.4 million from $115.3 million. The improvement on a comparable basis primarily reflected strong performance in </w:t>
      </w:r>
      <w:r>
        <w:rPr>
          <w:rFonts w:ascii="Museo Sans 300;sans-serif" w:hAnsi="Museo Sans 300;sans-serif"/>
          <w:b w:val="false"/>
          <w:i/>
          <w:color w:val="000000"/>
          <w:sz w:val="20"/>
        </w:rPr>
        <w:t>Children’s Book Publishing and Distribution</w:t>
      </w:r>
      <w:r>
        <w:rPr>
          <w:color w:val="000000"/>
        </w:rPr>
        <w:t xml:space="preserve"> </w:t>
      </w:r>
      <w:r>
        <w:rPr>
          <w:rFonts w:ascii="Museo Sans 300;sans-serif" w:hAnsi="Museo Sans 300;sans-serif"/>
          <w:b w:val="false"/>
          <w:color w:val="000000"/>
          <w:sz w:val="20"/>
        </w:rPr>
        <w:t xml:space="preserve">and </w:t>
      </w:r>
      <w:r>
        <w:rPr>
          <w:rFonts w:ascii="Museo Sans 300;sans-serif" w:hAnsi="Museo Sans 300;sans-serif"/>
          <w:b w:val="false"/>
          <w:i/>
          <w:color w:val="000000"/>
          <w:sz w:val="20"/>
        </w:rPr>
        <w:t>International,</w:t>
      </w:r>
      <w:r>
        <w:rPr>
          <w:color w:val="000000"/>
        </w:rPr>
        <w:t xml:space="preserve"> </w:t>
      </w:r>
      <w:r>
        <w:rPr>
          <w:rFonts w:ascii="Museo Sans 300;sans-serif" w:hAnsi="Museo Sans 300;sans-serif"/>
          <w:b w:val="false"/>
          <w:color w:val="000000"/>
          <w:sz w:val="20"/>
        </w:rPr>
        <w:t xml:space="preserve">as well as lower adjusted overhead costs, which more than offset the impact of lower sales in </w:t>
      </w:r>
      <w:r>
        <w:rPr>
          <w:rFonts w:ascii="Museo Sans 300;sans-serif" w:hAnsi="Museo Sans 300;sans-serif"/>
          <w:b w:val="false"/>
          <w:i/>
          <w:color w:val="000000"/>
          <w:sz w:val="20"/>
        </w:rPr>
        <w:t>Education</w:t>
      </w:r>
      <w:r>
        <w:rPr>
          <w:rFonts w:ascii="Museo Sans 300;sans-serif" w:hAnsi="Museo Sans 300;sans-serif"/>
          <w:b w:val="false"/>
          <w:color w:val="000000"/>
          <w:sz w:val="20"/>
        </w:rPr>
        <w:t>.</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w:t>
                      </w:r>
                    </w:p>
                  </w:txbxContent>
                </v:textbox>
                <w10:wrap type="none"/>
              </v:rect>
            </w:pict>
          </mc:Fallback>
        </mc:AlternateContent>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Capital Position and Liquidity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42"/>
        <w:gridCol w:w="1461"/>
        <w:gridCol w:w="1465"/>
        <w:gridCol w:w="164"/>
        <w:gridCol w:w="164"/>
        <w:gridCol w:w="164"/>
        <w:gridCol w:w="353"/>
        <w:gridCol w:w="353"/>
        <w:gridCol w:w="170"/>
        <w:gridCol w:w="109"/>
        <w:gridCol w:w="109"/>
        <w:gridCol w:w="109"/>
        <w:gridCol w:w="164"/>
        <w:gridCol w:w="164"/>
        <w:gridCol w:w="164"/>
        <w:gridCol w:w="381"/>
        <w:gridCol w:w="382"/>
        <w:gridCol w:w="170"/>
        <w:gridCol w:w="109"/>
        <w:gridCol w:w="109"/>
        <w:gridCol w:w="109"/>
        <w:gridCol w:w="109"/>
        <w:gridCol w:w="109"/>
        <w:gridCol w:w="109"/>
        <w:gridCol w:w="352"/>
        <w:gridCol w:w="354"/>
        <w:gridCol w:w="109"/>
        <w:gridCol w:w="262"/>
        <w:gridCol w:w="264"/>
        <w:gridCol w:w="322"/>
      </w:tblGrid>
      <w:tr>
        <w:trPr/>
        <w:tc>
          <w:tcPr>
            <w:tcW w:w="184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 $ millions</w:t>
            </w:r>
          </w:p>
        </w:tc>
        <w:tc>
          <w:tcPr>
            <w:tcW w:w="31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Museo Sans 700;sans-serif" w:hAnsi="Museo Sans 700;sans-serif"/>
                <w:b/>
                <w:color w:val="000000"/>
                <w:sz w:val="18"/>
              </w:rPr>
            </w:pPr>
            <w:r>
              <w:rPr>
                <w:rFonts w:ascii="Museo Sans 700;sans-serif" w:hAnsi="Museo Sans 700;sans-serif"/>
                <w:b/>
                <w:color w:val="000000"/>
                <w:sz w:val="18"/>
              </w:rPr>
              <w:t>Full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r>
      <w:tr>
        <w:trPr/>
        <w:tc>
          <w:tcPr>
            <w:tcW w:w="4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cash provided by operating activities</w:t>
            </w:r>
          </w:p>
        </w:tc>
        <w:tc>
          <w:tcPr>
            <w:tcW w:w="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(59)</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Net proceeds from sale and lease transactions </w:t>
            </w:r>
            <w:r>
              <w:rPr>
                <w:rFonts w:ascii="Museo Sans 300;sans-serif" w:hAnsi="Museo Sans 300;sans-serif"/>
                <w:b w:val="false"/>
                <w:color w:val="000000"/>
                <w:sz w:val="12"/>
              </w:rPr>
              <w:t>(1)</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Additions to property, plant and equipment and prepublication expenditures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(66.3)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(76.7)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Net borrowings (repayments) of film related obligations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4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both"/>
              <w:rPr>
                <w:rFonts w:ascii="Museo Sans 300;sans-serif" w:hAnsi="Museo Sans 300;sans-serif"/>
                <w:b w:val="false"/>
                <w:color w:val="000000"/>
                <w:sz w:val="18"/>
              </w:rPr>
            </w:pPr>
            <w:r>
              <w:rPr>
                <w:rFonts w:ascii="Museo Sans 300;sans-serif" w:hAnsi="Museo Sans 300;sans-serif"/>
                <w:b w:val="false"/>
                <w:color w:val="000000"/>
                <w:sz w:val="18"/>
              </w:rPr>
              <w:t>Free cash flow (use)*</w:t>
            </w:r>
          </w:p>
        </w:tc>
        <w:tc>
          <w:tcPr>
            <w:tcW w:w="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436.0 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both"/>
              <w:rPr>
                <w:rFonts w:ascii="Museo Sans 300;sans-serif" w:hAnsi="Museo Sans 300;sans-serif"/>
                <w:b w:val="false"/>
                <w:color w:val="000000"/>
                <w:sz w:val="18"/>
              </w:rPr>
            </w:pPr>
            <w:r>
              <w:rPr>
                <w:rFonts w:ascii="Museo Sans 300;sans-serif" w:hAnsi="Museo Sans 300;sans-serif"/>
                <w:b w:val="false"/>
                <w:color w:val="000000"/>
                <w:sz w:val="18"/>
              </w:rPr>
              <w:t>Net cash (debt)*</w:t>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(136.6)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136 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4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both"/>
              <w:rPr>
                <w:rFonts w:ascii="Museo Sans 300;sans-serif" w:hAnsi="Museo Sans 300;sans-serif"/>
                <w:b w:val="false"/>
                <w:color w:val="000000"/>
                <w:sz w:val="16"/>
              </w:rPr>
            </w:pPr>
            <w:r>
              <w:rPr>
                <w:rFonts w:ascii="Museo Sans 300;sans-serif" w:hAnsi="Museo Sans 300;sans-serif"/>
                <w:b w:val="false"/>
                <w:color w:val="000000"/>
                <w:sz w:val="16"/>
              </w:rPr>
              <w:t>NM - Not Meaningful</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56" w:before="0" w:after="283"/>
              <w:jc w:val="both"/>
              <w:rPr>
                <w:rFonts w:ascii="Museo Sans 300;sans-serif" w:hAnsi="Museo Sans 300;sans-serif"/>
                <w:b w:val="false"/>
                <w:color w:val="000000"/>
                <w:sz w:val="16"/>
              </w:rPr>
            </w:pPr>
            <w:r>
              <w:rPr>
                <w:rFonts w:ascii="Museo Sans 300;sans-serif" w:hAnsi="Museo Sans 300;sans-serif"/>
                <w:b w:val="false"/>
                <w:color w:val="000000"/>
                <w:sz w:val="16"/>
              </w:rPr>
              <w:t>* Please refer to the non-GAAP financial tables attached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56" w:before="0" w:after="283"/>
              <w:jc w:val="both"/>
              <w:rPr>
                <w:rFonts w:ascii="Museo Sans 300;sans-serif" w:hAnsi="Museo Sans 300;sans-serif"/>
                <w:b w:val="false"/>
                <w:color w:val="000000"/>
                <w:sz w:val="16"/>
              </w:rPr>
            </w:pPr>
            <w:r>
              <w:rPr>
                <w:rFonts w:ascii="Museo Sans 300;sans-serif" w:hAnsi="Museo Sans 300;sans-serif"/>
                <w:b w:val="false"/>
                <w:color w:val="000000"/>
                <w:sz w:val="16"/>
              </w:rPr>
              <w:t>(1) Excludes tax impact from sale-leaseback transactions.</w:t>
            </w:r>
          </w:p>
        </w:tc>
      </w:tr>
    </w:tbl>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Net cash provided by operating activities was $50.9 million, compared to $124.2 million in the prior year period, primarily reflecting higher tax payments associated with the sale-leaseback transactions, as well as higher severance-related payments as part of cost savings initiatives. Free cash flow was $436.0 million in fiscal 2026, compared to $29.2 million in the prior year period, primarily reflecting over $400 million in net proceeds from the Company’s sale-leaseback transactions.</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 xml:space="preserve">The Company ended fiscal 2026 with net cash of $48.9 million compared to a net debt position of $136.6 million at the end of fiscal 2025, primarily reflecting the net proceeds from the sale-leaseback transactions, partly offset by significant capital returns to shareholders. </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In fiscal 2026, the Company returned approximately $288.6 million to shareholders through share repurchases and dividends. This included the repurchase of 7,336,966 shares of common stock for $268.6 million, including shares purchased through the Company’s modified Dutch auction tender offer and open-market repurchases, and $20.0 million of dividends, including $4.6 million in the fourth quarter.</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At May 31, 2026, $183.0 million remained authorized for future repurchases under the Company’s stock repurchase program. The Company expects to continue purchasing shares, from time to time as conditions allow, on the open market or in negotiated private transactions.</w:t>
      </w:r>
    </w:p>
    <w:p>
      <w:pPr>
        <w:pStyle w:val="TextBody"/>
        <w:bidi w:val="0"/>
        <w:spacing w:before="0" w:after="0"/>
        <w:jc w:val="both"/>
        <w:rPr/>
      </w:pPr>
      <w:r>
        <w:rPr/>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Additional Information</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To supplement our financial statements presented in accordance with GAAP, we include certain non-GAAP calculations and presentations including, as noted above, “Adjusted EBITDA, ”Adjusted Operating Income”, and “Free Cash Flow”. Please refer to the non-GAAP financial tables attached to this press release for supporting details on the impact of one-time items on operating income, net income and diluted EPS, and the use of non-GAAP financial measures included in this release. This information should be considered as supplemental in nature and not as a substitute for the related financial information prepared in accordance with GAAP.</w:t>
      </w:r>
    </w:p>
    <w:p>
      <w:pPr>
        <w:pStyle w:val="TextBody"/>
        <w:bidi w:val="0"/>
        <w:spacing w:before="0" w:after="0"/>
        <w:jc w:val="both"/>
        <w:rPr/>
      </w:pPr>
      <w:r>
        <w:rPr/>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Conference Call</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shd w:fill="FFFFFF" w:val="clear"/>
        </w:rPr>
      </w:pPr>
      <w:r>
        <w:rPr>
          <w:rFonts w:ascii="Museo Sans 300;sans-serif" w:hAnsi="Museo Sans 300;sans-serif"/>
          <w:b w:val="false"/>
          <w:color w:val="000000"/>
          <w:sz w:val="20"/>
          <w:shd w:fill="FFFFFF" w:val="clear"/>
        </w:rPr>
        <w:t>The Company will hold a conference call to discuss its results at 4:30 p.m. ET today, July 23, 2026. Peter Warwick, Scholastic President and Chief Executive Officer, and Haji Glover, the Company’s Chief Financial Officer, Executive Vice President, will moderate the call.</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5</w:t>
                      </w:r>
                    </w:p>
                  </w:txbxContent>
                </v:textbox>
                <w10:wrap type="none"/>
              </v:rect>
            </w:pict>
          </mc:Fallback>
        </mc:AlternateContent>
      </w:r>
    </w:p>
    <w:p>
      <w:pPr>
        <w:pStyle w:val="TextBody"/>
        <w:bidi w:val="0"/>
        <w:spacing w:lineRule="auto" w:line="268" w:before="0" w:after="0"/>
        <w:jc w:val="left"/>
        <w:rPr/>
      </w:pPr>
      <w:r>
        <w:rPr>
          <w:rFonts w:ascii="Museo Sans 300;sans-serif" w:hAnsi="Museo Sans 300;sans-serif"/>
          <w:b w:val="false"/>
          <w:color w:val="000000"/>
          <w:sz w:val="20"/>
          <w:shd w:fill="FFFFFF" w:val="clear"/>
        </w:rPr>
        <w:t xml:space="preserve">A live webcast of the call can be accessed at </w:t>
      </w:r>
      <w:r>
        <w:rPr>
          <w:rFonts w:ascii="Museo Sans 300;sans-serif" w:hAnsi="Museo Sans 300;sans-serif"/>
          <w:b w:val="false"/>
          <w:color w:val="000000"/>
          <w:sz w:val="20"/>
        </w:rPr>
        <w:t>https://edge.media-server.com/mmc/p/n2mcunuo</w:t>
      </w:r>
      <w:r>
        <w:rPr>
          <w:rFonts w:ascii="Museo Sans 300;sans-serif" w:hAnsi="Museo Sans 300;sans-serif"/>
          <w:b w:val="false"/>
          <w:color w:val="000000"/>
          <w:sz w:val="20"/>
          <w:shd w:fill="FFFFFF" w:val="clear"/>
        </w:rPr>
        <w:t xml:space="preserve">. To access the conference call by phone, please go to </w:t>
      </w:r>
      <w:r>
        <w:rPr>
          <w:rFonts w:ascii="Museo Sans 300;sans-serif" w:hAnsi="Museo Sans 300;sans-serif"/>
          <w:b w:val="false"/>
          <w:color w:val="000000"/>
          <w:sz w:val="20"/>
        </w:rPr>
        <w:t>https://register-conf.media-server.com/register/BIe4453c04814b4def819b83eaf92a8731</w:t>
      </w:r>
      <w:r>
        <w:rPr>
          <w:rFonts w:ascii="Museo Sans 300;sans-serif" w:hAnsi="Museo Sans 300;sans-serif"/>
          <w:b w:val="false"/>
          <w:color w:val="000000"/>
          <w:sz w:val="20"/>
          <w:shd w:fill="FFFFFF" w:val="clear"/>
        </w:rPr>
        <w:t xml:space="preserve">, which will provide dial-in details. To avoid delays, participants are encouraged to dial into the conference call five minutes ahead of the scheduled start time. Shortly following the call, an archived webcast and accompanying slides from the conference call will be posted at investor.scholastic.com. </w:t>
      </w:r>
    </w:p>
    <w:p>
      <w:pPr>
        <w:pStyle w:val="TextBody"/>
        <w:bidi w:val="0"/>
        <w:spacing w:before="0" w:after="0"/>
        <w:jc w:val="both"/>
        <w:rPr/>
      </w:pPr>
      <w:r>
        <w:rPr/>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About Scholastic</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For more than 100 years, Scholastic Corporation (NASDAQ: SCHL) has been meeting children where they are – at school, at home and in their communities – by creating quality content and experiences, all beginning with literacy. Scholastic delivers stories, characters, and learning moments that empower all kids to become lifelong readers and learners through bestselling children’s books, literacy- and knowledge-building resources for schools including classroom magazines, and award-winning, entertaining children's media. As the world's largest publisher and distributor of children's books through school-based book clubs and book fairs, classroom libraries, school and public libraries, retail, and online, and with a global reach into more than 135 countries, Scholastic encourages the personal and intellectual growth of all children, while nurturing a lifelong relationship with reading, themselves, and the world around them. Learn more at www.scholastic.com.</w:t>
      </w:r>
    </w:p>
    <w:p>
      <w:pPr>
        <w:pStyle w:val="TextBody"/>
        <w:bidi w:val="0"/>
        <w:spacing w:before="0" w:after="0"/>
        <w:jc w:val="both"/>
        <w:rPr/>
      </w:pPr>
      <w:r>
        <w:rPr/>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Contact</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 xml:space="preserve">Investors: </w:t>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Mary Garofalo</w:t>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 xml:space="preserve">(212) 343-6741, investor_relations@scholastic.com </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 xml:space="preserve">Media: </w:t>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Anne Sparkman</w:t>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(212) 343-6657, asparkman@scholastic.com</w:t>
      </w:r>
    </w:p>
    <w:p>
      <w:pPr>
        <w:pStyle w:val="TextBody"/>
        <w:bidi w:val="0"/>
        <w:spacing w:before="0" w:after="0"/>
        <w:jc w:val="both"/>
        <w:rPr/>
      </w:pPr>
      <w:r>
        <w:rPr/>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 xml:space="preserve">This news release contains certain forward-looking statements relating to future periods. Such forward-looking statements are subject to various risks and uncertainties, including the conditions of the children’s book and educational materials markets generally and acceptance of the Company’s products within those markets, and other risks and factors identified from time to time in the Company’s filings with the Securities and Exchange Commission. Actual results could differ materially from those currently anticipated. </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20"/>
        </w:rPr>
      </w:pPr>
      <w:r>
        <w:rPr>
          <w:rFonts w:ascii="Museo Sans 300;sans-serif" w:hAnsi="Museo Sans 300;sans-serif"/>
          <w:b w:val="false"/>
          <w:color w:val="000000"/>
          <w:sz w:val="20"/>
        </w:rPr>
        <w:t>SCHL: Financial</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6</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491"/>
        <w:gridCol w:w="1125"/>
        <w:gridCol w:w="1130"/>
        <w:gridCol w:w="142"/>
        <w:gridCol w:w="142"/>
        <w:gridCol w:w="142"/>
        <w:gridCol w:w="436"/>
        <w:gridCol w:w="438"/>
        <w:gridCol w:w="142"/>
        <w:gridCol w:w="142"/>
        <w:gridCol w:w="142"/>
        <w:gridCol w:w="142"/>
        <w:gridCol w:w="436"/>
        <w:gridCol w:w="438"/>
        <w:gridCol w:w="142"/>
        <w:gridCol w:w="135"/>
        <w:gridCol w:w="135"/>
        <w:gridCol w:w="135"/>
        <w:gridCol w:w="144"/>
        <w:gridCol w:w="144"/>
        <w:gridCol w:w="144"/>
        <w:gridCol w:w="485"/>
        <w:gridCol w:w="485"/>
        <w:gridCol w:w="144"/>
        <w:gridCol w:w="144"/>
        <w:gridCol w:w="144"/>
        <w:gridCol w:w="144"/>
        <w:gridCol w:w="485"/>
        <w:gridCol w:w="485"/>
        <w:gridCol w:w="222"/>
      </w:tblGrid>
      <w:tr>
        <w:trPr/>
        <w:tc>
          <w:tcPr>
            <w:tcW w:w="149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Table 1</w:t>
            </w:r>
          </w:p>
        </w:tc>
      </w:tr>
      <w:tr>
        <w:trPr/>
        <w:tc>
          <w:tcPr>
            <w:tcW w:w="10205" w:type="dxa"/>
            <w:gridSpan w:val="30"/>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Scholastic Corporation</w:t>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Consolidated Statements of Operations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(Unaudited)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 $ Millions, except shares and per share data)</w:t>
            </w:r>
          </w:p>
        </w:tc>
      </w:tr>
      <w:tr>
        <w:trPr/>
        <w:tc>
          <w:tcPr>
            <w:tcW w:w="10205" w:type="dxa"/>
            <w:gridSpan w:val="30"/>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Twelve months ended</w:t>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c>
          <w:tcPr>
            <w:tcW w:w="14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c>
          <w:tcPr>
            <w:tcW w:w="162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r>
      <w:tr>
        <w:trPr/>
        <w:tc>
          <w:tcPr>
            <w:tcW w:w="3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Revenues</w:t>
            </w:r>
          </w:p>
        </w:tc>
        <w:tc>
          <w:tcPr>
            <w:tcW w:w="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476.1</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508.3</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1,581.9</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1,625.5</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costs and expenses: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Cost of goods sold</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689.8 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718.8 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Selling, general and administrative expenses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822.3 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Depreciation and amortization</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65.7 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Asset impairments and write downs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Total operating costs and expenses</w:t>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424.7 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454.8 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1,566.7 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1,609.7 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Operating income (loss)</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51.4</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53.5</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15.2</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Interest income (expense), net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components of net periodic benefit (cost)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Loss on sale of investments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Gain (loss) on sale and leaseback transactions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Earnings (loss) before income taxes</w:t>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14.5</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48.9</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85.2</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Provision (benefit) for income taxes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Net income (loss)</w:t>
            </w:r>
          </w:p>
        </w:tc>
        <w:tc>
          <w:tcPr>
            <w:tcW w:w="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9.4</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15.4</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56.7</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(1.9)</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 xml:space="preserve">Basic and diluted earnings (loss) per share of Class A and Common Stock </w:t>
            </w:r>
            <w:r>
              <w:rPr>
                <w:rFonts w:ascii="Museo Sans 700;sans-serif" w:hAnsi="Museo Sans 700;sans-serif"/>
                <w:b/>
                <w:color w:val="000000"/>
                <w:sz w:val="12"/>
              </w:rPr>
              <w:t>(1)</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Basic </w:t>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Diluted</w:t>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Basic weighted average shares outstanding</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20,343 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26,113 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23,698 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27,631 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Diluted weighted average shares outstanding</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20,992 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26,209 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24,222 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27,907 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6459" w:type="dxa"/>
            <w:gridSpan w:val="27"/>
            <w:tcBorders/>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6459" w:type="dxa"/>
            <w:gridSpan w:val="27"/>
            <w:tcBorders/>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6459" w:type="dxa"/>
            <w:gridSpan w:val="27"/>
            <w:tcBorders/>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6459" w:type="dxa"/>
            <w:gridSpan w:val="27"/>
            <w:tcBorders/>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6459" w:type="dxa"/>
            <w:gridSpan w:val="27"/>
            <w:tcBorders/>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6459" w:type="dxa"/>
            <w:gridSpan w:val="27"/>
            <w:tcBorders/>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ind w:left="0" w:right="0" w:hanging="245"/>
              <w:jc w:val="left"/>
              <w:rPr>
                <w:sz w:val="4"/>
                <w:szCs w:val="4"/>
              </w:rPr>
            </w:pPr>
            <w:r>
              <w:rPr>
                <w:sz w:val="4"/>
                <w:szCs w:val="4"/>
              </w:rPr>
            </w:r>
          </w:p>
        </w:tc>
        <w:tc>
          <w:tcPr>
            <w:tcW w:w="6459" w:type="dxa"/>
            <w:gridSpan w:val="27"/>
            <w:tcBorders/>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(1) Earnings (loss) per share are calculated on non-rounded net income (loss) and shares outstanding. Recalculating earnings per share based on numbers rounded to millions may not yield the results as presented.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7</w:t>
                      </w:r>
                    </w:p>
                  </w:txbxContent>
                </v:textbox>
                <w10:wrap type="none"/>
              </v:rect>
            </w:pict>
          </mc:Fallback>
        </mc:AlternateContent>
      </w:r>
    </w:p>
    <w:tbl>
      <w:tblPr>
        <w:tblW w:w="10982" w:type="dxa"/>
        <w:jc w:val="left"/>
        <w:tblInd w:w="0" w:type="dxa"/>
        <w:tblLayout w:type="fixed"/>
        <w:tblCellMar>
          <w:top w:w="28" w:type="dxa"/>
          <w:left w:w="28" w:type="dxa"/>
          <w:bottom w:w="28" w:type="dxa"/>
          <w:right w:w="28" w:type="dxa"/>
        </w:tblCellMar>
      </w:tblPr>
      <w:tblGrid>
        <w:gridCol w:w="759"/>
        <w:gridCol w:w="430"/>
        <w:gridCol w:w="432"/>
        <w:gridCol w:w="109"/>
        <w:gridCol w:w="109"/>
        <w:gridCol w:w="109"/>
        <w:gridCol w:w="353"/>
        <w:gridCol w:w="353"/>
        <w:gridCol w:w="286"/>
        <w:gridCol w:w="109"/>
        <w:gridCol w:w="109"/>
        <w:gridCol w:w="109"/>
        <w:gridCol w:w="353"/>
        <w:gridCol w:w="353"/>
        <w:gridCol w:w="286"/>
        <w:gridCol w:w="109"/>
        <w:gridCol w:w="109"/>
        <w:gridCol w:w="109"/>
        <w:gridCol w:w="299"/>
        <w:gridCol w:w="302"/>
        <w:gridCol w:w="109"/>
        <w:gridCol w:w="268"/>
        <w:gridCol w:w="273"/>
        <w:gridCol w:w="286"/>
        <w:gridCol w:w="109"/>
        <w:gridCol w:w="109"/>
        <w:gridCol w:w="109"/>
        <w:gridCol w:w="109"/>
        <w:gridCol w:w="109"/>
        <w:gridCol w:w="109"/>
        <w:gridCol w:w="353"/>
        <w:gridCol w:w="353"/>
        <w:gridCol w:w="286"/>
        <w:gridCol w:w="109"/>
        <w:gridCol w:w="109"/>
        <w:gridCol w:w="109"/>
        <w:gridCol w:w="353"/>
        <w:gridCol w:w="353"/>
        <w:gridCol w:w="286"/>
        <w:gridCol w:w="109"/>
        <w:gridCol w:w="109"/>
        <w:gridCol w:w="109"/>
        <w:gridCol w:w="299"/>
        <w:gridCol w:w="302"/>
        <w:gridCol w:w="109"/>
        <w:gridCol w:w="262"/>
        <w:gridCol w:w="264"/>
        <w:gridCol w:w="331"/>
      </w:tblGrid>
      <w:tr>
        <w:trPr/>
        <w:tc>
          <w:tcPr>
            <w:tcW w:w="75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982"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Table 2</w:t>
            </w:r>
          </w:p>
        </w:tc>
      </w:tr>
      <w:tr>
        <w:trPr/>
        <w:tc>
          <w:tcPr>
            <w:tcW w:w="10982" w:type="dxa"/>
            <w:gridSpan w:val="48"/>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2" w:type="dxa"/>
            <w:gridSpan w:val="4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Scholastic Corporation </w:t>
            </w:r>
          </w:p>
        </w:tc>
      </w:tr>
      <w:tr>
        <w:trPr/>
        <w:tc>
          <w:tcPr>
            <w:tcW w:w="10982" w:type="dxa"/>
            <w:gridSpan w:val="4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Segment Results, Excluding One-Time Items</w:t>
            </w:r>
          </w:p>
        </w:tc>
      </w:tr>
      <w:tr>
        <w:trPr/>
        <w:tc>
          <w:tcPr>
            <w:tcW w:w="10982" w:type="dxa"/>
            <w:gridSpan w:val="4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(Unaudited)</w:t>
            </w:r>
          </w:p>
        </w:tc>
      </w:tr>
      <w:tr>
        <w:trPr/>
        <w:tc>
          <w:tcPr>
            <w:tcW w:w="10982" w:type="dxa"/>
            <w:gridSpan w:val="4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 $ Millions)</w:t>
            </w:r>
          </w:p>
        </w:tc>
      </w:tr>
      <w:tr>
        <w:trPr/>
        <w:tc>
          <w:tcPr>
            <w:tcW w:w="10982" w:type="dxa"/>
            <w:gridSpan w:val="4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18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Twelve months ended</w:t>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c>
          <w:tcPr>
            <w:tcW w:w="131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c>
          <w:tcPr>
            <w:tcW w:w="10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c>
          <w:tcPr>
            <w:tcW w:w="131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c>
          <w:tcPr>
            <w:tcW w:w="10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r>
      <w:tr>
        <w:trPr/>
        <w:tc>
          <w:tcPr>
            <w:tcW w:w="1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Children’s Book Publishing and Distribution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Book Clubs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Book Fairs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548.3 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School Reading Events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198.8 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190.9 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633.1 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Consolidated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288.2 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964.2 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963.9 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 ex. one-time items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Adjusted operating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 ex. one-time items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Adjusted 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 ex. one-time items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Adjusted operating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 ex. one-time items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Adjusted 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Overhead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(36)</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 ex. one-time items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(98.1)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Operating income (loss) ex. one-time items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58.3</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63.4</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(8)</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47.1</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35.8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32</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Adjusted operating margin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12.2</w:t>
            </w:r>
            <w:r>
              <w:rPr>
                <w:color w:val="000000"/>
              </w:rPr>
              <w:t>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12.5</w:t>
            </w:r>
            <w:r>
              <w:rPr>
                <w:color w:val="000000"/>
              </w:rPr>
              <w:t>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3.0</w:t>
            </w:r>
            <w:r>
              <w:rPr>
                <w:color w:val="000000"/>
              </w:rPr>
              <w:t>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2.2</w:t>
            </w:r>
            <w:r>
              <w:rPr>
                <w:color w:val="000000"/>
              </w:rPr>
              <w:t>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82" w:type="dxa"/>
            <w:gridSpan w:val="4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NM - Not meaningful</w:t>
            </w:r>
          </w:p>
        </w:tc>
      </w:tr>
      <w:tr>
        <w:trPr/>
        <w:tc>
          <w:tcPr>
            <w:tcW w:w="10982"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 Please refer to Table 4 for one-time items and a reconciliation of the non-GAAP financials.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36"/>
        <w:gridCol w:w="966"/>
        <w:gridCol w:w="969"/>
        <w:gridCol w:w="160"/>
        <w:gridCol w:w="160"/>
        <w:gridCol w:w="160"/>
        <w:gridCol w:w="460"/>
        <w:gridCol w:w="460"/>
        <w:gridCol w:w="160"/>
        <w:gridCol w:w="160"/>
        <w:gridCol w:w="160"/>
        <w:gridCol w:w="160"/>
        <w:gridCol w:w="484"/>
        <w:gridCol w:w="485"/>
        <w:gridCol w:w="160"/>
        <w:gridCol w:w="142"/>
        <w:gridCol w:w="142"/>
        <w:gridCol w:w="142"/>
        <w:gridCol w:w="174"/>
        <w:gridCol w:w="174"/>
        <w:gridCol w:w="174"/>
        <w:gridCol w:w="469"/>
        <w:gridCol w:w="471"/>
        <w:gridCol w:w="174"/>
        <w:gridCol w:w="174"/>
        <w:gridCol w:w="174"/>
        <w:gridCol w:w="174"/>
        <w:gridCol w:w="460"/>
        <w:gridCol w:w="460"/>
        <w:gridCol w:w="261"/>
      </w:tblGrid>
      <w:tr>
        <w:trPr/>
        <w:tc>
          <w:tcPr>
            <w:tcW w:w="133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Table 3</w:t>
            </w:r>
          </w:p>
        </w:tc>
      </w:tr>
      <w:tr>
        <w:trPr/>
        <w:tc>
          <w:tcPr>
            <w:tcW w:w="10205" w:type="dxa"/>
            <w:gridSpan w:val="30"/>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Scholastic Corporation</w:t>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Supplemental Information</w:t>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(Unaudited)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 $ Millions)</w:t>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Selected Balance Sheet Items</w:t>
            </w:r>
          </w:p>
        </w:tc>
      </w:tr>
      <w:tr>
        <w:trPr/>
        <w:tc>
          <w:tcPr>
            <w:tcW w:w="3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c>
          <w:tcPr>
            <w:tcW w:w="160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Cash and cash equivalents</w:t>
            </w:r>
          </w:p>
        </w:tc>
        <w:tc>
          <w:tcPr>
            <w:tcW w:w="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134.9 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Accounts receivable, net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Inventories, net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Accounts payable</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Deferred revenue</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Accrued royalties</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Film related obligations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Lines of credit and long-term debt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Net cash (debt) </w:t>
            </w:r>
            <w:r>
              <w:rPr>
                <w:rFonts w:ascii="Museo Sans 300;sans-serif" w:hAnsi="Museo Sans 300;sans-serif"/>
                <w:b w:val="false"/>
                <w:color w:val="000000"/>
                <w:sz w:val="12"/>
              </w:rPr>
              <w:t>(1)</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Total stockholders’ equity</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750.8 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946.5 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Selected Cash Flow Items</w:t>
            </w:r>
          </w:p>
        </w:tc>
      </w:tr>
      <w:tr>
        <w:trPr/>
        <w:tc>
          <w:tcPr>
            <w:tcW w:w="3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Twelve months ended</w:t>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c>
          <w:tcPr>
            <w:tcW w:w="160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c>
          <w:tcPr>
            <w:tcW w:w="17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05/31/25</w:t>
            </w:r>
          </w:p>
        </w:tc>
      </w:tr>
      <w:tr>
        <w:trPr/>
        <w:tc>
          <w:tcPr>
            <w:tcW w:w="3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cash provided by (used in) operating activities</w:t>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Net proceeds from sale and lease transactions </w:t>
            </w:r>
            <w:r>
              <w:rPr>
                <w:rFonts w:ascii="Museo Sans 300;sans-serif" w:hAnsi="Museo Sans 300;sans-serif"/>
                <w:b w:val="false"/>
                <w:color w:val="000000"/>
                <w:sz w:val="12"/>
              </w:rPr>
              <w:t>(3)</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Property, plant and equipment additions</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(52.2)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Prepublication expenditures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borrowings (repayments) of film related obligations</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(18.3)</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Free cash flow (use)</w:t>
            </w:r>
            <w:r>
              <w:rPr>
                <w:color w:val="000000"/>
              </w:rPr>
              <w:t xml:space="preserve"> </w:t>
            </w:r>
            <w:r>
              <w:rPr>
                <w:rFonts w:ascii="Museo Sans 700;sans-serif" w:hAnsi="Museo Sans 700;sans-serif"/>
                <w:b/>
                <w:color w:val="000000"/>
                <w:sz w:val="12"/>
              </w:rPr>
              <w:t>(2)</w:t>
            </w:r>
          </w:p>
        </w:tc>
        <w:tc>
          <w:tcPr>
            <w:tcW w:w="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70.0</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86.2</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436.0</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29.2</w:t>
            </w: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ind w:left="0" w:right="0" w:hanging="245"/>
              <w:jc w:val="left"/>
              <w:rPr>
                <w:rFonts w:ascii="Museo Sans 300;sans-serif" w:hAnsi="Museo Sans 300;sans-serif"/>
                <w:b w:val="false"/>
                <w:color w:val="000000"/>
                <w:sz w:val="16"/>
              </w:rPr>
            </w:pPr>
            <w:r>
              <w:rPr>
                <w:rFonts w:ascii="Museo Sans 300;sans-serif" w:hAnsi="Museo Sans 300;sans-serif"/>
                <w:b w:val="false"/>
                <w:color w:val="000000"/>
                <w:sz w:val="16"/>
              </w:rPr>
              <w:t>(1) Net cash (debt) is defined by the Company as cash and cash equivalents less production cash of $5.5 and $4.4 as of May 31, 2026 and May 31, 2025, respectively, net of lines of credit and short-term and long-term-debt. Film related obligations are not included. The Company utilizes this non-GAAP financial measure, and believes it is useful to investors, as an indicator of the Company’s effective leverage and financing needs.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45"/>
              <w:jc w:val="left"/>
              <w:rPr>
                <w:rFonts w:ascii="Museo Sans 300;sans-serif" w:hAnsi="Museo Sans 300;sans-serif"/>
                <w:b w:val="false"/>
                <w:color w:val="000000"/>
                <w:sz w:val="16"/>
              </w:rPr>
            </w:pPr>
            <w:r>
              <w:rPr>
                <w:rFonts w:ascii="Museo Sans 300;sans-serif" w:hAnsi="Museo Sans 300;sans-serif"/>
                <w:b w:val="false"/>
                <w:color w:val="000000"/>
                <w:sz w:val="16"/>
              </w:rPr>
              <w:t>(2) Free cash flow (use) is defined by the Company as net cash provided by or used in operating activities (which includes royalty advances) and cash acquired through acquisitions and from the sale of assets, reduced by spending on property, plant and equipment and prepublication costs and adjusted for net cash flows from film related obligations. The Company believes that this non-GAAP financial measure is useful to investors as an indicator of cash flow available for debt repayment and other investing activities, such as acquisitions. The Company utilizes free cash flow as a further indicator of operating performance and for planning investing activities.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(3) Excludes tax impact from sale-leaseback transactions.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9</w:t>
                      </w:r>
                    </w:p>
                  </w:txbxContent>
                </v:textbox>
                <w10:wrap type="none"/>
              </v:rect>
            </w:pict>
          </mc:Fallback>
        </mc:AlternateContent>
      </w:r>
    </w:p>
    <w:tbl>
      <w:tblPr>
        <w:tblW w:w="11127" w:type="dxa"/>
        <w:jc w:val="left"/>
        <w:tblInd w:w="0" w:type="dxa"/>
        <w:tblLayout w:type="fixed"/>
        <w:tblCellMar>
          <w:top w:w="28" w:type="dxa"/>
          <w:left w:w="28" w:type="dxa"/>
          <w:bottom w:w="28" w:type="dxa"/>
          <w:right w:w="28" w:type="dxa"/>
        </w:tblCellMar>
      </w:tblPr>
      <w:tblGrid>
        <w:gridCol w:w="940"/>
        <w:gridCol w:w="272"/>
        <w:gridCol w:w="274"/>
        <w:gridCol w:w="157"/>
        <w:gridCol w:w="157"/>
        <w:gridCol w:w="157"/>
        <w:gridCol w:w="357"/>
        <w:gridCol w:w="364"/>
        <w:gridCol w:w="161"/>
        <w:gridCol w:w="109"/>
        <w:gridCol w:w="109"/>
        <w:gridCol w:w="109"/>
        <w:gridCol w:w="157"/>
        <w:gridCol w:w="157"/>
        <w:gridCol w:w="157"/>
        <w:gridCol w:w="299"/>
        <w:gridCol w:w="302"/>
        <w:gridCol w:w="161"/>
        <w:gridCol w:w="109"/>
        <w:gridCol w:w="109"/>
        <w:gridCol w:w="109"/>
        <w:gridCol w:w="172"/>
        <w:gridCol w:w="172"/>
        <w:gridCol w:w="172"/>
        <w:gridCol w:w="416"/>
        <w:gridCol w:w="290"/>
        <w:gridCol w:w="176"/>
        <w:gridCol w:w="109"/>
        <w:gridCol w:w="109"/>
        <w:gridCol w:w="109"/>
        <w:gridCol w:w="157"/>
        <w:gridCol w:w="157"/>
        <w:gridCol w:w="157"/>
        <w:gridCol w:w="358"/>
        <w:gridCol w:w="363"/>
        <w:gridCol w:w="161"/>
        <w:gridCol w:w="109"/>
        <w:gridCol w:w="109"/>
        <w:gridCol w:w="109"/>
        <w:gridCol w:w="157"/>
        <w:gridCol w:w="157"/>
        <w:gridCol w:w="157"/>
        <w:gridCol w:w="292"/>
        <w:gridCol w:w="294"/>
        <w:gridCol w:w="161"/>
        <w:gridCol w:w="109"/>
        <w:gridCol w:w="109"/>
        <w:gridCol w:w="109"/>
        <w:gridCol w:w="168"/>
        <w:gridCol w:w="168"/>
        <w:gridCol w:w="168"/>
        <w:gridCol w:w="396"/>
        <w:gridCol w:w="310"/>
        <w:gridCol w:w="241"/>
      </w:tblGrid>
      <w:tr>
        <w:trPr/>
        <w:tc>
          <w:tcPr>
            <w:tcW w:w="9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1127"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Table 4</w:t>
            </w:r>
          </w:p>
        </w:tc>
      </w:tr>
      <w:tr>
        <w:trPr/>
        <w:tc>
          <w:tcPr>
            <w:tcW w:w="11127" w:type="dxa"/>
            <w:gridSpan w:val="54"/>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27" w:type="dxa"/>
            <w:gridSpan w:val="54"/>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Scholastic Corporation</w:t>
            </w:r>
          </w:p>
        </w:tc>
      </w:tr>
      <w:tr>
        <w:trPr/>
        <w:tc>
          <w:tcPr>
            <w:tcW w:w="11127" w:type="dxa"/>
            <w:gridSpan w:val="54"/>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Supplemental Results - Excluding One-Time Items</w:t>
            </w:r>
          </w:p>
        </w:tc>
      </w:tr>
      <w:tr>
        <w:trPr/>
        <w:tc>
          <w:tcPr>
            <w:tcW w:w="11127" w:type="dxa"/>
            <w:gridSpan w:val="54"/>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(Unaudited)</w:t>
            </w:r>
          </w:p>
        </w:tc>
      </w:tr>
      <w:tr>
        <w:trPr/>
        <w:tc>
          <w:tcPr>
            <w:tcW w:w="11127" w:type="dxa"/>
            <w:gridSpan w:val="54"/>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(In $ Millions, except per share data)</w:t>
            </w:r>
          </w:p>
        </w:tc>
      </w:tr>
      <w:tr>
        <w:trPr/>
        <w:tc>
          <w:tcPr>
            <w:tcW w:w="11127" w:type="dxa"/>
            <w:gridSpan w:val="54"/>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1"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Three months ended</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05/31/2026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05/31/2025</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One-time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Excluding One-time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One-time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Excluding One-time items</w:t>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Diluted earnings (loss) per share </w:t>
            </w:r>
            <w:r>
              <w:rPr>
                <w:rFonts w:ascii="Museo Sans 300;sans-serif" w:hAnsi="Museo Sans 300;sans-serif"/>
                <w:b w:val="false"/>
                <w:color w:val="000000"/>
                <w:sz w:val="11"/>
              </w:rPr>
              <w:t>(1)</w:t>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2.19 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Net income (loss) </w:t>
            </w:r>
            <w:r>
              <w:rPr>
                <w:rFonts w:ascii="Museo Sans 300;sans-serif" w:hAnsi="Museo Sans 300;sans-serif"/>
                <w:b w:val="false"/>
                <w:color w:val="000000"/>
                <w:sz w:val="11"/>
              </w:rPr>
              <w:t>(2)</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Earnings (loss) before income taxes</w:t>
            </w:r>
            <w:r>
              <w:rPr>
                <w:color w:val="000000"/>
              </w:rPr>
              <w:t xml:space="preserve"> </w:t>
            </w:r>
            <w:r>
              <w:rPr>
                <w:rFonts w:ascii="Museo Sans 300;sans-serif" w:hAnsi="Museo Sans 300;sans-serif"/>
                <w:b w:val="false"/>
                <w:color w:val="000000"/>
                <w:sz w:val="11"/>
              </w:rPr>
              <w:t>(3)</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Children’s Book Publishing and Distribution</w:t>
            </w:r>
            <w:r>
              <w:rPr>
                <w:color w:val="000000"/>
              </w:rPr>
              <w:t xml:space="preserve"> </w:t>
            </w:r>
            <w:r>
              <w:rPr>
                <w:rFonts w:ascii="Museo Sans 300;sans-serif" w:hAnsi="Museo Sans 300;sans-serif"/>
                <w:b w:val="false"/>
                <w:color w:val="000000"/>
                <w:sz w:val="11"/>
              </w:rPr>
              <w:t>(4)</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Education</w:t>
            </w:r>
            <w:r>
              <w:rPr>
                <w:color w:val="000000"/>
              </w:rPr>
              <w:t xml:space="preserve"> </w:t>
            </w:r>
            <w:r>
              <w:rPr>
                <w:rFonts w:ascii="Museo Sans 300;sans-serif" w:hAnsi="Museo Sans 300;sans-serif"/>
                <w:b w:val="false"/>
                <w:color w:val="000000"/>
                <w:sz w:val="11"/>
              </w:rPr>
              <w:t>(5)</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Entertainment</w:t>
            </w:r>
            <w:r>
              <w:rPr>
                <w:rFonts w:ascii="Museo Sans 300;sans-serif" w:hAnsi="Museo Sans 300;sans-serif"/>
                <w:b w:val="false"/>
                <w:color w:val="000000"/>
                <w:sz w:val="11"/>
              </w:rPr>
              <w:t>(6)</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International</w:t>
            </w:r>
            <w:r>
              <w:rPr>
                <w:color w:val="000000"/>
              </w:rPr>
              <w:t xml:space="preserve"> </w:t>
            </w:r>
            <w:r>
              <w:rPr>
                <w:rFonts w:ascii="Museo Sans 300;sans-serif" w:hAnsi="Museo Sans 300;sans-serif"/>
                <w:b w:val="false"/>
                <w:color w:val="000000"/>
                <w:sz w:val="11"/>
              </w:rPr>
              <w:t>(7)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Overhead </w:t>
            </w:r>
            <w:r>
              <w:rPr>
                <w:rFonts w:ascii="Museo Sans 300;sans-serif" w:hAnsi="Museo Sans 300;sans-serif"/>
                <w:b w:val="false"/>
                <w:color w:val="000000"/>
                <w:sz w:val="11"/>
              </w:rPr>
              <w:t>(8)</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(33.8)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Operating income (loss)</w:t>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58.3 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27" w:type="dxa"/>
            <w:gridSpan w:val="54"/>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1"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Twelve months ended</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05/31/2026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05/31/2025</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One-time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Excluding One-time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One-time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7"/>
              </w:rPr>
            </w:pPr>
            <w:r>
              <w:rPr>
                <w:rFonts w:ascii="Museo Sans 700;sans-serif" w:hAnsi="Museo Sans 700;sans-serif"/>
                <w:b/>
                <w:color w:val="000000"/>
                <w:sz w:val="17"/>
              </w:rPr>
              <w:t>Excluding One-time items</w:t>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Diluted earnings (loss) per share </w:t>
            </w:r>
            <w:r>
              <w:rPr>
                <w:rFonts w:ascii="Museo Sans 300;sans-serif" w:hAnsi="Museo Sans 300;sans-serif"/>
                <w:b w:val="false"/>
                <w:color w:val="000000"/>
                <w:sz w:val="12"/>
              </w:rPr>
              <w:t>(1)</w:t>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Net income (loss) </w:t>
            </w:r>
            <w:r>
              <w:rPr>
                <w:rFonts w:ascii="Museo Sans 300;sans-serif" w:hAnsi="Museo Sans 300;sans-serif"/>
                <w:b w:val="false"/>
                <w:color w:val="000000"/>
                <w:sz w:val="12"/>
              </w:rPr>
              <w:t>(2)</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Earnings (loss) before income taxes</w:t>
            </w:r>
            <w:r>
              <w:rPr>
                <w:color w:val="000000"/>
              </w:rPr>
              <w:t xml:space="preserve"> </w:t>
            </w:r>
            <w:r>
              <w:rPr>
                <w:rFonts w:ascii="Museo Sans 300;sans-serif" w:hAnsi="Museo Sans 300;sans-serif"/>
                <w:b w:val="false"/>
                <w:color w:val="000000"/>
                <w:sz w:val="12"/>
              </w:rPr>
              <w:t>(3)</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Children’s Book Publishing and Distribution</w:t>
            </w:r>
            <w:r>
              <w:rPr>
                <w:color w:val="000000"/>
              </w:rPr>
              <w:t xml:space="preserve"> </w:t>
            </w:r>
            <w:r>
              <w:rPr>
                <w:rFonts w:ascii="Museo Sans 300;sans-serif" w:hAnsi="Museo Sans 300;sans-serif"/>
                <w:b w:val="false"/>
                <w:color w:val="000000"/>
                <w:sz w:val="12"/>
              </w:rPr>
              <w:t>(4)</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Education</w:t>
            </w:r>
            <w:r>
              <w:rPr>
                <w:color w:val="000000"/>
              </w:rPr>
              <w:t xml:space="preserve"> </w:t>
            </w:r>
            <w:r>
              <w:rPr>
                <w:rFonts w:ascii="Museo Sans 300;sans-serif" w:hAnsi="Museo Sans 300;sans-serif"/>
                <w:b w:val="false"/>
                <w:color w:val="000000"/>
                <w:sz w:val="12"/>
              </w:rPr>
              <w:t>(5)</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Entertainment</w:t>
            </w:r>
            <w:r>
              <w:rPr>
                <w:rFonts w:ascii="Museo Sans 300;sans-serif" w:hAnsi="Museo Sans 300;sans-serif"/>
                <w:b w:val="false"/>
                <w:color w:val="000000"/>
                <w:sz w:val="12"/>
              </w:rPr>
              <w:t>(6)</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International</w:t>
            </w:r>
            <w:r>
              <w:rPr>
                <w:color w:val="000000"/>
              </w:rPr>
              <w:t xml:space="preserve"> </w:t>
            </w:r>
            <w:r>
              <w:rPr>
                <w:rFonts w:ascii="Museo Sans 300;sans-serif" w:hAnsi="Museo Sans 300;sans-serif"/>
                <w:b w:val="false"/>
                <w:color w:val="000000"/>
                <w:sz w:val="12"/>
              </w:rPr>
              <w:t>(7)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Overhead </w:t>
            </w:r>
            <w:r>
              <w:rPr>
                <w:rFonts w:ascii="Museo Sans 300;sans-serif" w:hAnsi="Museo Sans 300;sans-serif"/>
                <w:b w:val="false"/>
                <w:color w:val="000000"/>
                <w:sz w:val="12"/>
              </w:rPr>
              <w:t>(8)</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w:t>
            </w:r>
          </w:p>
        </w:tc>
        <w:tc>
          <w:tcPr>
            <w:tcW w:w="4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15.2 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31.9 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47.1 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20.0 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35.8 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245"/>
              <w:jc w:val="left"/>
              <w:rPr>
                <w:sz w:val="4"/>
                <w:szCs w:val="4"/>
              </w:rPr>
            </w:pPr>
            <w:r>
              <w:rPr>
                <w:sz w:val="4"/>
                <w:szCs w:val="4"/>
              </w:rPr>
            </w:r>
          </w:p>
        </w:tc>
      </w:tr>
      <w:tr>
        <w:trPr/>
        <w:tc>
          <w:tcPr>
            <w:tcW w:w="11127" w:type="dxa"/>
            <w:gridSpan w:val="5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(1) Earnings (loss) per share are calculated on non-rounded net income (loss) and shares outstanding. Recalculating earnings per share based on rounded numbers may not yield the results as presented.</w:t>
            </w:r>
          </w:p>
        </w:tc>
      </w:tr>
      <w:tr>
        <w:trPr/>
        <w:tc>
          <w:tcPr>
            <w:tcW w:w="11127" w:type="dxa"/>
            <w:gridSpan w:val="54"/>
            <w:tcBorders/>
            <w:tcMar>
              <w:top w:w="0" w:type="dxa"/>
              <w:left w:w="0" w:type="dxa"/>
              <w:bottom w:w="0" w:type="dxa"/>
              <w:right w:w="0" w:type="dxa"/>
            </w:tcMar>
            <w:vAlign w:val="center"/>
          </w:tcPr>
          <w:p>
            <w:pPr>
              <w:pStyle w:val="TableContents"/>
              <w:bidi w:val="0"/>
              <w:spacing w:lineRule="auto" w:line="240" w:before="0" w:after="0"/>
              <w:ind w:left="0" w:right="0" w:hanging="245"/>
              <w:jc w:val="left"/>
              <w:rPr>
                <w:rFonts w:ascii="Museo Sans 300;sans-serif" w:hAnsi="Museo Sans 300;sans-serif"/>
                <w:b w:val="false"/>
                <w:color w:val="000000"/>
                <w:sz w:val="16"/>
              </w:rPr>
            </w:pPr>
            <w:r>
              <w:rPr>
                <w:rFonts w:ascii="Museo Sans 300;sans-serif" w:hAnsi="Museo Sans 300;sans-serif"/>
                <w:b w:val="false"/>
                <w:color w:val="000000"/>
                <w:sz w:val="16"/>
              </w:rPr>
              <w:t>(2) In the three and twelve months ended May 31, 2026, the Company recognized a benefit of $6.1 and a provision of $39.3, respectively, for income taxes in respect to one-time pretax items. In the three and twelve months ended May 31, 2025, the Company recognized a benefit of $2.4 and $4.8, respectively, for income taxes in respect to one-time pretax items.</w:t>
            </w:r>
          </w:p>
        </w:tc>
      </w:tr>
      <w:tr>
        <w:trPr/>
        <w:tc>
          <w:tcPr>
            <w:tcW w:w="11127" w:type="dxa"/>
            <w:gridSpan w:val="5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5"/>
              <w:jc w:val="left"/>
              <w:rPr>
                <w:rFonts w:ascii="Museo Sans 300;sans-serif" w:hAnsi="Museo Sans 300;sans-serif"/>
                <w:b w:val="false"/>
                <w:color w:val="000000"/>
                <w:sz w:val="16"/>
              </w:rPr>
            </w:pPr>
            <w:r>
              <w:rPr>
                <w:rFonts w:ascii="Museo Sans 300;sans-serif" w:hAnsi="Museo Sans 300;sans-serif"/>
                <w:b w:val="false"/>
                <w:color w:val="000000"/>
                <w:sz w:val="16"/>
              </w:rPr>
              <w:t>(3) In the three and twelve months ended May 31, 2026, the Company recognized a pretax loss of $17.2 related to the sale of its 26.2% equity interest in a U.K.-based children’s book publishing business. In the three months ended May 31, 2026, the Company recognized an adjustment of $18.5 million to the pretax gain related to the sale-leaseback transactions. In the twelve months ended May 31, 2026, the Company recognized a pretax gain of $99.7 related to sale-leaseback transactions involving its facilities in New York City and Jefferson City, Missouri.</w:t>
            </w:r>
          </w:p>
        </w:tc>
      </w:tr>
      <w:tr>
        <w:trPr/>
        <w:tc>
          <w:tcPr>
            <w:tcW w:w="11127" w:type="dxa"/>
            <w:gridSpan w:val="5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5"/>
              <w:jc w:val="left"/>
              <w:rPr>
                <w:rFonts w:ascii="Museo Sans 300;sans-serif" w:hAnsi="Museo Sans 300;sans-serif"/>
                <w:b w:val="false"/>
                <w:color w:val="000000"/>
                <w:sz w:val="16"/>
              </w:rPr>
            </w:pPr>
            <w:r>
              <w:rPr>
                <w:rFonts w:ascii="Museo Sans 300;sans-serif" w:hAnsi="Museo Sans 300;sans-serif"/>
                <w:b w:val="false"/>
                <w:color w:val="000000"/>
                <w:sz w:val="16"/>
              </w:rPr>
              <w:t>(4) In the twelve months ended May 31, 2026, the Company recognized a pretax asset impairment charge of $0.8 related to a certain product. In the three and twelve months ended May 31, 2025, the Company recognized a pretax asset impairment charge of $0.6 related to a digital product.</w:t>
            </w:r>
          </w:p>
        </w:tc>
      </w:tr>
      <w:tr>
        <w:trPr/>
        <w:tc>
          <w:tcPr>
            <w:tcW w:w="11127" w:type="dxa"/>
            <w:gridSpan w:val="5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5"/>
              <w:jc w:val="left"/>
              <w:rPr>
                <w:rFonts w:ascii="Museo Sans 300;sans-serif" w:hAnsi="Museo Sans 300;sans-serif"/>
                <w:b w:val="false"/>
                <w:color w:val="000000"/>
                <w:sz w:val="16"/>
              </w:rPr>
            </w:pPr>
            <w:r>
              <w:rPr>
                <w:rFonts w:ascii="Museo Sans 300;sans-serif" w:hAnsi="Museo Sans 300;sans-serif"/>
                <w:b w:val="false"/>
                <w:color w:val="000000"/>
                <w:sz w:val="16"/>
              </w:rPr>
              <w:t>(5) In the three and twelve months ended May 31, 2026, the Company recognized pretax asset impairment charges of $0.9 and $4.3, respectively, related to certain education and digital products. In the three and twelve months ended May 31, 2025, the Company recognized a pretax asset impairment charge of $0.6 related to certain digital products.</w:t>
            </w:r>
          </w:p>
        </w:tc>
      </w:tr>
      <w:tr>
        <w:trPr/>
        <w:tc>
          <w:tcPr>
            <w:tcW w:w="11127" w:type="dxa"/>
            <w:gridSpan w:val="54"/>
            <w:tcBorders/>
            <w:tcMar>
              <w:top w:w="0" w:type="dxa"/>
              <w:left w:w="0" w:type="dxa"/>
              <w:bottom w:w="0" w:type="dxa"/>
              <w:right w:w="0" w:type="dxa"/>
            </w:tcMar>
            <w:vAlign w:val="center"/>
          </w:tcPr>
          <w:p>
            <w:pPr>
              <w:pStyle w:val="TableContents"/>
              <w:bidi w:val="0"/>
              <w:spacing w:lineRule="auto" w:line="240" w:before="0" w:after="0"/>
              <w:ind w:left="0" w:right="0" w:hanging="245"/>
              <w:jc w:val="left"/>
              <w:rPr>
                <w:rFonts w:ascii="Museo Sans 300;sans-serif" w:hAnsi="Museo Sans 300;sans-serif"/>
                <w:b w:val="false"/>
                <w:color w:val="000000"/>
                <w:sz w:val="16"/>
              </w:rPr>
            </w:pPr>
            <w:r>
              <w:rPr>
                <w:rFonts w:ascii="Museo Sans 300;sans-serif" w:hAnsi="Museo Sans 300;sans-serif"/>
                <w:b w:val="false"/>
                <w:color w:val="000000"/>
                <w:sz w:val="16"/>
              </w:rPr>
              <w:t>(6) In the three and twelve months ended May 31, 2026, the Company recognized other pretax expenses of $0.4 and $1.4, respectively. In the twelve months ended May 31, 2026, the Company recognized pretax severance of $0.2 and a pretax asset impairment charge of $5.2 primarily related to certain film and television programs in development. In the three and twelve months ended May 31, 2025, the Company recognized pretax severance of $0.3 and $1.4, respectively, related to cost-savings initiatives, pretax costs of $0.4 and $3.0, respectively, related to the acquisition of 9 Story Media Group and pretax asset impairment charges of $0.2 and $0.5, respectively, related to the early exit of certain leased office space in Canada and Ireland.</w:t>
            </w:r>
          </w:p>
        </w:tc>
      </w:tr>
      <w:tr>
        <w:trPr/>
        <w:tc>
          <w:tcPr>
            <w:tcW w:w="11127" w:type="dxa"/>
            <w:gridSpan w:val="54"/>
            <w:tcBorders/>
            <w:tcMar>
              <w:top w:w="0" w:type="dxa"/>
              <w:left w:w="0" w:type="dxa"/>
              <w:bottom w:w="0" w:type="dxa"/>
              <w:right w:w="0" w:type="dxa"/>
            </w:tcMar>
            <w:vAlign w:val="center"/>
          </w:tcPr>
          <w:p>
            <w:pPr>
              <w:pStyle w:val="TableContents"/>
              <w:bidi w:val="0"/>
              <w:spacing w:lineRule="auto" w:line="240" w:before="0" w:after="0"/>
              <w:ind w:left="0" w:right="0" w:hanging="245"/>
              <w:jc w:val="left"/>
              <w:rPr>
                <w:rFonts w:ascii="Museo Sans 300;sans-serif" w:hAnsi="Museo Sans 300;sans-serif"/>
                <w:b w:val="false"/>
                <w:color w:val="000000"/>
                <w:sz w:val="16"/>
              </w:rPr>
            </w:pPr>
            <w:r>
              <w:rPr>
                <w:rFonts w:ascii="Museo Sans 300;sans-serif" w:hAnsi="Museo Sans 300;sans-serif"/>
                <w:b w:val="false"/>
                <w:color w:val="000000"/>
                <w:sz w:val="16"/>
              </w:rPr>
              <w:t xml:space="preserve">(7) In the three and twelve months ended May 31, 2026, the Company recognized pretax severance of $0.2 and $0.7, respectively, related to cost-savings initiatives. In the three and twelve months ended May 31, 2025, the Company recognized pretax severance of $1.3 and $2.8, respectively, related to cost-savings initiatives and a pretax asset impairment charge of $1.1 related to the reorganization in China. </w:t>
            </w:r>
          </w:p>
        </w:tc>
      </w:tr>
      <w:tr>
        <w:trPr/>
        <w:tc>
          <w:tcPr>
            <w:tcW w:w="11127" w:type="dxa"/>
            <w:gridSpan w:val="54"/>
            <w:tcBorders/>
            <w:tcMar>
              <w:top w:w="0" w:type="dxa"/>
              <w:left w:w="0" w:type="dxa"/>
              <w:bottom w:w="0" w:type="dxa"/>
              <w:right w:w="0" w:type="dxa"/>
            </w:tcMar>
            <w:vAlign w:val="center"/>
          </w:tcPr>
          <w:p>
            <w:pPr>
              <w:pStyle w:val="TableContents"/>
              <w:bidi w:val="0"/>
              <w:spacing w:lineRule="auto" w:line="240" w:before="0" w:after="0"/>
              <w:ind w:left="0" w:right="0" w:hanging="245"/>
              <w:jc w:val="left"/>
              <w:rPr>
                <w:rFonts w:ascii="Museo Sans 300;sans-serif" w:hAnsi="Museo Sans 300;sans-serif"/>
                <w:b w:val="false"/>
                <w:color w:val="000000"/>
                <w:sz w:val="16"/>
              </w:rPr>
            </w:pPr>
            <w:r>
              <w:rPr>
                <w:rFonts w:ascii="Museo Sans 300;sans-serif" w:hAnsi="Museo Sans 300;sans-serif"/>
                <w:b w:val="false"/>
                <w:color w:val="000000"/>
                <w:sz w:val="16"/>
              </w:rPr>
              <w:t>(8) In the three and twelve months ended May 31, 2026, the Company recognized pretax severance of $3.7 and $15.5, respectively, related to cost-savings initiatives, and other pretax expenses of $1.7 and $3.8, respectively. In the three and twelve months ended May 31, 2025, the Company recognized pretax severance of $3.4 and $7.6, respectively, related to cost-savings initiatives, other pretax expenses of $1.9 and $2.3, respectively, and an asset impairment charge of $0.1 related to the early exit of an office lease.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98"/>
        <w:gridCol w:w="1523"/>
        <w:gridCol w:w="1470"/>
        <w:gridCol w:w="280"/>
        <w:gridCol w:w="280"/>
        <w:gridCol w:w="280"/>
        <w:gridCol w:w="523"/>
        <w:gridCol w:w="482"/>
        <w:gridCol w:w="280"/>
        <w:gridCol w:w="280"/>
        <w:gridCol w:w="280"/>
        <w:gridCol w:w="280"/>
        <w:gridCol w:w="280"/>
        <w:gridCol w:w="280"/>
        <w:gridCol w:w="280"/>
        <w:gridCol w:w="523"/>
        <w:gridCol w:w="482"/>
        <w:gridCol w:w="404"/>
      </w:tblGrid>
      <w:tr>
        <w:trPr/>
        <w:tc>
          <w:tcPr>
            <w:tcW w:w="199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Table 5</w:t>
            </w:r>
          </w:p>
        </w:tc>
      </w:tr>
      <w:tr>
        <w:trPr/>
        <w:tc>
          <w:tcPr>
            <w:tcW w:w="10205" w:type="dxa"/>
            <w:gridSpan w:val="18"/>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Scholastic Corporation</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Consolidated Statements of Operations - Supplemental</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Adjusted EBITDA</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(Unaudited)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 $ Millions)</w:t>
            </w:r>
          </w:p>
        </w:tc>
      </w:tr>
      <w:tr>
        <w:trPr/>
        <w:tc>
          <w:tcPr>
            <w:tcW w:w="10205" w:type="dxa"/>
            <w:gridSpan w:val="1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r>
      <w:tr>
        <w:trPr/>
        <w:tc>
          <w:tcPr>
            <w:tcW w:w="4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r>
      <w:tr>
        <w:trPr/>
        <w:tc>
          <w:tcPr>
            <w:tcW w:w="4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Earnings (loss) before income taxes as reported </w:t>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48.9 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One-time items before income taxes</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Earnings (loss) before income taxes excluding one-time items</w:t>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57.1</w:t>
            </w: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58.8</w:t>
            </w:r>
            <w:r>
              <w:rPr>
                <w:color w:val="000000"/>
              </w:rPr>
              <w:t>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Interest (income) expense </w:t>
            </w:r>
            <w:r>
              <w:rPr>
                <w:rFonts w:ascii="Museo Sans 300;sans-serif" w:hAnsi="Museo Sans 300;sans-serif"/>
                <w:b w:val="false"/>
                <w:color w:val="000000"/>
                <w:sz w:val="12"/>
              </w:rPr>
              <w:t>(1)</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Depreciation and amortization </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 xml:space="preserve">Adjusted EBITDA </w:t>
            </w:r>
            <w:r>
              <w:rPr>
                <w:rFonts w:ascii="Museo Sans 700;sans-serif" w:hAnsi="Museo Sans 700;sans-serif"/>
                <w:b/>
                <w:color w:val="000000"/>
                <w:sz w:val="12"/>
              </w:rPr>
              <w:t>(2)</w:t>
            </w:r>
          </w:p>
        </w:tc>
        <w:tc>
          <w:tcPr>
            <w:tcW w:w="8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0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84.7</w:t>
            </w:r>
            <w:r>
              <w:rPr>
                <w:color w:val="000000"/>
              </w:rPr>
              <w:t> </w:t>
            </w:r>
          </w:p>
        </w:tc>
        <w:tc>
          <w:tcPr>
            <w:tcW w:w="2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0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91.2</w:t>
            </w:r>
            <w:r>
              <w:rPr>
                <w:color w:val="000000"/>
              </w:rPr>
              <w:t> </w:t>
            </w:r>
          </w:p>
        </w:tc>
        <w:tc>
          <w:tcPr>
            <w:tcW w:w="4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Twelve months ended</w:t>
            </w:r>
          </w:p>
        </w:tc>
      </w:tr>
      <w:tr>
        <w:trPr/>
        <w:tc>
          <w:tcPr>
            <w:tcW w:w="4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r>
      <w:tr>
        <w:trPr/>
        <w:tc>
          <w:tcPr>
            <w:tcW w:w="4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Earnings (loss) before income taxes as reported</w:t>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One-time items before income taxes</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(50.6)</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Earnings (loss) before income taxes excluding one-time items</w:t>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34.6</w:t>
            </w: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18.7</w:t>
            </w:r>
            <w:r>
              <w:rPr>
                <w:color w:val="000000"/>
              </w:rPr>
              <w:t>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Interest (income) expense </w:t>
            </w:r>
            <w:r>
              <w:rPr>
                <w:rFonts w:ascii="Museo Sans 300;sans-serif" w:hAnsi="Museo Sans 300;sans-serif"/>
                <w:b w:val="false"/>
                <w:color w:val="000000"/>
                <w:sz w:val="12"/>
              </w:rPr>
              <w:t>(1)</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Depreciation and amortization</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105.3 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110.3 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 xml:space="preserve">Adjusted EBITDA </w:t>
            </w:r>
            <w:r>
              <w:rPr>
                <w:rFonts w:ascii="Museo Sans 700;sans-serif" w:hAnsi="Museo Sans 700;sans-serif"/>
                <w:b/>
                <w:color w:val="000000"/>
                <w:sz w:val="12"/>
              </w:rPr>
              <w:t>(2)</w:t>
            </w:r>
          </w:p>
        </w:tc>
        <w:tc>
          <w:tcPr>
            <w:tcW w:w="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151.5</w:t>
            </w: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145.4</w:t>
            </w:r>
            <w:r>
              <w:rPr>
                <w:color w:val="000000"/>
              </w:rPr>
              <w:t>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45"/>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ind w:left="0" w:right="0" w:hanging="245"/>
              <w:jc w:val="left"/>
              <w:rPr>
                <w:rFonts w:ascii="Museo Sans 300;sans-serif" w:hAnsi="Museo Sans 300;sans-serif"/>
                <w:b w:val="false"/>
                <w:color w:val="000000"/>
                <w:sz w:val="16"/>
              </w:rPr>
            </w:pPr>
            <w:r>
              <w:rPr>
                <w:rFonts w:ascii="Museo Sans 300;sans-serif" w:hAnsi="Museo Sans 300;sans-serif"/>
                <w:b w:val="false"/>
                <w:color w:val="000000"/>
                <w:sz w:val="16"/>
              </w:rPr>
              <w:t>(1) Amounts include production loan interest amortized into cost of goods sold.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(2) Adjusted EBITDA is defined by the Company as earnings (loss), excluding one-time items, before interest, taxes, depreciation and amortization. The Company believes that Adjusted EBITDA is a meaningful measure of operating profitability and useful for measuring returns on capital investments over time as it is not distorted by unusual gains, losses, or other items.</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1"/>
        <w:gridCol w:w="713"/>
        <w:gridCol w:w="718"/>
        <w:gridCol w:w="122"/>
        <w:gridCol w:w="122"/>
        <w:gridCol w:w="122"/>
        <w:gridCol w:w="381"/>
        <w:gridCol w:w="384"/>
        <w:gridCol w:w="122"/>
        <w:gridCol w:w="123"/>
        <w:gridCol w:w="123"/>
        <w:gridCol w:w="123"/>
        <w:gridCol w:w="319"/>
        <w:gridCol w:w="320"/>
        <w:gridCol w:w="123"/>
        <w:gridCol w:w="122"/>
        <w:gridCol w:w="122"/>
        <w:gridCol w:w="122"/>
        <w:gridCol w:w="350"/>
        <w:gridCol w:w="321"/>
        <w:gridCol w:w="122"/>
        <w:gridCol w:w="122"/>
        <w:gridCol w:w="122"/>
        <w:gridCol w:w="122"/>
        <w:gridCol w:w="327"/>
        <w:gridCol w:w="328"/>
        <w:gridCol w:w="122"/>
        <w:gridCol w:w="125"/>
        <w:gridCol w:w="125"/>
        <w:gridCol w:w="125"/>
        <w:gridCol w:w="408"/>
        <w:gridCol w:w="391"/>
        <w:gridCol w:w="125"/>
        <w:gridCol w:w="122"/>
        <w:gridCol w:w="122"/>
        <w:gridCol w:w="122"/>
        <w:gridCol w:w="122"/>
        <w:gridCol w:w="122"/>
        <w:gridCol w:w="122"/>
        <w:gridCol w:w="381"/>
        <w:gridCol w:w="384"/>
        <w:gridCol w:w="191"/>
      </w:tblGrid>
      <w:tr>
        <w:trPr/>
        <w:tc>
          <w:tcPr>
            <w:tcW w:w="110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Table 6</w:t>
            </w:r>
          </w:p>
        </w:tc>
      </w:tr>
      <w:tr>
        <w:trPr/>
        <w:tc>
          <w:tcPr>
            <w:tcW w:w="10205" w:type="dxa"/>
            <w:gridSpan w:val="4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Scholastic Corporation</w:t>
            </w:r>
          </w:p>
        </w:tc>
      </w:tr>
      <w:tr>
        <w:trPr/>
        <w:tc>
          <w:tcPr>
            <w:tcW w:w="10205"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Consolidated Statements of Operations - Supplemental</w:t>
            </w:r>
          </w:p>
        </w:tc>
      </w:tr>
      <w:tr>
        <w:trPr/>
        <w:tc>
          <w:tcPr>
            <w:tcW w:w="10205"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Adjusted EBITDA by Segment</w:t>
            </w:r>
          </w:p>
        </w:tc>
      </w:tr>
      <w:tr>
        <w:trPr/>
        <w:tc>
          <w:tcPr>
            <w:tcW w:w="10205"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(Unaudited)</w:t>
            </w:r>
          </w:p>
        </w:tc>
      </w:tr>
      <w:tr>
        <w:trPr/>
        <w:tc>
          <w:tcPr>
            <w:tcW w:w="10205"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 $ Millions)</w:t>
            </w:r>
          </w:p>
        </w:tc>
      </w:tr>
      <w:tr>
        <w:trPr/>
        <w:tc>
          <w:tcPr>
            <w:tcW w:w="10205" w:type="dxa"/>
            <w:gridSpan w:val="4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3"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3"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CBPD</w:t>
            </w:r>
            <w:r>
              <w:rPr>
                <w:color w:val="000000"/>
              </w:rPr>
              <w:t xml:space="preserve"> </w:t>
            </w:r>
            <w:r>
              <w:rPr>
                <w:rFonts w:ascii="Museo Sans 700;sans-serif" w:hAnsi="Museo Sans 700;sans-serif"/>
                <w:b/>
                <w:color w:val="000000"/>
                <w:sz w:val="10"/>
              </w:rPr>
              <w:t>(1)</w:t>
            </w:r>
          </w:p>
        </w:tc>
        <w:tc>
          <w:tcPr>
            <w:tcW w:w="1131"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 xml:space="preserve">EDUC </w:t>
            </w:r>
            <w:r>
              <w:rPr>
                <w:rFonts w:ascii="Museo Sans 700;sans-serif" w:hAnsi="Museo Sans 700;sans-serif"/>
                <w:b/>
                <w:color w:val="000000"/>
                <w:sz w:val="10"/>
              </w:rPr>
              <w:t>(1)</w:t>
            </w:r>
          </w:p>
        </w:tc>
        <w:tc>
          <w:tcPr>
            <w:tcW w:w="1159"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 xml:space="preserve">ENT </w:t>
            </w:r>
            <w:r>
              <w:rPr>
                <w:rFonts w:ascii="Museo Sans 700;sans-serif" w:hAnsi="Museo Sans 700;sans-serif"/>
                <w:b/>
                <w:color w:val="000000"/>
                <w:sz w:val="10"/>
              </w:rPr>
              <w:t>(1)</w:t>
            </w:r>
          </w:p>
        </w:tc>
        <w:tc>
          <w:tcPr>
            <w:tcW w:w="114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INTL</w:t>
            </w:r>
            <w:r>
              <w:rPr>
                <w:color w:val="000000"/>
              </w:rPr>
              <w:t xml:space="preserve"> </w:t>
            </w:r>
            <w:r>
              <w:rPr>
                <w:rFonts w:ascii="Museo Sans 700;sans-serif" w:hAnsi="Museo Sans 700;sans-serif"/>
                <w:b/>
                <w:color w:val="000000"/>
                <w:sz w:val="10"/>
              </w:rPr>
              <w:t>(1)</w:t>
            </w:r>
          </w:p>
        </w:tc>
        <w:tc>
          <w:tcPr>
            <w:tcW w:w="1299"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OVH</w:t>
            </w:r>
            <w:r>
              <w:rPr>
                <w:color w:val="000000"/>
              </w:rPr>
              <w:t xml:space="preserve"> </w:t>
            </w:r>
            <w:r>
              <w:rPr>
                <w:rFonts w:ascii="Museo Sans 700;sans-serif" w:hAnsi="Museo Sans 700;sans-serif"/>
                <w:b/>
                <w:color w:val="000000"/>
                <w:sz w:val="10"/>
              </w:rPr>
              <w:t>(1)(4)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6"/>
              </w:rPr>
            </w:pPr>
            <w:r>
              <w:rPr>
                <w:rFonts w:ascii="Museo Sans 700;sans-serif" w:hAnsi="Museo Sans 700;sans-serif"/>
                <w:b/>
                <w:color w:val="000000"/>
                <w:sz w:val="16"/>
              </w:rPr>
              <w:t>Total</w:t>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Earnings (loss) before income taxes as reported </w:t>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One-time items before income taxes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Earnings (loss) before income taxes excluding one-time items</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60.1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27.9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0.4</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(33.9)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57.1</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Interest (income) expense </w:t>
            </w:r>
            <w:r>
              <w:rPr>
                <w:rFonts w:ascii="Museo Sans 300;sans-serif" w:hAnsi="Museo Sans 300;sans-serif"/>
                <w:b w:val="false"/>
                <w:color w:val="000000"/>
                <w:sz w:val="12"/>
              </w:rPr>
              <w:t>(2)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Depreciation and amortization</w:t>
            </w:r>
            <w:r>
              <w:rPr>
                <w:color w:val="000000"/>
              </w:rPr>
              <w:t xml:space="preserve"> </w:t>
            </w:r>
            <w:r>
              <w:rPr>
                <w:rFonts w:ascii="Museo Sans 300;sans-serif" w:hAnsi="Museo Sans 300;sans-serif"/>
                <w:b w:val="false"/>
                <w:color w:val="000000"/>
                <w:sz w:val="12"/>
              </w:rPr>
              <w:t>(3)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 xml:space="preserve">Adjusted EBITDA </w:t>
            </w:r>
            <w:r>
              <w:rPr>
                <w:rFonts w:ascii="Museo Sans 700;sans-serif" w:hAnsi="Museo Sans 700;sans-serif"/>
                <w:b/>
                <w:color w:val="000000"/>
                <w:sz w:val="12"/>
              </w:rPr>
              <w:t>(4)</w:t>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68.6</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33.9</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8.9</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4.8</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(31.5)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84.7</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7673" w:type="dxa"/>
            <w:gridSpan w:val="39"/>
            <w:tcBorders/>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3"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3"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CBPD</w:t>
            </w:r>
            <w:r>
              <w:rPr>
                <w:color w:val="000000"/>
              </w:rPr>
              <w:t xml:space="preserve"> </w:t>
            </w:r>
            <w:r>
              <w:rPr>
                <w:rFonts w:ascii="Museo Sans 700;sans-serif" w:hAnsi="Museo Sans 700;sans-serif"/>
                <w:b/>
                <w:color w:val="000000"/>
                <w:sz w:val="10"/>
              </w:rPr>
              <w:t>(1)</w:t>
            </w:r>
          </w:p>
        </w:tc>
        <w:tc>
          <w:tcPr>
            <w:tcW w:w="1131"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 xml:space="preserve">EDUC </w:t>
            </w:r>
            <w:r>
              <w:rPr>
                <w:rFonts w:ascii="Museo Sans 700;sans-serif" w:hAnsi="Museo Sans 700;sans-serif"/>
                <w:b/>
                <w:color w:val="000000"/>
                <w:sz w:val="10"/>
              </w:rPr>
              <w:t>(1)</w:t>
            </w:r>
          </w:p>
        </w:tc>
        <w:tc>
          <w:tcPr>
            <w:tcW w:w="1159"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 xml:space="preserve">ENT </w:t>
            </w:r>
            <w:r>
              <w:rPr>
                <w:rFonts w:ascii="Museo Sans 700;sans-serif" w:hAnsi="Museo Sans 700;sans-serif"/>
                <w:b/>
                <w:color w:val="000000"/>
                <w:sz w:val="10"/>
              </w:rPr>
              <w:t>(1)</w:t>
            </w:r>
          </w:p>
        </w:tc>
        <w:tc>
          <w:tcPr>
            <w:tcW w:w="114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INTL</w:t>
            </w:r>
            <w:r>
              <w:rPr>
                <w:color w:val="000000"/>
              </w:rPr>
              <w:t xml:space="preserve"> </w:t>
            </w:r>
            <w:r>
              <w:rPr>
                <w:rFonts w:ascii="Museo Sans 700;sans-serif" w:hAnsi="Museo Sans 700;sans-serif"/>
                <w:b/>
                <w:color w:val="000000"/>
                <w:sz w:val="10"/>
              </w:rPr>
              <w:t>(1)</w:t>
            </w:r>
          </w:p>
        </w:tc>
        <w:tc>
          <w:tcPr>
            <w:tcW w:w="1299"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 xml:space="preserve">OVH </w:t>
            </w:r>
            <w:r>
              <w:rPr>
                <w:rFonts w:ascii="Museo Sans 700;sans-serif" w:hAnsi="Museo Sans 700;sans-serif"/>
                <w:b/>
                <w:color w:val="000000"/>
                <w:sz w:val="10"/>
              </w:rPr>
              <w:t>(1)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6"/>
              </w:rPr>
            </w:pPr>
            <w:r>
              <w:rPr>
                <w:rFonts w:ascii="Museo Sans 700;sans-serif" w:hAnsi="Museo Sans 700;sans-serif"/>
                <w:b/>
                <w:color w:val="000000"/>
                <w:sz w:val="16"/>
              </w:rPr>
              <w:t>Total</w:t>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Earnings (loss) before income taxes as reported</w:t>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One-time items before income taxes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Earnings (loss) before income taxes excluding one-time items</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58.1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31.3</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(2.0)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5.3</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(33.9)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58.8</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Interest (income) expense </w:t>
            </w:r>
            <w:r>
              <w:rPr>
                <w:rFonts w:ascii="Museo Sans 300;sans-serif" w:hAnsi="Museo Sans 300;sans-serif"/>
                <w:b w:val="false"/>
                <w:color w:val="000000"/>
                <w:sz w:val="12"/>
              </w:rPr>
              <w:t>(2)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Depreciation and amortization</w:t>
            </w:r>
            <w:r>
              <w:rPr>
                <w:color w:val="000000"/>
              </w:rPr>
              <w:t xml:space="preserve"> </w:t>
            </w:r>
            <w:r>
              <w:rPr>
                <w:rFonts w:ascii="Museo Sans 300;sans-serif" w:hAnsi="Museo Sans 300;sans-serif"/>
                <w:b w:val="false"/>
                <w:color w:val="000000"/>
                <w:sz w:val="12"/>
              </w:rPr>
              <w:t>(3)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Adjusted EBITDA</w:t>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66.2</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37.5</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3.7</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7.4</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(23.6)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91.2</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7673" w:type="dxa"/>
            <w:gridSpan w:val="39"/>
            <w:tcBorders/>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3"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Twelve months ended</w:t>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3"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CBPD</w:t>
            </w:r>
            <w:r>
              <w:rPr>
                <w:color w:val="000000"/>
              </w:rPr>
              <w:t xml:space="preserve"> </w:t>
            </w:r>
            <w:r>
              <w:rPr>
                <w:rFonts w:ascii="Museo Sans 700;sans-serif" w:hAnsi="Museo Sans 700;sans-serif"/>
                <w:b/>
                <w:color w:val="000000"/>
                <w:sz w:val="10"/>
              </w:rPr>
              <w:t>(1)</w:t>
            </w:r>
          </w:p>
        </w:tc>
        <w:tc>
          <w:tcPr>
            <w:tcW w:w="1131"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 xml:space="preserve">EDUC </w:t>
            </w:r>
            <w:r>
              <w:rPr>
                <w:rFonts w:ascii="Museo Sans 700;sans-serif" w:hAnsi="Museo Sans 700;sans-serif"/>
                <w:b/>
                <w:color w:val="000000"/>
                <w:sz w:val="10"/>
              </w:rPr>
              <w:t>(1)</w:t>
            </w:r>
          </w:p>
        </w:tc>
        <w:tc>
          <w:tcPr>
            <w:tcW w:w="1159"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 xml:space="preserve">ENT </w:t>
            </w:r>
            <w:r>
              <w:rPr>
                <w:rFonts w:ascii="Museo Sans 700;sans-serif" w:hAnsi="Museo Sans 700;sans-serif"/>
                <w:b/>
                <w:color w:val="000000"/>
                <w:sz w:val="10"/>
              </w:rPr>
              <w:t>(1)</w:t>
            </w:r>
          </w:p>
        </w:tc>
        <w:tc>
          <w:tcPr>
            <w:tcW w:w="114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INTL</w:t>
            </w:r>
            <w:r>
              <w:rPr>
                <w:color w:val="000000"/>
              </w:rPr>
              <w:t xml:space="preserve"> </w:t>
            </w:r>
            <w:r>
              <w:rPr>
                <w:rFonts w:ascii="Museo Sans 700;sans-serif" w:hAnsi="Museo Sans 700;sans-serif"/>
                <w:b/>
                <w:color w:val="000000"/>
                <w:sz w:val="10"/>
              </w:rPr>
              <w:t>(1)</w:t>
            </w:r>
          </w:p>
        </w:tc>
        <w:tc>
          <w:tcPr>
            <w:tcW w:w="1299"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 xml:space="preserve">OVH </w:t>
            </w:r>
            <w:r>
              <w:rPr>
                <w:rFonts w:ascii="Museo Sans 700;sans-serif" w:hAnsi="Museo Sans 700;sans-serif"/>
                <w:b/>
                <w:color w:val="000000"/>
                <w:sz w:val="10"/>
              </w:rPr>
              <w:t>(1)(4)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6"/>
              </w:rPr>
            </w:pPr>
            <w:r>
              <w:rPr>
                <w:rFonts w:ascii="Museo Sans 700;sans-serif" w:hAnsi="Museo Sans 700;sans-serif"/>
                <w:b/>
                <w:color w:val="000000"/>
                <w:sz w:val="16"/>
              </w:rPr>
              <w:t>Total</w:t>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Earnings (loss) before income taxes as reported</w:t>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142.5 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One-time items before income taxes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Earnings (loss) before income taxes excluding one-time items</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143.3</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0.2</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(11.1)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5.0</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(102.8)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34.6</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Interest (income) expense </w:t>
            </w:r>
            <w:r>
              <w:rPr>
                <w:rFonts w:ascii="Museo Sans 300;sans-serif" w:hAnsi="Museo Sans 300;sans-serif"/>
                <w:b w:val="false"/>
                <w:color w:val="000000"/>
                <w:sz w:val="12"/>
              </w:rPr>
              <w:t>(2)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Depreciation and amortization</w:t>
            </w:r>
            <w:r>
              <w:rPr>
                <w:color w:val="000000"/>
              </w:rPr>
              <w:t xml:space="preserve"> </w:t>
            </w:r>
            <w:r>
              <w:rPr>
                <w:rFonts w:ascii="Museo Sans 300;sans-serif" w:hAnsi="Museo Sans 300;sans-serif"/>
                <w:b w:val="false"/>
                <w:color w:val="000000"/>
                <w:sz w:val="12"/>
              </w:rPr>
              <w:t>(3)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 xml:space="preserve">Adjusted EBITDA </w:t>
            </w:r>
            <w:r>
              <w:rPr>
                <w:rFonts w:ascii="Museo Sans 700;sans-serif" w:hAnsi="Museo Sans 700;sans-serif"/>
                <w:b/>
                <w:color w:val="000000"/>
                <w:sz w:val="12"/>
              </w:rPr>
              <w:t>(4)</w:t>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174.9</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25.1</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15.5</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13.2</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(77.2)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151.5</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7673" w:type="dxa"/>
            <w:gridSpan w:val="39"/>
            <w:tcBorders/>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3"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Twelve months ended</w:t>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3"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CBPD</w:t>
            </w:r>
            <w:r>
              <w:rPr>
                <w:color w:val="000000"/>
              </w:rPr>
              <w:t xml:space="preserve"> </w:t>
            </w:r>
            <w:r>
              <w:rPr>
                <w:rFonts w:ascii="Museo Sans 700;sans-serif" w:hAnsi="Museo Sans 700;sans-serif"/>
                <w:b/>
                <w:color w:val="000000"/>
                <w:sz w:val="10"/>
              </w:rPr>
              <w:t>(1)</w:t>
            </w:r>
          </w:p>
        </w:tc>
        <w:tc>
          <w:tcPr>
            <w:tcW w:w="1131"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 xml:space="preserve">EDUC </w:t>
            </w:r>
            <w:r>
              <w:rPr>
                <w:rFonts w:ascii="Museo Sans 700;sans-serif" w:hAnsi="Museo Sans 700;sans-serif"/>
                <w:b/>
                <w:color w:val="000000"/>
                <w:sz w:val="10"/>
              </w:rPr>
              <w:t>(1)</w:t>
            </w:r>
          </w:p>
        </w:tc>
        <w:tc>
          <w:tcPr>
            <w:tcW w:w="1159"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 xml:space="preserve">ENT </w:t>
            </w:r>
            <w:r>
              <w:rPr>
                <w:rFonts w:ascii="Museo Sans 700;sans-serif" w:hAnsi="Museo Sans 700;sans-serif"/>
                <w:b/>
                <w:color w:val="000000"/>
                <w:sz w:val="10"/>
              </w:rPr>
              <w:t>(1)</w:t>
            </w:r>
          </w:p>
        </w:tc>
        <w:tc>
          <w:tcPr>
            <w:tcW w:w="114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INTL</w:t>
            </w:r>
            <w:r>
              <w:rPr>
                <w:color w:val="000000"/>
              </w:rPr>
              <w:t xml:space="preserve"> </w:t>
            </w:r>
            <w:r>
              <w:rPr>
                <w:rFonts w:ascii="Museo Sans 700;sans-serif" w:hAnsi="Museo Sans 700;sans-serif"/>
                <w:b/>
                <w:color w:val="000000"/>
                <w:sz w:val="10"/>
              </w:rPr>
              <w:t>(1)</w:t>
            </w:r>
          </w:p>
        </w:tc>
        <w:tc>
          <w:tcPr>
            <w:tcW w:w="1299"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6"/>
              </w:rPr>
              <w:t xml:space="preserve">OVH </w:t>
            </w:r>
            <w:r>
              <w:rPr>
                <w:rFonts w:ascii="Museo Sans 700;sans-serif" w:hAnsi="Museo Sans 700;sans-serif"/>
                <w:b/>
                <w:color w:val="000000"/>
                <w:sz w:val="10"/>
              </w:rPr>
              <w:t>(1)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6"/>
              </w:rPr>
            </w:pPr>
            <w:r>
              <w:rPr>
                <w:rFonts w:ascii="Museo Sans 700;sans-serif" w:hAnsi="Museo Sans 700;sans-serif"/>
                <w:b/>
                <w:color w:val="000000"/>
                <w:sz w:val="16"/>
              </w:rPr>
              <w:t>Total</w:t>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Earnings (loss) before income taxes as reported</w:t>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(120.7)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One-time items before income taxes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Earnings (loss) before income taxes excluding one-time items</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131.1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(9.4)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0.8</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(110.7)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18.7</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Interest (income) expense </w:t>
            </w:r>
            <w:r>
              <w:rPr>
                <w:rFonts w:ascii="Museo Sans 300;sans-serif" w:hAnsi="Museo Sans 300;sans-serif"/>
                <w:b w:val="false"/>
                <w:color w:val="000000"/>
                <w:sz w:val="12"/>
              </w:rPr>
              <w:t>(2)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Depreciation and amortization</w:t>
            </w:r>
            <w:r>
              <w:rPr>
                <w:color w:val="000000"/>
              </w:rPr>
              <w:t xml:space="preserve"> </w:t>
            </w:r>
            <w:r>
              <w:rPr>
                <w:rFonts w:ascii="Museo Sans 300;sans-serif" w:hAnsi="Museo Sans 300;sans-serif"/>
                <w:b w:val="false"/>
                <w:color w:val="000000"/>
                <w:sz w:val="12"/>
              </w:rPr>
              <w:t>(3)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110.3 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Adjusted EBITDA</w:t>
            </w:r>
          </w:p>
        </w:tc>
        <w:tc>
          <w:tcPr>
            <w:tcW w:w="3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162.4</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3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31.7</w:t>
            </w:r>
            <w:r>
              <w:rPr>
                <w:color w:val="000000"/>
              </w:rPr>
              <w:t>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15.3</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5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8.8</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9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(72.8)</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145.4</w:t>
            </w:r>
            <w:r>
              <w:rPr>
                <w:color w:val="000000"/>
              </w:rPr>
              <w:t> </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245"/>
              <w:jc w:val="left"/>
              <w:rPr/>
            </w:pPr>
            <w:r>
              <w:rPr>
                <w:rFonts w:ascii="Museo Sans 300;sans-serif" w:hAnsi="Museo Sans 300;sans-serif"/>
                <w:b w:val="false"/>
                <w:color w:val="000000"/>
                <w:sz w:val="16"/>
              </w:rPr>
              <w:t xml:space="preserve">(1) The Company’s segments are defined as the following: CBPD - </w:t>
            </w:r>
            <w:r>
              <w:rPr>
                <w:rFonts w:ascii="Museo Sans 300;sans-serif" w:hAnsi="Museo Sans 300;sans-serif"/>
                <w:b w:val="false"/>
                <w:i/>
                <w:color w:val="000000"/>
                <w:sz w:val="16"/>
              </w:rPr>
              <w:t>Children's Book Publishing and Distribution</w:t>
            </w:r>
            <w:r>
              <w:rPr>
                <w:color w:val="000000"/>
              </w:rPr>
              <w:t xml:space="preserve"> </w:t>
            </w:r>
            <w:r>
              <w:rPr>
                <w:rFonts w:ascii="Museo Sans 300;sans-serif" w:hAnsi="Museo Sans 300;sans-serif"/>
                <w:b w:val="false"/>
                <w:color w:val="000000"/>
                <w:sz w:val="16"/>
              </w:rPr>
              <w:t xml:space="preserve">segment; EDUC - </w:t>
            </w:r>
            <w:r>
              <w:rPr>
                <w:rFonts w:ascii="Museo Sans 300;sans-serif" w:hAnsi="Museo Sans 300;sans-serif"/>
                <w:b w:val="false"/>
                <w:i/>
                <w:color w:val="000000"/>
                <w:sz w:val="16"/>
              </w:rPr>
              <w:t>Education</w:t>
            </w:r>
            <w:r>
              <w:rPr>
                <w:color w:val="000000"/>
              </w:rPr>
              <w:t xml:space="preserve"> </w:t>
            </w:r>
            <w:r>
              <w:rPr>
                <w:rFonts w:ascii="Museo Sans 300;sans-serif" w:hAnsi="Museo Sans 300;sans-serif"/>
                <w:b w:val="false"/>
                <w:color w:val="000000"/>
                <w:sz w:val="16"/>
              </w:rPr>
              <w:t xml:space="preserve">segment; ENT -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INTL - </w:t>
            </w:r>
            <w:r>
              <w:rPr>
                <w:rFonts w:ascii="Museo Sans 300;sans-serif" w:hAnsi="Museo Sans 300;sans-serif"/>
                <w:b w:val="false"/>
                <w:i/>
                <w:color w:val="000000"/>
                <w:sz w:val="16"/>
              </w:rPr>
              <w:t>International</w:t>
            </w:r>
            <w:r>
              <w:rPr>
                <w:color w:val="000000"/>
              </w:rPr>
              <w:t xml:space="preserve"> </w:t>
            </w:r>
            <w:r>
              <w:rPr>
                <w:rFonts w:ascii="Museo Sans 300;sans-serif" w:hAnsi="Museo Sans 300;sans-serif"/>
                <w:b w:val="false"/>
                <w:color w:val="000000"/>
                <w:sz w:val="16"/>
              </w:rPr>
              <w:t>segment; OVH - unallocated overhead.</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(2) Amounts include production loan interest amortized into cost of goods sold.</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ind w:left="0" w:right="0" w:hanging="245"/>
              <w:jc w:val="left"/>
              <w:rPr/>
            </w:pPr>
            <w:r>
              <w:rPr>
                <w:rFonts w:ascii="Museo Sans 300;sans-serif" w:hAnsi="Museo Sans 300;sans-serif"/>
                <w:b w:val="false"/>
                <w:color w:val="000000"/>
                <w:sz w:val="16"/>
              </w:rPr>
              <w:t xml:space="preserve">(3) Depreciation and amortization in the </w:t>
            </w:r>
            <w:r>
              <w:rPr>
                <w:rFonts w:ascii="Museo Sans 300;sans-serif" w:hAnsi="Museo Sans 300;sans-serif"/>
                <w:b w:val="false"/>
                <w:i/>
                <w:color w:val="000000"/>
                <w:sz w:val="16"/>
              </w:rPr>
              <w:t xml:space="preserve">Children’s Book Publishing and Distribution, Education </w:t>
            </w:r>
            <w:r>
              <w:rPr>
                <w:rFonts w:ascii="Museo Sans 300;sans-serif" w:hAnsi="Museo Sans 300;sans-serif"/>
                <w:b w:val="false"/>
                <w:color w:val="000000"/>
                <w:sz w:val="16"/>
              </w:rPr>
              <w:t>and</w:t>
            </w:r>
            <w:r>
              <w:rPr>
                <w:color w:val="000000"/>
              </w:rPr>
              <w:t xml:space="preserve"> </w:t>
            </w:r>
            <w:r>
              <w:rPr>
                <w:rFonts w:ascii="Museo Sans 300;sans-serif" w:hAnsi="Museo Sans 300;sans-serif"/>
                <w:b w:val="false"/>
                <w:i/>
                <w:color w:val="000000"/>
                <w:sz w:val="16"/>
              </w:rPr>
              <w:t xml:space="preserve">International </w:t>
            </w:r>
            <w:r>
              <w:rPr>
                <w:rFonts w:ascii="Museo Sans 300;sans-serif" w:hAnsi="Museo Sans 300;sans-serif"/>
                <w:b w:val="false"/>
                <w:color w:val="000000"/>
                <w:sz w:val="16"/>
              </w:rPr>
              <w:t>segments includes amounts allocated from overhead.</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ind w:left="0" w:right="0" w:hanging="245"/>
              <w:jc w:val="left"/>
              <w:rPr>
                <w:rFonts w:ascii="Museo Sans 300;sans-serif" w:hAnsi="Museo Sans 300;sans-serif"/>
                <w:b w:val="false"/>
                <w:color w:val="000000"/>
                <w:sz w:val="16"/>
              </w:rPr>
            </w:pPr>
            <w:r>
              <w:rPr>
                <w:rFonts w:ascii="Museo Sans 300;sans-serif" w:hAnsi="Museo Sans 300;sans-serif"/>
                <w:b w:val="false"/>
                <w:color w:val="000000"/>
                <w:sz w:val="16"/>
              </w:rPr>
              <w:t>(4) Adjusted EBITDA for unallocated overhead and total includes the net cost impact of the sale-leaseback transactions of $7.8 and $14.5 for the three and twelve months ended May 31, 2026, respectively.</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72"/>
        <w:gridCol w:w="1226"/>
        <w:gridCol w:w="1229"/>
        <w:gridCol w:w="188"/>
        <w:gridCol w:w="188"/>
        <w:gridCol w:w="188"/>
        <w:gridCol w:w="527"/>
        <w:gridCol w:w="527"/>
        <w:gridCol w:w="188"/>
        <w:gridCol w:w="188"/>
        <w:gridCol w:w="188"/>
        <w:gridCol w:w="188"/>
        <w:gridCol w:w="527"/>
        <w:gridCol w:w="527"/>
        <w:gridCol w:w="188"/>
        <w:gridCol w:w="171"/>
        <w:gridCol w:w="171"/>
        <w:gridCol w:w="171"/>
        <w:gridCol w:w="415"/>
        <w:gridCol w:w="416"/>
        <w:gridCol w:w="171"/>
        <w:gridCol w:w="308"/>
        <w:gridCol w:w="310"/>
        <w:gridCol w:w="533"/>
      </w:tblGrid>
      <w:tr>
        <w:trPr/>
        <w:tc>
          <w:tcPr>
            <w:tcW w:w="147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Table 7</w:t>
            </w:r>
          </w:p>
        </w:tc>
      </w:tr>
      <w:tr>
        <w:trPr/>
        <w:tc>
          <w:tcPr>
            <w:tcW w:w="10205" w:type="dxa"/>
            <w:gridSpan w:val="24"/>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Scholastic Corporation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Pro Forma Supplemental Information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 $ Millions)</w:t>
            </w:r>
          </w:p>
        </w:tc>
      </w:tr>
      <w:tr>
        <w:trPr/>
        <w:tc>
          <w:tcPr>
            <w:tcW w:w="10205" w:type="dxa"/>
            <w:gridSpan w:val="24"/>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2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r>
      <w:tr>
        <w:trP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c>
          <w:tcPr>
            <w:tcW w:w="180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c>
          <w:tcPr>
            <w:tcW w:w="15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Adjusted unallocated overhead</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(33.8)</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(30.1)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(3.7)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(12)</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Incremental full-year impact of sale-leaseback transactions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 xml:space="preserve">Pro forma Adjusted unallocated overhead </w:t>
            </w:r>
            <w:r>
              <w:rPr>
                <w:rFonts w:ascii="Museo Sans 700;sans-serif" w:hAnsi="Museo Sans 700;sans-serif"/>
                <w:b/>
                <w:color w:val="000000"/>
                <w:sz w:val="12"/>
              </w:rPr>
              <w:t>(1)</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(33.8)</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(34.0)</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0.2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w:t>
            </w:r>
            <w:r>
              <w:rPr>
                <w:color w:val="000000"/>
              </w:rPr>
              <w:t>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Adjusted operating income</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58.3</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63.4</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(5.1)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(8)</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Incremental full-year impact of sale-leaseback transactions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 xml:space="preserve">Pro forma Adjusted operating income </w:t>
            </w:r>
            <w:r>
              <w:rPr>
                <w:rFonts w:ascii="Museo Sans 700;sans-serif" w:hAnsi="Museo Sans 700;sans-serif"/>
                <w:b/>
                <w:color w:val="000000"/>
                <w:sz w:val="12"/>
              </w:rPr>
              <w:t>(1) (2)</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58.3</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59.5</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(2)</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Adjusted EBITDA</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84.7</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91.2</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(6.5)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(7)</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Incremental full-year impact of sale-leaseback transactions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 xml:space="preserve">Pro forma Adjusted EBITDA </w:t>
            </w:r>
            <w:r>
              <w:rPr>
                <w:rFonts w:ascii="Museo Sans 700;sans-serif" w:hAnsi="Museo Sans 700;sans-serif"/>
                <w:b/>
                <w:color w:val="000000"/>
                <w:sz w:val="12"/>
              </w:rPr>
              <w:t>(1) (2)</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84.7</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83.7</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w:t>
            </w:r>
            <w:r>
              <w:rPr>
                <w:color w:val="000000"/>
              </w:rPr>
              <w:t>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Twelve months ended</w:t>
            </w:r>
          </w:p>
        </w:tc>
        <w:tc>
          <w:tcPr>
            <w:tcW w:w="2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r>
      <w:tr>
        <w:trP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05/31/26</w:t>
            </w:r>
          </w:p>
        </w:tc>
        <w:tc>
          <w:tcPr>
            <w:tcW w:w="180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05/31/25</w:t>
            </w:r>
          </w:p>
        </w:tc>
        <w:tc>
          <w:tcPr>
            <w:tcW w:w="15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Adjusted unallocated overhead</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(94.6)</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(98.1)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w:t>
            </w:r>
            <w:r>
              <w:rPr>
                <w:color w:val="000000"/>
              </w:rPr>
              <w:t>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Incremental full-year impact of sale-leaseback transactions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 xml:space="preserve">Pro forma Adjusted unallocated overhead </w:t>
            </w:r>
            <w:r>
              <w:rPr>
                <w:rFonts w:ascii="Museo Sans 700;sans-serif" w:hAnsi="Museo Sans 700;sans-serif"/>
                <w:b/>
                <w:color w:val="000000"/>
                <w:sz w:val="12"/>
              </w:rPr>
              <w:t>(1)</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(106.4)</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(114.0)</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7</w:t>
            </w:r>
            <w:r>
              <w:rPr>
                <w:color w:val="000000"/>
              </w:rPr>
              <w:t>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Adjusted operating income</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47.1</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35.8</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11.3</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32</w:t>
            </w: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Incremental full-year impact of sale-leaseback transactions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 xml:space="preserve">Pro forma Adjusted operating income </w:t>
            </w:r>
            <w:r>
              <w:rPr>
                <w:rFonts w:ascii="Museo Sans 700;sans-serif" w:hAnsi="Museo Sans 700;sans-serif"/>
                <w:b/>
                <w:color w:val="000000"/>
                <w:sz w:val="12"/>
              </w:rPr>
              <w:t>(1) (2)</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35.3</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19.9</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77</w:t>
            </w:r>
            <w:r>
              <w:rPr>
                <w:color w:val="000000"/>
              </w:rPr>
              <w:t>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Adjusted EBITDA</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151.5</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145.4</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6.1</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w:t>
            </w: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Incremental full-year impact of sale-leaseback transactions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Museo Sans 700;sans-serif" w:hAnsi="Museo Sans 700;sans-serif"/>
                <w:b/>
                <w:color w:val="000000"/>
                <w:sz w:val="18"/>
              </w:rPr>
              <w:t>Pro forma Adjusted EBITDA</w:t>
            </w:r>
            <w:r>
              <w:rPr>
                <w:color w:val="000000"/>
              </w:rPr>
              <w:t xml:space="preserve"> </w:t>
            </w:r>
            <w:r>
              <w:rPr>
                <w:rFonts w:ascii="Museo Sans 700;sans-serif" w:hAnsi="Museo Sans 700;sans-serif"/>
                <w:b/>
                <w:color w:val="000000"/>
                <w:sz w:val="12"/>
              </w:rPr>
              <w:t>(1) (2)</w:t>
            </w:r>
          </w:p>
        </w:tc>
        <w:tc>
          <w:tcPr>
            <w:tcW w:w="5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132.4</w:t>
            </w:r>
            <w:r>
              <w:rPr>
                <w:color w:val="000000"/>
              </w:rPr>
              <w:t>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5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115.3</w:t>
            </w:r>
            <w:r>
              <w:rPr>
                <w:color w:val="000000"/>
              </w:rPr>
              <w:t>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83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17.1</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w:t>
            </w:r>
            <w:r>
              <w:rPr>
                <w:color w:val="000000"/>
              </w:rPr>
              <w:t> </w:t>
            </w:r>
          </w:p>
        </w:tc>
        <w:tc>
          <w:tcPr>
            <w:tcW w:w="5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ind w:left="0" w:right="0" w:hanging="270"/>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10205"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(1) Pro forma Adjusted unallocated overhead, Pro forma Adjusted operating income and Pro forma Adjusted EBITDA reflect the net impacts of the sale-leaseback transactions as if the transactions had occurred on June 1, 2024, the beginning of fiscal 2025. Fiscal 2026 reported results include the actual impact beginning upon completion of the transactions in December 2025. The incremental adjustments shown above reflect the additional impact for the portion of fiscal 2026 prior to completion of the transactions. Fiscal 2025 reported results include no impact from the transactions.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For fiscal 2026, the full-year pro forma cost impact was $19.0 on Adjusted operating income, consisting of $7.2 recognized in reported fiscal 2026 results and $11.8 of incremental adjustments. For fiscal 2026, the full-year pro forma cost impact on Adjusted EBITDA was $33.6, consisting of $14.5 recognized in reported fiscal 2026 results and $19.1 of incremental adjustments. For fiscal 2025, the full-year pro forma cost impacts were $15.9 on Adjusted operating income and $30.1 on Adjusted EBITDA.</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useo Sans 700">
    <w:altName w:val="sans-serif"/>
    <w:charset w:val="01"/>
    <w:family w:val="auto"/>
    <w:pitch w:val="default"/>
  </w:font>
  <w:font w:name="Museo Sans 300">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6000</Words>
  <Characters>32443</Characters>
  <CharactersWithSpaces>37518</CharactersWithSpaces>
  <Paragraphs>1511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