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82026_080918.xml.htm"/>
      <w:bookmarkStart w:id="1" w:name="ksform409182026_0809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Alonso Andres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CORPORATE SECRETARY,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SCHOLASTIC CORPORATION, 557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SCHOLASTIC CORP</w:t>
              </w:r>
            </w:hyperlink>
            <w:r>
              <w:rPr/>
              <w:t xml:space="preserve"> [ </w:t>
            </w:r>
            <w:r>
              <w:rPr>
                <w:rFonts w:ascii="Times;serif" w:hAnsi="Times;serif"/>
                <w:color w:val="0000FF"/>
                <w:sz w:val="24"/>
                <w:shd w:fill="FFFFFF" w:val="clear"/>
              </w:rPr>
              <w:t>SCHL</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3,700</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35.13</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24,889</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under the Amended and Restated Scholastic Corporation Outside Directors Stock Incentive Plan, all of which are scheduled to vest on the earlier of September 16, 2027 or the date of the Company's 2027 annual stockholder meeting.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Andres Alonso by Andrew S. Hedden, Esq.,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3820" TargetMode="External"/><Relationship Id="rId5" Type="http://schemas.openxmlformats.org/officeDocument/2006/relationships/hyperlink" Target="http://www.sec.gov/cgi-bin/browse-edgar?action=getcompany&amp;CIK=00008667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3336</Characters>
  <CharactersWithSpaces>3881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