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081005.xml.htm"/>
      <w:bookmarkStart w:id="1" w:name="ksform410012026_081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Lucchese Iole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 SCHOLASTIC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959"/>
        <w:gridCol w:w="439"/>
        <w:gridCol w:w="745"/>
        <w:gridCol w:w="1169"/>
        <w:gridCol w:w="977"/>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24,271</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74,286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289,623</w:t>
            </w:r>
            <w:r>
              <w:rPr>
                <w:rFonts w:ascii="Times;serif" w:hAnsi="Times;serif"/>
                <w:color w:val="008000"/>
                <w:position w:val="7"/>
                <w:sz w:val="16"/>
                <w:sz w:val="20"/>
                <w:shd w:fill="FFFFFF" w:val="clear"/>
              </w:rPr>
              <w:t>(2)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Estate of M. Richard Robinson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that vest in three equal annual installments beginning with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previously disclosed, Ms. Lucchese is a preliminary executor of the Estate of M. Richard Robinson, Jr. These securities are held by the Estate of M. Richard Robinson Jr. Ms. Lucchese disclaims beneficial ownership of these securities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Iole Lucchese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6522"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3538</Characters>
  <CharactersWithSpaces>4116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