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ind w:left="4244"/>
        <w:spacing w:after="0"/>
        <w:rPr>
          <w:sz w:val="20"/>
          <w:szCs w:val="20"/>
          <w:color w:val="auto"/>
        </w:rPr>
      </w:pPr>
      <w:r>
        <w:rPr>
          <w:rFonts w:ascii="Times New Roman" w:cs="Times New Roman" w:eastAsia="Times New Roman" w:hAnsi="Times New Roman"/>
          <w:sz w:val="32"/>
          <w:szCs w:val="32"/>
          <w:b w:val="1"/>
          <w:bCs w:val="1"/>
          <w:color w:val="auto"/>
        </w:rPr>
        <w:t>Amendment No. 2</w:t>
      </w:r>
    </w:p>
    <w:p>
      <w:pPr>
        <w:spacing w:after="0" w:line="145" w:lineRule="exact"/>
        <w:rPr>
          <w:sz w:val="24"/>
          <w:szCs w:val="24"/>
          <w:color w:val="auto"/>
        </w:rPr>
      </w:pPr>
    </w:p>
    <w:p>
      <w:pPr>
        <w:ind w:left="4344"/>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14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22"/>
          <w:szCs w:val="22"/>
          <w:b w:val="1"/>
          <w:bCs w:val="1"/>
          <w:color w:val="auto"/>
        </w:rPr>
        <w:t>TENDER OFFER STATEMENT UNDER SECTION 14(d)(1) or 13(e)(1)</w:t>
      </w:r>
    </w:p>
    <w:p>
      <w:pPr>
        <w:spacing w:after="0" w:line="1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43"/>
          <w:szCs w:val="43"/>
          <w:b w:val="1"/>
          <w:bCs w:val="1"/>
          <w:color w:val="auto"/>
        </w:rPr>
        <w:t>SCHOLASTIC CORPORATION</w:t>
      </w:r>
    </w:p>
    <w:p>
      <w:pPr>
        <w:spacing w:after="0" w:line="5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(Name of Subject Company (Issuer) and Filing Person (Offeror))</w:t>
      </w:r>
    </w:p>
    <w:p>
      <w:pPr>
        <w:spacing w:after="0" w:line="134"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Common Stock, par value $0.01</w:t>
      </w:r>
    </w:p>
    <w:p>
      <w:pPr>
        <w:spacing w:after="0" w:line="25"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20"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807066105</w:t>
      </w:r>
    </w:p>
    <w:p>
      <w:pPr>
        <w:spacing w:after="0" w:line="25"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10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Scholastic Corporation</w:t>
      </w:r>
    </w:p>
    <w:p>
      <w:pPr>
        <w:spacing w:after="0" w:line="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Attention: Chris Lick</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557 Broadway, New York, NY 10012-3999</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(212) 343-6100</w:t>
      </w:r>
    </w:p>
    <w:p>
      <w:pPr>
        <w:spacing w:after="0" w:line="2" w:lineRule="exact"/>
        <w:rPr>
          <w:sz w:val="24"/>
          <w:szCs w:val="24"/>
          <w:color w:val="auto"/>
        </w:rPr>
      </w:pPr>
    </w:p>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 on behalf of filing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0"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15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Thomas J. Rice, Esq.</w:t>
      </w:r>
    </w:p>
    <w:p>
      <w:pPr>
        <w:spacing w:after="0" w:line="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Michael S. Pilo, Esq.</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Baker &amp; McKenzie LLP</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452 Fifth Avenue</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New York, NY 10018</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(212) 626-4100</w:t>
      </w:r>
    </w:p>
    <w:p>
      <w:pPr>
        <w:spacing w:after="0" w:line="135"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Marisa D. Stavenas</w:t>
      </w:r>
    </w:p>
    <w:p>
      <w:pPr>
        <w:spacing w:after="0" w:line="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John O’Connell</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Simpson Thacher &amp; Bartlett LLP</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425 Lexington Avenue</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New York, NY 10017</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(212) 455-2000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168910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left="4" w:right="1039" w:hanging="4"/>
        <w:spacing w:after="0" w:line="375"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filing relates solely to preliminary communications made before the commencement of a tender offer. Check the appropriate boxes below to designate any transactions to which the statement relates:</w:t>
      </w:r>
    </w:p>
    <w:p>
      <w:pPr>
        <w:spacing w:after="0" w:line="42" w:lineRule="exact"/>
        <w:rPr>
          <w:sz w:val="24"/>
          <w:szCs w:val="24"/>
          <w:color w:val="auto"/>
        </w:rPr>
      </w:pPr>
    </w:p>
    <w:p>
      <w:pPr>
        <w:ind w:left="1424" w:right="4759" w:firstLine="7"/>
        <w:spacing w:after="0" w:line="226" w:lineRule="exact"/>
        <w:tabs>
          <w:tab w:leader="none" w:pos="196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third-party tender offer subject to Rule 14d-1.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issuer tender offer subject to Rule 13e-4.</w:t>
      </w:r>
    </w:p>
    <w:p>
      <w:pPr>
        <w:ind w:left="1964" w:hanging="533"/>
        <w:spacing w:after="0"/>
        <w:tabs>
          <w:tab w:leader="none" w:pos="196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9" w:lineRule="exact"/>
        <w:rPr>
          <w:rFonts w:ascii="MS PGothic" w:cs="MS PGothic" w:eastAsia="MS PGothic" w:hAnsi="MS PGothic"/>
          <w:sz w:val="18"/>
          <w:szCs w:val="18"/>
          <w:color w:val="auto"/>
        </w:rPr>
      </w:pPr>
    </w:p>
    <w:p>
      <w:pPr>
        <w:ind w:left="1964" w:hanging="533"/>
        <w:spacing w:after="0"/>
        <w:tabs>
          <w:tab w:leader="none" w:pos="196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56"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154940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443" w:right="1440" w:bottom="1440" w:gutter="0" w:footer="0" w:header="0"/>
        </w:sectPr>
      </w:pPr>
    </w:p>
    <w:bookmarkStart w:id="1" w:name="page2"/>
    <w:bookmarkEnd w:id="1"/>
    <w:p>
      <w:pPr>
        <w:ind w:left="4"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Amendment No. 2 (this “Amendment”) amends and supplements the Tender Offer Statement on Schedule TO originally filed with the Securities and Exchange Commission by Scholastic Corporation, a Delaware corporation (“Scholastic,” or the “Company”), on March 23, 2026 and amended on March 30, 2026 (the “Schedule TO”) relating to the offer by Scholastic to purchase for cash up to $200 million in value of shares of common stock, par value $0.01 per share (each, a “Share,” and collectively, the “Shares”), of the Company at a price of not less than $36.00 and not greater than $40.00 per Share, to the seller in cash, less any applicable withholding taxes and without interest. Scholastic’s offer was made upon the terms and subject to the conditions set forth in the Offer to Purchase, dated March 23, 2026, a copy of which was filed as Exhibit (a)(1)(A) to the Schedule TO (together with such amendments or supplements thereto, the “Offer to Purchase”), and the related Letter of Transmittal (together with any amendments or supplements thereto, the “Letter of Transmittal”) and, together with the Offer to Purchase, as they may be amended or supplemented from time to time, the “Offer”, a copy of which was filed as Exhibit (a)(1)(B) to the Schedule TO.</w:t>
      </w:r>
    </w:p>
    <w:p>
      <w:pPr>
        <w:spacing w:after="0" w:line="188"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The purpose of this Amendment is to amend and supplement the Schedule TO and the Offer to Purchase. Only those items that are amended are reported in this Amendment. Except as specifically provided herein, the information contained in the Schedule TO, the Offer to Purchase and the Letter of Transmittal remains unchanged. This Amendment should be read together with the Schedule TO, the Offer to Purchase and the Letter of Transmittal.</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11. Additional Information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Item 11 of the Schedule TO is hereby amended and supplemented by adding the following:</w:t>
      </w:r>
    </w:p>
    <w:p>
      <w:pPr>
        <w:spacing w:after="0" w:line="117" w:lineRule="exact"/>
        <w:rPr>
          <w:sz w:val="20"/>
          <w:szCs w:val="20"/>
          <w:color w:val="auto"/>
        </w:rPr>
      </w:pPr>
    </w:p>
    <w:p>
      <w:pPr>
        <w:ind w:left="4" w:right="20" w:hanging="4"/>
        <w:spacing w:after="0" w:line="282"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21, 2026, the Company issued a press release announcing the preliminary results of the Tender Offer, which expired at 5:00 p.m. New York City time on April 20, 2026. A copy of such press release is filed as Exhibit (a)(8) to this Amendment and is incorporated herein by reference.</w:t>
      </w:r>
    </w:p>
    <w:p>
      <w:pPr>
        <w:sectPr>
          <w:pgSz w:w="11900" w:h="16838" w:orient="portrait"/>
          <w:cols w:equalWidth="0" w:num="1">
            <w:col w:w="11004"/>
          </w:cols>
          <w:pgMar w:left="436" w:top="270" w:right="45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12.</w:t>
            </w:r>
          </w:p>
        </w:tc>
        <w:tc>
          <w:tcPr>
            <w:tcW w:w="9920" w:type="dxa"/>
            <w:vAlign w:val="bottom"/>
            <w:gridSpan w:val="15"/>
          </w:tcPr>
          <w:p>
            <w:pPr>
              <w:ind w:left="1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67"/>
        </w:trPr>
        <w:tc>
          <w:tcPr>
            <w:tcW w:w="9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20" w:type="dxa"/>
            <w:vAlign w:val="bottom"/>
            <w:gridSpan w:val="9"/>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9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No</w:t>
            </w:r>
          </w:p>
        </w:tc>
        <w:tc>
          <w:tcPr>
            <w:tcW w:w="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20" w:type="dxa"/>
            <w:vAlign w:val="bottom"/>
            <w:gridSpan w:val="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(a)(1)(A)**</w:t>
            </w:r>
          </w:p>
        </w:tc>
        <w:tc>
          <w:tcPr>
            <w:tcW w:w="380" w:type="dxa"/>
            <w:vAlign w:val="bottom"/>
          </w:tcPr>
          <w:p>
            <w:pPr>
              <w:spacing w:after="0"/>
              <w:rPr>
                <w:sz w:val="23"/>
                <w:szCs w:val="23"/>
                <w:color w:val="auto"/>
              </w:rPr>
            </w:pPr>
          </w:p>
        </w:tc>
        <w:tc>
          <w:tcPr>
            <w:tcW w:w="9540" w:type="dxa"/>
            <w:vAlign w:val="bottom"/>
            <w:gridSpan w:val="14"/>
          </w:tcPr>
          <w:p>
            <w:pPr>
              <w:spacing w:after="0"/>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Offer to Purchase, dated March 23, 2026.</w:t>
              </w:r>
            </w:hyperlink>
          </w:p>
        </w:tc>
        <w:tc>
          <w:tcPr>
            <w:tcW w:w="0" w:type="dxa"/>
            <w:vAlign w:val="bottom"/>
          </w:tcPr>
          <w:p>
            <w:pPr>
              <w:spacing w:after="0"/>
              <w:rPr>
                <w:sz w:val="1"/>
                <w:szCs w:val="1"/>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(a)(1)(B)**</w:t>
            </w:r>
          </w:p>
        </w:tc>
        <w:tc>
          <w:tcPr>
            <w:tcW w:w="380" w:type="dxa"/>
            <w:vAlign w:val="bottom"/>
          </w:tcPr>
          <w:p>
            <w:pPr>
              <w:spacing w:after="0"/>
              <w:rPr>
                <w:sz w:val="24"/>
                <w:szCs w:val="24"/>
                <w:color w:val="auto"/>
              </w:rPr>
            </w:pPr>
          </w:p>
        </w:tc>
        <w:tc>
          <w:tcPr>
            <w:tcW w:w="298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Letter of Transmittal.</w:t>
              </w:r>
            </w:hyperlink>
          </w:p>
        </w:tc>
        <w:tc>
          <w:tcPr>
            <w:tcW w:w="65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(a)(1)(C)**</w:t>
            </w:r>
          </w:p>
        </w:tc>
        <w:tc>
          <w:tcPr>
            <w:tcW w:w="380" w:type="dxa"/>
            <w:vAlign w:val="bottom"/>
          </w:tcPr>
          <w:p>
            <w:pPr>
              <w:spacing w:after="0"/>
              <w:rPr>
                <w:sz w:val="24"/>
                <w:szCs w:val="24"/>
                <w:color w:val="auto"/>
              </w:rPr>
            </w:pPr>
          </w:p>
        </w:tc>
        <w:tc>
          <w:tcPr>
            <w:tcW w:w="9540" w:type="dxa"/>
            <w:vAlign w:val="bottom"/>
            <w:gridSpan w:val="14"/>
          </w:tcPr>
          <w:p>
            <w:pPr>
              <w:spacing w:after="0"/>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Notice of Guaranteed Delivery.</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(a)(1)(D)**</w:t>
            </w:r>
          </w:p>
        </w:tc>
        <w:tc>
          <w:tcPr>
            <w:tcW w:w="380" w:type="dxa"/>
            <w:vAlign w:val="bottom"/>
          </w:tcPr>
          <w:p>
            <w:pPr>
              <w:spacing w:after="0"/>
              <w:rPr>
                <w:sz w:val="24"/>
                <w:szCs w:val="24"/>
                <w:color w:val="auto"/>
              </w:rPr>
            </w:pPr>
          </w:p>
        </w:tc>
        <w:tc>
          <w:tcPr>
            <w:tcW w:w="79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Letter to Brokers, Dealers, Commercial Banks, Trust Companies and Other Nominees, dated March 23, 2026.</w:t>
              </w:r>
            </w:hyperlink>
          </w:p>
        </w:tc>
        <w:tc>
          <w:tcPr>
            <w:tcW w:w="16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(a)(1)(E)**</w:t>
            </w:r>
          </w:p>
        </w:tc>
        <w:tc>
          <w:tcPr>
            <w:tcW w:w="380" w:type="dxa"/>
            <w:vAlign w:val="bottom"/>
          </w:tcPr>
          <w:p>
            <w:pPr>
              <w:spacing w:after="0"/>
              <w:rPr>
                <w:sz w:val="24"/>
                <w:szCs w:val="24"/>
                <w:color w:val="auto"/>
              </w:rPr>
            </w:pPr>
          </w:p>
        </w:tc>
        <w:tc>
          <w:tcPr>
            <w:tcW w:w="92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Letter to Clients for use by Brokers, Dealers, Commercial Banks, Trust Companies and Other Nominees, dated March 23, 2026.</w:t>
              </w:r>
            </w:hyperlink>
          </w:p>
        </w:tc>
        <w:tc>
          <w:tcPr>
            <w:tcW w:w="2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(a)(1)(F)**</w:t>
            </w:r>
          </w:p>
        </w:tc>
        <w:tc>
          <w:tcPr>
            <w:tcW w:w="380" w:type="dxa"/>
            <w:vAlign w:val="bottom"/>
          </w:tcPr>
          <w:p>
            <w:pPr>
              <w:spacing w:after="0"/>
              <w:rPr>
                <w:sz w:val="24"/>
                <w:szCs w:val="24"/>
                <w:color w:val="auto"/>
              </w:rPr>
            </w:pPr>
          </w:p>
        </w:tc>
        <w:tc>
          <w:tcPr>
            <w:tcW w:w="63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Letter to participants in the Scholastic Corporation 401(k) Savings and Retirement Plan.</w:t>
              </w:r>
            </w:hyperlink>
          </w:p>
        </w:tc>
        <w:tc>
          <w:tcPr>
            <w:tcW w:w="3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(a)(1)(G)**</w:t>
            </w:r>
          </w:p>
        </w:tc>
        <w:tc>
          <w:tcPr>
            <w:tcW w:w="380" w:type="dxa"/>
            <w:vAlign w:val="bottom"/>
          </w:tcPr>
          <w:p>
            <w:pPr>
              <w:spacing w:after="0"/>
              <w:rPr>
                <w:sz w:val="24"/>
                <w:szCs w:val="24"/>
                <w:color w:val="auto"/>
              </w:rPr>
            </w:pPr>
          </w:p>
        </w:tc>
        <w:tc>
          <w:tcPr>
            <w:tcW w:w="39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Summary Advertisement, dated as of March 23, 2026.</w:t>
              </w:r>
            </w:hyperlink>
          </w:p>
        </w:tc>
        <w:tc>
          <w:tcPr>
            <w:tcW w:w="56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(a)(1)(H)**</w:t>
            </w:r>
          </w:p>
        </w:tc>
        <w:tc>
          <w:tcPr>
            <w:tcW w:w="380" w:type="dxa"/>
            <w:vAlign w:val="bottom"/>
          </w:tcPr>
          <w:p>
            <w:pPr>
              <w:spacing w:after="0"/>
              <w:rPr>
                <w:sz w:val="24"/>
                <w:szCs w:val="24"/>
                <w:color w:val="auto"/>
              </w:rPr>
            </w:pPr>
          </w:p>
        </w:tc>
        <w:tc>
          <w:tcPr>
            <w:tcW w:w="24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Communication with Employees.</w:t>
              </w:r>
            </w:hyperlink>
          </w:p>
        </w:tc>
        <w:tc>
          <w:tcPr>
            <w:tcW w:w="71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(a)(2)</w:t>
            </w:r>
          </w:p>
        </w:tc>
        <w:tc>
          <w:tcPr>
            <w:tcW w:w="380" w:type="dxa"/>
            <w:vAlign w:val="bottom"/>
          </w:tcPr>
          <w:p>
            <w:pPr>
              <w:spacing w:after="0"/>
              <w:rPr>
                <w:sz w:val="24"/>
                <w:szCs w:val="24"/>
                <w:color w:val="auto"/>
              </w:rPr>
            </w:pPr>
          </w:p>
        </w:tc>
        <w:tc>
          <w:tcPr>
            <w:tcW w:w="95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(a)(3)</w:t>
            </w:r>
          </w:p>
        </w:tc>
        <w:tc>
          <w:tcPr>
            <w:tcW w:w="380" w:type="dxa"/>
            <w:vAlign w:val="bottom"/>
          </w:tcPr>
          <w:p>
            <w:pPr>
              <w:spacing w:after="0"/>
              <w:rPr>
                <w:sz w:val="24"/>
                <w:szCs w:val="24"/>
                <w:color w:val="auto"/>
              </w:rPr>
            </w:pPr>
          </w:p>
        </w:tc>
        <w:tc>
          <w:tcPr>
            <w:tcW w:w="95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(a)(4)</w:t>
            </w:r>
          </w:p>
        </w:tc>
        <w:tc>
          <w:tcPr>
            <w:tcW w:w="380" w:type="dxa"/>
            <w:vAlign w:val="bottom"/>
          </w:tcPr>
          <w:p>
            <w:pPr>
              <w:spacing w:after="0"/>
              <w:rPr>
                <w:sz w:val="24"/>
                <w:szCs w:val="24"/>
                <w:color w:val="auto"/>
              </w:rPr>
            </w:pPr>
          </w:p>
        </w:tc>
        <w:tc>
          <w:tcPr>
            <w:tcW w:w="95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8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(a)(5)</w:t>
            </w:r>
          </w:p>
        </w:tc>
        <w:tc>
          <w:tcPr>
            <w:tcW w:w="380" w:type="dxa"/>
            <w:vAlign w:val="bottom"/>
          </w:tcPr>
          <w:p>
            <w:pPr>
              <w:spacing w:after="0"/>
              <w:rPr>
                <w:sz w:val="24"/>
                <w:szCs w:val="24"/>
                <w:color w:val="auto"/>
              </w:rPr>
            </w:pPr>
          </w:p>
        </w:tc>
        <w:tc>
          <w:tcPr>
            <w:tcW w:w="9540" w:type="dxa"/>
            <w:vAlign w:val="bottom"/>
            <w:gridSpan w:val="14"/>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Press release announcing the intention to commence the Tender Offer, dated March 19 2026 (incorporated by reference to Exhibit</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8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Company’s Current Report on Form 8-K filed on March 19, 2026)</w:t>
              </w:r>
              <w:r>
                <w:rPr>
                  <w:rFonts w:ascii="Times New Roman" w:cs="Times New Roman" w:eastAsia="Times New Roman" w:hAnsi="Times New Roman"/>
                  <w:sz w:val="18"/>
                  <w:szCs w:val="18"/>
                  <w:color w:val="000000"/>
                </w:rPr>
                <w:t>.</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80" w:type="dxa"/>
            <w:vAlign w:val="bottom"/>
            <w:gridSpan w:val="6"/>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(a)(6)**</w:t>
            </w:r>
          </w:p>
        </w:tc>
        <w:tc>
          <w:tcPr>
            <w:tcW w:w="380" w:type="dxa"/>
            <w:vAlign w:val="bottom"/>
          </w:tcPr>
          <w:p>
            <w:pPr>
              <w:spacing w:after="0"/>
              <w:rPr>
                <w:sz w:val="24"/>
                <w:szCs w:val="24"/>
                <w:color w:val="auto"/>
              </w:rPr>
            </w:pPr>
          </w:p>
        </w:tc>
        <w:tc>
          <w:tcPr>
            <w:tcW w:w="9540" w:type="dxa"/>
            <w:vAlign w:val="bottom"/>
            <w:gridSpan w:val="14"/>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Press release announcing the commencement of the Tender Offer, dated March 23, 2026.</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80" w:type="dxa"/>
            <w:vAlign w:val="bottom"/>
            <w:gridSpan w:val="6"/>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(a)(7)</w:t>
            </w:r>
          </w:p>
        </w:tc>
        <w:tc>
          <w:tcPr>
            <w:tcW w:w="380" w:type="dxa"/>
            <w:vAlign w:val="bottom"/>
          </w:tcPr>
          <w:p>
            <w:pPr>
              <w:spacing w:after="0"/>
              <w:rPr>
                <w:sz w:val="24"/>
                <w:szCs w:val="24"/>
                <w:color w:val="auto"/>
              </w:rPr>
            </w:pPr>
          </w:p>
        </w:tc>
        <w:tc>
          <w:tcPr>
            <w:tcW w:w="95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Press release announcing third quarter fiscal 2026 earnings results, dated March 19, 2026 (incorporated by reference to Exhibit 99.1</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540" w:type="dxa"/>
            <w:vAlign w:val="bottom"/>
            <w:gridSpan w:val="14"/>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to the Company’s Current Report on Form 8-K filed on March 19, 2026).</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80" w:type="dxa"/>
            <w:vAlign w:val="bottom"/>
            <w:gridSpan w:val="6"/>
            <w:shd w:val="clear" w:color="auto" w:fill="0000EE"/>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(a)(8)*</w:t>
            </w:r>
          </w:p>
        </w:tc>
        <w:tc>
          <w:tcPr>
            <w:tcW w:w="380" w:type="dxa"/>
            <w:vAlign w:val="bottom"/>
          </w:tcPr>
          <w:p>
            <w:pPr>
              <w:spacing w:after="0"/>
              <w:rPr>
                <w:sz w:val="24"/>
                <w:szCs w:val="24"/>
                <w:color w:val="auto"/>
              </w:rPr>
            </w:pPr>
          </w:p>
        </w:tc>
        <w:tc>
          <w:tcPr>
            <w:tcW w:w="81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Press release announcing the Preliminary Results of Modified Dutch Auction Tender offer, dated April 21, 2026.</w:t>
            </w:r>
          </w:p>
        </w:tc>
        <w:tc>
          <w:tcPr>
            <w:tcW w:w="14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344" w:hanging="1344"/>
        <w:spacing w:after="0"/>
        <w:tabs>
          <w:tab w:leader="none" w:pos="13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04"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(d)(1)</w:t>
            </w:r>
          </w:p>
        </w:tc>
        <w:tc>
          <w:tcPr>
            <w:tcW w:w="96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Scholastic Corporation Management Stock Purchase Plan, amended and restated effective as of September 23, 2008 (incorporated by</w:t>
              </w:r>
            </w:hyperlink>
          </w:p>
        </w:tc>
      </w:tr>
      <w:tr>
        <w:trPr>
          <w:trHeight w:val="196"/>
        </w:trPr>
        <w:tc>
          <w:tcPr>
            <w:tcW w:w="1340" w:type="dxa"/>
            <w:vAlign w:val="bottom"/>
          </w:tcPr>
          <w:p>
            <w:pPr>
              <w:spacing w:after="0"/>
              <w:rPr>
                <w:sz w:val="17"/>
                <w:szCs w:val="17"/>
                <w:color w:val="auto"/>
              </w:rPr>
            </w:pPr>
          </w:p>
        </w:tc>
        <w:tc>
          <w:tcPr>
            <w:tcW w:w="9640" w:type="dxa"/>
            <w:vAlign w:val="bottom"/>
            <w:gridSpan w:val="12"/>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reference to the Company’s Annual Report on Form 10-K as filed with the SEC on July 30, 2009, SEC File No. 000-19860) (the</w:t>
              </w:r>
            </w:hyperlink>
          </w:p>
        </w:tc>
      </w:tr>
      <w:tr>
        <w:trPr>
          <w:trHeight w:val="196"/>
        </w:trPr>
        <w:tc>
          <w:tcPr>
            <w:tcW w:w="1340" w:type="dxa"/>
            <w:vAlign w:val="bottom"/>
          </w:tcPr>
          <w:p>
            <w:pPr>
              <w:spacing w:after="0"/>
              <w:rPr>
                <w:sz w:val="17"/>
                <w:szCs w:val="17"/>
                <w:color w:val="auto"/>
              </w:rPr>
            </w:pPr>
          </w:p>
        </w:tc>
        <w:tc>
          <w:tcPr>
            <w:tcW w:w="930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 xml:space="preserve">“2009 10-K”), </w:t>
              </w:r>
              <w:r>
                <w:rPr>
                  <w:rFonts w:ascii="Times New Roman" w:cs="Times New Roman" w:eastAsia="Times New Roman" w:hAnsi="Times New Roman"/>
                  <w:sz w:val="18"/>
                  <w:szCs w:val="18"/>
                  <w:color w:val="000000"/>
                </w:rPr>
                <w:t>together with</w:t>
              </w:r>
              <w:r>
                <w:rPr>
                  <w:rFonts w:ascii="Times New Roman" w:cs="Times New Roman" w:eastAsia="Times New Roman" w:hAnsi="Times New Roman"/>
                  <w:sz w:val="18"/>
                  <w:szCs w:val="18"/>
                  <w:color w:val="0000EE"/>
                </w:rPr>
                <w:t xml:space="preserve"> Amendment No. 1 to the Scholastic Corporation Management Stock Purchase Plan, effective as of</w:t>
              </w:r>
            </w:hyperlink>
          </w:p>
        </w:tc>
        <w:tc>
          <w:tcPr>
            <w:tcW w:w="340" w:type="dxa"/>
            <w:vAlign w:val="bottom"/>
            <w:gridSpan w:val="4"/>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9640" w:type="dxa"/>
            <w:vAlign w:val="bottom"/>
            <w:gridSpan w:val="12"/>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September 21, 2011 (incorporated by reference to Appendix B to the Company’s definitive Proxy Statement as filed with the SEC on</w:t>
              </w:r>
            </w:hyperlink>
          </w:p>
        </w:tc>
      </w:tr>
      <w:tr>
        <w:trPr>
          <w:trHeight w:val="196"/>
        </w:trPr>
        <w:tc>
          <w:tcPr>
            <w:tcW w:w="1340" w:type="dxa"/>
            <w:vAlign w:val="bottom"/>
          </w:tcPr>
          <w:p>
            <w:pPr>
              <w:spacing w:after="0"/>
              <w:rPr>
                <w:sz w:val="17"/>
                <w:szCs w:val="17"/>
                <w:color w:val="auto"/>
              </w:rPr>
            </w:pPr>
          </w:p>
        </w:tc>
        <w:tc>
          <w:tcPr>
            <w:tcW w:w="958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August 9, 2011, SEC File No. 000-19860).</w:t>
              </w:r>
            </w:hyperlink>
          </w:p>
        </w:tc>
        <w:tc>
          <w:tcPr>
            <w:tcW w:w="6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30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(d)(2)</w:t>
            </w:r>
          </w:p>
        </w:tc>
        <w:tc>
          <w:tcPr>
            <w:tcW w:w="88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Scholastic Corporation Directors’ Deferred Compensation Plan, amended and restated effective as of September 23, 2008</w:t>
              </w:r>
            </w:hyperlink>
          </w:p>
        </w:tc>
        <w:tc>
          <w:tcPr>
            <w:tcW w:w="820" w:type="dxa"/>
            <w:vAlign w:val="bottom"/>
            <w:gridSpan w:val="7"/>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33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(incorporated by reference to the 2009 10-K).</w:t>
              </w:r>
            </w:hyperlink>
          </w:p>
        </w:tc>
        <w:tc>
          <w:tcPr>
            <w:tcW w:w="6300" w:type="dxa"/>
            <w:vAlign w:val="bottom"/>
            <w:gridSpan w:val="8"/>
          </w:tcPr>
          <w:p>
            <w:pPr>
              <w:spacing w:after="0"/>
              <w:rPr>
                <w:sz w:val="17"/>
                <w:szCs w:val="17"/>
                <w:color w:val="auto"/>
              </w:rPr>
            </w:pPr>
          </w:p>
        </w:tc>
      </w:tr>
      <w:tr>
        <w:trPr>
          <w:trHeight w:val="30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(d)(3)</w:t>
            </w:r>
          </w:p>
        </w:tc>
        <w:tc>
          <w:tcPr>
            <w:tcW w:w="95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Scholastic Corporation 2007 Outside Directors Stock Incentive Plan (the “2007 Directors’ Plan”) effective as of September 23, 2008</w:t>
              </w:r>
            </w:hyperlink>
          </w:p>
        </w:tc>
        <w:tc>
          <w:tcPr>
            <w:tcW w:w="80" w:type="dxa"/>
            <w:vAlign w:val="bottom"/>
            <w:gridSpan w:val="2"/>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9640" w:type="dxa"/>
            <w:vAlign w:val="bottom"/>
            <w:gridSpan w:val="12"/>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(incorporated by reference to the 2009 10-K) and the Amended and Restated Scholastic Corporation 2007 Outside Directors Stock</w:t>
              </w:r>
            </w:hyperlink>
          </w:p>
        </w:tc>
      </w:tr>
      <w:tr>
        <w:trPr>
          <w:trHeight w:val="196"/>
        </w:trPr>
        <w:tc>
          <w:tcPr>
            <w:tcW w:w="1340" w:type="dxa"/>
            <w:vAlign w:val="bottom"/>
          </w:tcPr>
          <w:p>
            <w:pPr>
              <w:spacing w:after="0"/>
              <w:rPr>
                <w:sz w:val="17"/>
                <w:szCs w:val="17"/>
                <w:color w:val="auto"/>
              </w:rPr>
            </w:pPr>
          </w:p>
        </w:tc>
        <w:tc>
          <w:tcPr>
            <w:tcW w:w="924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Incentive Plan (incorporated by reference to the Company’s Quarterly Report on Form 10-Q as filed with the SEC on January 2,</w:t>
              </w:r>
            </w:hyperlink>
          </w:p>
        </w:tc>
        <w:tc>
          <w:tcPr>
            <w:tcW w:w="160" w:type="dxa"/>
            <w:vAlign w:val="bottom"/>
            <w:tcBorders>
              <w:top w:val="single" w:sz="8" w:color="0000EE"/>
            </w:tcBorders>
            <w:gridSpan w:val="2"/>
          </w:tcPr>
          <w:p>
            <w:pPr>
              <w:spacing w:after="0"/>
              <w:rPr>
                <w:sz w:val="17"/>
                <w:szCs w:val="17"/>
                <w:color w:val="auto"/>
              </w:rPr>
            </w:pPr>
          </w:p>
        </w:tc>
        <w:tc>
          <w:tcPr>
            <w:tcW w:w="240" w:type="dxa"/>
            <w:vAlign w:val="bottom"/>
            <w:gridSpan w:val="3"/>
          </w:tcPr>
          <w:p>
            <w:pPr>
              <w:spacing w:after="0"/>
              <w:rPr>
                <w:sz w:val="17"/>
                <w:szCs w:val="17"/>
                <w:color w:val="auto"/>
              </w:rPr>
            </w:pPr>
          </w:p>
        </w:tc>
      </w:tr>
    </w:tbl>
    <w:p>
      <w:pPr>
        <w:spacing w:after="0" w:line="9" w:lineRule="exact"/>
        <w:rPr>
          <w:sz w:val="20"/>
          <w:szCs w:val="20"/>
          <w:color w:val="auto"/>
        </w:rPr>
      </w:pPr>
    </w:p>
    <w:p>
      <w:pPr>
        <w:ind w:left="1344"/>
        <w:spacing w:after="0"/>
        <w:rPr>
          <w:rFonts w:ascii="Times New Roman" w:cs="Times New Roman" w:eastAsia="Times New Roman" w:hAnsi="Times New Roman"/>
          <w:sz w:val="18"/>
          <w:szCs w:val="18"/>
          <w:u w:val="single" w:color="auto"/>
          <w:color w:val="0000EE"/>
        </w:rPr>
      </w:pPr>
      <w:hyperlink r:id="rId33">
        <w:r>
          <w:rPr>
            <w:rFonts w:ascii="Times New Roman" w:cs="Times New Roman" w:eastAsia="Times New Roman" w:hAnsi="Times New Roman"/>
            <w:sz w:val="18"/>
            <w:szCs w:val="18"/>
            <w:u w:val="single" w:color="auto"/>
            <w:color w:val="0000EE"/>
          </w:rPr>
          <w:t>2013, SEC File No. 000-19860) (the “November 30, 2012 10-Q”), and Amendment No. 1, effective as of May 21, 2013</w:t>
        </w:r>
      </w:hyperlink>
    </w:p>
    <w:p>
      <w:pPr>
        <w:spacing w:after="0" w:line="27" w:lineRule="exact"/>
        <w:rPr>
          <w:sz w:val="20"/>
          <w:szCs w:val="20"/>
          <w:color w:val="auto"/>
        </w:rPr>
      </w:pPr>
    </w:p>
    <w:p>
      <w:pPr>
        <w:ind w:left="1344"/>
        <w:spacing w:after="0"/>
        <w:rPr>
          <w:rFonts w:ascii="Times New Roman" w:cs="Times New Roman" w:eastAsia="Times New Roman" w:hAnsi="Times New Roman"/>
          <w:sz w:val="18"/>
          <w:szCs w:val="18"/>
          <w:u w:val="single" w:color="auto"/>
          <w:color w:val="0000EE"/>
        </w:rPr>
      </w:pPr>
      <w:hyperlink r:id="rId33">
        <w:r>
          <w:rPr>
            <w:rFonts w:ascii="Times New Roman" w:cs="Times New Roman" w:eastAsia="Times New Roman" w:hAnsi="Times New Roman"/>
            <w:sz w:val="18"/>
            <w:szCs w:val="18"/>
            <w:u w:val="single" w:color="auto"/>
            <w:color w:val="0000EE"/>
          </w:rPr>
          <w:t>(incorporated by reference to the Company’s Annual Report on Form 10-K as filed with the SEC on July 25, 2013, SEC file</w:t>
        </w:r>
      </w:hyperlink>
    </w:p>
    <w:p>
      <w:pPr>
        <w:spacing w:after="0" w:line="9" w:lineRule="exact"/>
        <w:rPr>
          <w:sz w:val="20"/>
          <w:szCs w:val="20"/>
          <w:color w:val="auto"/>
        </w:rPr>
      </w:pPr>
    </w:p>
    <w:p>
      <w:pPr>
        <w:ind w:left="1344"/>
        <w:spacing w:after="0"/>
        <w:rPr>
          <w:rFonts w:ascii="Times New Roman" w:cs="Times New Roman" w:eastAsia="Times New Roman" w:hAnsi="Times New Roman"/>
          <w:sz w:val="18"/>
          <w:szCs w:val="18"/>
          <w:u w:val="single" w:color="auto"/>
          <w:color w:val="0000EE"/>
        </w:rPr>
      </w:pPr>
      <w:hyperlink r:id="rId34">
        <w:r>
          <w:rPr>
            <w:rFonts w:ascii="Times New Roman" w:cs="Times New Roman" w:eastAsia="Times New Roman" w:hAnsi="Times New Roman"/>
            <w:sz w:val="18"/>
            <w:szCs w:val="18"/>
            <w:u w:val="single" w:color="auto"/>
            <w:color w:val="0000EE"/>
          </w:rPr>
          <w:t>No. 000-19860 (the “2013 10-K”)), and Amendment No. 2, effective as of December 16, 2015 (incorporated by reference to the</w:t>
        </w:r>
      </w:hyperlink>
    </w:p>
    <w:p>
      <w:pPr>
        <w:spacing w:after="0" w:line="9" w:lineRule="exact"/>
        <w:rPr>
          <w:sz w:val="20"/>
          <w:szCs w:val="20"/>
          <w:color w:val="auto"/>
        </w:rPr>
      </w:pPr>
    </w:p>
    <w:p>
      <w:pPr>
        <w:ind w:left="1344"/>
        <w:spacing w:after="0"/>
        <w:rPr>
          <w:rFonts w:ascii="Times New Roman" w:cs="Times New Roman" w:eastAsia="Times New Roman" w:hAnsi="Times New Roman"/>
          <w:sz w:val="18"/>
          <w:szCs w:val="18"/>
          <w:u w:val="single" w:color="auto"/>
          <w:color w:val="0000EE"/>
        </w:rPr>
      </w:pPr>
      <w:hyperlink r:id="rId34">
        <w:r>
          <w:rPr>
            <w:rFonts w:ascii="Times New Roman" w:cs="Times New Roman" w:eastAsia="Times New Roman" w:hAnsi="Times New Roman"/>
            <w:sz w:val="18"/>
            <w:szCs w:val="18"/>
            <w:u w:val="single" w:color="auto"/>
            <w:color w:val="0000EE"/>
          </w:rPr>
          <w:t>Company’s Quarterly Report on Form 10-Q as filed with the SEC on December 18, 2015, SEC File No. 000-19860).</w:t>
        </w:r>
      </w:hyperlink>
    </w:p>
    <w:p>
      <w:pPr>
        <w:sectPr>
          <w:pgSz w:w="11900" w:h="16838" w:orient="portrait"/>
          <w:cols w:equalWidth="0" w:num="1">
            <w:col w:w="10984"/>
          </w:cols>
          <w:pgMar w:left="436" w:top="266" w:right="4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(d)(4)</w:t>
            </w:r>
          </w:p>
        </w:tc>
        <w:tc>
          <w:tcPr>
            <w:tcW w:w="9900" w:type="dxa"/>
            <w:vAlign w:val="bottom"/>
            <w:tcBorders>
              <w:bottom w:val="single" w:sz="8" w:color="0000EE"/>
            </w:tcBorders>
            <w:gridSpan w:val="35"/>
          </w:tcPr>
          <w:p>
            <w:pPr>
              <w:spacing w:after="0"/>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Form of Stock Option Agreement under the 2007 Directors’ Plan (incorporated by reference to the Company’s Quarterly Report on Form</w:t>
              </w:r>
            </w:hyperlink>
          </w:p>
        </w:tc>
        <w:tc>
          <w:tcPr>
            <w:tcW w:w="60" w:type="dxa"/>
            <w:vAlign w:val="bottom"/>
            <w:gridSpan w:val="3"/>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960" w:type="dxa"/>
            <w:vAlign w:val="bottom"/>
            <w:gridSpan w:val="38"/>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 xml:space="preserve">10-Q as filed with the SEC on January 9, 2008, SEC File No. 000-19860) </w:t>
              </w:r>
              <w:r>
                <w:rPr>
                  <w:rFonts w:ascii="Times New Roman" w:cs="Times New Roman" w:eastAsia="Times New Roman" w:hAnsi="Times New Roman"/>
                  <w:sz w:val="18"/>
                  <w:szCs w:val="18"/>
                  <w:color w:val="000000"/>
                </w:rPr>
                <w:t>and the</w:t>
              </w:r>
              <w:r>
                <w:rPr>
                  <w:rFonts w:ascii="Times New Roman" w:cs="Times New Roman" w:eastAsia="Times New Roman" w:hAnsi="Times New Roman"/>
                  <w:sz w:val="18"/>
                  <w:szCs w:val="18"/>
                  <w:color w:val="0000EE"/>
                </w:rPr>
                <w:t xml:space="preserve"> Form of Stock Option Agreement under the 2007</w:t>
              </w:r>
            </w:hyperlink>
          </w:p>
        </w:tc>
      </w:tr>
      <w:tr>
        <w:trPr>
          <w:trHeight w:val="20"/>
        </w:trPr>
        <w:tc>
          <w:tcPr>
            <w:tcW w:w="10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81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Directors’ Plan, effective as of September 19, 2012 (incorporated by reference to the November 30, 2012 10-Q).</w:t>
              </w:r>
            </w:hyperlink>
          </w:p>
        </w:tc>
        <w:tc>
          <w:tcPr>
            <w:tcW w:w="1820" w:type="dxa"/>
            <w:vAlign w:val="bottom"/>
            <w:gridSpan w:val="18"/>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(d)(5)</w:t>
            </w:r>
          </w:p>
        </w:tc>
        <w:tc>
          <w:tcPr>
            <w:tcW w:w="978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Form of Restricted Stock Unit Agreement under the 2007 Directors’ Plan (incorporated by reference to the 2009 10-K) and the Form of</w:t>
              </w:r>
            </w:hyperlink>
          </w:p>
        </w:tc>
        <w:tc>
          <w:tcPr>
            <w:tcW w:w="180" w:type="dxa"/>
            <w:vAlign w:val="bottom"/>
            <w:gridSpan w:val="5"/>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8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Restricted Stock Unit Agreement (incorporated by reference to the November 30, 2012 10-Q).</w:t>
              </w:r>
            </w:hyperlink>
          </w:p>
        </w:tc>
        <w:tc>
          <w:tcPr>
            <w:tcW w:w="3160" w:type="dxa"/>
            <w:vAlign w:val="bottom"/>
            <w:gridSpan w:val="22"/>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(d)(6)</w:t>
            </w:r>
          </w:p>
        </w:tc>
        <w:tc>
          <w:tcPr>
            <w:tcW w:w="978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Scholastic Corporation 2011 Stock Incentive Plan (incorporated by reference to the Company’s Quarterly Report on Form 10-Q as filed</w:t>
              </w:r>
            </w:hyperlink>
          </w:p>
        </w:tc>
        <w:tc>
          <w:tcPr>
            <w:tcW w:w="180" w:type="dxa"/>
            <w:vAlign w:val="bottom"/>
            <w:gridSpan w:val="5"/>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960" w:type="dxa"/>
            <w:vAlign w:val="bottom"/>
            <w:gridSpan w:val="38"/>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with the SEC on December 22, 2011, SEC File No. 000-19860 (the “November 30, 2011 10-Q”)). Amendment No. 1 to the Scholastic</w:t>
              </w:r>
            </w:hyperlink>
          </w:p>
        </w:tc>
      </w:tr>
      <w:tr>
        <w:trPr>
          <w:trHeight w:val="20"/>
        </w:trPr>
        <w:tc>
          <w:tcPr>
            <w:tcW w:w="10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960" w:type="dxa"/>
            <w:vAlign w:val="bottom"/>
            <w:gridSpan w:val="38"/>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Corporation 2011 Stock Incentive Plan (incorporated by reference to the 2013 10-K), Amendment No. 2 to the Scholastic Corporation</w:t>
              </w:r>
            </w:hyperlink>
          </w:p>
        </w:tc>
      </w:tr>
      <w:tr>
        <w:trPr>
          <w:trHeight w:val="20"/>
        </w:trPr>
        <w:tc>
          <w:tcPr>
            <w:tcW w:w="10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3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2011 Stock Incentive Plan (incorporated by reference to the Company’s Quarterly Report on Form 10-Q as filed with the SEC on</w:t>
              </w:r>
            </w:hyperlink>
          </w:p>
        </w:tc>
        <w:tc>
          <w:tcPr>
            <w:tcW w:w="660" w:type="dxa"/>
            <w:vAlign w:val="bottom"/>
            <w:gridSpan w:val="1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960" w:type="dxa"/>
            <w:vAlign w:val="bottom"/>
            <w:gridSpan w:val="38"/>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December 22, 2014, SEC File No. 000-19860)</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Amendment No. 3 to the Scholastic Corporation 2011 Stock Incentive Plan</w:t>
              </w:r>
            </w:hyperlink>
          </w:p>
        </w:tc>
      </w:tr>
      <w:tr>
        <w:trPr>
          <w:trHeight w:val="20"/>
        </w:trPr>
        <w:tc>
          <w:tcPr>
            <w:tcW w:w="10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54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(incorporated by reference to the Company’s Quarterly Report on Form 10-Q as filed with the SEC on December 20, 2018, SEC file</w:t>
              </w:r>
            </w:hyperlink>
          </w:p>
        </w:tc>
        <w:tc>
          <w:tcPr>
            <w:tcW w:w="420" w:type="dxa"/>
            <w:vAlign w:val="bottom"/>
            <w:gridSpan w:val="10"/>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2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41">
              <w:r>
                <w:rPr>
                  <w:rFonts w:ascii="Times New Roman" w:cs="Times New Roman" w:eastAsia="Times New Roman" w:hAnsi="Times New Roman"/>
                  <w:sz w:val="18"/>
                  <w:szCs w:val="18"/>
                  <w:color w:val="0000EE"/>
                  <w:w w:val="98"/>
                </w:rPr>
                <w:t>No. 000-19860).</w:t>
              </w:r>
            </w:hyperlink>
          </w:p>
        </w:tc>
        <w:tc>
          <w:tcPr>
            <w:tcW w:w="8760" w:type="dxa"/>
            <w:vAlign w:val="bottom"/>
            <w:gridSpan w:val="36"/>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(d)(7)</w:t>
            </w:r>
          </w:p>
        </w:tc>
        <w:tc>
          <w:tcPr>
            <w:tcW w:w="978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Form of Restricted Stock Unit Agreement under the Scholastic Corporation 2011 Stock Incentive Plan (incorporated by reference to the</w:t>
              </w:r>
            </w:hyperlink>
          </w:p>
        </w:tc>
        <w:tc>
          <w:tcPr>
            <w:tcW w:w="180" w:type="dxa"/>
            <w:vAlign w:val="bottom"/>
            <w:gridSpan w:val="5"/>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960" w:type="dxa"/>
            <w:vAlign w:val="bottom"/>
            <w:gridSpan w:val="38"/>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November 30, 2011 10-Q).</w:t>
              </w:r>
            </w:hyperlink>
          </w:p>
        </w:tc>
      </w:tr>
      <w:tr>
        <w:trPr>
          <w:trHeight w:val="20"/>
        </w:trPr>
        <w:tc>
          <w:tcPr>
            <w:tcW w:w="10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680" w:type="dxa"/>
            <w:vAlign w:val="bottom"/>
            <w:gridSpan w:val="8"/>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(d)(8)</w:t>
            </w:r>
          </w:p>
        </w:tc>
        <w:tc>
          <w:tcPr>
            <w:tcW w:w="9960" w:type="dxa"/>
            <w:vAlign w:val="bottom"/>
            <w:gridSpan w:val="38"/>
          </w:tcPr>
          <w:p>
            <w:pPr>
              <w:spacing w:after="0"/>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Form of Stock Option Agreement under the Scholastic Corporation 2011 Stock Incentive Plan (incorporated by reference to the</w:t>
              </w:r>
            </w:hyperlink>
          </w:p>
        </w:tc>
      </w:tr>
      <w:tr>
        <w:trPr>
          <w:trHeight w:val="196"/>
        </w:trPr>
        <w:tc>
          <w:tcPr>
            <w:tcW w:w="1020" w:type="dxa"/>
            <w:vAlign w:val="bottom"/>
          </w:tcPr>
          <w:p>
            <w:pPr>
              <w:spacing w:after="0"/>
              <w:rPr>
                <w:sz w:val="17"/>
                <w:szCs w:val="17"/>
                <w:color w:val="auto"/>
              </w:rPr>
            </w:pPr>
          </w:p>
        </w:tc>
        <w:tc>
          <w:tcPr>
            <w:tcW w:w="20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November 30, 2011 10-Q).</w:t>
              </w:r>
            </w:hyperlink>
          </w:p>
        </w:tc>
        <w:tc>
          <w:tcPr>
            <w:tcW w:w="7180" w:type="dxa"/>
            <w:vAlign w:val="bottom"/>
            <w:tcBorders>
              <w:top w:val="single" w:sz="8" w:color="0000EE"/>
            </w:tcBorders>
            <w:gridSpan w:val="18"/>
          </w:tcPr>
          <w:p>
            <w:pPr>
              <w:spacing w:after="0"/>
              <w:rPr>
                <w:sz w:val="17"/>
                <w:szCs w:val="17"/>
                <w:color w:val="auto"/>
              </w:rPr>
            </w:pPr>
          </w:p>
        </w:tc>
        <w:tc>
          <w:tcPr>
            <w:tcW w:w="780" w:type="dxa"/>
            <w:vAlign w:val="bottom"/>
            <w:gridSpan w:val="15"/>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(d)(9)</w:t>
            </w:r>
          </w:p>
        </w:tc>
        <w:tc>
          <w:tcPr>
            <w:tcW w:w="968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Scholastic Corporation 2017 Outside Directors Stock Incentive Plan (incorporated by reference to the Company’s Quarterly Report on</w:t>
              </w:r>
            </w:hyperlink>
          </w:p>
        </w:tc>
        <w:tc>
          <w:tcPr>
            <w:tcW w:w="280" w:type="dxa"/>
            <w:vAlign w:val="bottom"/>
            <w:gridSpan w:val="7"/>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82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Form 10-Q as filed with the SEC on September 21, 2017, SEC file No. 000-19860) (the “August 31, 2017 10-Q”).</w:t>
              </w:r>
            </w:hyperlink>
          </w:p>
        </w:tc>
        <w:tc>
          <w:tcPr>
            <w:tcW w:w="1720" w:type="dxa"/>
            <w:vAlign w:val="bottom"/>
            <w:gridSpan w:val="17"/>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(d)(10)</w:t>
            </w:r>
          </w:p>
        </w:tc>
        <w:tc>
          <w:tcPr>
            <w:tcW w:w="924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Form of Non-Qualified Stock Option Agreement under the Scholastic Corporation 2017 Outside Directors Stock Incentive Plan</w:t>
              </w:r>
            </w:hyperlink>
          </w:p>
        </w:tc>
        <w:tc>
          <w:tcPr>
            <w:tcW w:w="720" w:type="dxa"/>
            <w:vAlign w:val="bottom"/>
            <w:gridSpan w:val="1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41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(incorporated by reference to the August 31, 2017 10-Q).</w:t>
              </w:r>
            </w:hyperlink>
          </w:p>
        </w:tc>
        <w:tc>
          <w:tcPr>
            <w:tcW w:w="5840" w:type="dxa"/>
            <w:vAlign w:val="bottom"/>
            <w:gridSpan w:val="27"/>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(d)(11)</w:t>
            </w:r>
          </w:p>
        </w:tc>
        <w:tc>
          <w:tcPr>
            <w:tcW w:w="9960" w:type="dxa"/>
            <w:vAlign w:val="bottom"/>
            <w:tcBorders>
              <w:bottom w:val="single" w:sz="8" w:color="0000EE"/>
            </w:tcBorders>
            <w:gridSpan w:val="38"/>
          </w:tcPr>
          <w:p>
            <w:pPr>
              <w:spacing w:after="0"/>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Form of Restricted Stock Unit Agreement under the Scholastic Corporation 2017 Outside Directors Stock Incentive Plan (incorporated by</w:t>
              </w:r>
            </w:hyperlink>
          </w:p>
        </w:tc>
      </w:tr>
      <w:tr>
        <w:trPr>
          <w:trHeight w:val="196"/>
        </w:trPr>
        <w:tc>
          <w:tcPr>
            <w:tcW w:w="1020" w:type="dxa"/>
            <w:vAlign w:val="bottom"/>
          </w:tcPr>
          <w:p>
            <w:pPr>
              <w:spacing w:after="0"/>
              <w:rPr>
                <w:sz w:val="17"/>
                <w:szCs w:val="17"/>
                <w:color w:val="auto"/>
              </w:rPr>
            </w:pPr>
          </w:p>
        </w:tc>
        <w:tc>
          <w:tcPr>
            <w:tcW w:w="28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reference to the August 31, 2017 10-Q).</w:t>
              </w:r>
            </w:hyperlink>
          </w:p>
        </w:tc>
        <w:tc>
          <w:tcPr>
            <w:tcW w:w="7080" w:type="dxa"/>
            <w:vAlign w:val="bottom"/>
            <w:gridSpan w:val="30"/>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(d)(12)</w:t>
            </w:r>
          </w:p>
        </w:tc>
        <w:tc>
          <w:tcPr>
            <w:tcW w:w="9920" w:type="dxa"/>
            <w:vAlign w:val="bottom"/>
            <w:tcBorders>
              <w:bottom w:val="single" w:sz="8" w:color="0000EE"/>
            </w:tcBorders>
            <w:gridSpan w:val="36"/>
          </w:tcPr>
          <w:p>
            <w:pPr>
              <w:spacing w:after="0"/>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Scholastic Corporation 2021 Stock Incentive Plan (incorporated by reference to Exhibit 10.1 to the Company’s Quarterly Report on Form</w:t>
              </w:r>
            </w:hyperlink>
          </w:p>
        </w:tc>
        <w:tc>
          <w:tcPr>
            <w:tcW w:w="4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960" w:type="dxa"/>
            <w:vAlign w:val="bottom"/>
            <w:gridSpan w:val="38"/>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10-Q as filed with the SEC on September 23, 2022, SEC file No. 000-19860) (the “August 31, 2022 10-Q”).</w:t>
              </w:r>
            </w:hyperlink>
          </w:p>
        </w:tc>
      </w:tr>
      <w:tr>
        <w:trPr>
          <w:trHeight w:val="20"/>
        </w:trPr>
        <w:tc>
          <w:tcPr>
            <w:tcW w:w="10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0" w:type="dxa"/>
            <w:vAlign w:val="bottom"/>
            <w:gridSpan w:val="12"/>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(d)(13)</w:t>
            </w:r>
          </w:p>
        </w:tc>
        <w:tc>
          <w:tcPr>
            <w:tcW w:w="920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Form of Stock Option Agreement under the Scholastic Corporation 2021 Stock Incentive Plan (incorporated by reference to the</w:t>
              </w:r>
            </w:hyperlink>
          </w:p>
        </w:tc>
        <w:tc>
          <w:tcPr>
            <w:tcW w:w="760" w:type="dxa"/>
            <w:vAlign w:val="bottom"/>
            <w:gridSpan w:val="14"/>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960" w:type="dxa"/>
            <w:vAlign w:val="bottom"/>
            <w:gridSpan w:val="38"/>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Company’s Quarterly Report on Form 10-Q, as filed with the SEC on December 17, 2021, SEC file No. 000-19860) (the “November 30,</w:t>
              </w:r>
            </w:hyperlink>
          </w:p>
        </w:tc>
      </w:tr>
      <w:tr>
        <w:trPr>
          <w:trHeight w:val="196"/>
        </w:trPr>
        <w:tc>
          <w:tcPr>
            <w:tcW w:w="1020" w:type="dxa"/>
            <w:vAlign w:val="bottom"/>
          </w:tcPr>
          <w:p>
            <w:pPr>
              <w:spacing w:after="0"/>
              <w:rPr>
                <w:sz w:val="17"/>
                <w:szCs w:val="17"/>
                <w:color w:val="auto"/>
              </w:rPr>
            </w:pPr>
          </w:p>
        </w:tc>
        <w:tc>
          <w:tcPr>
            <w:tcW w:w="9840" w:type="dxa"/>
            <w:vAlign w:val="bottom"/>
            <w:tcBorders>
              <w:top w:val="single" w:sz="8" w:color="0000EE"/>
            </w:tcBorders>
            <w:gridSpan w:val="34"/>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2021 10-Q”).</w:t>
              </w:r>
            </w:hyperlink>
          </w:p>
        </w:tc>
        <w:tc>
          <w:tcPr>
            <w:tcW w:w="120" w:type="dxa"/>
            <w:vAlign w:val="bottom"/>
            <w:gridSpan w:val="4"/>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760" w:type="dxa"/>
            <w:vAlign w:val="bottom"/>
            <w:gridSpan w:val="15"/>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(d)(14)</w:t>
            </w:r>
          </w:p>
        </w:tc>
        <w:tc>
          <w:tcPr>
            <w:tcW w:w="9960" w:type="dxa"/>
            <w:vAlign w:val="bottom"/>
            <w:gridSpan w:val="38"/>
          </w:tcPr>
          <w:p>
            <w:pPr>
              <w:spacing w:after="0"/>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Form of Restricted Stock Unit Agreement under the Scholastic Corporation 2021 Stock Incentive Plan (incorporated by reference to the</w:t>
              </w:r>
            </w:hyperlink>
          </w:p>
        </w:tc>
      </w:tr>
      <w:tr>
        <w:trPr>
          <w:trHeight w:val="196"/>
        </w:trPr>
        <w:tc>
          <w:tcPr>
            <w:tcW w:w="102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November 30, 2021 10-Q).</w:t>
              </w:r>
            </w:hyperlink>
          </w:p>
        </w:tc>
        <w:tc>
          <w:tcPr>
            <w:tcW w:w="7820" w:type="dxa"/>
            <w:vAlign w:val="bottom"/>
            <w:tcBorders>
              <w:top w:val="single" w:sz="8" w:color="0000EE"/>
            </w:tcBorders>
            <w:gridSpan w:val="29"/>
          </w:tcPr>
          <w:p>
            <w:pPr>
              <w:spacing w:after="0"/>
              <w:rPr>
                <w:sz w:val="17"/>
                <w:szCs w:val="17"/>
                <w:color w:val="auto"/>
              </w:rPr>
            </w:pPr>
          </w:p>
        </w:tc>
        <w:tc>
          <w:tcPr>
            <w:tcW w:w="180" w:type="dxa"/>
            <w:vAlign w:val="bottom"/>
            <w:gridSpan w:val="5"/>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(d)(15)</w:t>
            </w:r>
          </w:p>
        </w:tc>
        <w:tc>
          <w:tcPr>
            <w:tcW w:w="9960" w:type="dxa"/>
            <w:vAlign w:val="bottom"/>
            <w:gridSpan w:val="38"/>
          </w:tcPr>
          <w:p>
            <w:pPr>
              <w:spacing w:after="0"/>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Form of Performance Restricted Stock Unit Agreement under the Scholastic Corporation 2021 Stock Incentive Plan (incorporated by</w:t>
              </w:r>
            </w:hyperlink>
          </w:p>
        </w:tc>
      </w:tr>
      <w:tr>
        <w:trPr>
          <w:trHeight w:val="20"/>
        </w:trPr>
        <w:tc>
          <w:tcPr>
            <w:tcW w:w="1020" w:type="dxa"/>
            <w:vAlign w:val="bottom"/>
          </w:tcPr>
          <w:p>
            <w:pPr>
              <w:spacing w:after="0" w:line="20" w:lineRule="exact"/>
              <w:rPr>
                <w:sz w:val="1"/>
                <w:szCs w:val="1"/>
                <w:color w:val="auto"/>
              </w:rPr>
            </w:pPr>
          </w:p>
        </w:tc>
        <w:tc>
          <w:tcPr>
            <w:tcW w:w="2220" w:type="dxa"/>
            <w:vAlign w:val="bottom"/>
            <w:gridSpan w:val="6"/>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760" w:type="dxa"/>
            <w:vAlign w:val="bottom"/>
            <w:gridSpan w:val="15"/>
            <w:shd w:val="clear" w:color="auto" w:fill="0000EE"/>
          </w:tcPr>
          <w:p>
            <w:pPr>
              <w:spacing w:after="0" w:line="20" w:lineRule="exact"/>
              <w:rPr>
                <w:sz w:val="1"/>
                <w:szCs w:val="1"/>
                <w:color w:val="auto"/>
              </w:rPr>
            </w:pPr>
          </w:p>
        </w:tc>
        <w:tc>
          <w:tcPr>
            <w:tcW w:w="420" w:type="dxa"/>
            <w:vAlign w:val="bottom"/>
            <w:gridSpan w:val="7"/>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940" w:type="dxa"/>
            <w:vAlign w:val="bottom"/>
            <w:tcBorders>
              <w:bottom w:val="single" w:sz="8" w:color="0000EE"/>
            </w:tcBorders>
            <w:gridSpan w:val="37"/>
          </w:tcPr>
          <w:p>
            <w:pPr>
              <w:spacing w:after="0" w:line="196"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reference to Company’s Quarterly Report on Form 10-Q, as filed with the SEC on December 20, 2024, SEC file No. 000-19860) (the “the</w:t>
              </w:r>
            </w:hyperlink>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9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November 30, 2024 10-Q).</w:t>
              </w:r>
            </w:hyperlink>
          </w:p>
        </w:tc>
        <w:tc>
          <w:tcPr>
            <w:tcW w:w="8000" w:type="dxa"/>
            <w:vAlign w:val="bottom"/>
            <w:gridSpan w:val="34"/>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(d)(16)</w:t>
            </w:r>
          </w:p>
        </w:tc>
        <w:tc>
          <w:tcPr>
            <w:tcW w:w="916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Amended and Restated Employment Agreement between Scholastic Corporation and Peter Warwick, effective August 1, 2021</w:t>
              </w:r>
            </w:hyperlink>
          </w:p>
        </w:tc>
        <w:tc>
          <w:tcPr>
            <w:tcW w:w="800" w:type="dxa"/>
            <w:vAlign w:val="bottom"/>
            <w:gridSpan w:val="16"/>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41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(incorporated by reference to the August 31, 2022 10-Q).</w:t>
              </w:r>
            </w:hyperlink>
          </w:p>
        </w:tc>
        <w:tc>
          <w:tcPr>
            <w:tcW w:w="5840" w:type="dxa"/>
            <w:vAlign w:val="bottom"/>
            <w:gridSpan w:val="27"/>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(d)(17)</w:t>
            </w:r>
          </w:p>
        </w:tc>
        <w:tc>
          <w:tcPr>
            <w:tcW w:w="966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Stock Option Agreement between Scholastic Corporation and Peter Warwick, dated August 1, 2021 (incorporated by reference to the</w:t>
              </w:r>
            </w:hyperlink>
          </w:p>
        </w:tc>
        <w:tc>
          <w:tcPr>
            <w:tcW w:w="300" w:type="dxa"/>
            <w:vAlign w:val="bottom"/>
            <w:gridSpan w:val="8"/>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9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November 30, 2021 10-Q).</w:t>
              </w:r>
            </w:hyperlink>
          </w:p>
        </w:tc>
        <w:tc>
          <w:tcPr>
            <w:tcW w:w="8000" w:type="dxa"/>
            <w:vAlign w:val="bottom"/>
            <w:gridSpan w:val="34"/>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(d)(18)</w:t>
            </w:r>
          </w:p>
        </w:tc>
        <w:tc>
          <w:tcPr>
            <w:tcW w:w="9960" w:type="dxa"/>
            <w:vAlign w:val="bottom"/>
            <w:tcBorders>
              <w:bottom w:val="single" w:sz="8" w:color="0000EE"/>
            </w:tcBorders>
            <w:gridSpan w:val="38"/>
          </w:tcPr>
          <w:p>
            <w:pPr>
              <w:spacing w:after="0"/>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Restricted Stock Unit Agreement between Scholastic Corporation and Peter Warwick, dated August 1, 2021 (incorporated by reference to</w:t>
              </w:r>
            </w:hyperlink>
          </w:p>
        </w:tc>
      </w:tr>
      <w:tr>
        <w:trPr>
          <w:trHeight w:val="196"/>
        </w:trPr>
        <w:tc>
          <w:tcPr>
            <w:tcW w:w="1020" w:type="dxa"/>
            <w:vAlign w:val="bottom"/>
          </w:tcPr>
          <w:p>
            <w:pPr>
              <w:spacing w:after="0"/>
              <w:rPr>
                <w:sz w:val="17"/>
                <w:szCs w:val="17"/>
                <w:color w:val="auto"/>
              </w:rPr>
            </w:pPr>
          </w:p>
        </w:tc>
        <w:tc>
          <w:tcPr>
            <w:tcW w:w="9960" w:type="dxa"/>
            <w:vAlign w:val="bottom"/>
            <w:gridSpan w:val="38"/>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the November 30, 2021 10-Q).</w:t>
              </w:r>
            </w:hyperlink>
          </w:p>
        </w:tc>
      </w:tr>
      <w:tr>
        <w:trPr>
          <w:trHeight w:val="20"/>
        </w:trPr>
        <w:tc>
          <w:tcPr>
            <w:tcW w:w="1020" w:type="dxa"/>
            <w:vAlign w:val="bottom"/>
          </w:tcPr>
          <w:p>
            <w:pPr>
              <w:spacing w:after="0" w:line="20" w:lineRule="exact"/>
              <w:rPr>
                <w:sz w:val="1"/>
                <w:szCs w:val="1"/>
                <w:color w:val="auto"/>
              </w:rPr>
            </w:pPr>
          </w:p>
        </w:tc>
        <w:tc>
          <w:tcPr>
            <w:tcW w:w="2220" w:type="dxa"/>
            <w:vAlign w:val="bottom"/>
            <w:gridSpan w:val="6"/>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560" w:type="dxa"/>
            <w:vAlign w:val="bottom"/>
            <w:gridSpan w:val="31"/>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(d)(19)</w:t>
            </w:r>
          </w:p>
        </w:tc>
        <w:tc>
          <w:tcPr>
            <w:tcW w:w="9960" w:type="dxa"/>
            <w:vAlign w:val="bottom"/>
            <w:tcBorders>
              <w:bottom w:val="single" w:sz="8" w:color="0000EE"/>
            </w:tcBorders>
            <w:gridSpan w:val="38"/>
          </w:tcPr>
          <w:p>
            <w:pPr>
              <w:spacing w:after="0"/>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Performance Stock Unit Agreement between Scholastic Corporation and Peter Warwick, dated August 1, 2021 (incorporated by reference</w:t>
              </w:r>
            </w:hyperlink>
          </w:p>
        </w:tc>
      </w:tr>
      <w:tr>
        <w:trPr>
          <w:trHeight w:val="196"/>
        </w:trPr>
        <w:tc>
          <w:tcPr>
            <w:tcW w:w="1020" w:type="dxa"/>
            <w:vAlign w:val="bottom"/>
          </w:tcPr>
          <w:p>
            <w:pPr>
              <w:spacing w:after="0"/>
              <w:rPr>
                <w:sz w:val="17"/>
                <w:szCs w:val="17"/>
                <w:color w:val="auto"/>
              </w:rPr>
            </w:pPr>
          </w:p>
        </w:tc>
        <w:tc>
          <w:tcPr>
            <w:tcW w:w="9960" w:type="dxa"/>
            <w:vAlign w:val="bottom"/>
            <w:gridSpan w:val="38"/>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to the November 30, 2021 10-Q).</w:t>
              </w:r>
            </w:hyperlink>
          </w:p>
        </w:tc>
      </w:tr>
      <w:tr>
        <w:trPr>
          <w:trHeight w:val="20"/>
        </w:trPr>
        <w:tc>
          <w:tcPr>
            <w:tcW w:w="10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0980"/>
          </w:cols>
          <w:pgMar w:left="440" w:top="257" w:right="4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 w:name="page5"/>
    <w:bookmarkEnd w:id="4"/>
    <w:p>
      <w:pPr>
        <w:ind w:left="1020" w:hanging="1019"/>
        <w:spacing w:after="0" w:line="266"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(d)(20)</w:t>
      </w:r>
      <w:r>
        <w:rPr>
          <w:sz w:val="20"/>
          <w:szCs w:val="20"/>
          <w:color w:val="auto"/>
        </w:rPr>
        <w:tab/>
      </w:r>
      <w:hyperlink r:id="rId57">
        <w:r>
          <w:rPr>
            <w:rFonts w:ascii="Times New Roman" w:cs="Times New Roman" w:eastAsia="Times New Roman" w:hAnsi="Times New Roman"/>
            <w:sz w:val="18"/>
            <w:szCs w:val="18"/>
            <w:u w:val="single" w:color="auto"/>
            <w:color w:val="0000EE"/>
          </w:rPr>
          <w:t>Share Repurchase Agreement between Scholastic Corporation and the Preliminary co-Executors of the Estate of M. Richard Robinson, Jr.,</w:t>
        </w:r>
      </w:hyperlink>
      <w:r>
        <w:rPr>
          <w:rFonts w:ascii="Times New Roman" w:cs="Times New Roman" w:eastAsia="Times New Roman" w:hAnsi="Times New Roman"/>
          <w:sz w:val="18"/>
          <w:szCs w:val="18"/>
          <w:u w:val="single" w:color="auto"/>
          <w:color w:val="0000EE"/>
        </w:rPr>
        <w:t xml:space="preserve"> </w:t>
      </w:r>
      <w:hyperlink r:id="rId57">
        <w:r>
          <w:rPr>
            <w:rFonts w:ascii="Times New Roman" w:cs="Times New Roman" w:eastAsia="Times New Roman" w:hAnsi="Times New Roman"/>
            <w:sz w:val="18"/>
            <w:szCs w:val="18"/>
            <w:u w:val="single" w:color="auto"/>
            <w:color w:val="0000EE"/>
          </w:rPr>
          <w:t>effective January 12, 2022 (incorporated by reference to the corporation’s Quarterly Report on Form 10-Q as filed with the SEC on</w:t>
        </w:r>
      </w:hyperlink>
      <w:r>
        <w:rPr>
          <w:rFonts w:ascii="Times New Roman" w:cs="Times New Roman" w:eastAsia="Times New Roman" w:hAnsi="Times New Roman"/>
          <w:sz w:val="18"/>
          <w:szCs w:val="18"/>
          <w:u w:val="single" w:color="auto"/>
          <w:color w:val="0000EE"/>
        </w:rPr>
        <w:t xml:space="preserve"> </w:t>
      </w:r>
      <w:hyperlink r:id="rId57">
        <w:r>
          <w:rPr>
            <w:rFonts w:ascii="Times New Roman" w:cs="Times New Roman" w:eastAsia="Times New Roman" w:hAnsi="Times New Roman"/>
            <w:sz w:val="18"/>
            <w:szCs w:val="18"/>
            <w:u w:val="single" w:color="auto"/>
            <w:color w:val="0000EE"/>
          </w:rPr>
          <w:t>March 18, 2022, SEC file No. 000-19860) (“the February 28, 2022 10-Q”).</w:t>
        </w:r>
      </w:hyperlink>
    </w:p>
    <w:p>
      <w:pPr>
        <w:spacing w:after="0" w:line="68" w:lineRule="exact"/>
        <w:rPr>
          <w:rFonts w:ascii="Times New Roman" w:cs="Times New Roman" w:eastAsia="Times New Roman" w:hAnsi="Times New Roman"/>
          <w:sz w:val="18"/>
          <w:szCs w:val="18"/>
          <w:u w:val="single" w:color="auto"/>
          <w:color w:val="0000EE"/>
        </w:rPr>
      </w:pPr>
    </w:p>
    <w:p>
      <w:pPr>
        <w:ind w:left="1020" w:right="100" w:hanging="1019"/>
        <w:spacing w:after="0" w:line="282"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(d)(21)</w:t>
      </w:r>
      <w:r>
        <w:rPr>
          <w:sz w:val="20"/>
          <w:szCs w:val="20"/>
          <w:color w:val="auto"/>
        </w:rPr>
        <w:tab/>
      </w:r>
      <w:hyperlink r:id="rId58">
        <w:r>
          <w:rPr>
            <w:rFonts w:ascii="Times New Roman" w:cs="Times New Roman" w:eastAsia="Times New Roman" w:hAnsi="Times New Roman"/>
            <w:sz w:val="18"/>
            <w:szCs w:val="18"/>
            <w:u w:val="single" w:color="auto"/>
            <w:color w:val="0000EE"/>
          </w:rPr>
          <w:t>Performance Stock Unit Agreement between Scholastic Corporation and Peter Warwick, dated July 19, 2022, (incorporated by reference</w:t>
        </w:r>
      </w:hyperlink>
      <w:r>
        <w:rPr>
          <w:rFonts w:ascii="Times New Roman" w:cs="Times New Roman" w:eastAsia="Times New Roman" w:hAnsi="Times New Roman"/>
          <w:sz w:val="18"/>
          <w:szCs w:val="18"/>
          <w:u w:val="single" w:color="auto"/>
          <w:color w:val="0000EE"/>
        </w:rPr>
        <w:t xml:space="preserve"> </w:t>
      </w:r>
      <w:hyperlink r:id="rId58">
        <w:r>
          <w:rPr>
            <w:rFonts w:ascii="Times New Roman" w:cs="Times New Roman" w:eastAsia="Times New Roman" w:hAnsi="Times New Roman"/>
            <w:sz w:val="18"/>
            <w:szCs w:val="18"/>
            <w:u w:val="single" w:color="auto"/>
            <w:color w:val="0000EE"/>
          </w:rPr>
          <w:t>to the August 31, 2022 10-Q).</w:t>
        </w:r>
      </w:hyperlink>
    </w:p>
    <w:p>
      <w:pPr>
        <w:spacing w:after="0" w:line="54" w:lineRule="exact"/>
        <w:rPr>
          <w:sz w:val="20"/>
          <w:szCs w:val="20"/>
          <w:color w:val="auto"/>
        </w:rPr>
      </w:pPr>
    </w:p>
    <w:p>
      <w:pPr>
        <w:ind w:left="1020" w:right="100" w:hanging="1019"/>
        <w:spacing w:after="0" w:line="282"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(d)(22)</w:t>
      </w:r>
      <w:r>
        <w:rPr>
          <w:sz w:val="20"/>
          <w:szCs w:val="20"/>
          <w:color w:val="auto"/>
        </w:rPr>
        <w:tab/>
      </w:r>
      <w:hyperlink r:id="rId59">
        <w:r>
          <w:rPr>
            <w:rFonts w:ascii="Times New Roman" w:cs="Times New Roman" w:eastAsia="Times New Roman" w:hAnsi="Times New Roman"/>
            <w:sz w:val="18"/>
            <w:szCs w:val="18"/>
            <w:u w:val="single" w:color="auto"/>
            <w:color w:val="0000EE"/>
          </w:rPr>
          <w:t>Performance Stock Unit Agreement between Scholastic Corporation and Peter Warwick, dated July 18, 2023, (incorporated by reference</w:t>
        </w:r>
      </w:hyperlink>
      <w:r>
        <w:rPr>
          <w:rFonts w:ascii="Times New Roman" w:cs="Times New Roman" w:eastAsia="Times New Roman" w:hAnsi="Times New Roman"/>
          <w:sz w:val="18"/>
          <w:szCs w:val="18"/>
          <w:u w:val="single" w:color="auto"/>
          <w:color w:val="0000EE"/>
        </w:rPr>
        <w:t xml:space="preserve"> </w:t>
      </w:r>
      <w:hyperlink r:id="rId59">
        <w:r>
          <w:rPr>
            <w:rFonts w:ascii="Times New Roman" w:cs="Times New Roman" w:eastAsia="Times New Roman" w:hAnsi="Times New Roman"/>
            <w:sz w:val="18"/>
            <w:szCs w:val="18"/>
            <w:u w:val="single" w:color="auto"/>
            <w:color w:val="0000EE"/>
          </w:rPr>
          <w:t>to the November 30, 2023 10-Q).</w:t>
        </w:r>
      </w:hyperlink>
    </w:p>
    <w:p>
      <w:pPr>
        <w:spacing w:after="0" w:line="54" w:lineRule="exact"/>
        <w:rPr>
          <w:sz w:val="20"/>
          <w:szCs w:val="20"/>
          <w:color w:val="auto"/>
        </w:rPr>
      </w:pPr>
    </w:p>
    <w:p>
      <w:pPr>
        <w:ind w:left="1020" w:right="60" w:hanging="1019"/>
        <w:spacing w:after="0" w:line="282"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(d)(23)</w:t>
      </w:r>
      <w:r>
        <w:rPr>
          <w:sz w:val="20"/>
          <w:szCs w:val="20"/>
          <w:color w:val="auto"/>
        </w:rPr>
        <w:tab/>
      </w:r>
      <w:hyperlink r:id="rId60">
        <w:r>
          <w:rPr>
            <w:rFonts w:ascii="Times New Roman" w:cs="Times New Roman" w:eastAsia="Times New Roman" w:hAnsi="Times New Roman"/>
            <w:sz w:val="18"/>
            <w:szCs w:val="18"/>
            <w:u w:val="single" w:color="auto"/>
            <w:color w:val="0000EE"/>
          </w:rPr>
          <w:t>Employment Agreement dated October 3, 2023 between Kenneth Cleary and Scholastic Inc. (incorporated by reference to Form 8-K filed</w:t>
        </w:r>
      </w:hyperlink>
      <w:r>
        <w:rPr>
          <w:rFonts w:ascii="Times New Roman" w:cs="Times New Roman" w:eastAsia="Times New Roman" w:hAnsi="Times New Roman"/>
          <w:sz w:val="18"/>
          <w:szCs w:val="18"/>
          <w:u w:val="single" w:color="auto"/>
          <w:color w:val="0000EE"/>
        </w:rPr>
        <w:t xml:space="preserve"> </w:t>
      </w:r>
      <w:hyperlink r:id="rId60">
        <w:r>
          <w:rPr>
            <w:rFonts w:ascii="Times New Roman" w:cs="Times New Roman" w:eastAsia="Times New Roman" w:hAnsi="Times New Roman"/>
            <w:sz w:val="18"/>
            <w:szCs w:val="18"/>
            <w:u w:val="single" w:color="auto"/>
            <w:color w:val="0000EE"/>
          </w:rPr>
          <w:t>October 3, 2023).</w:t>
        </w:r>
      </w:hyperlink>
    </w:p>
    <w:p>
      <w:pPr>
        <w:spacing w:after="0" w:line="54" w:lineRule="exact"/>
        <w:rPr>
          <w:sz w:val="20"/>
          <w:szCs w:val="20"/>
          <w:color w:val="auto"/>
        </w:rPr>
      </w:pPr>
    </w:p>
    <w:p>
      <w:pPr>
        <w:spacing w:after="0"/>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(d)(24)</w:t>
      </w:r>
      <w:r>
        <w:rPr>
          <w:sz w:val="20"/>
          <w:szCs w:val="20"/>
          <w:color w:val="auto"/>
        </w:rPr>
        <w:tab/>
      </w:r>
      <w:hyperlink r:id="rId61">
        <w:r>
          <w:rPr>
            <w:rFonts w:ascii="Times New Roman" w:cs="Times New Roman" w:eastAsia="Times New Roman" w:hAnsi="Times New Roman"/>
            <w:sz w:val="18"/>
            <w:szCs w:val="18"/>
            <w:u w:val="single" w:color="auto"/>
            <w:color w:val="0000EE"/>
          </w:rPr>
          <w:t>First Amendment to Amended And Restated Employment Agreement dated October 4, 2023 between Peter Warwick and Scholastic Inc.</w:t>
        </w:r>
      </w:hyperlink>
    </w:p>
    <w:p>
      <w:pPr>
        <w:spacing w:after="0" w:line="27" w:lineRule="exact"/>
        <w:rPr>
          <w:sz w:val="20"/>
          <w:szCs w:val="20"/>
          <w:color w:val="auto"/>
        </w:rPr>
      </w:pPr>
    </w:p>
    <w:p>
      <w:pPr>
        <w:ind w:left="1020"/>
        <w:spacing w:after="0"/>
        <w:rPr>
          <w:rFonts w:ascii="Times New Roman" w:cs="Times New Roman" w:eastAsia="Times New Roman" w:hAnsi="Times New Roman"/>
          <w:sz w:val="18"/>
          <w:szCs w:val="18"/>
          <w:u w:val="single" w:color="auto"/>
          <w:color w:val="0000EE"/>
        </w:rPr>
      </w:pPr>
      <w:hyperlink r:id="rId61">
        <w:r>
          <w:rPr>
            <w:rFonts w:ascii="Times New Roman" w:cs="Times New Roman" w:eastAsia="Times New Roman" w:hAnsi="Times New Roman"/>
            <w:sz w:val="18"/>
            <w:szCs w:val="18"/>
            <w:u w:val="single" w:color="auto"/>
            <w:color w:val="0000EE"/>
          </w:rPr>
          <w:t>(incorporated by reference to Form 8-K filed October 4, 2023).</w:t>
        </w:r>
      </w:hyperlink>
    </w:p>
    <w:p>
      <w:pPr>
        <w:spacing w:after="0" w:line="99" w:lineRule="exact"/>
        <w:rPr>
          <w:sz w:val="20"/>
          <w:szCs w:val="20"/>
          <w:color w:val="auto"/>
        </w:rPr>
      </w:pPr>
    </w:p>
    <w:p>
      <w:pPr>
        <w:ind w:left="1020" w:right="660" w:hanging="1019"/>
        <w:spacing w:after="0" w:line="282"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(d)(25)</w:t>
      </w:r>
      <w:r>
        <w:rPr>
          <w:sz w:val="20"/>
          <w:szCs w:val="20"/>
          <w:color w:val="auto"/>
        </w:rPr>
        <w:tab/>
      </w:r>
      <w:hyperlink r:id="rId62">
        <w:r>
          <w:rPr>
            <w:rFonts w:ascii="Times New Roman" w:cs="Times New Roman" w:eastAsia="Times New Roman" w:hAnsi="Times New Roman"/>
            <w:sz w:val="18"/>
            <w:szCs w:val="18"/>
            <w:u w:val="single" w:color="auto"/>
            <w:color w:val="0000EE"/>
          </w:rPr>
          <w:t>Letter Agreement dated January 25, 2024 between Peter Warwick and the Company (incorporated by reference to Form 8-K filed</w:t>
        </w:r>
      </w:hyperlink>
      <w:r>
        <w:rPr>
          <w:rFonts w:ascii="Times New Roman" w:cs="Times New Roman" w:eastAsia="Times New Roman" w:hAnsi="Times New Roman"/>
          <w:sz w:val="18"/>
          <w:szCs w:val="18"/>
          <w:u w:val="single" w:color="auto"/>
          <w:color w:val="0000EE"/>
        </w:rPr>
        <w:t xml:space="preserve"> </w:t>
      </w:r>
      <w:hyperlink r:id="rId62">
        <w:r>
          <w:rPr>
            <w:rFonts w:ascii="Times New Roman" w:cs="Times New Roman" w:eastAsia="Times New Roman" w:hAnsi="Times New Roman"/>
            <w:sz w:val="18"/>
            <w:szCs w:val="18"/>
            <w:u w:val="single" w:color="auto"/>
            <w:color w:val="0000EE"/>
          </w:rPr>
          <w:t>January 25, 2024).</w:t>
        </w:r>
      </w:hyperlink>
    </w:p>
    <w:p>
      <w:pPr>
        <w:spacing w:after="0" w:line="54" w:lineRule="exact"/>
        <w:rPr>
          <w:sz w:val="20"/>
          <w:szCs w:val="20"/>
          <w:color w:val="auto"/>
        </w:rPr>
      </w:pPr>
    </w:p>
    <w:p>
      <w:pPr>
        <w:ind w:left="1020" w:right="300" w:hanging="1019"/>
        <w:spacing w:after="0" w:line="282"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(d)(26)</w:t>
      </w:r>
      <w:r>
        <w:rPr>
          <w:sz w:val="20"/>
          <w:szCs w:val="20"/>
          <w:color w:val="auto"/>
        </w:rPr>
        <w:tab/>
      </w:r>
      <w:hyperlink r:id="rId63">
        <w:r>
          <w:rPr>
            <w:rFonts w:ascii="Times New Roman" w:cs="Times New Roman" w:eastAsia="Times New Roman" w:hAnsi="Times New Roman"/>
            <w:sz w:val="18"/>
            <w:szCs w:val="18"/>
            <w:u w:val="single" w:color="auto"/>
            <w:color w:val="0000EE"/>
          </w:rPr>
          <w:t>Offer Letter dated December 5, 2023 between Haji Glover and Scholastic Inc. (incorporated by reference to Form 8-K filed January 8,</w:t>
        </w:r>
      </w:hyperlink>
      <w:r>
        <w:rPr>
          <w:rFonts w:ascii="Times New Roman" w:cs="Times New Roman" w:eastAsia="Times New Roman" w:hAnsi="Times New Roman"/>
          <w:sz w:val="18"/>
          <w:szCs w:val="18"/>
          <w:u w:val="single" w:color="auto"/>
          <w:color w:val="0000EE"/>
        </w:rPr>
        <w:t xml:space="preserve"> </w:t>
      </w:r>
      <w:hyperlink r:id="rId63">
        <w:r>
          <w:rPr>
            <w:rFonts w:ascii="Times New Roman" w:cs="Times New Roman" w:eastAsia="Times New Roman" w:hAnsi="Times New Roman"/>
            <w:sz w:val="18"/>
            <w:szCs w:val="18"/>
            <w:u w:val="single" w:color="auto"/>
            <w:color w:val="0000EE"/>
          </w:rPr>
          <w:t>2024).</w:t>
        </w:r>
      </w:hyperlink>
    </w:p>
    <w:p>
      <w:pPr>
        <w:spacing w:after="0" w:line="54" w:lineRule="exact"/>
        <w:rPr>
          <w:sz w:val="20"/>
          <w:szCs w:val="20"/>
          <w:color w:val="auto"/>
        </w:rPr>
      </w:pPr>
    </w:p>
    <w:p>
      <w:pPr>
        <w:ind w:left="1020" w:hanging="1019"/>
        <w:spacing w:after="0" w:line="266"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(d)(27)</w:t>
      </w:r>
      <w:r>
        <w:rPr>
          <w:sz w:val="20"/>
          <w:szCs w:val="20"/>
          <w:color w:val="auto"/>
        </w:rPr>
        <w:tab/>
      </w:r>
      <w:hyperlink r:id="rId64">
        <w:r>
          <w:rPr>
            <w:rFonts w:ascii="Times New Roman" w:cs="Times New Roman" w:eastAsia="Times New Roman" w:hAnsi="Times New Roman"/>
            <w:sz w:val="18"/>
            <w:szCs w:val="18"/>
            <w:u w:val="single" w:color="auto"/>
            <w:color w:val="0000EE"/>
          </w:rPr>
          <w:t>Share Repurchase Agreement between Scholastic Corporation and the Preliminary co-Executors of the Estate of M. Richard Robinson, Jr.,</w:t>
        </w:r>
      </w:hyperlink>
      <w:r>
        <w:rPr>
          <w:rFonts w:ascii="Times New Roman" w:cs="Times New Roman" w:eastAsia="Times New Roman" w:hAnsi="Times New Roman"/>
          <w:sz w:val="18"/>
          <w:szCs w:val="18"/>
          <w:u w:val="single" w:color="auto"/>
          <w:color w:val="0000EE"/>
        </w:rPr>
        <w:t xml:space="preserve"> </w:t>
      </w:r>
      <w:hyperlink r:id="rId64">
        <w:r>
          <w:rPr>
            <w:rFonts w:ascii="Times New Roman" w:cs="Times New Roman" w:eastAsia="Times New Roman" w:hAnsi="Times New Roman"/>
            <w:sz w:val="18"/>
            <w:szCs w:val="18"/>
            <w:u w:val="single" w:color="auto"/>
            <w:color w:val="0000EE"/>
          </w:rPr>
          <w:t>effective April 18, 2024 (incorporated by reference to Company’s Annual Report on Form 10-K, filed with the SEC on July 19, 2024,</w:t>
        </w:r>
      </w:hyperlink>
      <w:r>
        <w:rPr>
          <w:rFonts w:ascii="Times New Roman" w:cs="Times New Roman" w:eastAsia="Times New Roman" w:hAnsi="Times New Roman"/>
          <w:sz w:val="18"/>
          <w:szCs w:val="18"/>
          <w:u w:val="single" w:color="auto"/>
          <w:color w:val="0000EE"/>
        </w:rPr>
        <w:t xml:space="preserve"> </w:t>
      </w:r>
      <w:hyperlink r:id="rId64">
        <w:r>
          <w:rPr>
            <w:rFonts w:ascii="Times New Roman" w:cs="Times New Roman" w:eastAsia="Times New Roman" w:hAnsi="Times New Roman"/>
            <w:sz w:val="18"/>
            <w:szCs w:val="18"/>
            <w:u w:val="single" w:color="auto"/>
            <w:color w:val="0000EE"/>
          </w:rPr>
          <w:t>SEC file No. 000-19860).</w:t>
        </w:r>
      </w:hyperlink>
    </w:p>
    <w:p>
      <w:pPr>
        <w:spacing w:after="0" w:line="68" w:lineRule="exact"/>
        <w:rPr>
          <w:rFonts w:ascii="Times New Roman" w:cs="Times New Roman" w:eastAsia="Times New Roman" w:hAnsi="Times New Roman"/>
          <w:sz w:val="18"/>
          <w:szCs w:val="18"/>
          <w:u w:val="single" w:color="auto"/>
          <w:color w:val="0000EE"/>
        </w:rPr>
      </w:pPr>
    </w:p>
    <w:p>
      <w:pPr>
        <w:ind w:left="1020" w:right="180" w:hanging="1019"/>
        <w:spacing w:after="0" w:line="282"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(d)(28)</w:t>
      </w:r>
      <w:r>
        <w:rPr>
          <w:sz w:val="20"/>
          <w:szCs w:val="20"/>
          <w:color w:val="auto"/>
        </w:rPr>
        <w:tab/>
      </w:r>
      <w:hyperlink r:id="rId65">
        <w:r>
          <w:rPr>
            <w:rFonts w:ascii="Times New Roman" w:cs="Times New Roman" w:eastAsia="Times New Roman" w:hAnsi="Times New Roman"/>
            <w:sz w:val="18"/>
            <w:szCs w:val="18"/>
            <w:u w:val="single" w:color="auto"/>
            <w:color w:val="0000EE"/>
          </w:rPr>
          <w:t>Offer Letter dated July 11, 2022 between Jeffrey N. Matthews and Scholastic Inc. (incorporated by reference to the November 30, 2024</w:t>
        </w:r>
      </w:hyperlink>
      <w:r>
        <w:rPr>
          <w:rFonts w:ascii="Times New Roman" w:cs="Times New Roman" w:eastAsia="Times New Roman" w:hAnsi="Times New Roman"/>
          <w:sz w:val="18"/>
          <w:szCs w:val="18"/>
          <w:u w:val="single" w:color="auto"/>
          <w:color w:val="0000EE"/>
        </w:rPr>
        <w:t xml:space="preserve"> </w:t>
      </w:r>
      <w:hyperlink r:id="rId65">
        <w:r>
          <w:rPr>
            <w:rFonts w:ascii="Times New Roman" w:cs="Times New Roman" w:eastAsia="Times New Roman" w:hAnsi="Times New Roman"/>
            <w:sz w:val="18"/>
            <w:szCs w:val="18"/>
            <w:u w:val="single" w:color="auto"/>
            <w:color w:val="0000EE"/>
          </w:rPr>
          <w:t>10-Q).</w:t>
        </w:r>
      </w:hyperlink>
    </w:p>
    <w:p>
      <w:pPr>
        <w:spacing w:after="0" w:line="54" w:lineRule="exact"/>
        <w:rPr>
          <w:sz w:val="20"/>
          <w:szCs w:val="20"/>
          <w:color w:val="auto"/>
        </w:rPr>
      </w:pPr>
    </w:p>
    <w:p>
      <w:pPr>
        <w:ind w:left="1020" w:right="140" w:hanging="1019"/>
        <w:spacing w:after="0" w:line="282"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(d)(29)</w:t>
      </w:r>
      <w:r>
        <w:rPr>
          <w:sz w:val="20"/>
          <w:szCs w:val="20"/>
          <w:color w:val="auto"/>
        </w:rPr>
        <w:tab/>
      </w:r>
      <w:hyperlink r:id="rId66">
        <w:r>
          <w:rPr>
            <w:rFonts w:ascii="Times New Roman" w:cs="Times New Roman" w:eastAsia="Times New Roman" w:hAnsi="Times New Roman"/>
            <w:sz w:val="18"/>
            <w:szCs w:val="18"/>
            <w:u w:val="single" w:color="auto"/>
            <w:color w:val="0000EE"/>
          </w:rPr>
          <w:t>Performance Stock Unit Agreement between Scholastic Corporation and Peter Warwick, dated July 16, 2024 (incorporated by reference</w:t>
        </w:r>
      </w:hyperlink>
      <w:r>
        <w:rPr>
          <w:rFonts w:ascii="Times New Roman" w:cs="Times New Roman" w:eastAsia="Times New Roman" w:hAnsi="Times New Roman"/>
          <w:sz w:val="18"/>
          <w:szCs w:val="18"/>
          <w:u w:val="single" w:color="auto"/>
          <w:color w:val="0000EE"/>
        </w:rPr>
        <w:t xml:space="preserve"> </w:t>
      </w:r>
      <w:hyperlink r:id="rId66">
        <w:r>
          <w:rPr>
            <w:rFonts w:ascii="Times New Roman" w:cs="Times New Roman" w:eastAsia="Times New Roman" w:hAnsi="Times New Roman"/>
            <w:sz w:val="18"/>
            <w:szCs w:val="18"/>
            <w:u w:val="single" w:color="auto"/>
            <w:color w:val="0000EE"/>
          </w:rPr>
          <w:t>to the November 30, 2024 10-Q).</w:t>
        </w:r>
      </w:hyperlink>
    </w:p>
    <w:p>
      <w:pPr>
        <w:spacing w:after="0" w:line="54" w:lineRule="exact"/>
        <w:rPr>
          <w:sz w:val="20"/>
          <w:szCs w:val="20"/>
          <w:color w:val="auto"/>
        </w:rPr>
      </w:pPr>
    </w:p>
    <w:p>
      <w:pPr>
        <w:ind w:left="1020" w:right="300" w:hanging="1019"/>
        <w:spacing w:after="0" w:line="282"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(d)(30)</w:t>
      </w:r>
      <w:r>
        <w:rPr>
          <w:sz w:val="20"/>
          <w:szCs w:val="20"/>
          <w:color w:val="auto"/>
        </w:rPr>
        <w:tab/>
      </w:r>
      <w:hyperlink r:id="rId67">
        <w:r>
          <w:rPr>
            <w:rFonts w:ascii="Times New Roman" w:cs="Times New Roman" w:eastAsia="Times New Roman" w:hAnsi="Times New Roman"/>
            <w:sz w:val="18"/>
            <w:szCs w:val="18"/>
            <w:u w:val="single" w:color="auto"/>
            <w:color w:val="0000EE"/>
          </w:rPr>
          <w:t>Performance Stock Unit Agreement between Scholastic Corporation and Jeffrey N. Mathews, dated October 1, 2024 (incorporated by</w:t>
        </w:r>
      </w:hyperlink>
      <w:r>
        <w:rPr>
          <w:rFonts w:ascii="Times New Roman" w:cs="Times New Roman" w:eastAsia="Times New Roman" w:hAnsi="Times New Roman"/>
          <w:sz w:val="18"/>
          <w:szCs w:val="18"/>
          <w:u w:val="single" w:color="auto"/>
          <w:color w:val="0000EE"/>
        </w:rPr>
        <w:t xml:space="preserve"> </w:t>
      </w:r>
      <w:hyperlink r:id="rId67">
        <w:r>
          <w:rPr>
            <w:rFonts w:ascii="Times New Roman" w:cs="Times New Roman" w:eastAsia="Times New Roman" w:hAnsi="Times New Roman"/>
            <w:sz w:val="18"/>
            <w:szCs w:val="18"/>
            <w:u w:val="single" w:color="auto"/>
            <w:color w:val="0000EE"/>
          </w:rPr>
          <w:t>reference to the November 30, 2024 10-Q).</w:t>
        </w:r>
      </w:hyperlink>
    </w:p>
    <w:p>
      <w:pPr>
        <w:spacing w:after="0" w:line="54" w:lineRule="exact"/>
        <w:rPr>
          <w:sz w:val="20"/>
          <w:szCs w:val="20"/>
          <w:color w:val="auto"/>
        </w:rPr>
      </w:pPr>
    </w:p>
    <w:p>
      <w:pPr>
        <w:ind w:left="1020" w:right="500" w:hanging="1019"/>
        <w:spacing w:after="0" w:line="282"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(d)(31)</w:t>
      </w:r>
      <w:r>
        <w:rPr>
          <w:sz w:val="20"/>
          <w:szCs w:val="20"/>
          <w:color w:val="auto"/>
        </w:rPr>
        <w:tab/>
      </w:r>
      <w:hyperlink r:id="rId68">
        <w:r>
          <w:rPr>
            <w:rFonts w:ascii="Times New Roman" w:cs="Times New Roman" w:eastAsia="Times New Roman" w:hAnsi="Times New Roman"/>
            <w:sz w:val="18"/>
            <w:szCs w:val="18"/>
            <w:u w:val="single" w:color="auto"/>
            <w:color w:val="0000EE"/>
          </w:rPr>
          <w:t>Restricted Stock Unit Agreement between Scholastic Corporation and Jeffrey N. Mathews, dated October 1, 2024 (incorporated by</w:t>
        </w:r>
      </w:hyperlink>
      <w:r>
        <w:rPr>
          <w:rFonts w:ascii="Times New Roman" w:cs="Times New Roman" w:eastAsia="Times New Roman" w:hAnsi="Times New Roman"/>
          <w:sz w:val="18"/>
          <w:szCs w:val="18"/>
          <w:u w:val="single" w:color="auto"/>
          <w:color w:val="0000EE"/>
        </w:rPr>
        <w:t xml:space="preserve"> </w:t>
      </w:r>
      <w:hyperlink r:id="rId68">
        <w:r>
          <w:rPr>
            <w:rFonts w:ascii="Times New Roman" w:cs="Times New Roman" w:eastAsia="Times New Roman" w:hAnsi="Times New Roman"/>
            <w:sz w:val="18"/>
            <w:szCs w:val="18"/>
            <w:u w:val="single" w:color="auto"/>
            <w:color w:val="0000EE"/>
          </w:rPr>
          <w:t>reference to the November 30, 2024 10-Q).</w:t>
        </w:r>
      </w:hyperlink>
    </w:p>
    <w:p>
      <w:pPr>
        <w:spacing w:after="0" w:line="54" w:lineRule="exact"/>
        <w:rPr>
          <w:sz w:val="20"/>
          <w:szCs w:val="20"/>
          <w:color w:val="auto"/>
        </w:rPr>
      </w:pPr>
    </w:p>
    <w:p>
      <w:pPr>
        <w:ind w:left="1020" w:right="100" w:hanging="1019"/>
        <w:spacing w:after="0" w:line="282"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(d)(32)</w:t>
      </w:r>
      <w:r>
        <w:rPr>
          <w:sz w:val="20"/>
          <w:szCs w:val="20"/>
          <w:color w:val="auto"/>
        </w:rPr>
        <w:tab/>
      </w:r>
      <w:hyperlink r:id="rId69">
        <w:r>
          <w:rPr>
            <w:rFonts w:ascii="Times New Roman" w:cs="Times New Roman" w:eastAsia="Times New Roman" w:hAnsi="Times New Roman"/>
            <w:sz w:val="18"/>
            <w:szCs w:val="18"/>
            <w:u w:val="single" w:color="auto"/>
            <w:color w:val="0000EE"/>
          </w:rPr>
          <w:t>Letter Agreement dated January 30, 2025 between Peter Warwick and the Company (incorporated by reference to the February 28, 2025</w:t>
        </w:r>
      </w:hyperlink>
      <w:r>
        <w:rPr>
          <w:rFonts w:ascii="Times New Roman" w:cs="Times New Roman" w:eastAsia="Times New Roman" w:hAnsi="Times New Roman"/>
          <w:sz w:val="18"/>
          <w:szCs w:val="18"/>
          <w:u w:val="single" w:color="auto"/>
          <w:color w:val="0000EE"/>
        </w:rPr>
        <w:t xml:space="preserve"> </w:t>
      </w:r>
      <w:hyperlink r:id="rId69">
        <w:r>
          <w:rPr>
            <w:rFonts w:ascii="Times New Roman" w:cs="Times New Roman" w:eastAsia="Times New Roman" w:hAnsi="Times New Roman"/>
            <w:sz w:val="18"/>
            <w:szCs w:val="18"/>
            <w:u w:val="single" w:color="auto"/>
            <w:color w:val="0000EE"/>
          </w:rPr>
          <w:t>10-Q).</w:t>
        </w:r>
      </w:hyperlink>
    </w:p>
    <w:p>
      <w:pPr>
        <w:spacing w:after="0" w:line="54" w:lineRule="exact"/>
        <w:rPr>
          <w:sz w:val="20"/>
          <w:szCs w:val="20"/>
          <w:color w:val="auto"/>
        </w:rPr>
      </w:pPr>
    </w:p>
    <w:p>
      <w:pPr>
        <w:ind w:left="1020" w:right="360" w:hanging="1019"/>
        <w:spacing w:after="0" w:line="258"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(d)(33)</w:t>
      </w:r>
      <w:r>
        <w:rPr>
          <w:sz w:val="20"/>
          <w:szCs w:val="20"/>
          <w:color w:val="auto"/>
        </w:rPr>
        <w:tab/>
      </w:r>
      <w:hyperlink r:id="rId70">
        <w:r>
          <w:rPr>
            <w:rFonts w:ascii="Times New Roman" w:cs="Times New Roman" w:eastAsia="Times New Roman" w:hAnsi="Times New Roman"/>
            <w:sz w:val="18"/>
            <w:szCs w:val="18"/>
            <w:u w:val="single" w:color="auto"/>
            <w:color w:val="0000EE"/>
          </w:rPr>
          <w:t>Amended and Restated Credit Agreement dated as of October 27, 2021 (the “Credit Agreement”) among Scholastic Corporation and</w:t>
        </w:r>
      </w:hyperlink>
      <w:r>
        <w:rPr>
          <w:rFonts w:ascii="Times New Roman" w:cs="Times New Roman" w:eastAsia="Times New Roman" w:hAnsi="Times New Roman"/>
          <w:sz w:val="18"/>
          <w:szCs w:val="18"/>
          <w:u w:val="single" w:color="auto"/>
          <w:color w:val="0000EE"/>
        </w:rPr>
        <w:t xml:space="preserve"> </w:t>
      </w:r>
      <w:hyperlink r:id="rId70">
        <w:r>
          <w:rPr>
            <w:rFonts w:ascii="Times New Roman" w:cs="Times New Roman" w:eastAsia="Times New Roman" w:hAnsi="Times New Roman"/>
            <w:sz w:val="18"/>
            <w:szCs w:val="18"/>
            <w:u w:val="single" w:color="auto"/>
            <w:color w:val="0000EE"/>
          </w:rPr>
          <w:t>Scholastic Inc., as Borrowers, the lenders from time to time party thereto, Wells Fargo Bank, National Association and Truist Bank as</w:t>
        </w:r>
      </w:hyperlink>
      <w:r>
        <w:rPr>
          <w:rFonts w:ascii="Times New Roman" w:cs="Times New Roman" w:eastAsia="Times New Roman" w:hAnsi="Times New Roman"/>
          <w:sz w:val="18"/>
          <w:szCs w:val="18"/>
          <w:u w:val="single" w:color="auto"/>
          <w:color w:val="0000EE"/>
        </w:rPr>
        <w:t xml:space="preserve"> </w:t>
      </w:r>
      <w:hyperlink r:id="rId70">
        <w:r>
          <w:rPr>
            <w:rFonts w:ascii="Times New Roman" w:cs="Times New Roman" w:eastAsia="Times New Roman" w:hAnsi="Times New Roman"/>
            <w:sz w:val="18"/>
            <w:szCs w:val="18"/>
            <w:u w:val="single" w:color="auto"/>
            <w:color w:val="0000EE"/>
          </w:rPr>
          <w:t>Co-Syndication Agents, Fifth Third Bank, National Association, HSBC Bank USA, National Association, and Citibank, N.A. as</w:t>
        </w:r>
      </w:hyperlink>
      <w:r>
        <w:rPr>
          <w:rFonts w:ascii="Times New Roman" w:cs="Times New Roman" w:eastAsia="Times New Roman" w:hAnsi="Times New Roman"/>
          <w:sz w:val="18"/>
          <w:szCs w:val="18"/>
          <w:u w:val="single" w:color="auto"/>
          <w:color w:val="0000EE"/>
        </w:rPr>
        <w:t xml:space="preserve"> </w:t>
      </w:r>
      <w:hyperlink r:id="rId70">
        <w:r>
          <w:rPr>
            <w:rFonts w:ascii="Times New Roman" w:cs="Times New Roman" w:eastAsia="Times New Roman" w:hAnsi="Times New Roman"/>
            <w:sz w:val="18"/>
            <w:szCs w:val="18"/>
            <w:u w:val="single" w:color="auto"/>
            <w:color w:val="0000EE"/>
          </w:rPr>
          <w:t>Co-Agents and Bank of America, N.A., as Administrative Agent (incorporated by reference to the Corporation’s Quarterly Report on</w:t>
        </w:r>
      </w:hyperlink>
      <w:r>
        <w:rPr>
          <w:rFonts w:ascii="Times New Roman" w:cs="Times New Roman" w:eastAsia="Times New Roman" w:hAnsi="Times New Roman"/>
          <w:sz w:val="18"/>
          <w:szCs w:val="18"/>
          <w:u w:val="single" w:color="auto"/>
          <w:color w:val="0000EE"/>
        </w:rPr>
        <w:t xml:space="preserve"> </w:t>
      </w:r>
      <w:hyperlink r:id="rId70">
        <w:r>
          <w:rPr>
            <w:rFonts w:ascii="Times New Roman" w:cs="Times New Roman" w:eastAsia="Times New Roman" w:hAnsi="Times New Roman"/>
            <w:sz w:val="18"/>
            <w:szCs w:val="18"/>
            <w:u w:val="single" w:color="auto"/>
            <w:color w:val="0000EE"/>
          </w:rPr>
          <w:t>Form 10-Q as filed with the SEC on March 24, 2023, SEC File No. 000-19860) (the “February 28, 2023 10-Q”).</w:t>
        </w:r>
      </w:hyperlink>
    </w:p>
    <w:p>
      <w:pPr>
        <w:spacing w:after="0" w:line="75" w:lineRule="exact"/>
        <w:rPr>
          <w:rFonts w:ascii="Times New Roman" w:cs="Times New Roman" w:eastAsia="Times New Roman" w:hAnsi="Times New Roman"/>
          <w:sz w:val="18"/>
          <w:szCs w:val="18"/>
          <w:u w:val="single" w:color="auto"/>
          <w:color w:val="0000EE"/>
        </w:rPr>
      </w:pPr>
    </w:p>
    <w:p>
      <w:pPr>
        <w:ind w:left="1020" w:right="60" w:hanging="1019"/>
        <w:spacing w:after="0" w:line="261"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(d)(34)</w:t>
      </w:r>
      <w:r>
        <w:rPr>
          <w:sz w:val="20"/>
          <w:szCs w:val="20"/>
          <w:color w:val="auto"/>
        </w:rPr>
        <w:tab/>
      </w:r>
      <w:hyperlink r:id="rId71">
        <w:r>
          <w:rPr>
            <w:rFonts w:ascii="Times New Roman" w:cs="Times New Roman" w:eastAsia="Times New Roman" w:hAnsi="Times New Roman"/>
            <w:sz w:val="18"/>
            <w:szCs w:val="18"/>
            <w:u w:val="single" w:color="auto"/>
            <w:color w:val="0000EE"/>
          </w:rPr>
          <w:t>First Amendment, dated as of February 28, 2023, to the Amended and Restated Credit Agreement dated as of October 27, 2021 (the</w:t>
        </w:r>
      </w:hyperlink>
      <w:r>
        <w:rPr>
          <w:rFonts w:ascii="Times New Roman" w:cs="Times New Roman" w:eastAsia="Times New Roman" w:hAnsi="Times New Roman"/>
          <w:sz w:val="18"/>
          <w:szCs w:val="18"/>
          <w:u w:val="single" w:color="auto"/>
          <w:color w:val="0000EE"/>
        </w:rPr>
        <w:t xml:space="preserve"> </w:t>
      </w:r>
      <w:hyperlink r:id="rId71">
        <w:r>
          <w:rPr>
            <w:rFonts w:ascii="Times New Roman" w:cs="Times New Roman" w:eastAsia="Times New Roman" w:hAnsi="Times New Roman"/>
            <w:sz w:val="18"/>
            <w:szCs w:val="18"/>
            <w:u w:val="single" w:color="auto"/>
            <w:color w:val="0000EE"/>
          </w:rPr>
          <w:t>“Credit Agreement”) by and between Scholastic Corporation and Scholastic Inc., the lenders from time to time party thereto, and Bank of</w:t>
        </w:r>
      </w:hyperlink>
      <w:r>
        <w:rPr>
          <w:rFonts w:ascii="Times New Roman" w:cs="Times New Roman" w:eastAsia="Times New Roman" w:hAnsi="Times New Roman"/>
          <w:sz w:val="18"/>
          <w:szCs w:val="18"/>
          <w:u w:val="single" w:color="auto"/>
          <w:color w:val="0000EE"/>
        </w:rPr>
        <w:t xml:space="preserve"> </w:t>
      </w:r>
      <w:hyperlink r:id="rId71">
        <w:r>
          <w:rPr>
            <w:rFonts w:ascii="Times New Roman" w:cs="Times New Roman" w:eastAsia="Times New Roman" w:hAnsi="Times New Roman"/>
            <w:sz w:val="18"/>
            <w:szCs w:val="18"/>
            <w:u w:val="single" w:color="auto"/>
            <w:color w:val="0000EE"/>
          </w:rPr>
          <w:t>America, N.A., as administrative agent (incorporated by reference to the Corporation’s Quarterly Report on Form 10-Q as filed with the</w:t>
        </w:r>
      </w:hyperlink>
      <w:r>
        <w:rPr>
          <w:rFonts w:ascii="Times New Roman" w:cs="Times New Roman" w:eastAsia="Times New Roman" w:hAnsi="Times New Roman"/>
          <w:sz w:val="18"/>
          <w:szCs w:val="18"/>
          <w:u w:val="single" w:color="auto"/>
          <w:color w:val="0000EE"/>
        </w:rPr>
        <w:t xml:space="preserve"> </w:t>
      </w:r>
      <w:hyperlink r:id="rId71">
        <w:r>
          <w:rPr>
            <w:rFonts w:ascii="Times New Roman" w:cs="Times New Roman" w:eastAsia="Times New Roman" w:hAnsi="Times New Roman"/>
            <w:sz w:val="18"/>
            <w:szCs w:val="18"/>
            <w:u w:val="single" w:color="auto"/>
            <w:color w:val="0000EE"/>
          </w:rPr>
          <w:t>SEC on March 24, 2023, SEC File No. 000-19860) (the “February 28, 2023 10-Q”).</w:t>
        </w:r>
      </w:hyperlink>
    </w:p>
    <w:p>
      <w:pPr>
        <w:sectPr>
          <w:pgSz w:w="11900" w:h="16838" w:orient="portrait"/>
          <w:cols w:equalWidth="0" w:num="1">
            <w:col w:w="11000"/>
          </w:cols>
          <w:pgMar w:left="440" w:top="270" w:right="459" w:bottom="1440" w:gutter="0" w:footer="0" w:header="0"/>
        </w:sectPr>
      </w:pPr>
    </w:p>
    <w:bookmarkStart w:id="5" w:name="page6"/>
    <w:bookmarkEnd w:id="5"/>
    <w:p>
      <w:pPr>
        <w:ind w:left="1024" w:hanging="1019"/>
        <w:spacing w:after="0" w:line="266" w:lineRule="auto"/>
        <w:tabs>
          <w:tab w:leader="none" w:pos="100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(d)(35)</w:t>
      </w:r>
      <w:r>
        <w:rPr>
          <w:sz w:val="20"/>
          <w:szCs w:val="20"/>
          <w:color w:val="auto"/>
        </w:rPr>
        <w:tab/>
      </w:r>
      <w:hyperlink r:id="rId73">
        <w:r>
          <w:rPr>
            <w:rFonts w:ascii="Times New Roman" w:cs="Times New Roman" w:eastAsia="Times New Roman" w:hAnsi="Times New Roman"/>
            <w:sz w:val="18"/>
            <w:szCs w:val="18"/>
            <w:u w:val="single" w:color="auto"/>
            <w:color w:val="0000EE"/>
          </w:rPr>
          <w:t>Second Amendment, dated as of February 28, 2023, to the Amended and Restated Credit Agreement dated as of October 27, 2021 (the</w:t>
        </w:r>
      </w:hyperlink>
      <w:r>
        <w:rPr>
          <w:rFonts w:ascii="Times New Roman" w:cs="Times New Roman" w:eastAsia="Times New Roman" w:hAnsi="Times New Roman"/>
          <w:sz w:val="18"/>
          <w:szCs w:val="18"/>
          <w:u w:val="single" w:color="auto"/>
          <w:color w:val="0000EE"/>
        </w:rPr>
        <w:t xml:space="preserve"> </w:t>
      </w:r>
      <w:hyperlink r:id="rId73">
        <w:r>
          <w:rPr>
            <w:rFonts w:ascii="Times New Roman" w:cs="Times New Roman" w:eastAsia="Times New Roman" w:hAnsi="Times New Roman"/>
            <w:sz w:val="18"/>
            <w:szCs w:val="18"/>
            <w:u w:val="single" w:color="auto"/>
            <w:color w:val="0000EE"/>
          </w:rPr>
          <w:t>“Credit Agreement”) by and between Scholastic Corporation and Scholastic Inc., the lenders from time to time party thereto, and Bank of</w:t>
        </w:r>
      </w:hyperlink>
      <w:r>
        <w:rPr>
          <w:rFonts w:ascii="Times New Roman" w:cs="Times New Roman" w:eastAsia="Times New Roman" w:hAnsi="Times New Roman"/>
          <w:sz w:val="18"/>
          <w:szCs w:val="18"/>
          <w:u w:val="single" w:color="auto"/>
          <w:color w:val="0000EE"/>
        </w:rPr>
        <w:t xml:space="preserve"> </w:t>
      </w:r>
      <w:hyperlink r:id="rId73">
        <w:r>
          <w:rPr>
            <w:rFonts w:ascii="Times New Roman" w:cs="Times New Roman" w:eastAsia="Times New Roman" w:hAnsi="Times New Roman"/>
            <w:sz w:val="18"/>
            <w:szCs w:val="18"/>
            <w:u w:val="single" w:color="auto"/>
            <w:color w:val="0000EE"/>
          </w:rPr>
          <w:t>America, N.A., as administrative agent (incorporated by reference to the February 28, 2023 10-Q).</w:t>
        </w:r>
      </w:hyperlink>
    </w:p>
    <w:p>
      <w:pPr>
        <w:spacing w:after="0" w:line="68" w:lineRule="exact"/>
        <w:rPr>
          <w:rFonts w:ascii="Times New Roman" w:cs="Times New Roman" w:eastAsia="Times New Roman" w:hAnsi="Times New Roman"/>
          <w:sz w:val="18"/>
          <w:szCs w:val="18"/>
          <w:u w:val="single" w:color="auto"/>
          <w:color w:val="0000EE"/>
        </w:rPr>
      </w:pPr>
    </w:p>
    <w:p>
      <w:pPr>
        <w:ind w:left="1024" w:hanging="1019"/>
        <w:spacing w:after="0" w:line="266" w:lineRule="auto"/>
        <w:tabs>
          <w:tab w:leader="none" w:pos="100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(d)(36)</w:t>
      </w:r>
      <w:r>
        <w:rPr>
          <w:sz w:val="20"/>
          <w:szCs w:val="20"/>
          <w:color w:val="auto"/>
        </w:rPr>
        <w:tab/>
      </w:r>
      <w:hyperlink r:id="rId74">
        <w:r>
          <w:rPr>
            <w:rFonts w:ascii="Times New Roman" w:cs="Times New Roman" w:eastAsia="Times New Roman" w:hAnsi="Times New Roman"/>
            <w:sz w:val="18"/>
            <w:szCs w:val="18"/>
            <w:u w:val="single" w:color="auto"/>
            <w:color w:val="0000EE"/>
          </w:rPr>
          <w:t>Third Amendment, dated as of November 26, 2024, to the Amended and Restated Credit Agreement dated as of October 27, 2021 (the</w:t>
        </w:r>
      </w:hyperlink>
      <w:r>
        <w:rPr>
          <w:rFonts w:ascii="Times New Roman" w:cs="Times New Roman" w:eastAsia="Times New Roman" w:hAnsi="Times New Roman"/>
          <w:sz w:val="18"/>
          <w:szCs w:val="18"/>
          <w:u w:val="single" w:color="auto"/>
          <w:color w:val="0000EE"/>
        </w:rPr>
        <w:t xml:space="preserve"> </w:t>
      </w:r>
      <w:hyperlink r:id="rId74">
        <w:r>
          <w:rPr>
            <w:rFonts w:ascii="Times New Roman" w:cs="Times New Roman" w:eastAsia="Times New Roman" w:hAnsi="Times New Roman"/>
            <w:sz w:val="18"/>
            <w:szCs w:val="18"/>
            <w:u w:val="single" w:color="auto"/>
            <w:color w:val="0000EE"/>
          </w:rPr>
          <w:t>“Credit Agreement”) by and between Scholastic Corporation and Scholastic Inc., the lenders from time to time party thereto, and Bank of</w:t>
        </w:r>
      </w:hyperlink>
      <w:r>
        <w:rPr>
          <w:rFonts w:ascii="Times New Roman" w:cs="Times New Roman" w:eastAsia="Times New Roman" w:hAnsi="Times New Roman"/>
          <w:sz w:val="18"/>
          <w:szCs w:val="18"/>
          <w:u w:val="single" w:color="auto"/>
          <w:color w:val="0000EE"/>
        </w:rPr>
        <w:t xml:space="preserve"> </w:t>
      </w:r>
      <w:hyperlink r:id="rId74">
        <w:r>
          <w:rPr>
            <w:rFonts w:ascii="Times New Roman" w:cs="Times New Roman" w:eastAsia="Times New Roman" w:hAnsi="Times New Roman"/>
            <w:sz w:val="18"/>
            <w:szCs w:val="18"/>
            <w:u w:val="single" w:color="auto"/>
            <w:color w:val="0000EE"/>
          </w:rPr>
          <w:t>America, N.A., as administrative agent (incorporated by reference to Form 8-K filed December 3, 2024).</w:t>
        </w:r>
      </w:hyperlink>
    </w:p>
    <w:p>
      <w:pPr>
        <w:spacing w:after="0" w:line="68" w:lineRule="exact"/>
        <w:rPr>
          <w:rFonts w:ascii="Times New Roman" w:cs="Times New Roman" w:eastAsia="Times New Roman" w:hAnsi="Times New Roman"/>
          <w:sz w:val="18"/>
          <w:szCs w:val="18"/>
          <w:u w:val="single" w:color="auto"/>
          <w:color w:val="0000EE"/>
        </w:rPr>
      </w:pPr>
    </w:p>
    <w:p>
      <w:pPr>
        <w:ind w:left="1024" w:right="240" w:hanging="1019"/>
        <w:spacing w:after="0" w:line="266" w:lineRule="auto"/>
        <w:tabs>
          <w:tab w:leader="none" w:pos="100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(d)(37)</w:t>
      </w:r>
      <w:r>
        <w:rPr>
          <w:sz w:val="20"/>
          <w:szCs w:val="20"/>
          <w:color w:val="auto"/>
        </w:rPr>
        <w:tab/>
      </w:r>
      <w:hyperlink r:id="rId75">
        <w:r>
          <w:rPr>
            <w:rFonts w:ascii="Times New Roman" w:cs="Times New Roman" w:eastAsia="Times New Roman" w:hAnsi="Times New Roman"/>
            <w:sz w:val="18"/>
            <w:szCs w:val="18"/>
            <w:u w:val="single" w:color="auto"/>
            <w:color w:val="0000EE"/>
          </w:rPr>
          <w:t>Letter Agreement dated January 29, 2026 between Peter Warwick and Scholastic Corporation (incorporated by reference to the</w:t>
        </w:r>
      </w:hyperlink>
      <w:r>
        <w:rPr>
          <w:rFonts w:ascii="Times New Roman" w:cs="Times New Roman" w:eastAsia="Times New Roman" w:hAnsi="Times New Roman"/>
          <w:sz w:val="18"/>
          <w:szCs w:val="18"/>
          <w:u w:val="single" w:color="auto"/>
          <w:color w:val="0000EE"/>
        </w:rPr>
        <w:t xml:space="preserve"> </w:t>
      </w:r>
      <w:hyperlink r:id="rId75">
        <w:r>
          <w:rPr>
            <w:rFonts w:ascii="Times New Roman" w:cs="Times New Roman" w:eastAsia="Times New Roman" w:hAnsi="Times New Roman"/>
            <w:sz w:val="18"/>
            <w:szCs w:val="18"/>
            <w:u w:val="single" w:color="auto"/>
            <w:color w:val="0000EE"/>
          </w:rPr>
          <w:t>Corporation’s Quarterly Report on Form 10-Q as filed with the SEC on March 20, 2026, SEC File No. 000-19860) (the “February 28,</w:t>
        </w:r>
      </w:hyperlink>
      <w:r>
        <w:rPr>
          <w:rFonts w:ascii="Times New Roman" w:cs="Times New Roman" w:eastAsia="Times New Roman" w:hAnsi="Times New Roman"/>
          <w:sz w:val="18"/>
          <w:szCs w:val="18"/>
          <w:u w:val="single" w:color="auto"/>
          <w:color w:val="0000EE"/>
        </w:rPr>
        <w:t xml:space="preserve"> </w:t>
      </w:r>
      <w:hyperlink r:id="rId75">
        <w:r>
          <w:rPr>
            <w:rFonts w:ascii="Times New Roman" w:cs="Times New Roman" w:eastAsia="Times New Roman" w:hAnsi="Times New Roman"/>
            <w:sz w:val="18"/>
            <w:szCs w:val="18"/>
            <w:u w:val="single" w:color="auto"/>
            <w:color w:val="0000EE"/>
          </w:rPr>
          <w:t>2026 10-Q”).</w:t>
        </w:r>
      </w:hyperlink>
    </w:p>
    <w:p>
      <w:pPr>
        <w:spacing w:after="0" w:line="68" w:lineRule="exact"/>
        <w:rPr>
          <w:rFonts w:ascii="Times New Roman" w:cs="Times New Roman" w:eastAsia="Times New Roman" w:hAnsi="Times New Roman"/>
          <w:sz w:val="18"/>
          <w:szCs w:val="18"/>
          <w:u w:val="single" w:color="auto"/>
          <w:color w:val="0000EE"/>
        </w:rPr>
      </w:pPr>
    </w:p>
    <w:p>
      <w:pPr>
        <w:ind w:left="1024" w:right="440" w:hanging="1019"/>
        <w:spacing w:after="0" w:line="282" w:lineRule="auto"/>
        <w:tabs>
          <w:tab w:leader="none" w:pos="1004"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(d)(38)</w:t>
      </w:r>
      <w:r>
        <w:rPr>
          <w:sz w:val="20"/>
          <w:szCs w:val="20"/>
          <w:color w:val="auto"/>
        </w:rPr>
        <w:tab/>
      </w:r>
      <w:hyperlink r:id="rId76">
        <w:r>
          <w:rPr>
            <w:rFonts w:ascii="Times New Roman" w:cs="Times New Roman" w:eastAsia="Times New Roman" w:hAnsi="Times New Roman"/>
            <w:sz w:val="18"/>
            <w:szCs w:val="18"/>
            <w:u w:val="single" w:color="auto"/>
            <w:color w:val="0000EE"/>
          </w:rPr>
          <w:t>Amendment dated January 9, 2026, to offer of employment letter, effective November 18, 2019, between Scholastic Inc. and Sasha</w:t>
        </w:r>
      </w:hyperlink>
      <w:r>
        <w:rPr>
          <w:rFonts w:ascii="Times New Roman" w:cs="Times New Roman" w:eastAsia="Times New Roman" w:hAnsi="Times New Roman"/>
          <w:sz w:val="18"/>
          <w:szCs w:val="18"/>
          <w:u w:val="single" w:color="auto"/>
          <w:color w:val="0000EE"/>
        </w:rPr>
        <w:t xml:space="preserve"> </w:t>
      </w:r>
      <w:hyperlink r:id="rId76">
        <w:r>
          <w:rPr>
            <w:rFonts w:ascii="Times New Roman" w:cs="Times New Roman" w:eastAsia="Times New Roman" w:hAnsi="Times New Roman"/>
            <w:sz w:val="18"/>
            <w:szCs w:val="18"/>
            <w:u w:val="single" w:color="auto"/>
            <w:color w:val="0000EE"/>
          </w:rPr>
          <w:t>Quinton (incorporated by reference to the February 28, 2026</w:t>
        </w:r>
        <w:r>
          <w:rPr>
            <w:rFonts w:ascii="Times New Roman" w:cs="Times New Roman" w:eastAsia="Times New Roman" w:hAnsi="Times New Roman"/>
            <w:sz w:val="18"/>
            <w:szCs w:val="18"/>
            <w:color w:val="0000EE"/>
          </w:rPr>
          <w:t xml:space="preserve"> 10-Q).</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3421380</wp:posOffset>
            </wp:positionH>
            <wp:positionV relativeFrom="paragraph">
              <wp:posOffset>-48260</wp:posOffset>
            </wp:positionV>
            <wp:extent cx="3581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7">
                      <a:extLst>
                        <a:ext uri="{28A0092B-C50C-407E-A947-70E740481C1C}"/>
                      </a:extLst>
                    </a:blip>
                    <a:srcRect/>
                    <a:stretch>
                      <a:fillRect/>
                    </a:stretch>
                  </pic:blipFill>
                  <pic:spPr bwMode="auto">
                    <a:xfrm>
                      <a:off x="0" y="0"/>
                      <a:ext cx="358140" cy="8255"/>
                    </a:xfrm>
                    <a:prstGeom prst="rect">
                      <a:avLst/>
                    </a:prstGeom>
                    <a:noFill/>
                  </pic:spPr>
                </pic:pic>
              </a:graphicData>
            </a:graphic>
          </wp:anchor>
        </w:drawing>
      </w:r>
    </w:p>
    <w:p>
      <w:pPr>
        <w:spacing w:after="0" w:line="34" w:lineRule="exact"/>
        <w:rPr>
          <w:sz w:val="20"/>
          <w:szCs w:val="20"/>
          <w:color w:val="auto"/>
        </w:rPr>
      </w:pPr>
    </w:p>
    <w:p>
      <w:pPr>
        <w:ind w:left="1024" w:hanging="1024"/>
        <w:spacing w:after="0"/>
        <w:tabs>
          <w:tab w:leader="none" w:pos="10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1024" w:hanging="1024"/>
        <w:spacing w:after="0"/>
        <w:tabs>
          <w:tab w:leader="none" w:pos="10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ind w:left="4"/>
        <w:spacing w:after="0"/>
        <w:tabs>
          <w:tab w:leader="none" w:pos="100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78">
        <w:r>
          <w:rPr>
            <w:rFonts w:ascii="Times New Roman" w:cs="Times New Roman" w:eastAsia="Times New Roman" w:hAnsi="Times New Roman"/>
            <w:sz w:val="18"/>
            <w:szCs w:val="18"/>
            <w:u w:val="single" w:color="auto"/>
            <w:color w:val="0000EE"/>
          </w:rPr>
          <w:t>Calculation of Filing Fees.</w:t>
        </w:r>
      </w:hyperlink>
    </w:p>
    <w:p>
      <w:pPr>
        <w:spacing w:after="0" w:line="252" w:lineRule="exact"/>
        <w:rPr>
          <w:sz w:val="20"/>
          <w:szCs w:val="20"/>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Schedule TO on March 23, 2026</w:t>
      </w:r>
    </w:p>
    <w:p>
      <w:pPr>
        <w:spacing w:after="0" w:line="351"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8"/>
          <w:szCs w:val="18"/>
          <w:b w:val="1"/>
          <w:bCs w:val="1"/>
          <w:color w:val="auto"/>
        </w:rPr>
        <w:t>Information Required by Schedule 13E-3.</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944"/>
          </w:cols>
          <w:pgMar w:left="436" w:top="270" w:right="519" w:bottom="1440" w:gutter="0" w:footer="0" w:header="0"/>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due inquiry and to the best knowledge and belief of the undersigned, the undersigned certifies that the information set forth in this statement is true, complete, and correct.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21, 2026</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SCHOLASTIC CORPORATION</w:t>
      </w:r>
    </w:p>
    <w:p>
      <w:pPr>
        <w:spacing w:after="0" w:line="20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/s/ Chris 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Chris Lick</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Title: Executive Vice President, General Counsel and Secretary</w:t>
      </w:r>
    </w:p>
    <w:p>
      <w:pPr>
        <w:sectPr>
          <w:pgSz w:w="11900" w:h="16838" w:orient="portrait"/>
          <w:cols w:equalWidth="0" w:num="1">
            <w:col w:w="10940"/>
          </w:cols>
          <w:pgMar w:left="440" w:top="266" w:right="51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(a)(8)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Scholastic Corporation Announces Preliminary Results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Modified Dutch Auction Tender Offer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expects to purchase 2,852,735 shares of common stock at $40.00 per share</w:t>
      </w:r>
    </w:p>
    <w:p>
      <w:pPr>
        <w:spacing w:after="0" w:line="225"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New York, NY – April 21, 2026 </w:t>
      </w:r>
      <w:r>
        <w:rPr>
          <w:rFonts w:ascii="Times New Roman" w:cs="Times New Roman" w:eastAsia="Times New Roman" w:hAnsi="Times New Roman"/>
          <w:sz w:val="18"/>
          <w:szCs w:val="18"/>
          <w:color w:val="auto"/>
        </w:rPr>
        <w:t>– Scholastic Corporation (the “Company” or “Scholastic”) (Nasdaq: SCHL), the global children’s publishing,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education and media company, announced today the preliminary results of its “modified Dutch auction” tender offer, which expired at 5:00 p.m., New York City time, on April 20, 2026.</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Based on the preliminary count by Computershare Trust Company, N.A., the depositary for the tender offer (the “Depositary”), a total of 2,852,735 shares of Scholastic’s common stock, par value $0.01 per share (each share of Scholastic’s common stock, a “Share,” and collectively, “Shares”), were properly tendered and not properly withdrawn at or below the purchase price of $40.00 per Share, including 1,008,060 shares that were tendered by notice of guaranteed delivery. Based on these preliminary results, Scholastic expects to purchase a total of 2,852,735 Shares, at a price of $40.00 per Share for a total cost of approximately $114,109,400 excluding fees and expenses relating to the tender offer.</w:t>
      </w:r>
    </w:p>
    <w:p>
      <w:pPr>
        <w:spacing w:after="0" w:line="18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number of Shares expected to be purchased by the Company and the total purchase price are preliminary and subject to change. The preliminary information contained in this press release is subject to confirmation by the Depositary and is based on the assumption that all Shares tendered through notice of guaranteed delivery will be delivered within the two-trading day settlement period. The final number of Shares to be purchased by the Company and the final total purchase price will be announced following the expiration of the guaranteed delivery period and completion by the Depositary of the confirmation process. Payment for the Shares accepted for purchase under the tender offer will occur promptly thereafter. The actual number of shares to be purchased will be announced following the completion of the confirmation process. Scholastic will fund the purchase of the shares in the tender offer using cash which will include drawings on its existing credit facility.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Scholastic expects to have approximately 17,896,740 Shares outstanding as of the time immediately following payment for the accepted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Scholastic expects that the number of outstanding Shares will have been reduced by approximately 13.7% as a result of the purchases in the tender offer.</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J.P. Morgan Securities LLC served as the dealer manager for the tender offer. Georgeson LLC served as the information agent. Holders of common stock who have questions or need information about the tender offer may call Georgeson LLC at (866) 539-9980 (toll free). Banks and brokers may call Georgeson at (866) 539-9980 or J.P. Morgan Securities LLC at (877) 371-5947 (toll free).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Scholastic</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For more than 100 years, Scholastic Corporation (Nasdaq: SCHL) has been meeting children where they are – at school, at home and in their communities – by creating quality content and experiences, all beginning with literacy. Scholastic delivers stories, characters, and learning moments that empower all kids to become lifelong readers and learners through bestselling children’s books, literacy- and knowledge-building resources for schools including classroom magazines, and award-winning, entertaining children’s media. As the world’s largest publisher and distributor of children’s books through school-based book clubs and book fairs, classroom libraries, school and public libraries, retail, and online, and with a global reach into more than 135 countries, Scholastic encourages the personal and intellectual growth of all children, while nurturing a lifelong relationship with reading, themselves, and the world around them. Learn more at </w:t>
      </w:r>
      <w:r>
        <w:rPr>
          <w:rFonts w:ascii="Times New Roman" w:cs="Times New Roman" w:eastAsia="Times New Roman" w:hAnsi="Times New Roman"/>
          <w:sz w:val="18"/>
          <w:szCs w:val="18"/>
          <w:u w:val="single" w:color="auto"/>
          <w:color w:val="auto"/>
        </w:rPr>
        <w:t>www.scholastic.com</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This news release contains certain forward-looking statements. Such forward-looking statements are subject to various risks and uncertainties, including the conditions of the children’s book and educational materials markets generally and acceptance of the Company’s products within those markets, and other risks and factors identified from time to time in the Company’s filings with the Securities and Exchange Commission. Actual results could differ materially from those currently anticipated.</w:t>
      </w:r>
    </w:p>
    <w:p>
      <w:pPr>
        <w:sectPr>
          <w:pgSz w:w="11900" w:h="16838" w:orient="portrait"/>
          <w:cols w:equalWidth="0" w:num="1">
            <w:col w:w="11020"/>
          </w:cols>
          <w:pgMar w:left="440" w:top="117"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SCHL: Financial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Contact: </w:t>
      </w:r>
      <w:r>
        <w:rPr>
          <w:rFonts w:ascii="Times New Roman" w:cs="Times New Roman" w:eastAsia="Times New Roman" w:hAnsi="Times New Roman"/>
          <w:sz w:val="18"/>
          <w:szCs w:val="18"/>
          <w:color w:val="auto"/>
        </w:rPr>
        <w:t>Scholastic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Investors: Mary Garofalo, (212) 343-6741, </w:t>
      </w:r>
      <w:r>
        <w:rPr>
          <w:rFonts w:ascii="Times New Roman" w:cs="Times New Roman" w:eastAsia="Times New Roman" w:hAnsi="Times New Roman"/>
          <w:sz w:val="17"/>
          <w:szCs w:val="17"/>
          <w:u w:val="single" w:color="auto"/>
          <w:color w:val="auto"/>
        </w:rPr>
        <w:t>investor_relations@scholastic.com</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Media: Anne Sparkman, (212) 343-6657, </w:t>
      </w:r>
      <w:r>
        <w:rPr>
          <w:rFonts w:ascii="Times New Roman" w:cs="Times New Roman" w:eastAsia="Times New Roman" w:hAnsi="Times New Roman"/>
          <w:sz w:val="18"/>
          <w:szCs w:val="18"/>
          <w:u w:val="single" w:color="auto"/>
          <w:color w:val="auto"/>
        </w:rPr>
        <w:t>asparkman@scholastic.com</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4"/>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7"/>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8" Type="http://schemas.openxmlformats.org/officeDocument/2006/relationships/image" Target="media/image10.png"/><Relationship Id="rId55" Type="http://schemas.openxmlformats.org/officeDocument/2006/relationships/image" Target="media/image11.png"/><Relationship Id="rId56" Type="http://schemas.openxmlformats.org/officeDocument/2006/relationships/image" Target="media/image12.png"/><Relationship Id="rId72" Type="http://schemas.openxmlformats.org/officeDocument/2006/relationships/image" Target="media/image13.png"/><Relationship Id="rId77" Type="http://schemas.openxmlformats.org/officeDocument/2006/relationships/image" Target="media/image14.png"/><Relationship Id="rId79" Type="http://schemas.openxmlformats.org/officeDocument/2006/relationships/image" Target="media/image15.png"/><Relationship Id="rId80" Type="http://schemas.openxmlformats.org/officeDocument/2006/relationships/image" Target="media/image16.png"/><Relationship Id="rId81" Type="http://schemas.openxmlformats.org/officeDocument/2006/relationships/image" Target="media/image17.png"/><Relationship Id="rId17" Type="http://schemas.openxmlformats.org/officeDocument/2006/relationships/hyperlink" Target="http://www.sec.gov/Archives/edgar/data/0000866729/000119312526118703/d110281dex99a1a.htm" TargetMode="External"/><Relationship Id="rId18" Type="http://schemas.openxmlformats.org/officeDocument/2006/relationships/hyperlink" Target="http://www.sec.gov/Archives/edgar/data/0000866729/000119312526118703/d110281dex99a1b.htm" TargetMode="External"/><Relationship Id="rId19" Type="http://schemas.openxmlformats.org/officeDocument/2006/relationships/hyperlink" Target="http://www.sec.gov/Archives/edgar/data/0000866729/000119312526118703/d110281dex99a1c.htm" TargetMode="External"/><Relationship Id="rId20" Type="http://schemas.openxmlformats.org/officeDocument/2006/relationships/hyperlink" Target="http://www.sec.gov/Archives/edgar/data/0000866729/000119312526118703/d110281dex99a1d.htm" TargetMode="External"/><Relationship Id="rId21" Type="http://schemas.openxmlformats.org/officeDocument/2006/relationships/hyperlink" Target="http://www.sec.gov/Archives/edgar/data/0000866729/000119312526118703/d110281dex99a1e.htm" TargetMode="External"/><Relationship Id="rId22" Type="http://schemas.openxmlformats.org/officeDocument/2006/relationships/hyperlink" Target="http://www.sec.gov/Archives/edgar/data/0000866729/000119312526118703/d110281dex99a1f.htm" TargetMode="External"/><Relationship Id="rId23" Type="http://schemas.openxmlformats.org/officeDocument/2006/relationships/hyperlink" Target="http://www.sec.gov/Archives/edgar/data/0000866729/000119312526118703/d110281dex99a1g.htm" TargetMode="External"/><Relationship Id="rId24" Type="http://schemas.openxmlformats.org/officeDocument/2006/relationships/hyperlink" Target="http://www.sec.gov/Archives/edgar/data/866729/000119312526118703/d110281dex99a1h.htm" TargetMode="External"/><Relationship Id="rId25" Type="http://schemas.openxmlformats.org/officeDocument/2006/relationships/hyperlink" Target="http://www.sec.gov/Archives/edgar/data/866729/000086672926000005/exhibit991.htm" TargetMode="External"/><Relationship Id="rId26" Type="http://schemas.openxmlformats.org/officeDocument/2006/relationships/hyperlink" Target="http://www.sec.gov/Archives/edgar/data/866729/000119312526118703/d110281dex99a6.htm" TargetMode="External"/><Relationship Id="rId27" Type="http://schemas.openxmlformats.org/officeDocument/2006/relationships/hyperlink" Target="http://www.sec.gov/Archives/edgar/data/866729/000086672926000007/fy26q3pressrelease.htm" TargetMode="External"/><Relationship Id="rId29" Type="http://schemas.openxmlformats.org/officeDocument/2006/relationships/hyperlink" Target="http://www.sec.gov/Archives/edgar/data/866729/000093041309003936/c58316_ex10-2.htm" TargetMode="External"/><Relationship Id="rId30" Type="http://schemas.openxmlformats.org/officeDocument/2006/relationships/hyperlink" Target="http://www.sec.gov/Archives/edgar/data/866729/000093041311005233/c66461_def14a.htm#c66461a038_v1" TargetMode="External"/><Relationship Id="rId31" Type="http://schemas.openxmlformats.org/officeDocument/2006/relationships/hyperlink" Target="http://www.sec.gov/Archives/edgar/data/866729/000093041309003936/c58316_ex10-4.htm" TargetMode="External"/><Relationship Id="rId32" Type="http://schemas.openxmlformats.org/officeDocument/2006/relationships/hyperlink" Target="http://www.sec.gov/Archives/edgar/data/866729/000093041309003936/c58316_ex10-5.htm" TargetMode="External"/><Relationship Id="rId33" Type="http://schemas.openxmlformats.org/officeDocument/2006/relationships/hyperlink" Target="http://www.sec.gov/Archives/edgar/data/866729/000093041313003986/c73994_ex10-5.htm" TargetMode="External"/><Relationship Id="rId34" Type="http://schemas.openxmlformats.org/officeDocument/2006/relationships/hyperlink" Target="http://www.sec.gov/Archives/edgar/data/866729/000086672915000020/amendmentno2totheamendedan.htm" TargetMode="External"/><Relationship Id="rId35" Type="http://schemas.openxmlformats.org/officeDocument/2006/relationships/hyperlink" Target="http://www.sec.gov/Archives/edgar/data/866729/000093041308000194/c51891_exh10-2.htm" TargetMode="External"/><Relationship Id="rId36" Type="http://schemas.openxmlformats.org/officeDocument/2006/relationships/hyperlink" Target="http://www.sec.gov/Archives/edgar/data/866729/000093041313000037/c72006_ex10-2.htm" TargetMode="External"/><Relationship Id="rId37" Type="http://schemas.openxmlformats.org/officeDocument/2006/relationships/hyperlink" Target="http://www.sec.gov/Archives/edgar/data/866729/000093041313000037/c72006_ex10-3.htm" TargetMode="External"/><Relationship Id="rId38" Type="http://schemas.openxmlformats.org/officeDocument/2006/relationships/hyperlink" Target="http://www.sec.gov/Archives/edgar/data/866729/000093041311008064/c67872_ex10-1.htm" TargetMode="External"/><Relationship Id="rId39" Type="http://schemas.openxmlformats.org/officeDocument/2006/relationships/hyperlink" Target="http://www.sec.gov/Archives/edgar/data/866729/000093041313003986/c73994_ex10-15.htm" TargetMode="External"/><Relationship Id="rId40" Type="http://schemas.openxmlformats.org/officeDocument/2006/relationships/hyperlink" Target="http://www.sec.gov/Archives/edgar/data/866729/000086672914000014/exhibit101amendmentno2toth.htm" TargetMode="External"/><Relationship Id="rId41" Type="http://schemas.openxmlformats.org/officeDocument/2006/relationships/hyperlink" Target="http://www.sec.gov/Archives/edgar/data/866729/000086672918000017/schl-ex1017amendmentnumber.htm" TargetMode="External"/><Relationship Id="rId42" Type="http://schemas.openxmlformats.org/officeDocument/2006/relationships/hyperlink" Target="http://www.sec.gov/Archives/edgar/data/866729/000093041311008064/c67872_ex10-3.htm" TargetMode="External"/><Relationship Id="rId43" Type="http://schemas.openxmlformats.org/officeDocument/2006/relationships/hyperlink" Target="http://www.sec.gov/Archives/edgar/data/866729/000093041311008064/c67872_ex10-2.htm" TargetMode="External"/><Relationship Id="rId44" Type="http://schemas.openxmlformats.org/officeDocument/2006/relationships/hyperlink" Target="http://www.sec.gov/Archives/edgar/data/0000866729/000086672924000018/exhibit1012.htm" TargetMode="External"/><Relationship Id="rId45" Type="http://schemas.openxmlformats.org/officeDocument/2006/relationships/hyperlink" Target="http://www.sec.gov/Archives/edgar/data/866729/000086672917000012/schl-ex102_stockoptionagre.htm" TargetMode="External"/><Relationship Id="rId46" Type="http://schemas.openxmlformats.org/officeDocument/2006/relationships/hyperlink" Target="http://www.sec.gov/Archives/edgar/data/866729/000086672923000045/schl-ex102_20231130xq2.htm" TargetMode="External"/><Relationship Id="rId47" Type="http://schemas.openxmlformats.org/officeDocument/2006/relationships/hyperlink" Target="http://www.sec.gov/Archives/edgar/data/866729/000086672922000024/exhibit101_20220831.htm" TargetMode="External"/><Relationship Id="rId48" Type="http://schemas.openxmlformats.org/officeDocument/2006/relationships/hyperlink" Target="http://www.sec.gov/Archives/edgar/data/866729/000086672921000026/schl-ex103_20211130xq2.htm" TargetMode="External"/><Relationship Id="rId49" Type="http://schemas.openxmlformats.org/officeDocument/2006/relationships/hyperlink" Target="http://www.sec.gov/Archives/edgar/data/866729/000086672921000026/schl-ex104_20211130xq2.htm" TargetMode="External"/><Relationship Id="rId50" Type="http://schemas.openxmlformats.org/officeDocument/2006/relationships/hyperlink" Target="http://www.sec.gov/Archives/edgar/data/866729/000086672924000034/schl-ex103_20241130xq2.htm" TargetMode="External"/><Relationship Id="rId51" Type="http://schemas.openxmlformats.org/officeDocument/2006/relationships/hyperlink" Target="http://www.sec.gov/Archives/edgar/data/866729/000086672922000024/exhibit102_20220831.htm" TargetMode="External"/><Relationship Id="rId52" Type="http://schemas.openxmlformats.org/officeDocument/2006/relationships/hyperlink" Target="http://www.sec.gov/Archives/edgar/data/866729/000086672921000026/schl-ex106_20211130xq2.htm" TargetMode="External"/><Relationship Id="rId53" Type="http://schemas.openxmlformats.org/officeDocument/2006/relationships/hyperlink" Target="http://www.sec.gov/Archives/edgar/data/866729/000086672921000026/schl-ex107_20211130xq2.htm" TargetMode="External"/><Relationship Id="rId54" Type="http://schemas.openxmlformats.org/officeDocument/2006/relationships/hyperlink" Target="http://www.sec.gov/Archives/edgar/data/866729/000086672921000026/schl-ex108_20211130xq2.htm" TargetMode="External"/><Relationship Id="rId57" Type="http://schemas.openxmlformats.org/officeDocument/2006/relationships/hyperlink" Target="http://www.sec.gov/Archives/edgar/data/866729/000086672922000010/schl-ex101_2022228xq3.htm" TargetMode="External"/><Relationship Id="rId58" Type="http://schemas.openxmlformats.org/officeDocument/2006/relationships/hyperlink" Target="http://www.sec.gov/Archives/edgar/data/866729/000086672922000024/exhibit103_20220831.htm" TargetMode="External"/><Relationship Id="rId59" Type="http://schemas.openxmlformats.org/officeDocument/2006/relationships/hyperlink" Target="http://www.sec.gov/Archives/edgar/data/866729/000086672923000045/schl-ex101_20231130xq2.htm" TargetMode="External"/><Relationship Id="rId60" Type="http://schemas.openxmlformats.org/officeDocument/2006/relationships/hyperlink" Target="http://www.sec.gov/Archives/edgar/data/866729/000086672923000037/exhibit101-kencleary.htm" TargetMode="External"/><Relationship Id="rId61" Type="http://schemas.openxmlformats.org/officeDocument/2006/relationships/hyperlink" Target="http://www.sec.gov/Archives/edgar/data/866729/000086672923000038/exhibit101-peterwarwick.htm" TargetMode="External"/><Relationship Id="rId62" Type="http://schemas.openxmlformats.org/officeDocument/2006/relationships/hyperlink" Target="http://www.sec.gov/Archives/edgar/data/0000866729/000119312524015415/d873162dex101.htm" TargetMode="External"/><Relationship Id="rId63" Type="http://schemas.openxmlformats.org/officeDocument/2006/relationships/hyperlink" Target="http://www.sec.gov/Archives/edgar/data/866729/000119312524003942/d14544dex101.htm" TargetMode="External"/><Relationship Id="rId64" Type="http://schemas.openxmlformats.org/officeDocument/2006/relationships/hyperlink" Target="http://www.sec.gov/Archives/edgar/data/0000866729/000086672924000018/exhibit1031-sharerepurchas.htm" TargetMode="External"/><Relationship Id="rId65" Type="http://schemas.openxmlformats.org/officeDocument/2006/relationships/hyperlink" Target="http://www.sec.gov/Archives/edgar/data/866729/000086672924000034/schl-ex101_20241130xq2.htm" TargetMode="External"/><Relationship Id="rId66" Type="http://schemas.openxmlformats.org/officeDocument/2006/relationships/hyperlink" Target="http://www.sec.gov/Archives/edgar/data/866729/000086672924000034/schl-ex102_20241130xq2.htm" TargetMode="External"/><Relationship Id="rId67" Type="http://schemas.openxmlformats.org/officeDocument/2006/relationships/hyperlink" Target="http://www.sec.gov/Archives/edgar/data/866729/000086672924000034/schl-ex104_20241130xq2.htm" TargetMode="External"/><Relationship Id="rId68" Type="http://schemas.openxmlformats.org/officeDocument/2006/relationships/hyperlink" Target="http://www.sec.gov/Archives/edgar/data/866729/000086672924000034/schl-ex105_20241130xq2.htm" TargetMode="External"/><Relationship Id="rId69" Type="http://schemas.openxmlformats.org/officeDocument/2006/relationships/hyperlink" Target="http://www.sec.gov/Archives/edgar/data/866729/000086672925000012/schl-ex101_20250228xq3.htm" TargetMode="External"/><Relationship Id="rId70" Type="http://schemas.openxmlformats.org/officeDocument/2006/relationships/hyperlink" Target="http://www.sec.gov/Archives/edgar/data/866729/000086672923000010/schl-ex101_20230228xq3.htm" TargetMode="External"/><Relationship Id="rId71" Type="http://schemas.openxmlformats.org/officeDocument/2006/relationships/hyperlink" Target="http://www.sec.gov/Archives/edgar/data/866729/000086672923000010/schl-ex102_20230228xq3.htm" TargetMode="External"/><Relationship Id="rId73" Type="http://schemas.openxmlformats.org/officeDocument/2006/relationships/hyperlink" Target="http://www.sec.gov/Archives/edgar/data/866729/000086672923000010/schl-ex103_20230228xq3.htm" TargetMode="External"/><Relationship Id="rId74" Type="http://schemas.openxmlformats.org/officeDocument/2006/relationships/hyperlink" Target="http://www.sec.gov/ix?doc=/Archives/edgar/data/0000866729/000119312524270026/d916617d8k.htm" TargetMode="External"/><Relationship Id="rId75" Type="http://schemas.openxmlformats.org/officeDocument/2006/relationships/hyperlink" Target="http://www.sec.gov/Archives/edgar/data/866729/000086672926000011/schl-ex105xq3.htm" TargetMode="External"/><Relationship Id="rId76" Type="http://schemas.openxmlformats.org/officeDocument/2006/relationships/hyperlink" Target="http://www.sec.gov/Archives/edgar/data/866729/000086672926000011/schl-ex106xq3.htm" TargetMode="External"/><Relationship Id="rId78" Type="http://schemas.openxmlformats.org/officeDocument/2006/relationships/hyperlink" Target="http://www.sec.gov/ix?doc=/Archives/edgar/data/866729/000119312526118703/d110281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2026-04-21T15:05:58Z</dcterms:created>
  <dcterms:modified xsi:type="dcterms:W3CDTF">2026-04-21T15:05:58Z</dcterms:modified>
</cp:coreProperties>
</file>