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spacing w:after="0"/>
        <w:tabs>
          <w:tab w:leader="none" w:pos="8980" w:val="left"/>
        </w:tabs>
        <w:rPr>
          <w:sz w:val="20"/>
          <w:szCs w:val="20"/>
          <w:color w:val="auto"/>
        </w:rPr>
      </w:pPr>
      <w:r>
        <w:rPr>
          <w:rFonts w:ascii="Arial" w:cs="Arial" w:eastAsia="Arial" w:hAnsi="Arial"/>
          <w:sz w:val="18"/>
          <w:szCs w:val="18"/>
          <w:b w:val="1"/>
          <w:bCs w:val="1"/>
          <w:color w:val="auto"/>
        </w:rPr>
        <w:t>For the quarterly period ended November 30, 2004</w:t>
      </w:r>
      <w:r>
        <w:rPr>
          <w:sz w:val="20"/>
          <w:szCs w:val="20"/>
          <w:color w:val="auto"/>
        </w:rPr>
        <w:tab/>
      </w:r>
      <w:r>
        <w:rPr>
          <w:rFonts w:ascii="Arial" w:cs="Arial" w:eastAsia="Arial" w:hAnsi="Arial"/>
          <w:sz w:val="16"/>
          <w:szCs w:val="16"/>
          <w:b w:val="1"/>
          <w:bCs w:val="1"/>
          <w:color w:val="auto"/>
        </w:rPr>
        <w:t>Commission File No. 000-19860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SCHOLASTIC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730"/>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444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4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4060" w:type="dxa"/>
            <w:vAlign w:val="bottom"/>
          </w:tcPr>
          <w:p>
            <w:pPr>
              <w:spacing w:after="0"/>
              <w:rPr>
                <w:sz w:val="20"/>
                <w:szCs w:val="20"/>
                <w:color w:val="auto"/>
              </w:rPr>
            </w:pPr>
          </w:p>
        </w:tc>
      </w:tr>
      <w:tr>
        <w:trPr>
          <w:trHeight w:val="418"/>
        </w:trPr>
        <w:tc>
          <w:tcPr>
            <w:tcW w:w="44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557 Broadway, New York, New York</w:t>
            </w:r>
          </w:p>
        </w:tc>
        <w:tc>
          <w:tcPr>
            <w:tcW w:w="4060" w:type="dxa"/>
            <w:vAlign w:val="bottom"/>
          </w:tcPr>
          <w:p>
            <w:pPr>
              <w:jc w:val="right"/>
              <w:ind w:right="930"/>
              <w:spacing w:after="0"/>
              <w:rPr>
                <w:sz w:val="20"/>
                <w:szCs w:val="20"/>
                <w:color w:val="auto"/>
              </w:rPr>
            </w:pPr>
            <w:r>
              <w:rPr>
                <w:rFonts w:ascii="Arial" w:cs="Arial" w:eastAsia="Arial" w:hAnsi="Arial"/>
                <w:sz w:val="18"/>
                <w:szCs w:val="18"/>
                <w:b w:val="1"/>
                <w:bCs w:val="1"/>
                <w:color w:val="auto"/>
              </w:rPr>
              <w:t>10012</w:t>
            </w:r>
          </w:p>
        </w:tc>
      </w:tr>
      <w:tr>
        <w:trPr>
          <w:trHeight w:val="230"/>
        </w:trPr>
        <w:tc>
          <w:tcPr>
            <w:tcW w:w="444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343-6100</w:t>
      </w:r>
    </w:p>
    <w:p>
      <w:pPr>
        <w:spacing w:after="0" w:line="229" w:lineRule="exact"/>
        <w:rPr>
          <w:sz w:val="24"/>
          <w:szCs w:val="24"/>
          <w:color w:val="auto"/>
        </w:rPr>
      </w:pPr>
    </w:p>
    <w:p>
      <w:pPr>
        <w:ind w:right="4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20" w:type="dxa"/>
            <w:vAlign w:val="bottom"/>
            <w:gridSpan w:val="2"/>
          </w:tcPr>
          <w:p>
            <w:pPr>
              <w:ind w:left="1340"/>
              <w:spacing w:after="0"/>
              <w:rPr>
                <w:sz w:val="20"/>
                <w:szCs w:val="20"/>
                <w:color w:val="auto"/>
              </w:rPr>
            </w:pPr>
            <w:r>
              <w:rPr>
                <w:rFonts w:ascii="Arial" w:cs="Arial" w:eastAsia="Arial" w:hAnsi="Arial"/>
                <w:sz w:val="14"/>
                <w:szCs w:val="14"/>
                <w:b w:val="1"/>
                <w:bCs w:val="1"/>
                <w:color w:val="auto"/>
              </w:rPr>
              <w:t>Title</w:t>
            </w:r>
          </w:p>
        </w:tc>
        <w:tc>
          <w:tcPr>
            <w:tcW w:w="6000" w:type="dxa"/>
            <w:vAlign w:val="bottom"/>
            <w:gridSpan w:val="2"/>
          </w:tcPr>
          <w:p>
            <w:pPr>
              <w:ind w:left="900"/>
              <w:spacing w:after="0"/>
              <w:rPr>
                <w:sz w:val="20"/>
                <w:szCs w:val="20"/>
                <w:color w:val="auto"/>
              </w:rPr>
            </w:pPr>
            <w:r>
              <w:rPr>
                <w:rFonts w:ascii="Arial" w:cs="Arial" w:eastAsia="Arial" w:hAnsi="Arial"/>
                <w:sz w:val="14"/>
                <w:szCs w:val="14"/>
                <w:b w:val="1"/>
                <w:bCs w:val="1"/>
                <w:color w:val="auto"/>
              </w:rPr>
              <w:t>Number of shares outstanding</w:t>
            </w:r>
          </w:p>
        </w:tc>
        <w:tc>
          <w:tcPr>
            <w:tcW w:w="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of each class</w:t>
            </w:r>
          </w:p>
        </w:tc>
        <w:tc>
          <w:tcPr>
            <w:tcW w:w="140" w:type="dxa"/>
            <w:vAlign w:val="bottom"/>
          </w:tcPr>
          <w:p>
            <w:pPr>
              <w:spacing w:after="0"/>
              <w:rPr>
                <w:sz w:val="14"/>
                <w:szCs w:val="14"/>
                <w:color w:val="auto"/>
              </w:rPr>
            </w:pPr>
          </w:p>
        </w:tc>
        <w:tc>
          <w:tcPr>
            <w:tcW w:w="366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as of December 31, 2004</w:t>
            </w: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5420" w:type="dxa"/>
            <w:vAlign w:val="bottom"/>
            <w:gridSpan w:val="3"/>
          </w:tcPr>
          <w:p>
            <w:pPr>
              <w:ind w:left="2300"/>
              <w:spacing w:after="0"/>
              <w:rPr>
                <w:sz w:val="20"/>
                <w:szCs w:val="20"/>
                <w:color w:val="auto"/>
              </w:rPr>
            </w:pPr>
            <w:r>
              <w:rPr>
                <w:rFonts w:ascii="Arial" w:cs="Arial" w:eastAsia="Arial" w:hAnsi="Arial"/>
                <w:sz w:val="18"/>
                <w:szCs w:val="18"/>
                <w:color w:val="auto"/>
              </w:rPr>
              <w:t>Common Stock, $.01 par value</w:t>
            </w:r>
          </w:p>
        </w:tc>
        <w:tc>
          <w:tcPr>
            <w:tcW w:w="6000" w:type="dxa"/>
            <w:vAlign w:val="bottom"/>
            <w:gridSpan w:val="2"/>
          </w:tcPr>
          <w:p>
            <w:pPr>
              <w:jc w:val="right"/>
              <w:ind w:right="2340"/>
              <w:spacing w:after="0"/>
              <w:rPr>
                <w:sz w:val="20"/>
                <w:szCs w:val="20"/>
                <w:color w:val="auto"/>
              </w:rPr>
            </w:pPr>
            <w:r>
              <w:rPr>
                <w:rFonts w:ascii="Arial" w:cs="Arial" w:eastAsia="Arial" w:hAnsi="Arial"/>
                <w:sz w:val="18"/>
                <w:szCs w:val="18"/>
                <w:color w:val="auto"/>
              </w:rPr>
              <w:t>38,366,514</w:t>
            </w:r>
          </w:p>
        </w:tc>
        <w:tc>
          <w:tcPr>
            <w:tcW w:w="20" w:type="dxa"/>
            <w:vAlign w:val="bottom"/>
          </w:tcPr>
          <w:p>
            <w:pPr>
              <w:spacing w:after="0"/>
              <w:rPr>
                <w:sz w:val="24"/>
                <w:szCs w:val="24"/>
                <w:color w:val="auto"/>
              </w:rPr>
            </w:pPr>
          </w:p>
        </w:tc>
      </w:tr>
      <w:tr>
        <w:trPr>
          <w:trHeight w:val="230"/>
        </w:trPr>
        <w:tc>
          <w:tcPr>
            <w:tcW w:w="5420" w:type="dxa"/>
            <w:vAlign w:val="bottom"/>
            <w:gridSpan w:val="3"/>
          </w:tcPr>
          <w:p>
            <w:pPr>
              <w:ind w:left="2300"/>
              <w:spacing w:after="0"/>
              <w:rPr>
                <w:sz w:val="20"/>
                <w:szCs w:val="20"/>
                <w:color w:val="auto"/>
              </w:rPr>
            </w:pPr>
            <w:r>
              <w:rPr>
                <w:rFonts w:ascii="Arial" w:cs="Arial" w:eastAsia="Arial" w:hAnsi="Arial"/>
                <w:sz w:val="18"/>
                <w:szCs w:val="18"/>
                <w:color w:val="auto"/>
              </w:rPr>
              <w:t>Class A Stock, $.01 par value</w:t>
            </w:r>
          </w:p>
        </w:tc>
        <w:tc>
          <w:tcPr>
            <w:tcW w:w="3660" w:type="dxa"/>
            <w:vAlign w:val="bottom"/>
          </w:tcPr>
          <w:p>
            <w:pPr>
              <w:jc w:val="right"/>
              <w:spacing w:after="0"/>
              <w:rPr>
                <w:sz w:val="20"/>
                <w:szCs w:val="20"/>
                <w:color w:val="auto"/>
              </w:rPr>
            </w:pPr>
            <w:r>
              <w:rPr>
                <w:rFonts w:ascii="Arial" w:cs="Arial" w:eastAsia="Arial" w:hAnsi="Arial"/>
                <w:sz w:val="18"/>
                <w:szCs w:val="18"/>
                <w:color w:val="auto"/>
              </w:rPr>
              <w:t>1,656,200</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23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23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2004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1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20" w:type="dxa"/>
            <w:vAlign w:val="bottom"/>
            <w:gridSpan w:val="4"/>
            <w:vMerge w:val="restart"/>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 Financial Information</w:t>
              </w:r>
            </w:hyperlink>
          </w:p>
        </w:tc>
        <w:tc>
          <w:tcPr>
            <w:tcW w:w="7920" w:type="dxa"/>
            <w:vAlign w:val="bottom"/>
            <w:gridSpan w:val="9"/>
            <w:vMerge w:val="restart"/>
          </w:tcPr>
          <w:p>
            <w:pPr>
              <w:spacing w:after="0"/>
              <w:rPr>
                <w:sz w:val="20"/>
                <w:szCs w:val="20"/>
                <w:color w:val="auto"/>
              </w:rPr>
            </w:pPr>
          </w:p>
        </w:tc>
        <w:tc>
          <w:tcPr>
            <w:tcW w:w="11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0000EE"/>
            </w:tcBorders>
            <w:gridSpan w:val="4"/>
            <w:vMerge w:val="continue"/>
          </w:tcPr>
          <w:p>
            <w:pPr>
              <w:spacing w:after="0"/>
              <w:rPr>
                <w:sz w:val="13"/>
                <w:szCs w:val="13"/>
                <w:color w:val="auto"/>
              </w:rPr>
            </w:pPr>
          </w:p>
        </w:tc>
        <w:tc>
          <w:tcPr>
            <w:tcW w:w="7920" w:type="dxa"/>
            <w:vAlign w:val="bottom"/>
            <w:gridSpan w:val="9"/>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Item 1.</w:t>
              </w:r>
            </w:hyperlink>
          </w:p>
        </w:tc>
        <w:tc>
          <w:tcPr>
            <w:tcW w:w="8840" w:type="dxa"/>
            <w:vAlign w:val="bottom"/>
            <w:gridSpan w:val="11"/>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0"/>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Operations for the Three and Six Months Ended November 30, 2004 and 2003</w:t>
              </w:r>
            </w:hyperlink>
          </w:p>
        </w:tc>
        <w:tc>
          <w:tcPr>
            <w:tcW w:w="620" w:type="dxa"/>
            <w:vAlign w:val="bottom"/>
            <w:gridSpan w:val="2"/>
          </w:tcPr>
          <w:p>
            <w:pPr>
              <w:jc w:val="center"/>
              <w:ind w:left="45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7"/>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at November 30, 2004 and 2003, and May 31, 2004</w:t>
              </w:r>
            </w:hyperlink>
          </w:p>
        </w:tc>
        <w:tc>
          <w:tcPr>
            <w:tcW w:w="18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center"/>
              <w:ind w:left="45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2</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Cash Flows for the Six Months Ended November 30, 2004 and 2003</w:t>
              </w:r>
            </w:hyperlink>
          </w:p>
        </w:tc>
        <w:tc>
          <w:tcPr>
            <w:tcW w:w="620" w:type="dxa"/>
            <w:vAlign w:val="bottom"/>
            <w:gridSpan w:val="2"/>
          </w:tcPr>
          <w:p>
            <w:pPr>
              <w:jc w:val="center"/>
              <w:ind w:left="4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2960" w:type="dxa"/>
            <w:vAlign w:val="bottom"/>
            <w:gridSpan w:val="4"/>
          </w:tcPr>
          <w:p>
            <w:pPr>
              <w:spacing w:after="0"/>
              <w:rPr>
                <w:sz w:val="24"/>
                <w:szCs w:val="24"/>
                <w:color w:val="auto"/>
              </w:rPr>
            </w:pPr>
          </w:p>
        </w:tc>
        <w:tc>
          <w:tcPr>
            <w:tcW w:w="1660" w:type="dxa"/>
            <w:vAlign w:val="bottom"/>
            <w:gridSpan w:val="2"/>
          </w:tcPr>
          <w:p>
            <w:pPr>
              <w:spacing w:after="0"/>
              <w:rPr>
                <w:sz w:val="24"/>
                <w:szCs w:val="24"/>
                <w:color w:val="auto"/>
              </w:rPr>
            </w:pPr>
          </w:p>
        </w:tc>
        <w:tc>
          <w:tcPr>
            <w:tcW w:w="620" w:type="dxa"/>
            <w:vAlign w:val="bottom"/>
            <w:gridSpan w:val="2"/>
          </w:tcPr>
          <w:p>
            <w:pPr>
              <w:jc w:val="center"/>
              <w:ind w:left="45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r:id="rId12">
              <w:r>
                <w:rPr>
                  <w:rFonts w:ascii="Arial" w:cs="Arial" w:eastAsia="Arial" w:hAnsi="Arial"/>
                  <w:sz w:val="18"/>
                  <w:szCs w:val="18"/>
                  <w:color w:val="0000EE"/>
                  <w:w w:val="94"/>
                </w:rPr>
                <w:t>Item 2.</w:t>
              </w:r>
            </w:hyperlink>
          </w:p>
        </w:tc>
        <w:tc>
          <w:tcPr>
            <w:tcW w:w="6480" w:type="dxa"/>
            <w:vAlign w:val="bottom"/>
            <w:gridSpan w:val="7"/>
          </w:tcPr>
          <w:p>
            <w:pPr>
              <w:ind w:left="20"/>
              <w:spacing w:after="0"/>
              <w:rPr>
                <w:rFonts w:ascii="Arial" w:cs="Arial" w:eastAsia="Arial" w:hAnsi="Arial"/>
                <w:sz w:val="18"/>
                <w:szCs w:val="18"/>
                <w:color w:val="0000EE"/>
                <w:w w:val="90"/>
              </w:rPr>
            </w:pPr>
            <w:hyperlink r:id="rId12">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gridSpan w:val="2"/>
          </w:tcPr>
          <w:p>
            <w:pPr>
              <w:jc w:val="center"/>
              <w:ind w:right="500"/>
              <w:spacing w:after="0"/>
              <w:rPr>
                <w:rFonts w:ascii="Arial" w:cs="Arial" w:eastAsia="Arial" w:hAnsi="Arial"/>
                <w:sz w:val="15"/>
                <w:szCs w:val="15"/>
                <w:color w:val="0000EE"/>
                <w:w w:val="71"/>
              </w:rPr>
            </w:pPr>
            <w:hyperlink r:id="rId12">
              <w:r>
                <w:rPr>
                  <w:rFonts w:ascii="Arial" w:cs="Arial" w:eastAsia="Arial" w:hAnsi="Arial"/>
                  <w:sz w:val="15"/>
                  <w:szCs w:val="15"/>
                  <w:color w:val="0000EE"/>
                  <w:w w:val="71"/>
                </w:rPr>
                <w:t>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r:id="rId13">
              <w:r>
                <w:rPr>
                  <w:rFonts w:ascii="Arial" w:cs="Arial" w:eastAsia="Arial" w:hAnsi="Arial"/>
                  <w:sz w:val="18"/>
                  <w:szCs w:val="18"/>
                  <w:color w:val="0000EE"/>
                  <w:w w:val="94"/>
                </w:rPr>
                <w:t>Item 3.</w:t>
              </w:r>
            </w:hyperlink>
          </w:p>
        </w:tc>
        <w:tc>
          <w:tcPr>
            <w:tcW w:w="6480" w:type="dxa"/>
            <w:vAlign w:val="bottom"/>
            <w:gridSpan w:val="7"/>
          </w:tcPr>
          <w:p>
            <w:pPr>
              <w:ind w:left="20"/>
              <w:spacing w:after="0"/>
              <w:rPr>
                <w:rFonts w:ascii="Arial" w:cs="Arial" w:eastAsia="Arial" w:hAnsi="Arial"/>
                <w:sz w:val="18"/>
                <w:szCs w:val="18"/>
                <w:color w:val="0000EE"/>
              </w:rPr>
            </w:pPr>
            <w:hyperlink r:id="rId13">
              <w:r>
                <w:rPr>
                  <w:rFonts w:ascii="Arial" w:cs="Arial" w:eastAsia="Arial" w:hAnsi="Arial"/>
                  <w:sz w:val="18"/>
                  <w:szCs w:val="18"/>
                  <w:color w:val="0000EE"/>
                </w:rPr>
                <w:t>Quantitative and Qualitative Disclosures about Market Risk</w:t>
              </w:r>
            </w:hyperlink>
          </w:p>
        </w:tc>
        <w:tc>
          <w:tcPr>
            <w:tcW w:w="236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gridSpan w:val="2"/>
          </w:tcPr>
          <w:p>
            <w:pPr>
              <w:jc w:val="center"/>
              <w:ind w:right="500"/>
              <w:spacing w:after="0"/>
              <w:rPr>
                <w:rFonts w:ascii="Arial" w:cs="Arial" w:eastAsia="Arial" w:hAnsi="Arial"/>
                <w:sz w:val="15"/>
                <w:szCs w:val="15"/>
                <w:color w:val="0000EE"/>
                <w:w w:val="71"/>
              </w:rPr>
            </w:pPr>
            <w:hyperlink r:id="rId13">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r:id="rId14">
              <w:r>
                <w:rPr>
                  <w:rFonts w:ascii="Arial" w:cs="Arial" w:eastAsia="Arial" w:hAnsi="Arial"/>
                  <w:sz w:val="18"/>
                  <w:szCs w:val="18"/>
                  <w:color w:val="0000EE"/>
                  <w:w w:val="94"/>
                </w:rPr>
                <w:t>Item 4.</w:t>
              </w:r>
            </w:hyperlink>
          </w:p>
        </w:tc>
        <w:tc>
          <w:tcPr>
            <w:tcW w:w="4320" w:type="dxa"/>
            <w:vAlign w:val="bottom"/>
            <w:gridSpan w:val="6"/>
          </w:tcPr>
          <w:p>
            <w:pPr>
              <w:ind w:left="20"/>
              <w:spacing w:after="0"/>
              <w:rPr>
                <w:rFonts w:ascii="Arial" w:cs="Arial" w:eastAsia="Arial" w:hAnsi="Arial"/>
                <w:sz w:val="18"/>
                <w:szCs w:val="18"/>
                <w:color w:val="0000EE"/>
              </w:rPr>
            </w:pPr>
            <w:hyperlink r:id="rId14">
              <w:r>
                <w:rPr>
                  <w:rFonts w:ascii="Arial" w:cs="Arial" w:eastAsia="Arial" w:hAnsi="Arial"/>
                  <w:sz w:val="18"/>
                  <w:szCs w:val="18"/>
                  <w:color w:val="0000EE"/>
                </w:rPr>
                <w:t>Controls and Procedures</w:t>
              </w:r>
            </w:hyperlink>
          </w:p>
        </w:tc>
        <w:tc>
          <w:tcPr>
            <w:tcW w:w="45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gridSpan w:val="2"/>
          </w:tcPr>
          <w:p>
            <w:pPr>
              <w:jc w:val="center"/>
              <w:ind w:right="500"/>
              <w:spacing w:after="0"/>
              <w:rPr>
                <w:rFonts w:ascii="Arial" w:cs="Arial" w:eastAsia="Arial" w:hAnsi="Arial"/>
                <w:sz w:val="15"/>
                <w:szCs w:val="15"/>
                <w:color w:val="0000EE"/>
                <w:w w:val="71"/>
              </w:rPr>
            </w:pPr>
            <w:hyperlink r:id="rId14">
              <w:r>
                <w:rPr>
                  <w:rFonts w:ascii="Arial" w:cs="Arial" w:eastAsia="Arial" w:hAnsi="Arial"/>
                  <w:sz w:val="15"/>
                  <w:szCs w:val="15"/>
                  <w:color w:val="0000EE"/>
                  <w:w w:val="71"/>
                </w:rPr>
                <w:t>25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r:id="rId15">
        <w:r>
          <w:rPr>
            <w:rFonts w:ascii="Arial" w:cs="Arial" w:eastAsia="Arial" w:hAnsi="Arial"/>
            <w:sz w:val="18"/>
            <w:szCs w:val="18"/>
            <w:b w:val="1"/>
            <w:bCs w:val="1"/>
            <w:u w:val="single" w:color="auto"/>
            <w:color w:val="0000EE"/>
          </w:rPr>
          <w:t>Part II - Other Information</w:t>
        </w:r>
      </w:hyperlink>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r:id="rId16">
              <w:r>
                <w:rPr>
                  <w:rFonts w:ascii="Arial" w:cs="Arial" w:eastAsia="Arial" w:hAnsi="Arial"/>
                  <w:sz w:val="18"/>
                  <w:szCs w:val="18"/>
                  <w:color w:val="0000EE"/>
                  <w:w w:val="94"/>
                </w:rPr>
                <w:t>Item 4.</w:t>
              </w:r>
            </w:hyperlink>
          </w:p>
        </w:tc>
        <w:tc>
          <w:tcPr>
            <w:tcW w:w="3780" w:type="dxa"/>
            <w:vAlign w:val="bottom"/>
            <w:tcBorders>
              <w:bottom w:val="single" w:sz="8" w:color="0000EE"/>
            </w:tcBorders>
            <w:gridSpan w:val="2"/>
          </w:tcPr>
          <w:p>
            <w:pPr>
              <w:ind w:left="20"/>
              <w:spacing w:after="0"/>
              <w:rPr>
                <w:rFonts w:ascii="Arial" w:cs="Arial" w:eastAsia="Arial" w:hAnsi="Arial"/>
                <w:sz w:val="18"/>
                <w:szCs w:val="18"/>
                <w:color w:val="0000EE"/>
                <w:w w:val="90"/>
              </w:rPr>
            </w:pPr>
            <w:hyperlink r:id="rId16">
              <w:r>
                <w:rPr>
                  <w:rFonts w:ascii="Arial" w:cs="Arial" w:eastAsia="Arial" w:hAnsi="Arial"/>
                  <w:sz w:val="18"/>
                  <w:szCs w:val="18"/>
                  <w:color w:val="0000EE"/>
                  <w:w w:val="90"/>
                </w:rPr>
                <w:t>Submission of Matters to a Vote of Security Holders</w:t>
              </w:r>
            </w:hyperlink>
          </w:p>
        </w:tc>
        <w:tc>
          <w:tcPr>
            <w:tcW w:w="554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r:id="rId16">
              <w:r>
                <w:rPr>
                  <w:rFonts w:ascii="Arial" w:cs="Arial" w:eastAsia="Arial" w:hAnsi="Arial"/>
                  <w:sz w:val="18"/>
                  <w:szCs w:val="18"/>
                  <w:color w:val="0000EE"/>
                  <w:w w:val="79"/>
                </w:rPr>
                <w:t>26</w:t>
              </w:r>
            </w:hyperlink>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r:id="rId17">
              <w:r>
                <w:rPr>
                  <w:rFonts w:ascii="Arial" w:cs="Arial" w:eastAsia="Arial" w:hAnsi="Arial"/>
                  <w:sz w:val="18"/>
                  <w:szCs w:val="18"/>
                  <w:color w:val="0000EE"/>
                  <w:w w:val="94"/>
                </w:rPr>
                <w:t>Item 5.</w:t>
              </w:r>
            </w:hyperlink>
          </w:p>
        </w:tc>
        <w:tc>
          <w:tcPr>
            <w:tcW w:w="1340" w:type="dxa"/>
            <w:vAlign w:val="bottom"/>
            <w:tcBorders>
              <w:bottom w:val="single" w:sz="8" w:color="0000EE"/>
            </w:tcBorders>
          </w:tcPr>
          <w:p>
            <w:pPr>
              <w:ind w:left="20"/>
              <w:spacing w:after="0"/>
              <w:rPr>
                <w:rFonts w:ascii="Arial" w:cs="Arial" w:eastAsia="Arial" w:hAnsi="Arial"/>
                <w:sz w:val="18"/>
                <w:szCs w:val="18"/>
                <w:color w:val="0000EE"/>
                <w:w w:val="92"/>
              </w:rPr>
            </w:pPr>
            <w:hyperlink r:id="rId17">
              <w:r>
                <w:rPr>
                  <w:rFonts w:ascii="Arial" w:cs="Arial" w:eastAsia="Arial" w:hAnsi="Arial"/>
                  <w:sz w:val="18"/>
                  <w:szCs w:val="18"/>
                  <w:color w:val="0000EE"/>
                  <w:w w:val="92"/>
                </w:rPr>
                <w:t>Other Information</w:t>
              </w:r>
            </w:hyperlink>
          </w:p>
        </w:tc>
        <w:tc>
          <w:tcPr>
            <w:tcW w:w="2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r:id="rId17">
              <w:r>
                <w:rPr>
                  <w:rFonts w:ascii="Arial" w:cs="Arial" w:eastAsia="Arial" w:hAnsi="Arial"/>
                  <w:sz w:val="18"/>
                  <w:szCs w:val="18"/>
                  <w:color w:val="0000EE"/>
                  <w:w w:val="79"/>
                </w:rPr>
                <w:t>27</w:t>
              </w:r>
            </w:hyperlink>
          </w:p>
        </w:tc>
      </w:tr>
    </w:tbl>
    <w:p>
      <w:pPr>
        <w:sectPr>
          <w:pgSz w:w="11900" w:h="16838" w:orient="portrait"/>
          <w:cols w:equalWidth="0" w:num="1">
            <w:col w:w="11440"/>
          </w:cols>
          <w:pgMar w:left="240" w:top="585" w:right="219" w:bottom="0" w:gutter="0" w:footer="0" w:header="0"/>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rFonts w:ascii="Arial" w:cs="Arial" w:eastAsia="Arial" w:hAnsi="Arial"/>
                <w:sz w:val="18"/>
                <w:szCs w:val="18"/>
                <w:color w:val="0000EE"/>
                <w:w w:val="92"/>
              </w:rPr>
            </w:pPr>
            <w:hyperlink r:id="rId18">
              <w:r>
                <w:rPr>
                  <w:rFonts w:ascii="Arial" w:cs="Arial" w:eastAsia="Arial" w:hAnsi="Arial"/>
                  <w:sz w:val="18"/>
                  <w:szCs w:val="18"/>
                  <w:color w:val="0000EE"/>
                  <w:w w:val="92"/>
                </w:rPr>
                <w:t>Item 6. Exhibits</w:t>
              </w:r>
            </w:hyperlink>
          </w:p>
        </w:tc>
        <w:tc>
          <w:tcPr>
            <w:tcW w:w="8700" w:type="dxa"/>
            <w:vAlign w:val="bottom"/>
          </w:tcPr>
          <w:p>
            <w:pPr>
              <w:spacing w:after="0"/>
              <w:rPr>
                <w:sz w:val="17"/>
                <w:szCs w:val="17"/>
                <w:color w:val="auto"/>
              </w:rPr>
            </w:pPr>
          </w:p>
        </w:tc>
        <w:tc>
          <w:tcPr>
            <w:tcW w:w="700" w:type="dxa"/>
            <w:vAlign w:val="bottom"/>
            <w:gridSpan w:val="2"/>
          </w:tcPr>
          <w:p>
            <w:pPr>
              <w:jc w:val="right"/>
              <w:ind w:right="520"/>
              <w:spacing w:after="0"/>
              <w:rPr>
                <w:rFonts w:ascii="Arial" w:cs="Arial" w:eastAsia="Arial" w:hAnsi="Arial"/>
                <w:sz w:val="18"/>
                <w:szCs w:val="18"/>
                <w:color w:val="0000EE"/>
                <w:w w:val="79"/>
              </w:rPr>
            </w:pPr>
            <w:hyperlink r:id="rId18">
              <w:r>
                <w:rPr>
                  <w:rFonts w:ascii="Arial" w:cs="Arial" w:eastAsia="Arial" w:hAnsi="Arial"/>
                  <w:sz w:val="18"/>
                  <w:szCs w:val="18"/>
                  <w:color w:val="0000EE"/>
                  <w:w w:val="79"/>
                </w:rPr>
                <w:t>28</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80" w:type="dxa"/>
            <w:vAlign w:val="bottom"/>
            <w:gridSpan w:val="3"/>
          </w:tcPr>
          <w:p>
            <w:pPr>
              <w:ind w:left="20"/>
              <w:spacing w:after="0"/>
              <w:rPr>
                <w:rFonts w:ascii="Arial" w:cs="Arial" w:eastAsia="Arial" w:hAnsi="Arial"/>
                <w:sz w:val="18"/>
                <w:szCs w:val="18"/>
                <w:b w:val="1"/>
                <w:bCs w:val="1"/>
                <w:color w:val="0000EE"/>
                <w:w w:val="90"/>
              </w:rPr>
            </w:pPr>
            <w:hyperlink r:id="rId19">
              <w:r>
                <w:rPr>
                  <w:rFonts w:ascii="Arial" w:cs="Arial" w:eastAsia="Arial" w:hAnsi="Arial"/>
                  <w:sz w:val="18"/>
                  <w:szCs w:val="18"/>
                  <w:b w:val="1"/>
                  <w:bCs w:val="1"/>
                  <w:color w:val="0000EE"/>
                  <w:w w:val="90"/>
                </w:rPr>
                <w:t>Signatures</w:t>
              </w:r>
            </w:hyperlink>
          </w:p>
        </w:tc>
        <w:tc>
          <w:tcPr>
            <w:tcW w:w="11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700" w:type="dxa"/>
            <w:vAlign w:val="bottom"/>
            <w:gridSpan w:val="2"/>
          </w:tcPr>
          <w:p>
            <w:pPr>
              <w:jc w:val="right"/>
              <w:ind w:right="520"/>
              <w:spacing w:after="0"/>
              <w:rPr>
                <w:rFonts w:ascii="Arial" w:cs="Arial" w:eastAsia="Arial" w:hAnsi="Arial"/>
                <w:sz w:val="18"/>
                <w:szCs w:val="18"/>
                <w:color w:val="0000EE"/>
                <w:w w:val="79"/>
              </w:rPr>
            </w:pPr>
            <w:hyperlink r:id="rId19">
              <w:r>
                <w:rPr>
                  <w:rFonts w:ascii="Arial" w:cs="Arial" w:eastAsia="Arial" w:hAnsi="Arial"/>
                  <w:sz w:val="18"/>
                  <w:szCs w:val="18"/>
                  <w:color w:val="0000EE"/>
                  <w:w w:val="79"/>
                </w:rPr>
                <w:t>29</w:t>
              </w:r>
            </w:hyperlink>
          </w:p>
        </w:tc>
      </w:tr>
      <w:tr>
        <w:trPr>
          <w:trHeight w:val="341"/>
        </w:trPr>
        <w:tc>
          <w:tcPr>
            <w:tcW w:w="20" w:type="dxa"/>
            <w:vAlign w:val="bottom"/>
            <w:tcBorders>
              <w:bottom w:val="single" w:sz="8" w:color="808080"/>
            </w:tcBorders>
          </w:tcPr>
          <w:p>
            <w:pPr>
              <w:spacing w:after="0"/>
              <w:rPr>
                <w:sz w:val="24"/>
                <w:szCs w:val="24"/>
                <w:color w:val="auto"/>
              </w:rPr>
            </w:pPr>
          </w:p>
        </w:tc>
        <w:tc>
          <w:tcPr>
            <w:tcW w:w="820" w:type="dxa"/>
            <w:vAlign w:val="bottom"/>
            <w:tcBorders>
              <w:top w:val="single" w:sz="8" w:color="0000EE"/>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ind w:right="480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(Amounts in millions,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left="193"/>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14"/>
                <w:szCs w:val="14"/>
                <w:b w:val="1"/>
                <w:bCs w:val="1"/>
                <w:color w:val="auto"/>
                <w:w w:val="93"/>
              </w:rPr>
              <w:t>November 30,</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November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71"/>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699.0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1,007.0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1, 174.4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305.5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477.5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237.2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414.7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9"/>
              </w:rPr>
              <w:t>Selling, general and administrative expenses – Continuity charges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 severance charges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585.6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957.6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113.4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CLASS A AND COMMON STOCK:</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1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0.56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4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8"/>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SCHOLASTIC CORPORATION</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(Amounts in millions, except per share data)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November 30, 2004</w:t>
            </w:r>
          </w:p>
        </w:tc>
        <w:tc>
          <w:tcPr>
            <w:tcW w:w="240" w:type="dxa"/>
            <w:vAlign w:val="bottom"/>
          </w:tcPr>
          <w:p>
            <w:pPr>
              <w:spacing w:after="0"/>
              <w:rPr>
                <w:sz w:val="24"/>
                <w:szCs w:val="24"/>
                <w:color w:val="auto"/>
              </w:rPr>
            </w:pPr>
          </w:p>
        </w:tc>
        <w:tc>
          <w:tcPr>
            <w:tcW w:w="12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May 31, 2004</w:t>
            </w:r>
          </w:p>
        </w:tc>
        <w:tc>
          <w:tcPr>
            <w:tcW w:w="220" w:type="dxa"/>
            <w:vAlign w:val="bottom"/>
          </w:tcPr>
          <w:p>
            <w:pPr>
              <w:spacing w:after="0"/>
              <w:rPr>
                <w:sz w:val="24"/>
                <w:szCs w:val="24"/>
                <w:color w:val="auto"/>
              </w:rPr>
            </w:pPr>
          </w:p>
        </w:tc>
        <w:tc>
          <w:tcPr>
            <w:tcW w:w="1580" w:type="dxa"/>
            <w:vAlign w:val="bottom"/>
            <w:gridSpan w:val="6"/>
          </w:tcPr>
          <w:p>
            <w:pPr>
              <w:ind w:left="140"/>
              <w:spacing w:after="0"/>
              <w:rPr>
                <w:sz w:val="20"/>
                <w:szCs w:val="20"/>
                <w:color w:val="auto"/>
              </w:rPr>
            </w:pPr>
            <w:r>
              <w:rPr>
                <w:rFonts w:ascii="Arial" w:cs="Arial" w:eastAsia="Arial" w:hAnsi="Arial"/>
                <w:sz w:val="14"/>
                <w:szCs w:val="14"/>
                <w:b w:val="1"/>
                <w:bCs w:val="1"/>
                <w:color w:val="auto"/>
              </w:rPr>
              <w:t>November 30, 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291"/>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27.1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321.0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472.7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Deferred promotion costs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40.7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74.6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45.8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i w:val="1"/>
                <w:iCs w:val="1"/>
                <w:color w:val="auto"/>
              </w:rPr>
              <w:t>Total current assets</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332.4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Prepublication costs,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Installment receivables, net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12.2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Production costs,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251.4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 intangibles,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78.8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deferred charges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1,897.6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1,755.8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-3751580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-3751580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40"/>
          </w:cols>
          <w:pgMar w:left="240" w:top="324"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Current Liabilities: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Lines of credit and short-term debt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Accrued royalties</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Total current liabilities</w:t>
            </w: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Noncurrent Liabilities: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r>
      <w:tr>
        <w:trPr>
          <w:trHeight w:val="210"/>
        </w:trPr>
        <w:tc>
          <w:tcPr>
            <w:tcW w:w="6400" w:type="dxa"/>
            <w:vAlign w:val="bottom"/>
          </w:tcPr>
          <w:p>
            <w:pPr>
              <w:ind w:left="540"/>
              <w:spacing w:after="0"/>
              <w:rPr>
                <w:sz w:val="20"/>
                <w:szCs w:val="20"/>
                <w:color w:val="auto"/>
              </w:rPr>
            </w:pPr>
            <w:r>
              <w:rPr>
                <w:rFonts w:ascii="Arial" w:cs="Arial" w:eastAsia="Arial" w:hAnsi="Arial"/>
                <w:sz w:val="18"/>
                <w:szCs w:val="18"/>
                <w:i w:val="1"/>
                <w:iCs w:val="1"/>
                <w:color w:val="auto"/>
              </w:rPr>
              <w:t>Total noncurrent liabilities</w:t>
            </w: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Stockholders’ Equity:</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$1.00 par value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Class A Stock, $.01 par value</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$.01 par value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i w:val="1"/>
                <w:iCs w:val="1"/>
                <w:color w:val="auto"/>
              </w:rPr>
              <w:t>Total stockholders’ equity</w:t>
            </w: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1,958.9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419"/>
        </w:trPr>
        <w:tc>
          <w:tcPr>
            <w:tcW w:w="640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400" w:type="dxa"/>
            <w:vAlign w:val="bottom"/>
          </w:tcPr>
          <w:p>
            <w:pPr>
              <w:ind w:left="56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35"/>
        </w:trPr>
        <w:tc>
          <w:tcPr>
            <w:tcW w:w="6400" w:type="dxa"/>
            <w:vAlign w:val="bottom"/>
          </w:tcPr>
          <w:p>
            <w:pPr>
              <w:spacing w:after="0"/>
              <w:rPr>
                <w:sz w:val="20"/>
                <w:szCs w:val="20"/>
                <w:color w:val="auto"/>
              </w:rPr>
            </w:pPr>
            <w:r>
              <w:rPr>
                <w:rFonts w:ascii="Arial" w:cs="Arial" w:eastAsia="Arial" w:hAnsi="Arial"/>
                <w:sz w:val="18"/>
                <w:szCs w:val="18"/>
                <w:b w:val="1"/>
                <w:bCs w:val="1"/>
                <w:color w:val="auto"/>
              </w:rPr>
              <w:t>SCHOLASTIC CORPORATION</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(Amounts in millions)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2"/>
        </w:trPr>
        <w:tc>
          <w:tcPr>
            <w:tcW w:w="6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6"/>
          </w:tcPr>
          <w:p>
            <w:pPr>
              <w:jc w:val="center"/>
              <w:ind w:left="491"/>
              <w:spacing w:after="0"/>
              <w:rPr>
                <w:sz w:val="20"/>
                <w:szCs w:val="20"/>
                <w:color w:val="auto"/>
              </w:rPr>
            </w:pPr>
            <w:r>
              <w:rPr>
                <w:rFonts w:ascii="Arial" w:cs="Arial" w:eastAsia="Arial" w:hAnsi="Arial"/>
                <w:sz w:val="14"/>
                <w:szCs w:val="14"/>
                <w:b w:val="1"/>
                <w:bCs w:val="1"/>
                <w:color w:val="auto"/>
                <w:w w:val="91"/>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6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491"/>
              <w:spacing w:after="0"/>
              <w:rPr>
                <w:sz w:val="20"/>
                <w:szCs w:val="20"/>
                <w:color w:val="auto"/>
              </w:rPr>
            </w:pPr>
            <w:r>
              <w:rPr>
                <w:rFonts w:ascii="Arial" w:cs="Arial" w:eastAsia="Arial" w:hAnsi="Arial"/>
                <w:sz w:val="14"/>
                <w:szCs w:val="14"/>
                <w:b w:val="1"/>
                <w:bCs w:val="1"/>
                <w:color w:val="auto"/>
                <w:w w:val="93"/>
              </w:rPr>
              <w:t>November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operating activities:</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Provision for losses on accounts receivable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prepublication and production costs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advances expensed</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promotion costs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Accounts payable and other accrued expenses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royalties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adjustments</w:t>
            </w:r>
          </w:p>
        </w:tc>
        <w:tc>
          <w:tcPr>
            <w:tcW w:w="5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Prepublication expenditures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advances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Production expenditures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payments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Credit Agreement, Loan Agreement and Revolver</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Repayments of Credit Agreement, Loan Agreement and Revolver</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(268.2)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(352.8)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lines of credit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Repayments of lines of credit</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pursuant to employee stock plans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158"/>
        </w:trPr>
        <w:tc>
          <w:tcPr>
            <w:tcW w:w="64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-6282690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-6282690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1"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5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217"/>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and cash equivalents at end of period</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ind w:right="42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(Amounts in millions, except per share data)</w:t>
      </w:r>
    </w:p>
    <w:p>
      <w:pPr>
        <w:spacing w:after="0" w:line="18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 These financial statements should be read in conjunction with the consolidated financial statements and related notes in the Company’s Annual Report on Form 10-K for the fiscal year ended May 31, 2004.</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business is closely correlated to the school year. Consequently, the results of operations for the three and six months ended November 30, 2004 and 2003 are not necessarily indicative of the results expected for the full year. Due to the seasonal fluctuations that occur, the November 30, 2003 condensed consolidated balance sheet is included for comparative purposes.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condensed consolidated financial statements have been prepared in accordance with accounting principles generally accepted in the United States. The preparation of these financial statements involves the use of estimates and assumptions by management, which affect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and installment receivables; sales returns; amortization periods; pension obligations; and recoverability of inventories, deferred promotion costs, deferred income taxes, prepublication costs, royalty advances, goodwill and other intangibles.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provisions of Statement of Financial Accounting Standards No. 123, “Accounting for Stock-Based Compensation” (“SFAS No. 123”), the Company applies Accounting Principles Board Opinion (“APB”) No. 25, “Accounting for Stock Issued to Employees,” and related interpretations in accounting for its stock option plans. In accordance with APB No. 25, no compensation expense was recognized with respect to the Company’s stock option plans, as the exercise price of each stock option issued was equal to the market price of the underlying stock on the date of grant and the exercise price and number of shares subject to grant were fixed. If the Company had elected to recognize compensation expense based on the fair value of the options granted at the date of grant and with respect to shares issuable under the Company’s equity compensation plans as prescribed by SFAS No. 123, net income and basic and diluted earnings per share would have been reduced to the pro forma amounts indicated in the following table: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4"/>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w w:val="95"/>
              </w:rPr>
              <w:t>November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November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 as reported</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72.7</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66.7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5"/>
              </w:rPr>
              <w:t>Add: Stock-based employee compensation included in reported net income, net</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of tax</w:t>
            </w:r>
          </w:p>
        </w:tc>
        <w:tc>
          <w:tcPr>
            <w:tcW w:w="78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expense determined under</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based method, net of tax</w:t>
            </w:r>
          </w:p>
        </w:tc>
        <w:tc>
          <w:tcPr>
            <w:tcW w:w="7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 pro forma</w:t>
            </w:r>
          </w:p>
        </w:tc>
        <w:tc>
          <w:tcPr>
            <w:tcW w:w="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69.9</w:t>
            </w:r>
          </w:p>
        </w:tc>
        <w:tc>
          <w:tcPr>
            <w:tcW w:w="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63.6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as reported:</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1.83</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1.70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1.80</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1.67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pro forma:</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1.76</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1.62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1.73</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1.62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December 16, 2004, the Financial Accounting Standards Board issued Statement of Financial Accounting Standards No. 123 (revised 2004), “Share-Based Payment” (“SFAS No. 123R”), which requires companies to measure compensation cost for all share-based payments (including employee stock options) at fair value, as currently permitted but not required under SFAS No. 123. SFAS No. 123R is effective for the Company commencing September 1, 2005. However, retroactive application of the fair value recognition provisions of SFAS No. 123 to either June 1, 2005, the beginning of the fiscal year that includes the effective date of SFAS No. 123R, or to all prior years for which SFAS No. 123 was effective, is permitted, but is not required. The Company is</w:t>
      </w:r>
    </w:p>
    <w:p>
      <w:pPr>
        <w:sectPr>
          <w:pgSz w:w="11900" w:h="16838" w:orient="portrait"/>
          <w:cols w:equalWidth="0" w:num="1">
            <w:col w:w="11420"/>
          </w:cols>
          <w:pgMar w:left="240" w:top="140" w:right="239" w:bottom="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t>currently evaluating the impact that the adoption of SFAS No. 123R will have on its financial position, results of operations and cash flows. The cumulative effect of adoption, if any, will be measured and recognized in the statement of operations on the date of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Scholastic is a global children’s publishing and media company. The Company distributes its products and services through a variety of channels, including school-based book clubs, school-based book fairs, school-based and direct-to-home continuity programs, retail stores, schools, libraries and television networks. The Company categorizes its businesses into four operating segments: </w:t>
      </w:r>
      <w:r>
        <w:rPr>
          <w:rFonts w:ascii="Arial" w:cs="Arial" w:eastAsia="Arial" w:hAnsi="Arial"/>
          <w:sz w:val="18"/>
          <w:szCs w:val="18"/>
          <w:i w:val="1"/>
          <w:iCs w:val="1"/>
          <w:color w:val="auto"/>
        </w:rPr>
        <w:t>Children’s Book Publishing and Distribution; Educational Publishing;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(which collectively represent the Company’s domestic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products and services consistent with the method by which the Company’s chief operating decision-maker assesses operating performance and allocates resources.</w:t>
      </w:r>
    </w:p>
    <w:p>
      <w:pPr>
        <w:spacing w:after="0" w:line="220" w:lineRule="exact"/>
        <w:rPr>
          <w:sz w:val="20"/>
          <w:szCs w:val="20"/>
          <w:color w:val="auto"/>
        </w:rPr>
      </w:pPr>
    </w:p>
    <w:p>
      <w:pPr>
        <w:ind w:right="120" w:firstLine="8"/>
        <w:spacing w:after="0" w:line="232" w:lineRule="auto"/>
        <w:tabs>
          <w:tab w:leader="none" w:pos="256"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includes the publication and distribution of children’s books in the United States through school-based book</w:t>
      </w:r>
      <w:r>
        <w:rPr>
          <w:rFonts w:ascii="Arial" w:cs="Arial" w:eastAsia="Arial" w:hAnsi="Arial"/>
          <w:sz w:val="18"/>
          <w:szCs w:val="18"/>
          <w:i w:val="1"/>
          <w:iCs w:val="1"/>
          <w:color w:val="auto"/>
        </w:rPr>
        <w:t xml:space="preserve"> </w:t>
      </w:r>
      <w:r>
        <w:rPr>
          <w:rFonts w:ascii="Arial" w:cs="Arial" w:eastAsia="Arial" w:hAnsi="Arial"/>
          <w:sz w:val="18"/>
          <w:szCs w:val="18"/>
          <w:color w:val="auto"/>
        </w:rPr>
        <w:t>clubs and book fairs, school-based and direct-to-home continuity programs and the trade channel.</w:t>
      </w:r>
    </w:p>
    <w:p>
      <w:pPr>
        <w:spacing w:after="0" w:line="230" w:lineRule="exact"/>
        <w:rPr>
          <w:rFonts w:ascii="Arial" w:cs="Arial" w:eastAsia="Arial" w:hAnsi="Arial"/>
          <w:sz w:val="22"/>
          <w:szCs w:val="22"/>
          <w:i w:val="1"/>
          <w:iCs w:val="1"/>
          <w:color w:val="auto"/>
        </w:rPr>
      </w:pPr>
    </w:p>
    <w:p>
      <w:pPr>
        <w:ind w:firstLine="8"/>
        <w:spacing w:after="0" w:line="251" w:lineRule="auto"/>
        <w:tabs>
          <w:tab w:leader="none" w:pos="238" w:val="left"/>
        </w:tabs>
        <w:numPr>
          <w:ilvl w:val="0"/>
          <w:numId w:val="3"/>
        </w:numPr>
        <w:rPr>
          <w:rFonts w:ascii="Arial" w:cs="Arial" w:eastAsia="Arial" w:hAnsi="Arial"/>
          <w:sz w:val="21"/>
          <w:szCs w:val="21"/>
          <w:i w:val="1"/>
          <w:iCs w:val="1"/>
          <w:color w:val="auto"/>
        </w:rPr>
      </w:pPr>
      <w:r>
        <w:rPr>
          <w:rFonts w:ascii="Arial" w:cs="Arial" w:eastAsia="Arial" w:hAnsi="Arial"/>
          <w:sz w:val="17"/>
          <w:szCs w:val="17"/>
          <w:i w:val="1"/>
          <w:iCs w:val="1"/>
          <w:color w:val="auto"/>
        </w:rPr>
        <w:t xml:space="preserve">Educational Publishing </w:t>
      </w:r>
      <w:r>
        <w:rPr>
          <w:rFonts w:ascii="Arial" w:cs="Arial" w:eastAsia="Arial" w:hAnsi="Arial"/>
          <w:sz w:val="17"/>
          <w:szCs w:val="17"/>
          <w:color w:val="auto"/>
        </w:rPr>
        <w:t>includes the publication and distribution to schools and libraries of educational technology, curriculum materials, children’s books,</w:t>
      </w:r>
      <w:r>
        <w:rPr>
          <w:rFonts w:ascii="Arial" w:cs="Arial" w:eastAsia="Arial" w:hAnsi="Arial"/>
          <w:sz w:val="17"/>
          <w:szCs w:val="17"/>
          <w:i w:val="1"/>
          <w:iCs w:val="1"/>
          <w:color w:val="auto"/>
        </w:rPr>
        <w:t xml:space="preserve"> </w:t>
      </w:r>
      <w:r>
        <w:rPr>
          <w:rFonts w:ascii="Arial" w:cs="Arial" w:eastAsia="Arial" w:hAnsi="Arial"/>
          <w:sz w:val="17"/>
          <w:szCs w:val="17"/>
          <w:color w:val="auto"/>
        </w:rPr>
        <w:t>classroom magazines and print and on-line reference and non-fiction products for grades pre-kindergarten to 12 in the United States.</w:t>
      </w:r>
    </w:p>
    <w:p>
      <w:pPr>
        <w:spacing w:after="0" w:line="218" w:lineRule="exact"/>
        <w:rPr>
          <w:rFonts w:ascii="Arial" w:cs="Arial" w:eastAsia="Arial" w:hAnsi="Arial"/>
          <w:sz w:val="21"/>
          <w:szCs w:val="21"/>
          <w:i w:val="1"/>
          <w:iCs w:val="1"/>
          <w:color w:val="auto"/>
        </w:rPr>
      </w:pPr>
    </w:p>
    <w:p>
      <w:pPr>
        <w:ind w:firstLine="8"/>
        <w:spacing w:after="0" w:line="285" w:lineRule="auto"/>
        <w:tabs>
          <w:tab w:leader="none" w:pos="256" w:val="left"/>
        </w:tabs>
        <w:numPr>
          <w:ilvl w:val="0"/>
          <w:numId w:val="3"/>
        </w:numPr>
        <w:rPr>
          <w:rFonts w:ascii="Arial" w:cs="Arial" w:eastAsia="Arial" w:hAnsi="Arial"/>
          <w:sz w:val="19"/>
          <w:szCs w:val="19"/>
          <w:i w:val="1"/>
          <w:iCs w:val="1"/>
          <w:color w:val="auto"/>
        </w:rPr>
      </w:pPr>
      <w:r>
        <w:rPr>
          <w:rFonts w:ascii="Arial" w:cs="Arial" w:eastAsia="Arial" w:hAnsi="Arial"/>
          <w:sz w:val="16"/>
          <w:szCs w:val="16"/>
          <w:i w:val="1"/>
          <w:iCs w:val="1"/>
          <w:color w:val="auto"/>
        </w:rPr>
        <w:t xml:space="preserve">Media, Licensing and Advertising </w:t>
      </w:r>
      <w:r>
        <w:rPr>
          <w:rFonts w:ascii="Arial" w:cs="Arial" w:eastAsia="Arial" w:hAnsi="Arial"/>
          <w:sz w:val="16"/>
          <w:szCs w:val="16"/>
          <w:color w:val="auto"/>
        </w:rPr>
        <w:t>includes the production and/or distribution of software in the United States; the production and/or distribution,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by and through the Corporation’s subsidiary, Scholastic Entertainment Inc., of programming and consumer products (including children’s television programming, videos, software, feature films, promotional activities and non-book merchandise); and advertising revenue, including sponsorship programs.</w:t>
      </w:r>
    </w:p>
    <w:p>
      <w:pPr>
        <w:spacing w:after="0" w:line="194" w:lineRule="exact"/>
        <w:rPr>
          <w:rFonts w:ascii="Arial" w:cs="Arial" w:eastAsia="Arial" w:hAnsi="Arial"/>
          <w:sz w:val="19"/>
          <w:szCs w:val="19"/>
          <w:i w:val="1"/>
          <w:iCs w:val="1"/>
          <w:color w:val="auto"/>
        </w:rPr>
      </w:pPr>
    </w:p>
    <w:p>
      <w:pPr>
        <w:ind w:right="180" w:firstLine="8"/>
        <w:spacing w:after="0" w:line="232" w:lineRule="auto"/>
        <w:tabs>
          <w:tab w:leader="none" w:pos="256"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export and foreign rights businesses.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information for the Company’s segments for the periods indicated. Certain prior year amounts have been reclassified to conform with the present year presentation.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Children’s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Media,</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Book</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Educational</w:t>
            </w: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Licensing</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Publishing and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 xml:space="preserve">Overhead </w:t>
            </w:r>
            <w:r>
              <w:rPr>
                <w:rFonts w:ascii="Arial" w:cs="Arial" w:eastAsia="Arial" w:hAnsi="Arial"/>
                <w:sz w:val="10"/>
                <w:szCs w:val="10"/>
                <w:b w:val="1"/>
                <w:bCs w:val="1"/>
                <w:color w:val="auto"/>
                <w:w w:val="99"/>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Publishing</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Advertising</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Domestic</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Three months ended</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November 30, 2004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Bad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Royalty advances expensed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8"/>
                <w:szCs w:val="28"/>
                <w:color w:val="auto"/>
                <w:vertAlign w:val="superscript"/>
              </w:rPr>
              <w:t>(3)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180"/>
              <w:spacing w:after="0" w:line="197" w:lineRule="exact"/>
              <w:rPr>
                <w:sz w:val="20"/>
                <w:szCs w:val="20"/>
                <w:color w:val="auto"/>
              </w:rPr>
            </w:pPr>
            <w:r>
              <w:rPr>
                <w:rFonts w:ascii="Arial" w:cs="Arial" w:eastAsia="Arial" w:hAnsi="Arial"/>
                <w:sz w:val="18"/>
                <w:szCs w:val="18"/>
                <w:color w:val="auto"/>
              </w:rPr>
              <w:t>Expenditures for long-lived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360"/>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8"/>
                <w:szCs w:val="28"/>
                <w:color w:val="auto"/>
                <w:vertAlign w:val="superscript"/>
              </w:rPr>
              <w:t>(4)</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98"/>
        </w:trPr>
        <w:tc>
          <w:tcPr>
            <w:tcW w:w="242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November 30, 2003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450.7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(2)</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w w:val="98"/>
              </w:rPr>
              <w:t>Royalty advances expensed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8"/>
                <w:szCs w:val="28"/>
                <w:color w:val="auto"/>
                <w:vertAlign w:val="superscript"/>
              </w:rPr>
              <w:t>(3)</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97"/>
        </w:trPr>
        <w:tc>
          <w:tcPr>
            <w:tcW w:w="2420" w:type="dxa"/>
            <w:vAlign w:val="bottom"/>
          </w:tcPr>
          <w:p>
            <w:pPr>
              <w:ind w:left="180"/>
              <w:spacing w:after="0" w:line="197" w:lineRule="exact"/>
              <w:rPr>
                <w:sz w:val="20"/>
                <w:szCs w:val="20"/>
                <w:color w:val="auto"/>
              </w:rPr>
            </w:pPr>
            <w:r>
              <w:rPr>
                <w:rFonts w:ascii="Arial" w:cs="Arial" w:eastAsia="Arial" w:hAnsi="Arial"/>
                <w:sz w:val="18"/>
                <w:szCs w:val="18"/>
                <w:color w:val="auto"/>
              </w:rPr>
              <w:t>Expenditures for long-lived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420" w:type="dxa"/>
            <w:vAlign w:val="bottom"/>
          </w:tcPr>
          <w:p>
            <w:pPr>
              <w:ind w:left="360"/>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8"/>
                <w:szCs w:val="28"/>
                <w:color w:val="auto"/>
                <w:vertAlign w:val="superscript"/>
              </w:rPr>
              <w:t>(4)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Six months ended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November 30, 2004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Bad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Royalty advances expensed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8"/>
                <w:szCs w:val="28"/>
                <w:color w:val="auto"/>
                <w:vertAlign w:val="superscript"/>
              </w:rPr>
              <w:t>(3)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Expenditures for long-lived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420" w:type="dxa"/>
            <w:vAlign w:val="bottom"/>
          </w:tcPr>
          <w:p>
            <w:pPr>
              <w:ind w:left="180"/>
              <w:spacing w:after="0"/>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8"/>
                <w:szCs w:val="28"/>
                <w:color w:val="auto"/>
                <w:vertAlign w:val="superscript"/>
              </w:rPr>
              <w:t>(5)</w:t>
            </w:r>
          </w:p>
        </w:tc>
        <w:tc>
          <w:tcPr>
            <w:tcW w:w="7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316.3</w:t>
            </w:r>
          </w:p>
        </w:tc>
        <w:tc>
          <w:tcPr>
            <w:tcW w:w="4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3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4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235.1</w:t>
            </w:r>
          </w:p>
        </w:tc>
        <w:tc>
          <w:tcPr>
            <w:tcW w:w="3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771.7</w:t>
            </w:r>
          </w:p>
        </w:tc>
        <w:tc>
          <w:tcPr>
            <w:tcW w:w="4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4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879.1</w:t>
            </w:r>
          </w:p>
        </w:tc>
        <w:tc>
          <w:tcPr>
            <w:tcW w:w="20" w:type="dxa"/>
            <w:vAlign w:val="bottom"/>
          </w:tcPr>
          <w:p>
            <w:pPr>
              <w:spacing w:after="0"/>
              <w:rPr>
                <w:sz w:val="24"/>
                <w:szCs w:val="24"/>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Six months ended</w:t>
            </w: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November 30, 2003</w:t>
            </w: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1,174.4</w:t>
            </w:r>
          </w:p>
        </w:tc>
        <w:tc>
          <w:tcPr>
            <w:tcW w:w="20" w:type="dxa"/>
            <w:vAlign w:val="bottom"/>
          </w:tcPr>
          <w:p>
            <w:pPr>
              <w:spacing w:after="0"/>
              <w:rPr>
                <w:sz w:val="18"/>
                <w:szCs w:val="18"/>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Bad debt</w:t>
            </w: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4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(2)</w:t>
            </w:r>
          </w:p>
        </w:tc>
        <w:tc>
          <w:tcPr>
            <w:tcW w:w="7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4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2"/>
                <w:szCs w:val="22"/>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Royalty advances expensed</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57"/>
        </w:trPr>
        <w:tc>
          <w:tcPr>
            <w:tcW w:w="242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8"/>
                <w:szCs w:val="28"/>
                <w:color w:val="auto"/>
                <w:vertAlign w:val="superscript"/>
              </w:rPr>
              <w:t>(3)</w:t>
            </w:r>
          </w:p>
        </w:tc>
        <w:tc>
          <w:tcPr>
            <w:tcW w:w="7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46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3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4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2"/>
                <w:szCs w:val="22"/>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assets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418.4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1,645.5</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1,958.9</w:t>
            </w:r>
          </w:p>
        </w:tc>
        <w:tc>
          <w:tcPr>
            <w:tcW w:w="20" w:type="dxa"/>
            <w:vAlign w:val="bottom"/>
          </w:tcPr>
          <w:p>
            <w:pPr>
              <w:spacing w:after="0"/>
              <w:rPr>
                <w:sz w:val="18"/>
                <w:szCs w:val="18"/>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4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222.8</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8"/>
                <w:szCs w:val="18"/>
                <w:color w:val="auto"/>
              </w:rPr>
            </w:pPr>
          </w:p>
        </w:tc>
      </w:tr>
      <w:tr>
        <w:trPr>
          <w:trHeight w:val="197"/>
        </w:trPr>
        <w:tc>
          <w:tcPr>
            <w:tcW w:w="2420" w:type="dxa"/>
            <w:vAlign w:val="bottom"/>
            <w:shd w:val="clear" w:color="auto" w:fill="CCEEFF"/>
          </w:tcPr>
          <w:p>
            <w:pPr>
              <w:ind w:left="180"/>
              <w:spacing w:after="0" w:line="197" w:lineRule="exact"/>
              <w:rPr>
                <w:sz w:val="20"/>
                <w:szCs w:val="20"/>
                <w:color w:val="auto"/>
              </w:rPr>
            </w:pPr>
            <w:r>
              <w:rPr>
                <w:rFonts w:ascii="Arial" w:cs="Arial" w:eastAsia="Arial" w:hAnsi="Arial"/>
                <w:sz w:val="18"/>
                <w:szCs w:val="18"/>
                <w:color w:val="auto"/>
              </w:rPr>
              <w:t>Expenditures for long-lived</w:t>
            </w: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5"/>
        </w:trPr>
        <w:tc>
          <w:tcPr>
            <w:tcW w:w="2420" w:type="dxa"/>
            <w:vAlign w:val="bottom"/>
            <w:shd w:val="clear" w:color="auto" w:fill="CCEEFF"/>
          </w:tcPr>
          <w:p>
            <w:pPr>
              <w:ind w:left="360"/>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8"/>
                <w:szCs w:val="28"/>
                <w:color w:val="auto"/>
                <w:vertAlign w:val="superscript"/>
              </w:rPr>
              <w:t>(4)</w:t>
            </w: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23"/>
                <w:szCs w:val="23"/>
                <w:color w:val="auto"/>
              </w:rPr>
            </w:pPr>
          </w:p>
        </w:tc>
      </w:tr>
      <w:tr>
        <w:trPr>
          <w:trHeight w:val="375"/>
        </w:trPr>
        <w:tc>
          <w:tcPr>
            <w:tcW w:w="2420" w:type="dxa"/>
            <w:vAlign w:val="bottom"/>
          </w:tcPr>
          <w:p>
            <w:pPr>
              <w:ind w:left="180"/>
              <w:spacing w:after="0"/>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8"/>
                <w:szCs w:val="28"/>
                <w:color w:val="auto"/>
                <w:vertAlign w:val="superscript"/>
              </w:rPr>
              <w:t>(5)</w:t>
            </w:r>
          </w:p>
        </w:tc>
        <w:tc>
          <w:tcPr>
            <w:tcW w:w="7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305.8</w:t>
            </w:r>
          </w:p>
        </w:tc>
        <w:tc>
          <w:tcPr>
            <w:tcW w:w="4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4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242.2</w:t>
            </w:r>
          </w:p>
        </w:tc>
        <w:tc>
          <w:tcPr>
            <w:tcW w:w="3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785.9</w:t>
            </w:r>
          </w:p>
        </w:tc>
        <w:tc>
          <w:tcPr>
            <w:tcW w:w="4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886.9</w:t>
            </w:r>
          </w:p>
        </w:tc>
        <w:tc>
          <w:tcPr>
            <w:tcW w:w="20" w:type="dxa"/>
            <w:vAlign w:val="bottom"/>
          </w:tcPr>
          <w:p>
            <w:pPr>
              <w:spacing w:after="0"/>
              <w:rPr>
                <w:sz w:val="24"/>
                <w:szCs w:val="24"/>
                <w:color w:val="auto"/>
              </w:rPr>
            </w:pPr>
          </w:p>
        </w:tc>
      </w:tr>
      <w:tr>
        <w:trPr>
          <w:trHeight w:val="314"/>
        </w:trPr>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67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2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60" w:hanging="332"/>
        <w:spacing w:after="0" w:line="259" w:lineRule="auto"/>
        <w:tabs>
          <w:tab w:leader="none" w:pos="36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reportable segments, which includes unallocated expenses and costs related to the management of corporate assets. Unallocated assets are principally comprised of deferred income taxes and property, plant and equipment related to the Company’s headquarters in the metropolitan New York area, fulfillment and distribution facilities located in Missouri and Arkansas, and an industrial/office building complex in Connecticut.</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production costs and other intangibles with definite lives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Segment profit/(loss) represents earnings (loss) before interest and income taxes.</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6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expenditures for property, plant and equipment, investments in prepublication and production costs, royalty advances and acquisitions of, and investments in, businesses.</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following table separately sets forth information for the periods indicated for the United States direct-to-home continuity programs, which consist primarily of the business formerly operated by Grolier Incorporated (“Grolier”) and are included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and for all other businesses included in the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3"/>
          </w:tcPr>
          <w:p>
            <w:pPr>
              <w:jc w:val="center"/>
              <w:ind w:right="80"/>
              <w:spacing w:after="0"/>
              <w:rPr>
                <w:sz w:val="20"/>
                <w:szCs w:val="20"/>
                <w:color w:val="auto"/>
              </w:rPr>
            </w:pPr>
            <w:r>
              <w:rPr>
                <w:rFonts w:ascii="Arial" w:cs="Arial" w:eastAsia="Arial" w:hAnsi="Arial"/>
                <w:sz w:val="14"/>
                <w:szCs w:val="14"/>
                <w:b w:val="1"/>
                <w:bCs w:val="1"/>
                <w:color w:val="auto"/>
                <w:w w:val="92"/>
              </w:rPr>
              <w:t>Three months ended November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8"/>
          </w:tcPr>
          <w:p>
            <w:pPr>
              <w:jc w:val="right"/>
              <w:ind w:right="540"/>
              <w:spacing w:after="0" w:line="142" w:lineRule="exact"/>
              <w:rPr>
                <w:sz w:val="20"/>
                <w:szCs w:val="20"/>
                <w:color w:val="auto"/>
              </w:rPr>
            </w:pPr>
            <w:r>
              <w:rPr>
                <w:rFonts w:ascii="Arial" w:cs="Arial" w:eastAsia="Arial" w:hAnsi="Arial"/>
                <w:sz w:val="14"/>
                <w:szCs w:val="14"/>
                <w:b w:val="1"/>
                <w:bCs w:val="1"/>
                <w:color w:val="auto"/>
              </w:rPr>
              <w:t>Direct-to-home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ind w:left="460"/>
              <w:spacing w:after="0" w:line="142" w:lineRule="exact"/>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ind w:left="58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2003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Bad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25.6</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57"/>
        </w:trPr>
        <w:tc>
          <w:tcPr>
            <w:tcW w:w="2500" w:type="dxa"/>
            <w:vAlign w:val="bottom"/>
          </w:tcPr>
          <w:p>
            <w:pPr>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2"/>
                <w:szCs w:val="2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Royalty advances expensed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r>
      <w:tr>
        <w:trPr>
          <w:trHeight w:val="257"/>
        </w:trPr>
        <w:tc>
          <w:tcPr>
            <w:tcW w:w="2500" w:type="dxa"/>
            <w:vAlign w:val="bottom"/>
          </w:tcPr>
          <w:p>
            <w:pPr>
              <w:spacing w:after="0" w:line="257" w:lineRule="exact"/>
              <w:rPr>
                <w:sz w:val="20"/>
                <w:szCs w:val="20"/>
                <w:color w:val="auto"/>
              </w:rPr>
            </w:pPr>
            <w:r>
              <w:rPr>
                <w:rFonts w:ascii="Arial" w:cs="Arial" w:eastAsia="Arial" w:hAnsi="Arial"/>
                <w:sz w:val="18"/>
                <w:szCs w:val="18"/>
                <w:color w:val="auto"/>
              </w:rPr>
              <w:t xml:space="preserve">Business profit </w:t>
            </w:r>
            <w:r>
              <w:rPr>
                <w:rFonts w:ascii="Arial" w:cs="Arial" w:eastAsia="Arial" w:hAnsi="Arial"/>
                <w:sz w:val="28"/>
                <w:szCs w:val="28"/>
                <w:color w:val="auto"/>
                <w:vertAlign w:val="superscript"/>
              </w:rPr>
              <w:t>(2)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93.7</w:t>
            </w:r>
          </w:p>
        </w:tc>
      </w:tr>
      <w:tr>
        <w:trPr>
          <w:trHeight w:val="197"/>
        </w:trPr>
        <w:tc>
          <w:tcPr>
            <w:tcW w:w="25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Expenditures for long-lived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5"/>
        </w:trPr>
        <w:tc>
          <w:tcPr>
            <w:tcW w:w="2500" w:type="dxa"/>
            <w:vAlign w:val="bottom"/>
            <w:shd w:val="clear" w:color="auto" w:fill="CCEEFF"/>
          </w:tcPr>
          <w:p>
            <w:pPr>
              <w:ind w:left="180"/>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8"/>
                <w:szCs w:val="28"/>
                <w:color w:val="auto"/>
                <w:vertAlign w:val="superscript"/>
              </w:rPr>
              <w:t>(3)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3"/>
                <w:szCs w:val="23"/>
                <w:color w:val="auto"/>
              </w:rPr>
            </w:pPr>
          </w:p>
        </w:tc>
      </w:tr>
      <w:tr>
        <w:trPr>
          <w:trHeight w:val="365"/>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1"/>
          </w:tcPr>
          <w:p>
            <w:pPr>
              <w:jc w:val="center"/>
              <w:ind w:right="120"/>
              <w:spacing w:after="0"/>
              <w:rPr>
                <w:sz w:val="20"/>
                <w:szCs w:val="20"/>
                <w:color w:val="auto"/>
              </w:rPr>
            </w:pPr>
            <w:r>
              <w:rPr>
                <w:rFonts w:ascii="Arial" w:cs="Arial" w:eastAsia="Arial" w:hAnsi="Arial"/>
                <w:sz w:val="14"/>
                <w:szCs w:val="14"/>
                <w:b w:val="1"/>
                <w:bCs w:val="1"/>
                <w:color w:val="auto"/>
                <w:w w:val="91"/>
              </w:rPr>
              <w:t>Six months ended November 30,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Direct-to-home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ind w:left="58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2003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Bad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57"/>
        </w:trPr>
        <w:tc>
          <w:tcPr>
            <w:tcW w:w="2500" w:type="dxa"/>
            <w:vAlign w:val="bottom"/>
          </w:tcPr>
          <w:p>
            <w:pPr>
              <w:spacing w:after="0" w:line="257"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8"/>
                <w:szCs w:val="28"/>
                <w:color w:val="auto"/>
                <w:vertAlign w:val="superscript"/>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2"/>
                <w:szCs w:val="2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Royalty advances expensed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r>
      <w:tr>
        <w:trPr>
          <w:trHeight w:val="257"/>
        </w:trPr>
        <w:tc>
          <w:tcPr>
            <w:tcW w:w="2500" w:type="dxa"/>
            <w:vAlign w:val="bottom"/>
          </w:tcPr>
          <w:p>
            <w:pPr>
              <w:spacing w:after="0" w:line="257" w:lineRule="exact"/>
              <w:rPr>
                <w:sz w:val="20"/>
                <w:szCs w:val="20"/>
                <w:color w:val="auto"/>
              </w:rPr>
            </w:pPr>
            <w:r>
              <w:rPr>
                <w:rFonts w:ascii="Arial" w:cs="Arial" w:eastAsia="Arial" w:hAnsi="Arial"/>
                <w:sz w:val="18"/>
                <w:szCs w:val="18"/>
                <w:color w:val="auto"/>
              </w:rPr>
              <w:t xml:space="preserve">Business profit/(loss) </w:t>
            </w:r>
            <w:r>
              <w:rPr>
                <w:rFonts w:ascii="Arial" w:cs="Arial" w:eastAsia="Arial" w:hAnsi="Arial"/>
                <w:sz w:val="28"/>
                <w:szCs w:val="28"/>
                <w:color w:val="auto"/>
                <w:vertAlign w:val="superscript"/>
              </w:rPr>
              <w:t>(2)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22"/>
                <w:szCs w:val="2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Business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835.4</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r>
      <w:tr>
        <w:trPr>
          <w:trHeight w:val="197"/>
        </w:trPr>
        <w:tc>
          <w:tcPr>
            <w:tcW w:w="25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Expenditures for long-lived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5"/>
        </w:trPr>
        <w:tc>
          <w:tcPr>
            <w:tcW w:w="2500" w:type="dxa"/>
            <w:vAlign w:val="bottom"/>
            <w:shd w:val="clear" w:color="auto" w:fill="CCEEFF"/>
          </w:tcPr>
          <w:p>
            <w:pPr>
              <w:ind w:left="180"/>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8"/>
                <w:szCs w:val="28"/>
                <w:color w:val="auto"/>
                <w:vertAlign w:val="superscript"/>
              </w:rPr>
              <w:t>(3)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23"/>
                <w:szCs w:val="23"/>
                <w:color w:val="auto"/>
              </w:rPr>
            </w:pPr>
          </w:p>
        </w:tc>
      </w:tr>
      <w:tr>
        <w:trPr>
          <w:trHeight w:val="375"/>
        </w:trPr>
        <w:tc>
          <w:tcPr>
            <w:tcW w:w="2500" w:type="dxa"/>
            <w:vAlign w:val="bottom"/>
          </w:tcPr>
          <w:p>
            <w:pPr>
              <w:spacing w:after="0"/>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8"/>
                <w:szCs w:val="28"/>
                <w:color w:val="auto"/>
                <w:vertAlign w:val="superscript"/>
              </w:rPr>
              <w:t>(4)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316.3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other intangibles with definite lives.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6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Business profit/(loss) represents earnings before interest and income taxes. For the six months ended November 30, 2004, the Direct-to-home continuity business results include $3.6 recorded as Selling, general and administrative expenses –– Continuity charges.</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Includes expenditures for property, plant and equipment, investments in prepublication costs, royalty advances and acquisitions of businesses.</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property, plant and equipment, prepublication costs, goodwill, other intangibles and royalty advances.</w:t>
      </w:r>
    </w:p>
    <w:p>
      <w:pPr>
        <w:sectPr>
          <w:pgSz w:w="11900" w:h="16838" w:orient="portrait"/>
          <w:cols w:equalWidth="0" w:num="1">
            <w:col w:w="11440"/>
          </w:cols>
          <w:pgMar w:left="240" w:top="74" w:right="21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November 30, 2004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May 31, 2004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November 30, 2003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Credit Agreement and Revolver</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7% Notes due 2003, net of discount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5.75% Notes due 2007, net of premium/discount</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5% Notes due 2013, net of discount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debt</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lines of credit and short-term debt</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the maturities of the carrying values of the Company’s debt obligations as of November 30, 2004 for the remainder of fiscal 2004 and thereafter: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31,</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Six-month period ending:</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Fiscal years ending:</w:t>
            </w:r>
          </w:p>
        </w:tc>
        <w:tc>
          <w:tcPr>
            <w:tcW w:w="1040" w:type="dxa"/>
            <w:vAlign w:val="bottom"/>
          </w:tcPr>
          <w:p>
            <w:pPr>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3" w:lineRule="exact"/>
        <w:rPr>
          <w:sz w:val="20"/>
          <w:szCs w:val="20"/>
          <w:color w:val="auto"/>
        </w:rPr>
      </w:pPr>
    </w:p>
    <w:p>
      <w:pPr>
        <w:jc w:val="both"/>
        <w:ind w:right="220"/>
        <w:spacing w:after="0" w:line="295" w:lineRule="auto"/>
        <w:rPr>
          <w:sz w:val="20"/>
          <w:szCs w:val="20"/>
          <w:color w:val="auto"/>
        </w:rPr>
      </w:pPr>
      <w:r>
        <w:rPr>
          <w:rFonts w:ascii="Arial" w:cs="Arial" w:eastAsia="Arial" w:hAnsi="Arial"/>
          <w:sz w:val="16"/>
          <w:szCs w:val="16"/>
          <w:color w:val="auto"/>
        </w:rPr>
        <w:t>Scholastic Corporation’s international subsidiaries had unsecured lines of credit available in local currencies equivalent to $64.8 at November 30, 2004, as compared to $64.1 at November 30, 2003 and $62.1 at May 31, 2004. There were borrowings outstanding under these lines of credit equivalent to $33.6 at November 30, 2004, as compared to $35.4 at November 30, 2003 and $23.0 at May 31, 2004. These lines of credit are considered short-term in nature. The weighted average interest rates on the outstanding amounts were 5.6% and 5.9% at November 30, 2004 and 2003, respectively, and 5.5% at May 31, 2004.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31, 2004, Scholastic Corporation and its principal operating subsidiary, Scholastic Inc., entered into an unsecured revolving credit agreement with certain banks (the “Credit Agreement”), which replaced a similar loan agreement that was scheduled to expire on August 11, 2004 (the “Loan Agreement”). The Credit Agreement, which expires on March 31, 2009, provides for aggregate borrowings of up to $190.0 (with a right in certain circumstances to increase borrowings to $250.0), including the issuance of up to $10.0 in letters of credit. Interest under this facility is either at the prime rate or 0.325% to 0.975% over LIBOR (as defined). There is a facility fee ranging from 0.10% to 0.30% and a utilization fee ranging from 0.05% to 0.25% if borrowings exceed 50% of the total facility. The amounts charged vary based upon the Company’s credit rating. The interest rate, facility fee and utilization fee (when applicable) as of November 30, 2004 were 0.55% over LIBOR, 0.15% and 0.10%, respectively. The Credit Agreement contains certain financial covenants related to debt and interest coverage ratios (as defined) and limits dividends and other distributions. At November 30, 2004 and May 31, 2004, $45.0 million and $12.0 million, respectively, were outstanding under the Credit Agreement at a weighted average interest rate of 2.5% and 1.7%, respectively. There were no borrowings outstanding under the Loan Agreement at November 30, 2003, primarily due to the issuance of the 5% Notes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Scholastic Corporation and Scholastic Inc. are joint and several borrowers under an unsecured revolving loan agreement with a bank (the “Revolver”). As amended effective April 30, 2004, the Revolver provides for unsecured revolving credit of up to $40.0 and expires on March 31, 2009. Interest under this facility is either at the prime rate minus 1% or 0.375% to 1.025% over LIBOR (as defined). There is a facility fee ranging from 0.10% to 0.30%. The amounts charged vary based upon the Company’s credit rating. The interest rate and facility fee as of November 30, 2004 were 0.60% over LIBOR and 0.15%, respectively. The Revolver contains certain financial covenants related to debt and interest coverage ratios (as defined) and limits dividends and other distributions. At November 30, 2004 and May 31, 2004, $6.1 million and $2.2 million, respectively, were outstanding under the Revolver at a weighted average interest rate of 2.4% and 3.0%, respectively. There were no borrowings outstanding under the Revolver at November 30, 2003, primarily due to the issuance of the 5% Notes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3"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On April 4, 2003, Scholastic Corporation issued $175.0 of 5% Notes (the “5% Notes”). The 5% Notes are senior unsecured obligations that mature on April 15, 2013. Interest on the 5% Notes is payable semi-annually on April 15 and October 15 of each year.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Notes due 2003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Scholastic Corporation repaid the 7% Notes at maturity on December 15, 2003.</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i w:val="1"/>
          <w:iCs w:val="1"/>
          <w:color w:val="auto"/>
        </w:rPr>
        <w:t>5.75% Notes due 2007</w:t>
      </w:r>
    </w:p>
    <w:p>
      <w:pPr>
        <w:spacing w:after="0" w:line="23" w:lineRule="exact"/>
        <w:rPr>
          <w:sz w:val="20"/>
          <w:szCs w:val="20"/>
          <w:color w:val="auto"/>
        </w:rPr>
      </w:pPr>
    </w:p>
    <w:p>
      <w:pPr>
        <w:jc w:val="both"/>
        <w:ind w:right="160"/>
        <w:spacing w:after="0" w:line="283" w:lineRule="auto"/>
        <w:rPr>
          <w:sz w:val="20"/>
          <w:szCs w:val="20"/>
          <w:color w:val="auto"/>
        </w:rPr>
      </w:pPr>
      <w:r>
        <w:rPr>
          <w:rFonts w:ascii="Arial" w:cs="Arial" w:eastAsia="Arial" w:hAnsi="Arial"/>
          <w:sz w:val="17"/>
          <w:szCs w:val="17"/>
          <w:color w:val="auto"/>
        </w:rPr>
        <w:t xml:space="preserve">In January 2002, </w:t>
      </w:r>
      <w:r>
        <w:rPr>
          <w:rFonts w:ascii="Arial" w:cs="Arial" w:eastAsia="Arial" w:hAnsi="Arial"/>
          <w:sz w:val="16"/>
          <w:szCs w:val="16"/>
          <w:color w:val="auto"/>
        </w:rPr>
        <w:t>Scholastic Corporation issued $300.0 of 5.75% Notes (the “5.75% Notes”). The 5.75% Notes are senior unsecured obligations that mature on</w:t>
      </w:r>
      <w:r>
        <w:rPr>
          <w:rFonts w:ascii="Arial" w:cs="Arial" w:eastAsia="Arial" w:hAnsi="Arial"/>
          <w:sz w:val="17"/>
          <w:szCs w:val="17"/>
          <w:color w:val="auto"/>
        </w:rPr>
        <w:t xml:space="preserve"> </w:t>
      </w:r>
      <w:r>
        <w:rPr>
          <w:rFonts w:ascii="Arial" w:cs="Arial" w:eastAsia="Arial" w:hAnsi="Arial"/>
          <w:sz w:val="16"/>
          <w:szCs w:val="16"/>
          <w:color w:val="auto"/>
        </w:rPr>
        <w:t>January 15, 2007. Interest on the 5.75% Notes is payable semi-annually on July 15 and January 15 of each year. The Company may, at any time, redeem all or a portion of the 5.75%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November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November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 foreign</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currency translation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82.0</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2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658"/>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Basic earnings per share is computed by dividing net income by the weighted average Shares of Class A Stock and Common Stock outstanding during the period. Diluted earnings per share is calculated to give effect to potentially dilutive options to purchase Class A Stock and Common Stock issued pursuant to the Company’s stock-based benefit plans that were outstanding during the period. The following table summarizes the reconciliation of the numerators and denominators for the basic and diluted earnings per share computations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ended</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November 30,</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November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for basic and diluted earnings per share</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Shares of Class A Stock and Common Stock</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outstanding for basic earnings per share</w:t>
            </w:r>
          </w:p>
        </w:tc>
        <w:tc>
          <w:tcPr>
            <w:tcW w:w="9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Class A Stock and Common Stock issued</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pursuant to stock-based benefit plans</w:t>
            </w:r>
          </w:p>
        </w:tc>
        <w:tc>
          <w:tcPr>
            <w:tcW w:w="9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w w:val="97"/>
              </w:rPr>
              <w:t>Adjusted weighted average Shares of Class A Stock and Common</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Stock outstanding for diluted earnings per share</w:t>
            </w:r>
          </w:p>
        </w:tc>
        <w:tc>
          <w:tcPr>
            <w:tcW w:w="9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 of Class A Stock and Common Stock:</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for impairment annually, or more frequently if impairment indicators arise.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96"/>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Twelve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36"/>
              <w:spacing w:after="0"/>
              <w:rPr>
                <w:sz w:val="20"/>
                <w:szCs w:val="20"/>
                <w:color w:val="auto"/>
              </w:rPr>
            </w:pPr>
            <w:r>
              <w:rPr>
                <w:rFonts w:ascii="Arial" w:cs="Arial" w:eastAsia="Arial" w:hAnsi="Arial"/>
                <w:sz w:val="14"/>
                <w:szCs w:val="14"/>
                <w:b w:val="1"/>
                <w:bCs w:val="1"/>
                <w:color w:val="auto"/>
              </w:rPr>
              <w:t>November 30, 2004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May 31, 2004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November 30, 2003</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the six months ended November 30, 2003, the Company acquired certain assets of Troll Holdings, Inc., formerly a national school-based book club operator and publisher, for $4.0 in cash and the assumption of certain ordinary course liabilities, and the stock of BTBCAT, Inc., which operates Back to Basics Toys, a direct-to-home catalog business specializing in children’s toys, for $4.8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at the dates indicated:</w:t>
      </w:r>
    </w:p>
    <w:p>
      <w:pPr>
        <w:spacing w:after="0" w:line="217" w:lineRule="exact"/>
        <w:rPr>
          <w:sz w:val="20"/>
          <w:szCs w:val="20"/>
          <w:color w:val="auto"/>
        </w:rPr>
      </w:pPr>
    </w:p>
    <w:p>
      <w:pPr>
        <w:ind w:left="5720"/>
        <w:spacing w:after="0"/>
        <w:tabs>
          <w:tab w:leader="none" w:pos="7940" w:val="left"/>
          <w:tab w:leader="none" w:pos="9800" w:val="left"/>
        </w:tabs>
        <w:rPr>
          <w:sz w:val="20"/>
          <w:szCs w:val="20"/>
          <w:color w:val="auto"/>
        </w:rPr>
      </w:pPr>
      <w:r>
        <w:rPr>
          <w:rFonts w:ascii="Arial" w:cs="Arial" w:eastAsia="Arial" w:hAnsi="Arial"/>
          <w:sz w:val="14"/>
          <w:szCs w:val="14"/>
          <w:b w:val="1"/>
          <w:bCs w:val="1"/>
          <w:color w:val="auto"/>
        </w:rPr>
        <w:t>November 30, 2004</w:t>
      </w:r>
      <w:r>
        <w:rPr>
          <w:sz w:val="20"/>
          <w:szCs w:val="20"/>
          <w:color w:val="auto"/>
        </w:rPr>
        <w:tab/>
      </w:r>
      <w:r>
        <w:rPr>
          <w:rFonts w:ascii="Arial" w:cs="Arial" w:eastAsia="Arial" w:hAnsi="Arial"/>
          <w:sz w:val="14"/>
          <w:szCs w:val="14"/>
          <w:b w:val="1"/>
          <w:bCs w:val="1"/>
          <w:color w:val="auto"/>
        </w:rPr>
        <w:t>May 31, 2004</w:t>
      </w:r>
      <w:r>
        <w:rPr>
          <w:sz w:val="20"/>
          <w:szCs w:val="20"/>
          <w:color w:val="auto"/>
        </w:rPr>
        <w:tab/>
      </w:r>
      <w:r>
        <w:rPr>
          <w:rFonts w:ascii="Arial" w:cs="Arial" w:eastAsia="Arial" w:hAnsi="Arial"/>
          <w:sz w:val="13"/>
          <w:szCs w:val="13"/>
          <w:b w:val="1"/>
          <w:bCs w:val="1"/>
          <w:color w:val="auto"/>
        </w:rPr>
        <w:t>November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04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40"/>
          </w:cols>
          <w:pgMar w:left="240" w:top="584" w:right="21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0"/>
        </w:trPr>
        <w:tc>
          <w:tcPr>
            <w:tcW w:w="5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customer lists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Other intangibles</w:t>
            </w:r>
          </w:p>
        </w:tc>
        <w:tc>
          <w:tcPr>
            <w:tcW w:w="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intangibles</w:t>
            </w:r>
          </w:p>
        </w:tc>
        <w:tc>
          <w:tcPr>
            <w:tcW w:w="8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r>
      <w:tr>
        <w:trPr>
          <w:trHeight w:val="21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Amortization expense for Other intangibles totaled $0.1 for both the three and six months ended November 30, 2004, and $0.1 and $0.2 for the three and six months ended November 30, 2003, respectively. Amortization expense was $0.3 for the twelve months ended May 31, 2004. Amortization expense for these assets is currently estimated to total $0.3 for each of the fiscal years ending May 31, 2005 and 2006 and $0.2 for each of the fiscal years ending May 31, 2007 through 2009. The weighted average amortization periods for these assets by major asset class are two years and 13 years for customer lists and other intangibles,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November 30, 2004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19"/>
              <w:spacing w:after="0"/>
              <w:rPr>
                <w:sz w:val="20"/>
                <w:szCs w:val="20"/>
                <w:color w:val="auto"/>
              </w:rPr>
            </w:pPr>
            <w:r>
              <w:rPr>
                <w:rFonts w:ascii="Arial" w:cs="Arial" w:eastAsia="Arial" w:hAnsi="Arial"/>
                <w:sz w:val="14"/>
                <w:szCs w:val="14"/>
                <w:b w:val="1"/>
                <w:bCs w:val="1"/>
                <w:color w:val="auto"/>
              </w:rPr>
              <w:t>May 31, 2004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2003</w:t>
            </w:r>
          </w:p>
        </w:tc>
        <w:tc>
          <w:tcPr>
            <w:tcW w:w="20" w:type="dxa"/>
            <w:vAlign w:val="bottom"/>
          </w:tcPr>
          <w:p>
            <w:pPr>
              <w:spacing w:after="0"/>
              <w:rPr>
                <w:sz w:val="14"/>
                <w:szCs w:val="14"/>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carrying value by major class:</w:t>
            </w:r>
          </w:p>
        </w:tc>
        <w:tc>
          <w:tcPr>
            <w:tcW w:w="1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Titles</w:t>
            </w:r>
          </w:p>
        </w:tc>
        <w:tc>
          <w:tcPr>
            <w:tcW w:w="1520" w:type="dxa"/>
            <w:vAlign w:val="bottom"/>
          </w:tcPr>
          <w:p>
            <w:pPr>
              <w:jc w:val="right"/>
              <w:ind w:right="133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31.0</w:t>
            </w:r>
          </w:p>
        </w:tc>
        <w:tc>
          <w:tcPr>
            <w:tcW w:w="1540" w:type="dxa"/>
            <w:vAlign w:val="bottom"/>
            <w:gridSpan w:val="2"/>
          </w:tcPr>
          <w:p>
            <w:pPr>
              <w:jc w:val="right"/>
              <w:ind w:right="125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17.2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Major sets</w:t>
            </w:r>
          </w:p>
        </w:tc>
        <w:tc>
          <w:tcPr>
            <w:tcW w:w="1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 and Other</w:t>
            </w:r>
          </w:p>
        </w:tc>
        <w:tc>
          <w:tcPr>
            <w:tcW w:w="1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17.5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top w:val="single" w:sz="8" w:color="auto"/>
              <w:bottom w:val="single" w:sz="8" w:color="auto"/>
            </w:tcBorders>
          </w:tcPr>
          <w:p>
            <w:pPr>
              <w:jc w:val="right"/>
              <w:ind w:right="1334"/>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380" w:type="dxa"/>
            <w:vAlign w:val="bottom"/>
          </w:tcPr>
          <w:p>
            <w:pPr>
              <w:spacing w:after="0"/>
              <w:rPr>
                <w:sz w:val="24"/>
                <w:szCs w:val="24"/>
                <w:color w:val="auto"/>
              </w:rPr>
            </w:pPr>
          </w:p>
        </w:tc>
        <w:tc>
          <w:tcPr>
            <w:tcW w:w="1520" w:type="dxa"/>
            <w:vAlign w:val="bottom"/>
          </w:tcPr>
          <w:p>
            <w:pPr>
              <w:jc w:val="right"/>
              <w:ind w:right="1014"/>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538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following tables set forth components of the net periodic benefit costs under the Company’s cash balance retirement plan for its United States employees meeting certain eligibility requirements, the defined benefit pension plan of Scholastic Ltd., an indirect subsidiary of Scholastic Inc. located in the United Kingdom (the “U.K. Pension Plan”), the defined benefit pension plan of Grolier Ltd., an indirect subsidiary of Scholastic Inc. located in Canada (collectively, the “Pension Plans”), and the post-retirement benefits provided by the Company to its retired United States-based employees, consisting of certain healthcare and life insurance benefits (the “Post-Retirement Benefits”),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7"/>
              </w:rPr>
              <w:t>Pension Plans</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1920" w:type="dxa"/>
            <w:vAlign w:val="bottom"/>
            <w:gridSpan w:val="4"/>
          </w:tcPr>
          <w:p>
            <w:pPr>
              <w:jc w:val="center"/>
              <w:ind w:left="300"/>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4"/>
          </w:tcPr>
          <w:p>
            <w:pPr>
              <w:jc w:val="center"/>
              <w:ind w:left="240"/>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3"/>
              </w:rPr>
              <w:t>November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1"/>
              </w:rPr>
              <w:t>November 30,</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700" w:type="dxa"/>
            <w:vAlign w:val="bottom"/>
          </w:tcPr>
          <w:p>
            <w:pPr>
              <w:jc w:val="right"/>
              <w:ind w:right="5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60" w:type="dxa"/>
            <w:vAlign w:val="bottom"/>
          </w:tcPr>
          <w:p>
            <w:pPr>
              <w:jc w:val="right"/>
              <w:ind w:right="478"/>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Expected return on assets</w:t>
            </w:r>
          </w:p>
        </w:tc>
        <w:tc>
          <w:tcPr>
            <w:tcW w:w="7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(4.0)</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amortization and deferrals</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Decrease in valuation allowance</w:t>
            </w:r>
          </w:p>
        </w:tc>
        <w:tc>
          <w:tcPr>
            <w:tcW w:w="7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(0.6)</w:t>
            </w:r>
          </w:p>
        </w:tc>
      </w:tr>
      <w:tr>
        <w:trPr>
          <w:trHeight w:val="217"/>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70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54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Post-Retirement Benefits</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5460" w:type="dxa"/>
            <w:vAlign w:val="bottom"/>
          </w:tcPr>
          <w:p>
            <w:pPr>
              <w:spacing w:after="0"/>
              <w:rPr>
                <w:sz w:val="10"/>
                <w:szCs w:val="10"/>
                <w:color w:val="auto"/>
              </w:rPr>
            </w:pPr>
          </w:p>
        </w:tc>
        <w:tc>
          <w:tcPr>
            <w:tcW w:w="1920" w:type="dxa"/>
            <w:vAlign w:val="bottom"/>
            <w:gridSpan w:val="4"/>
          </w:tcPr>
          <w:p>
            <w:pPr>
              <w:jc w:val="center"/>
              <w:ind w:left="300"/>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4"/>
          </w:tcPr>
          <w:p>
            <w:pPr>
              <w:jc w:val="center"/>
              <w:ind w:left="240"/>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3"/>
              </w:rPr>
              <w:t>November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1"/>
              </w:rPr>
              <w:t>November 30,</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700" w:type="dxa"/>
            <w:vAlign w:val="bottom"/>
          </w:tcPr>
          <w:p>
            <w:pPr>
              <w:jc w:val="right"/>
              <w:ind w:right="5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478"/>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7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(0.4)</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gain or loss</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7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2005, the Company currently estimates that Scholastic Ltd. will contribute $0.8 to the U.K. Pension Plan and Scholastic Inc. will contribute $2.5 toward the Post-Retirement Benefits. For the six months ended November 30, 2004, Scholastic Ltd. contributed $0.5 to the U.K. Pension Plan and Scholastic Inc. contributed $1.0 toward the Post-Retirement Benefits.</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Severance Charges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28, 2003, the Company announced a reduction in its global work force and established liabilities for severance and other related costs with respect to affected employees notified in certain periods. These charges are reflected in the Company’s income statement as the Special severance charges and totaled $1.2 and $3.2 for the three and six months ended November 30, 2003, respectively, and $10.9 and $3.3 for the twelve months ended May 31, 2003 and 2004, respectively.</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related liabilities is detailed in the following table:</w:t>
      </w:r>
    </w:p>
    <w:p>
      <w:pPr>
        <w:spacing w:after="0" w:line="217"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p>
      <w:pPr>
        <w:spacing w:after="0" w:line="12" w:lineRule="exact"/>
        <w:rPr>
          <w:sz w:val="20"/>
          <w:szCs w:val="20"/>
          <w:color w:val="auto"/>
        </w:rPr>
      </w:pPr>
    </w:p>
    <w:p>
      <w:pPr>
        <w:spacing w:after="0"/>
        <w:tabs>
          <w:tab w:leader="none" w:pos="4300" w:val="left"/>
          <w:tab w:leader="none" w:pos="5240" w:val="left"/>
        </w:tabs>
        <w:rPr>
          <w:sz w:val="20"/>
          <w:szCs w:val="20"/>
          <w:color w:val="auto"/>
        </w:rPr>
      </w:pPr>
      <w:r>
        <w:rPr>
          <w:rFonts w:ascii="Arial" w:cs="Arial" w:eastAsia="Arial" w:hAnsi="Arial"/>
          <w:sz w:val="18"/>
          <w:szCs w:val="18"/>
          <w:color w:val="auto"/>
        </w:rPr>
        <w:t>Fiscal 2003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10.9</w:t>
      </w:r>
    </w:p>
    <w:p>
      <w:pPr>
        <w:sectPr>
          <w:pgSz w:w="11900" w:h="16838" w:orient="portrait"/>
          <w:cols w:equalWidth="0" w:num="1">
            <w:col w:w="11440"/>
          </w:cols>
          <w:pgMar w:left="240" w:top="140" w:right="21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Fiscal 2003 payments</w:t>
            </w:r>
          </w:p>
        </w:tc>
        <w:tc>
          <w:tcPr>
            <w:tcW w:w="48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2003</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Fiscal 2004 additional liabilities</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Fiscal 2004 payments</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May 31, 2004</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Fiscal 2005 payments</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gridSpan w:val="2"/>
            <w:shd w:val="clear" w:color="auto" w:fill="CCEEFF"/>
          </w:tcPr>
          <w:p>
            <w:pPr>
              <w:spacing w:after="0"/>
              <w:rPr>
                <w:sz w:val="18"/>
                <w:szCs w:val="18"/>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at November 30, 2004</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remaining liability of $1.1 is expected to be paid over the current and next fiscal year under salary continuance arrangements with certain affected employees.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Continuity Charges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fourth quarter of fiscal 2004, the Company recorded charges of $25.4 related to its continuity business. During the six months ended November 30, 2004, the Company recorded additional charges of $3.6, relating primarily to severance costs in its continuity business, as Selling, general and administrative expenses. Substantially all such severance payments are to be made prior to May 31, 2005. The impact of these charges on earnings per diluted share in the six months ended November 30, 2004 was $0.06.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Contingent Purchase Payment</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fiscal 2002, the Company completed the acquisition of Klutz, a publisher and creator of “books plus” products for children. In addition to the initial purchase price paid for Klutz of $42.8, the purchase agreement provided for additional payments of up to $31.3 in 2004 and 2005, contingent upon the achievement of certain revenue thresholds. The Company did not make any such payments in 2004.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Results for the quarter ended November 30, 2004 were consistent with the Company’s goal for fiscal 2005 of achieving higher profits and margins on lower revenues in a year with no new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release.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Net income for the quarter ended November 30, 2004 increased 9.0% as compared to the prior fiscal year quarter and operating margin improved to 17.6% in the current fiscal year quarter as compared to 16.2% a year ago, despite a 2.2% decline in revenues. A revenue decrease in the </w:t>
      </w:r>
      <w:r>
        <w:rPr>
          <w:rFonts w:ascii="Arial" w:cs="Arial" w:eastAsia="Arial" w:hAnsi="Arial"/>
          <w:sz w:val="17"/>
          <w:szCs w:val="17"/>
          <w:i w:val="1"/>
          <w:iCs w:val="1"/>
          <w:color w:val="auto"/>
        </w:rPr>
        <w:t>Children’s Book Publishing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Distribution </w:t>
      </w:r>
      <w:r>
        <w:rPr>
          <w:rFonts w:ascii="Arial" w:cs="Arial" w:eastAsia="Arial" w:hAnsi="Arial"/>
          <w:sz w:val="17"/>
          <w:szCs w:val="17"/>
          <w:color w:val="auto"/>
        </w:rPr>
        <w:t>segment was partially offset by revenue growth in each of the Company’s other segments, led by</w:t>
      </w:r>
      <w:r>
        <w:rPr>
          <w:rFonts w:ascii="Arial" w:cs="Arial" w:eastAsia="Arial" w:hAnsi="Arial"/>
          <w:sz w:val="17"/>
          <w:szCs w:val="17"/>
          <w:i w:val="1"/>
          <w:iCs w:val="1"/>
          <w:color w:val="auto"/>
        </w:rPr>
        <w:t xml:space="preserve"> Educational Publishing</w:t>
      </w:r>
      <w:r>
        <w:rPr>
          <w:rFonts w:ascii="Arial" w:cs="Arial" w:eastAsia="Arial" w:hAnsi="Arial"/>
          <w:sz w:val="17"/>
          <w:szCs w:val="17"/>
          <w:color w:val="auto"/>
        </w:rPr>
        <w: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margins and profits in the quarter improved in each segment other than </w:t>
      </w:r>
      <w:r>
        <w:rPr>
          <w:rFonts w:ascii="Arial" w:cs="Arial" w:eastAsia="Arial" w:hAnsi="Arial"/>
          <w:sz w:val="17"/>
          <w:szCs w:val="17"/>
          <w:i w:val="1"/>
          <w:iCs w:val="1"/>
          <w:color w:val="auto"/>
        </w:rPr>
        <w:t>International</w:t>
      </w:r>
      <w:r>
        <w:rPr>
          <w:rFonts w:ascii="Arial" w:cs="Arial" w:eastAsia="Arial" w:hAnsi="Arial"/>
          <w:sz w:val="17"/>
          <w:szCs w:val="17"/>
          <w:color w:val="auto"/>
        </w:rPr>
        <w:t>, where profits declined modestly.</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 xml:space="preserve">Key factors in the quarter ended November 30, 2004 included significant growth in revenues and profits in the </w:t>
      </w:r>
      <w:r>
        <w:rPr>
          <w:rFonts w:ascii="Arial" w:cs="Arial" w:eastAsia="Arial" w:hAnsi="Arial"/>
          <w:sz w:val="17"/>
          <w:szCs w:val="17"/>
          <w:i w:val="1"/>
          <w:iCs w:val="1"/>
          <w:color w:val="auto"/>
        </w:rPr>
        <w:t>Educational Publishing</w:t>
      </w:r>
      <w:r>
        <w:rPr>
          <w:rFonts w:ascii="Arial" w:cs="Arial" w:eastAsia="Arial" w:hAnsi="Arial"/>
          <w:sz w:val="17"/>
          <w:szCs w:val="17"/>
          <w:color w:val="auto"/>
        </w:rPr>
        <w:t xml:space="preserve"> segment, led by sales of educational technology products, including </w:t>
      </w:r>
      <w:r>
        <w:rPr>
          <w:rFonts w:ascii="Arial" w:cs="Arial" w:eastAsia="Arial" w:hAnsi="Arial"/>
          <w:sz w:val="17"/>
          <w:szCs w:val="17"/>
          <w:i w:val="1"/>
          <w:iCs w:val="1"/>
          <w:color w:val="auto"/>
        </w:rPr>
        <w:t>Read 180</w:t>
      </w:r>
      <w:r>
        <w:rPr>
          <w:rFonts w:ascii="Arial" w:cs="Arial" w:eastAsia="Arial" w:hAnsi="Arial"/>
          <w:sz w:val="28"/>
          <w:szCs w:val="28"/>
          <w:color w:val="auto"/>
          <w:vertAlign w:val="superscript"/>
        </w:rPr>
        <w:t>â</w:t>
      </w:r>
      <w:r>
        <w:rPr>
          <w:rFonts w:ascii="Arial" w:cs="Arial" w:eastAsia="Arial" w:hAnsi="Arial"/>
          <w:sz w:val="17"/>
          <w:szCs w:val="17"/>
          <w:color w:val="auto"/>
        </w:rPr>
        <w:t>, the Company’s reading intervention program; lower revenues, higher profits and lower bad debt in the Company’s continuity business, reflecting the Company’s strategy for this business of focusing on its most productive customers; and growth in non-</w:t>
      </w:r>
      <w:r>
        <w:rPr>
          <w:rFonts w:ascii="Arial" w:cs="Arial" w:eastAsia="Arial" w:hAnsi="Arial"/>
          <w:sz w:val="17"/>
          <w:szCs w:val="17"/>
          <w:i w:val="1"/>
          <w:iCs w:val="1"/>
          <w:color w:val="auto"/>
        </w:rPr>
        <w:t xml:space="preserve">Harry Potter </w:t>
      </w:r>
      <w:r>
        <w:rPr>
          <w:rFonts w:ascii="Arial" w:cs="Arial" w:eastAsia="Arial" w:hAnsi="Arial"/>
          <w:sz w:val="17"/>
          <w:szCs w:val="17"/>
          <w:color w:val="auto"/>
        </w:rPr>
        <w:t>trade revenues, which partially offset an expected decrease in</w:t>
      </w:r>
      <w:r>
        <w:rPr>
          <w:rFonts w:ascii="Arial" w:cs="Arial" w:eastAsia="Arial" w:hAnsi="Arial"/>
          <w:sz w:val="17"/>
          <w:szCs w:val="17"/>
          <w:i w:val="1"/>
          <w:iCs w:val="1"/>
          <w:color w:val="auto"/>
        </w:rPr>
        <w:t xml:space="preserve"> Harry Potter </w:t>
      </w:r>
      <w:r>
        <w:rPr>
          <w:rFonts w:ascii="Arial" w:cs="Arial" w:eastAsia="Arial" w:hAnsi="Arial"/>
          <w:sz w:val="17"/>
          <w:szCs w:val="17"/>
          <w:color w:val="auto"/>
        </w:rPr>
        <w:t>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Revenues for the quarter ended November 30, 2004 decreased $15.7 million, or 2.2%, to $683.3 million, compared to $699.0 million in the prior fiscal year quarter. The decrease was principally due to lower revenues from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of $25.7 million, partially offset by growth in the </w:t>
      </w:r>
      <w:r>
        <w:rPr>
          <w:rFonts w:ascii="Arial" w:cs="Arial" w:eastAsia="Arial" w:hAnsi="Arial"/>
          <w:sz w:val="17"/>
          <w:szCs w:val="17"/>
          <w:i w:val="1"/>
          <w:iCs w:val="1"/>
          <w:color w:val="auto"/>
        </w:rPr>
        <w:t>Educational Publishing</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segments of $7.2 million and $1.6 million, respectively. For the six months ended November 30, 2004, revenues decreased $167.4 million, or 14.3%, to $1,007.0 million from $1,174.4 million in the prior fiscal year period. This revenue decrease related primarily to $191.8 million in lower revenues from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as compared to the prior fiscal year period, which reflected the release of </w:t>
      </w:r>
      <w:r>
        <w:rPr>
          <w:rFonts w:ascii="Arial" w:cs="Arial" w:eastAsia="Arial" w:hAnsi="Arial"/>
          <w:sz w:val="17"/>
          <w:szCs w:val="17"/>
          <w:i w:val="1"/>
          <w:iCs w:val="1"/>
          <w:color w:val="auto"/>
        </w:rPr>
        <w:t>Harry Potter and the Order of the Phoenix,</w:t>
      </w:r>
      <w:r>
        <w:rPr>
          <w:rFonts w:ascii="Arial" w:cs="Arial" w:eastAsia="Arial" w:hAnsi="Arial"/>
          <w:sz w:val="17"/>
          <w:szCs w:val="17"/>
          <w:color w:val="auto"/>
        </w:rPr>
        <w:t xml:space="preserve"> the fifth book in the series, partially offset by growth in the </w:t>
      </w:r>
      <w:r>
        <w:rPr>
          <w:rFonts w:ascii="Arial" w:cs="Arial" w:eastAsia="Arial" w:hAnsi="Arial"/>
          <w:sz w:val="17"/>
          <w:szCs w:val="17"/>
          <w:i w:val="1"/>
          <w:iCs w:val="1"/>
          <w:color w:val="auto"/>
        </w:rPr>
        <w:t>Educational Publishing</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segments of $19.6 million and $8.1 million,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Cost of goods sold as a percentage of revenues increased slightly to 44.1% for the quarter ended November 30, 2004, as compared to 43.7% in the prior fiscal year quarter. For the six-month period ended November 30, 2004, cost of goods sold as a percentage of revenue improved to 47.4%, as compared to 50.0% in the prior fiscal year period, primarily due to higher costs related to the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release in the prior fiscal year.</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Selling, general and administrative expenses as a percentage of revenues improved slightly to 33.6% for the quarter ended November 30, 2004, as compared to 33.9% in the prior fiscal year quarter. For the six-month period ended November 30, 2004, Selling, general and administrative expenses included $3.6 million in severance costs and related employee expenses (the “Continuity Charges”) recorded in connection with the changes to the continuity business announced in fiscal 2004. As a percentage of revenues, Selling, general and administrative expenses for the six-month period ended November 30, 2004 increased to 41.5% from 36.2% in the prior fiscal year period, primarily due to lower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revenues in the current fiscal year period without a corresponding decrease in expenses.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Bad debt expense decreased to $19.6 million, or 2.9% of revenues, for the quarter ended November 30, 2004, compared to $28.4 million, or 4.1% of revenues, in the prior fiscal year period. For the six-month period ended November 30, 2004, bad debt expense decreased to $35.8 million, or 3.6% of revenues, compared to $49.1 million, or 4.2% of revenues, in the prior fiscal year period. The decreases in the three- and six-month periods were due to lower bad debt in the Company’s continuity business.</w:t>
      </w:r>
    </w:p>
    <w:p>
      <w:pPr>
        <w:sectPr>
          <w:pgSz w:w="11900" w:h="16838" w:orient="portrait"/>
          <w:cols w:equalWidth="0" w:num="1">
            <w:col w:w="11400"/>
          </w:cols>
          <w:pgMar w:left="240" w:top="125" w:right="259" w:bottom="0" w:gutter="0" w:footer="0" w:header="0"/>
        </w:sectPr>
      </w:pPr>
    </w:p>
    <w:bookmarkStart w:id="10" w:name="page11"/>
    <w:bookmarkEnd w:id="10"/>
    <w:p>
      <w:pPr>
        <w:ind w:right="500"/>
        <w:spacing w:after="0" w:line="308" w:lineRule="auto"/>
        <w:rPr>
          <w:sz w:val="20"/>
          <w:szCs w:val="20"/>
          <w:color w:val="auto"/>
        </w:rPr>
      </w:pPr>
      <w:r>
        <w:rPr>
          <w:rFonts w:ascii="Arial" w:cs="Arial" w:eastAsia="Arial" w:hAnsi="Arial"/>
          <w:sz w:val="17"/>
          <w:szCs w:val="17"/>
          <w:color w:val="auto"/>
        </w:rPr>
        <w:t>In connection with the Company’s May 2003 announcement of a reduction in its global work force, Special severance charges of $1.2 million and $3.2 million were recorded in the three- and six-month periods ended November 30, 2003, respectively, for employees notified in those periods.</w:t>
      </w:r>
    </w:p>
    <w:p>
      <w:pPr>
        <w:spacing w:after="0" w:line="14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resulting operating income for the quarter ended November 30, 2004 increased by $7.0 million to $120.4 million, or 17.6% of revenues, compared to $113.4 million, or 16.2 % of revenues, in the prior fiscal year quarter. For the six months ended November 30, 2004, the resulting operating income decreased to $49.4 million, or 4.9% of revenues, compared to $83.6 million, or 7.1% of revenues, in the prior fiscal year period.</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interest expense decreased $1.5 million to $7.7 million in the quarter ended November 30, 2004, compared to $9.2 million in the prior fiscal year quarter. For the six-month period ended November 30, 2004, net interest expense decreased $3.4 million to $14.7 million as compared to $18.1 million in the prior fiscal year period. The decreases in the three- and six-month periods were primarily due to lower debt levels.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income was $72.7 million, or $1.80 per diluted share, for the quarter ended November 30, 2004, compared to net income of $66.7 million, or $1.67 per diluted share, in the prior fiscal year quarter. For the six months ended November 30, 2004, net income was $22.4 million, or $0.56 per diluted share, compared to net income of $41.9 million, or $1.05 per diluted share, in the prior fiscal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p>
      <w:pPr>
        <w:spacing w:after="0" w:line="23"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includes the publication and distribution of children’s books in the United States through school-based book clubs and book fairs, school-based and direct-to-home continuity programs and the trade channel.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00" w:type="dxa"/>
            <w:vAlign w:val="bottom"/>
          </w:tcPr>
          <w:p>
            <w:pPr>
              <w:spacing w:after="0"/>
              <w:rPr>
                <w:sz w:val="14"/>
                <w:szCs w:val="14"/>
                <w:color w:val="auto"/>
              </w:rPr>
            </w:pPr>
          </w:p>
        </w:tc>
        <w:tc>
          <w:tcPr>
            <w:tcW w:w="20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November 30,</w:t>
            </w: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3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546.8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93.7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20.8%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includes $3.6 million of Continuity Charges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Revenues in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for the quarter ended November 30, 2004 decreased $25.7 million, or 5.7%, to $425.0 million, compared to $450.7 million in the prior fiscal year quarter, principally due to a revenue decrease in the Company’s continuity business of $21.2 million, or 27.4%, from the prior fiscal year quarter as a result of the Company’s strategy of focusing on its more productive continuity customers. School-based book club revenues were affected by a late school start and declined $5.5 million. Revenues from the Company’s trade business declined $4.1 million, with an increase in non-</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revenues of approximately $6 million offset by lower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revenues of approximately $10 million. Revenues for the Company’s school-based book fairs business increased $5.1 million due primarily to an increase in revenue per fair. Excluding the direct-to-home continuity business described in the table below, segment revenues for the quarter ended November 30, 2004 decreased $10.0 million to $385.6 million, as compared to $395.6 million in the prior fiscal year quarter.</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Segment operating profit for the quarter ended November 30, 2004 increased $2.0 million, or 2.1%, to $95.7 million, compared to $93.7 million in the prior fiscal year quarter. This increase was due to higher operating profits in the Company’s school-based book club, continuity and trade businesses of $1.5 million, $1.4 million and $1.3 million, respectively, partially offset by an operating profit decrease in school-based book fairs of $2.2 million. The increase in operating profit for the Company’s continuity business was due to lower promotional costs of approximately $9 million and lower bad debt expense of approximately $8 million, largely offset by decreased revenues, consistent with the Company’s previously announced plan for this business. Excluding the direct-to-home continuity business described in the table below, segment operating profit for the quarter ended November 30, 2004 increased $2.3 million to $95.7 million, as compared to $93.4 million in the prior fiscal year quarter.</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Revenues for the six months ended November 30, 2004 decreased $191.8 million, or 26.0%, to $546.8 million, compared to $738.6 million in the prior fiscal year period. This decrease primarily related to lower revenues from the Company’s trade business of $161.8 million due to lower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revenues of approximately $170 million, partially offset by increased non-</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revenues of approximately $10 million. Continuity business revenues decreased $30.2 million to $111.5 million, as compared to $141.8 million in the prior fiscal year period, which was consistent with the previously announced plan for this business. Excluding the direct-to-home continuity business described in the table below, segment revenues for the six months ended November 30, 2004 decreased $167.1 million to $466.2 million, as compared to $633.3 million in the prior fiscal year period.</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Segment operating profit for the six months ended November 30, 2004 decreased $46.4 million, or 60.2%, to $30.7 million, compared to $77.1 million in the prior fiscal year period. The decrease was primarily due to lower operating results for the Company’s trade business of approximately $42 million, resulting primarily from lower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revenues. Operating results for the Company’s continuity business, which includes $3.6 million in Continuity Charges, decreased $1.2 million. Excluding the direct-to-home continuity business described in the table below, segment operating profit for the six months ended November 30, 2004 decreased $39.8 million to $35.3 million, as compared to $75.1 million in the prior fiscal year period.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following table highlights the results of the direct-to-home continuity programs, which consist primarily of the business formerly operated by Grolier Incorporated (“Grolier”) and are included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6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3"/>
              </w:rPr>
              <w:t>November 30,</w:t>
            </w:r>
          </w:p>
        </w:tc>
        <w:tc>
          <w:tcPr>
            <w:tcW w:w="600" w:type="dxa"/>
            <w:vAlign w:val="bottom"/>
          </w:tcPr>
          <w:p>
            <w:pPr>
              <w:spacing w:after="0"/>
              <w:rPr>
                <w:sz w:val="14"/>
                <w:szCs w:val="14"/>
                <w:color w:val="auto"/>
              </w:rPr>
            </w:pPr>
          </w:p>
        </w:tc>
        <w:tc>
          <w:tcPr>
            <w:tcW w:w="1480" w:type="dxa"/>
            <w:vAlign w:val="bottom"/>
            <w:gridSpan w:val="3"/>
          </w:tcPr>
          <w:p>
            <w:pPr>
              <w:jc w:val="center"/>
              <w:ind w:right="528"/>
              <w:spacing w:after="0"/>
              <w:rPr>
                <w:sz w:val="20"/>
                <w:szCs w:val="20"/>
                <w:color w:val="auto"/>
              </w:rPr>
            </w:pPr>
            <w:r>
              <w:rPr>
                <w:rFonts w:ascii="Arial" w:cs="Arial" w:eastAsia="Arial" w:hAnsi="Arial"/>
                <w:sz w:val="14"/>
                <w:szCs w:val="14"/>
                <w:b w:val="1"/>
                <w:bCs w:val="1"/>
                <w:color w:val="auto"/>
                <w:w w:val="91"/>
              </w:rPr>
              <w:t>November 30,</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380"/>
          </w:cols>
          <w:pgMar w:left="240" w:top="125" w:right="279" w:bottom="0" w:gutter="0" w:footer="0" w:header="0"/>
        </w:sectPr>
      </w:pPr>
    </w:p>
    <w:p>
      <w:pPr>
        <w:ind w:left="660"/>
        <w:spacing w:after="0"/>
        <w:tabs>
          <w:tab w:leader="none" w:pos="4520" w:val="left"/>
          <w:tab w:leader="none" w:pos="5080" w:val="left"/>
          <w:tab w:leader="none" w:pos="5680" w:val="left"/>
          <w:tab w:leader="none" w:pos="6260" w:val="left"/>
          <w:tab w:leader="none" w:pos="6880" w:val="left"/>
          <w:tab w:leader="none" w:pos="7460" w:val="left"/>
          <w:tab w:leader="none" w:pos="8060" w:val="left"/>
          <w:tab w:leader="none" w:pos="856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4286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1" w:name="page12"/>
    <w:bookmarkEnd w:id="11"/>
    <w:tbl>
      <w:tblPr>
        <w:tblLayout w:type="fixed"/>
        <w:tblInd w:w="6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profit (loss)</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900" w:type="dxa"/>
            <w:vAlign w:val="bottom"/>
          </w:tcPr>
          <w:p>
            <w:pPr>
              <w:ind w:left="680"/>
              <w:spacing w:after="0"/>
              <w:rPr>
                <w:sz w:val="20"/>
                <w:szCs w:val="20"/>
                <w:color w:val="auto"/>
              </w:rPr>
            </w:pPr>
            <w:r>
              <w:rPr>
                <w:rFonts w:ascii="Arial" w:cs="Arial" w:eastAsia="Arial" w:hAnsi="Arial"/>
                <w:sz w:val="18"/>
                <w:szCs w:val="18"/>
                <w:color w:val="auto"/>
                <w:w w:val="79"/>
              </w:rPr>
              <w:t>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right="8020" w:firstLine="8"/>
        <w:spacing w:after="0" w:line="277"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$3.6 million of Continuity Charges ** not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Publishing</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includes the publication and distribution to schools and libraries of educational technology, curriculum materials, children’s books, classroom magazines and print and on-line reference and non-fiction products for grades pre-kindergarten to 12 in the United States.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87"/>
              <w:spacing w:after="0"/>
              <w:rPr>
                <w:sz w:val="20"/>
                <w:szCs w:val="20"/>
                <w:color w:val="auto"/>
              </w:rPr>
            </w:pPr>
            <w:r>
              <w:rPr>
                <w:rFonts w:ascii="Arial" w:cs="Arial" w:eastAsia="Arial" w:hAnsi="Arial"/>
                <w:sz w:val="14"/>
                <w:szCs w:val="14"/>
                <w:b w:val="1"/>
                <w:bCs w:val="1"/>
                <w:color w:val="auto"/>
                <w:w w:val="91"/>
              </w:rPr>
              <w:t>November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4"/>
                <w:szCs w:val="14"/>
                <w:b w:val="1"/>
                <w:bCs w:val="1"/>
                <w:color w:val="auto"/>
                <w:w w:val="91"/>
              </w:rPr>
              <w:t>November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3"/>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94.5</w:t>
            </w: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68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85"/>
              </w:rPr>
              <w:t>20.6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21.8%</w:t>
            </w:r>
          </w:p>
        </w:tc>
        <w:tc>
          <w:tcPr>
            <w:tcW w:w="6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7"/>
              </w:rPr>
              <w:t>15.2%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November 30, 2004 increased $7.2 million, or 8.2%, to $94.5 million, compared to</w:t>
      </w:r>
    </w:p>
    <w:p>
      <w:pPr>
        <w:spacing w:after="0" w:line="46"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 xml:space="preserve">$87.3 million in the prior fiscal year quarter. This increase was primarily due to $5.2 million of higher revenues from the technology-based </w:t>
      </w:r>
      <w:r>
        <w:rPr>
          <w:rFonts w:ascii="Arial" w:cs="Arial" w:eastAsia="Arial" w:hAnsi="Arial"/>
          <w:sz w:val="17"/>
          <w:szCs w:val="17"/>
          <w:i w:val="1"/>
          <w:iCs w:val="1"/>
          <w:color w:val="auto"/>
        </w:rPr>
        <w:t>Read 180</w:t>
      </w:r>
      <w:r>
        <w:rPr>
          <w:rFonts w:ascii="Arial" w:cs="Arial" w:eastAsia="Arial" w:hAnsi="Arial"/>
          <w:sz w:val="28"/>
          <w:szCs w:val="28"/>
          <w:color w:val="auto"/>
          <w:vertAlign w:val="superscript"/>
        </w:rPr>
        <w:t>â</w:t>
      </w:r>
      <w:r>
        <w:rPr>
          <w:rFonts w:ascii="Arial" w:cs="Arial" w:eastAsia="Arial" w:hAnsi="Arial"/>
          <w:sz w:val="17"/>
          <w:szCs w:val="17"/>
          <w:color w:val="auto"/>
        </w:rPr>
        <w:t xml:space="preserve"> reading intervention program. Segment revenues for the six months ended November 30, 2004 increased $19.6 million, or 10.2%, to $212.7 million, compared to $193.1 million in the prior fiscal year period, primarily due to a $20.0 million increase in </w:t>
      </w:r>
      <w:r>
        <w:rPr>
          <w:rFonts w:ascii="Arial" w:cs="Arial" w:eastAsia="Arial" w:hAnsi="Arial"/>
          <w:sz w:val="17"/>
          <w:szCs w:val="17"/>
          <w:i w:val="1"/>
          <w:iCs w:val="1"/>
          <w:color w:val="auto"/>
        </w:rPr>
        <w:t>Read 180</w:t>
      </w:r>
      <w:r>
        <w:rPr>
          <w:rFonts w:ascii="Arial" w:cs="Arial" w:eastAsia="Arial" w:hAnsi="Arial"/>
          <w:sz w:val="28"/>
          <w:szCs w:val="28"/>
          <w:color w:val="auto"/>
          <w:vertAlign w:val="superscript"/>
        </w:rPr>
        <w:t>â</w:t>
      </w:r>
      <w:r>
        <w:rPr>
          <w:rFonts w:ascii="Arial" w:cs="Arial" w:eastAsia="Arial" w:hAnsi="Arial"/>
          <w:sz w:val="17"/>
          <w:szCs w:val="17"/>
          <w:color w:val="auto"/>
        </w:rPr>
        <w:t xml:space="preserve"> revenues.</w:t>
      </w:r>
    </w:p>
    <w:p>
      <w:pPr>
        <w:spacing w:after="0" w:line="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Segment operating profit for the quarter ended November 30, 2004 increased $7.3 million, or 54.9%, to $20.6 million, as compared to $13.3 million in the prior fiscal year quarter. Segment operating profit for the six months ended November 30, 2004 increased $14.0 million, or 48.6%, to $42.8 million, compared to $28.8 million in the prior fiscal year period. The operating profit improvements for the three- and six-month periods were primarily due to increased </w:t>
      </w:r>
      <w:r>
        <w:rPr>
          <w:rFonts w:ascii="Arial" w:cs="Arial" w:eastAsia="Arial" w:hAnsi="Arial"/>
          <w:sz w:val="18"/>
          <w:szCs w:val="18"/>
          <w:i w:val="1"/>
          <w:iCs w:val="1"/>
          <w:color w:val="auto"/>
        </w:rPr>
        <w:t>Read 180</w:t>
      </w:r>
      <w:r>
        <w:rPr>
          <w:rFonts w:ascii="Arial" w:cs="Arial" w:eastAsia="Arial" w:hAnsi="Arial"/>
          <w:sz w:val="30"/>
          <w:szCs w:val="30"/>
          <w:color w:val="auto"/>
          <w:vertAlign w:val="superscript"/>
        </w:rPr>
        <w:t>â</w:t>
      </w:r>
      <w:r>
        <w:rPr>
          <w:rFonts w:ascii="Arial" w:cs="Arial" w:eastAsia="Arial" w:hAnsi="Arial"/>
          <w:sz w:val="18"/>
          <w:szCs w:val="18"/>
          <w:color w:val="auto"/>
        </w:rPr>
        <w:t xml:space="preserve"> revenues.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Licensing and Advertising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includes the production and/or distribution of software in the United States; the production and/or distribution, primarily by and through the Corporation’s subsidiary, Scholastic Entertainment Inc., of programming and consumer products (including children’s television programming, videos, software, feature films, promotional activities and non-book merchandise); and advertising revenue, including sponsorship programs.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216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3"/>
              </w:rPr>
              <w:t>November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93"/>
              </w:rPr>
              <w:t>November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0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4"/>
              </w:rPr>
              <w:t>*</w:t>
            </w: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not meaningful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for the quarter ended November 30, 2004 increased $1.2 million, or 2.6%, to $47.6 million, compared to $46.4 million in the prior fiscal year quarter. Segment revenues for the six months ended November 30, 2004 decreased $3.3 million, or 5.3%, to $59.5 million, compared to $62.8 million in the prior fiscal year period, primarily due to lower programming revenues and product licensing fees of $4.0 million.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Segment operating profit for the quarter ended November 30, 2004 increased slightly to $3.2 million. Segment operating loss for the six months ended November 30, 2004 increased $1.6 million compared to the prior fiscal year period, primarily due to decreased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includes the publication and distribution of products and services outside the United States by the Company’s international operations, and its export and foreign rights businesses.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3"/>
                <w:szCs w:val="13"/>
                <w:color w:val="auto"/>
              </w:rPr>
            </w:pPr>
          </w:p>
        </w:tc>
        <w:tc>
          <w:tcPr>
            <w:tcW w:w="21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Six months ended</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3"/>
              </w:rPr>
              <w:t>November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3"/>
              </w:rPr>
              <w:t>November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179.9</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81" w:gutter="0" w:footer="0" w:header="0"/>
        </w:sectPr>
      </w:pPr>
    </w:p>
    <w:bookmarkStart w:id="12" w:name="page13"/>
    <w:bookmarkEnd w:id="12"/>
    <w:p>
      <w:pPr>
        <w:ind w:right="80"/>
        <w:spacing w:after="0" w:line="286" w:lineRule="auto"/>
        <w:rPr>
          <w:sz w:val="20"/>
          <w:szCs w:val="20"/>
          <w:color w:val="auto"/>
        </w:rPr>
      </w:pPr>
      <w:r>
        <w:rPr>
          <w:rFonts w:ascii="Arial" w:cs="Arial" w:eastAsia="Arial" w:hAnsi="Arial"/>
          <w:sz w:val="17"/>
          <w:szCs w:val="17"/>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7"/>
          <w:szCs w:val="17"/>
          <w:color w:val="auto"/>
        </w:rPr>
        <w:t xml:space="preserve"> </w:t>
      </w:r>
      <w:r>
        <w:rPr>
          <w:rFonts w:ascii="Arial" w:cs="Arial" w:eastAsia="Arial" w:hAnsi="Arial"/>
          <w:sz w:val="16"/>
          <w:szCs w:val="16"/>
          <w:color w:val="auto"/>
        </w:rPr>
        <w:t>segment for the quarter ended November 30, 2004 increased $1.6 million, or 1.4%, to $116.2 million, compared to $114.6 million</w:t>
      </w:r>
      <w:r>
        <w:rPr>
          <w:rFonts w:ascii="Arial" w:cs="Arial" w:eastAsia="Arial" w:hAnsi="Arial"/>
          <w:sz w:val="17"/>
          <w:szCs w:val="17"/>
          <w:color w:val="auto"/>
        </w:rPr>
        <w:t xml:space="preserve"> </w:t>
      </w:r>
      <w:r>
        <w:rPr>
          <w:rFonts w:ascii="Arial" w:cs="Arial" w:eastAsia="Arial" w:hAnsi="Arial"/>
          <w:sz w:val="16"/>
          <w:szCs w:val="16"/>
          <w:color w:val="auto"/>
        </w:rPr>
        <w:t>in the prior fiscal year quarter. This increase was primarily due to the favorable impact of foreign currency exchange rates of $7.0 million, partially offset by lower revenues in the export business of $5.3 million, principally due to a high level of Department of Defense orders for educational materials in the prior fiscal year quarter. Segment revenues for the six months ended November 30, 2004 increased $8.1 million, or 4.5%, to $188.0 million, as compared to $179.9 million in the prior fiscal year period. This increase was primarily due to the favorable impact of foreign currency exchange rates of $11.6 million and local currency revenue growth in Australia equivalent to $3.1 million, partially offset by lower revenues in the export business of $7.3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Segment operating profit for the quarter ended November 30, 2004 decreased $2.1 million, or 9.9%, to $19.2 million, as compared to $21.3 million in the prior fiscal year quarter. This decrease was primarily due to lower operating profit in the export business of $3.8 million and a local currency operating profit decrease in Canada equivalent to $1.3 million. These decreases were partially offset by the favorable impact of foreign currency exchange rates of $1.5 million. Segment operating profit for the six months ended November 30, 2004 decreased $1.2 million, or 6.9%, to $16.2 million, compared to $17.4 million in the prior fiscal year period. This decrease was primarily due to lower operating profits in the export business of $4.3 million, partially offset by an increase in local currency operating profit in the Australian business equivalent to $1.9 million and the favorable impact of foreign currency exchange rates of $1.6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consequence,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are highest in the first quarter. The Company experiences a substantial loss from operations in the first quarter of each fiscal year.</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June through October time period, the Company experiences negative cash flow due to the seasonality of its business. As a result of the Company’s business cycle, seasonal borrowings have historically increased during June, July and August, have generally peaked in September or October, and have been at their lowest point in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cash and cash equivalents were $27.1 million at November 30, 2004, compared to $70.3 million at November 30, 2003 and $17.8 million at May 31, 2004.</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flow provided by operations was $27.2 million for the six-month period ended November 30, 2004, compared to $68.9 million in the prior fiscal year period. This decrease resulted principally from lower Net income and decreases in changes to Accounts payable and other accrued expenses, Accounts receivable (net of Provision for losses on accounts receivable), and Accrued royalties, primarily related to the lower level of trade revenues in the current fiscal year period as compared to the prior fiscal year period.</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outflow for investing activities was $69.2 million for the six-month period ended November 30, 2004, compared to $70.7 million in the prior fiscal year period.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believes its existing cash position, combined with funds generated from operations and available under the Credit Agreement and the Revolver, described in “Financing” below, will be sufficient to finance its ongoing working capital requirements. The Company anticipates refinancing its debt obligations prior to their respective maturity dates, to the extent not paid through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March 31, 2004, Scholastic Corporation and Scholastic Inc. entered into an unsecured revolving credit agreement with certain banks (the “Credit Agreement”), which replaced a similar loan agreement that was scheduled to expire on August 11, 2004 (the “Loan Agreement”). The Credit Agreement, which expires on March 31, 2009, provides for aggregate borrowings of up to $190.0 million (with a right in certain circumstances to increase borrowings to $250.0 million), including the issuance of up to $10.0 million in letters of credit. Interest under this facility is either at the prime rate or 0.325% to 0.975% over LIBOR (as defined). There is a facility fee ranging from 0.10% to 0.30% and a utilization fee ranging from 0.05% to 0.25% if borrowings exceed 50% of the total facility. The amounts charged vary based upon the Company’s credit rating. The interest rate, facility fee and utilization fee (when applicable) as of November 30, 2004 were 0.55% over LIBOR, and 0.15% and 0.10%, respectively. The Credit Agreement contains certain financial covenants related to debt and interest coverage ratios (as defined) and limits dividends and other distributions. At November 30, 2004 and May 31, 2004, $45.0 million and $12.0 million, respectively, were outstanding under the Credit Agreement at a weighted average interest rate of 2.5% and 1.7%, respectively. At November 30, 2003, there were no borrowings outstanding under the Loan Agreement, primarily due to the issuance by Scholastic Corporation on April 4, 2003 of $175 million of 5% Notes, due April 15, 2013 (the “5% Notes”).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Scholastic Corporation and Scholastic Inc. are joint and several borrowers under an unsecured revolving loan agreement with a bank (the “Revolver”). As amended effective April 30, 2004, the Revolver provides for unsecured revolving credit of up to $40.0 million and expires on March 31, 2009. Interest under this facility is either at the prime rate minus 1%, or 0.325% to 1.025% over LIBOR (as defined). There is a facility fee ranging from 0.10% to 0.30%. The amounts charged vary based upon the Company’s credit rating. The interest rate and facility fee as of November 30, 2004 were 0.60% over LIBOR and</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0.15%, respectively. The Revolver contains certain financial covenants related to debt and interest coverage ratios (as defined) and limits dividends and other distributions. At November 30, 2004 and May 31, 2004, $6.1 million and $2.2 million, respectively, were outstanding under the Revolver at a weighted average interest rate of 2.4% and 3.0%, respectively. There were no borrowings outstanding under the Revolver at November 30, 2003, primarily due to the issuance of the 5% Notes.</w:t>
      </w:r>
    </w:p>
    <w:p>
      <w:pPr>
        <w:sectPr>
          <w:pgSz w:w="11900" w:h="16838" w:orient="portrait"/>
          <w:cols w:equalWidth="0" w:num="1">
            <w:col w:w="11400"/>
          </w:cols>
          <w:pgMar w:left="240" w:top="125" w:right="259" w:bottom="91" w:gutter="0" w:footer="0" w:header="0"/>
        </w:sectPr>
      </w:pPr>
    </w:p>
    <w:bookmarkStart w:id="13" w:name="page14"/>
    <w:bookmarkEnd w:id="13"/>
    <w:p>
      <w:pPr>
        <w:ind w:right="40"/>
        <w:spacing w:after="0" w:line="257" w:lineRule="auto"/>
        <w:rPr>
          <w:sz w:val="20"/>
          <w:szCs w:val="20"/>
          <w:color w:val="auto"/>
        </w:rPr>
      </w:pPr>
      <w:r>
        <w:rPr>
          <w:rFonts w:ascii="Arial" w:cs="Arial" w:eastAsia="Arial" w:hAnsi="Arial"/>
          <w:sz w:val="18"/>
          <w:szCs w:val="18"/>
          <w:color w:val="auto"/>
        </w:rPr>
        <w:t>Unsecured lines of credit available in local currencies to Scholastic Corporation’s international subsidiaries for local working capital needs were equivalent to $64.8 million at November 30, 2004, as compared to $64.1 million at November 30, 2003 and $62.1 million at May 31, 2004. There were borrowings outstanding under these lines of credit equivalent to $33.6 million at November 30, 2004, as compared to $35.4 million at November 30, 2003 and $23.0 million at May 31, 2004. These lines of credit are considered short-term in nature. The weighted average interest rates on the outstanding amounts were 5.6% and 5.9% at November 30, 2004 and 2003, respectively, and 5.5% at May 31, 2004.</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total debt obligations at November 30, 2004 and 2003 were $562.7 million and $639.9 million, respectively, primarily due to the issuance of the 5% Notes in April 2003 in anticipation of the repayment at maturity of all $125 million of its 7% Notes (the “7% Notes”) on December 15, 2003. The Company’s total debt obligations at May 31, 2004 were $516.6 million. For a more complete description of the Company’s debt obligations, see Note 3 of Notes to Condensed Consolidated Financial Statements in Item 1,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This Report on Form 10-Q contains forward-looking statements. These forward-looking statements are subject to various risks and uncertainties, including the condition of the children’s book and educational materials markets and acceptance of the Company’s products within those markets, and other risks and factors identified in this Report, in the Company’s Annual Report on Form 10-K for the fiscal year ended May 31, 2004, and from time to time in the Company’s other filings with the Securities and Exchange Commission (“SEC”). Actual results could differ materially from those currently anticipated.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operations in various foreign countries. In the normal course of business, these operations are exposed to fluctuations in currency values. Management believes that the impact of currency fluctuations does not represent a significant risk in the context of the Company’s current international operations. In the normal course of business, the Company’s operations outside the United States periodically enter into short-term forward contracts (generally not exceeding $20.0 million) to match selected purchases not denominated in their respective local currencies.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by balancing the mix of variable-rate versus fixed-rate borrowings. Additionally, financial instruments, including swap agreements, have been used to manage interest rate exposures. Approximately 15% of the Company’s debt at November 30, 2004 bore interest at a variable rate and was sensitive to changes in interest rates, compared to approximately 7% at May 31, 2004 and approximately 6% at November 30, 2003, with the increase from May 31, 2004 due to seasonal borrowings and the lower level at November 30, 2003 due to the issuance of the 5% Notes in anticipation of the repayment of the 7% Notes in December 2003. The Company is subject to the risk that market interest rates will increase and thereby increase the interest charged under its variable-rate debt.</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 “Management’s Discussion and Analysis of Financial Condition and Results of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2004 (see Note 3 of Notes to Condensed Consolidated Financial Statements in Item 1,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Fiscal Year Maturity</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2"/>
                <w:szCs w:val="12"/>
                <w:color w:val="auto"/>
              </w:rPr>
            </w:pPr>
          </w:p>
        </w:tc>
        <w:tc>
          <w:tcPr>
            <w:tcW w:w="72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Lines of credit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Average interest rate</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Long-term debt including current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portion: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Fixed-rate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30"/>
        </w:trPr>
        <w:tc>
          <w:tcPr>
            <w:tcW w:w="3560" w:type="dxa"/>
            <w:vAlign w:val="bottom"/>
            <w:gridSpan w:val="2"/>
          </w:tcPr>
          <w:p>
            <w:pPr>
              <w:ind w:left="720"/>
              <w:spacing w:after="0"/>
              <w:rPr>
                <w:sz w:val="20"/>
                <w:szCs w:val="20"/>
                <w:color w:val="auto"/>
              </w:rPr>
            </w:pPr>
            <w:r>
              <w:rPr>
                <w:rFonts w:ascii="Arial" w:cs="Arial" w:eastAsia="Arial" w:hAnsi="Arial"/>
                <w:sz w:val="18"/>
                <w:szCs w:val="18"/>
                <w:color w:val="auto"/>
              </w:rPr>
              <w:t>Average interest rate</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Variable-rate debt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3560" w:type="dxa"/>
            <w:vAlign w:val="bottom"/>
            <w:gridSpan w:val="2"/>
          </w:tcPr>
          <w:p>
            <w:pPr>
              <w:ind w:left="720"/>
              <w:spacing w:after="0"/>
              <w:rPr>
                <w:sz w:val="20"/>
                <w:szCs w:val="20"/>
                <w:color w:val="auto"/>
              </w:rPr>
            </w:pPr>
            <w:r>
              <w:rPr>
                <w:rFonts w:ascii="Arial" w:cs="Arial" w:eastAsia="Arial" w:hAnsi="Arial"/>
                <w:sz w:val="18"/>
                <w:szCs w:val="18"/>
                <w:color w:val="auto"/>
              </w:rPr>
              <w:t>Average interest rate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0" w:lineRule="exact"/>
        <w:rPr>
          <w:sz w:val="20"/>
          <w:szCs w:val="20"/>
          <w:color w:val="auto"/>
        </w:rPr>
      </w:pPr>
    </w:p>
    <w:p>
      <w:pPr>
        <w:ind w:left="5620" w:right="1580" w:hanging="5612"/>
        <w:spacing w:after="0" w:line="528" w:lineRule="auto"/>
        <w:tabs>
          <w:tab w:leader="none" w:pos="4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amounts drawn on the Credit Agreement and Revolver with credit lines totaling $230.0 million, which expire in 2009.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8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Chief Executive Officer and the Chief Financial Officer of Scholastic Corporation, after conducting an evaluation, together with other members of the Company’s management, of the effectiveness of the design and operation of the Corporation’s disclosure controls and procedures as of the end of the period covered by this report,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There was no change in the Corporation’s internal control over financial reporting that occurred during the quarter ended November 30, 2004 that has materially affected, or is reasonably likely to materially affect, the Corporation’s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Annual Meeting of Stockholders of Scholastic Corporation was held on September 21, 2004 (the “Annual Meeting”). The following sets forth the results of the proposals presented at the Annual Meeting and voted upon by the stockholders of the Corporation entitled to vote thereon:</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Holders of the 1,656,200 shares of the Corporation’s Class A Stock (comprising all of the outstanding shares of Class A Stock) voted in favor of the approval of the Scholastic Corporation 2004 Class A Stock Incentive Plan (the “Class A Plan”).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Holders of the 1,656,200 outstanding shares of Class A Stock voted in favor of electing each of Rebeca M. Barrera, Ramon Cortines, Charles T. Harris III, Andrew S. Hedden, Mae C. Jemison, Augustus K. Oliver, Richard Robinson and Richard M. Spaulding as directors to serve until the next annual meeting of stockholders and until their respective successors are duly elected and qualified.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Holders of the Corporation’s Common Stock elected the following three nominees as directors to serve until the next annual meeting of stockholders and until their respective successors are duly elected and qualified. Votes cast by holders of the Common Stock were: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3"/>
          </w:tcPr>
          <w:p>
            <w:pPr>
              <w:ind w:left="660"/>
              <w:spacing w:after="0"/>
              <w:rPr>
                <w:sz w:val="20"/>
                <w:szCs w:val="20"/>
                <w:color w:val="auto"/>
              </w:rPr>
            </w:pPr>
            <w:r>
              <w:rPr>
                <w:rFonts w:ascii="Arial" w:cs="Arial" w:eastAsia="Arial" w:hAnsi="Arial"/>
                <w:sz w:val="14"/>
                <w:szCs w:val="14"/>
                <w:b w:val="1"/>
                <w:bCs w:val="1"/>
                <w:color w:val="auto"/>
              </w:rPr>
              <w:t>Nominee</w:t>
            </w:r>
          </w:p>
        </w:tc>
        <w:tc>
          <w:tcPr>
            <w:tcW w:w="128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w:t>
            </w: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Withheld</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Davies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30,636,796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3,508,573</w:t>
            </w:r>
          </w:p>
        </w:tc>
        <w:tc>
          <w:tcPr>
            <w:tcW w:w="140" w:type="dxa"/>
            <w:vAlign w:val="bottom"/>
            <w:shd w:val="clear" w:color="auto" w:fill="CCEEFF"/>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3"/>
          </w:tcPr>
          <w:p>
            <w:pPr>
              <w:ind w:left="660"/>
              <w:spacing w:after="0"/>
              <w:rPr>
                <w:sz w:val="20"/>
                <w:szCs w:val="20"/>
                <w:color w:val="auto"/>
              </w:rPr>
            </w:pPr>
            <w:r>
              <w:rPr>
                <w:rFonts w:ascii="Arial" w:cs="Arial" w:eastAsia="Arial" w:hAnsi="Arial"/>
                <w:sz w:val="18"/>
                <w:szCs w:val="18"/>
                <w:color w:val="auto"/>
              </w:rPr>
              <w:t>Peter Mayer</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32,561,022</w:t>
            </w:r>
          </w:p>
        </w:tc>
        <w:tc>
          <w:tcPr>
            <w:tcW w:w="1000" w:type="dxa"/>
            <w:vAlign w:val="bottom"/>
          </w:tcPr>
          <w:p>
            <w:pPr>
              <w:jc w:val="right"/>
              <w:spacing w:after="0"/>
              <w:rPr>
                <w:sz w:val="20"/>
                <w:szCs w:val="20"/>
                <w:color w:val="auto"/>
              </w:rPr>
            </w:pPr>
            <w:r>
              <w:rPr>
                <w:rFonts w:ascii="Arial" w:cs="Arial" w:eastAsia="Arial" w:hAnsi="Arial"/>
                <w:sz w:val="18"/>
                <w:szCs w:val="18"/>
                <w:color w:val="auto"/>
              </w:rPr>
              <w:t>1,584,347</w:t>
            </w:r>
          </w:p>
        </w:tc>
        <w:tc>
          <w:tcPr>
            <w:tcW w:w="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McDonald</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31,664,108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2,481,261</w:t>
            </w:r>
          </w:p>
        </w:tc>
        <w:tc>
          <w:tcPr>
            <w:tcW w:w="140" w:type="dxa"/>
            <w:vAlign w:val="bottom"/>
            <w:shd w:val="clear" w:color="auto" w:fill="CCEEFF"/>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left="134"/>
              <w:spacing w:after="0"/>
              <w:rPr>
                <w:sz w:val="20"/>
                <w:szCs w:val="20"/>
                <w:color w:val="auto"/>
              </w:rPr>
            </w:pPr>
            <w:r>
              <w:rPr>
                <w:rFonts w:ascii="Arial" w:cs="Arial" w:eastAsia="Arial" w:hAnsi="Arial"/>
                <w:sz w:val="18"/>
                <w:szCs w:val="18"/>
                <w:color w:val="auto"/>
                <w:w w:val="89"/>
              </w:rPr>
              <w:t>26</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the Annual Meeting, the holders of the Class A Stock approved the Class A Plan. For a description of the Class A Plan, see the Corporation’s definitive Proxy Statement in connection with the Annual Meeting, as filed with the SEC on August 2, 2004. For a copy of the Class A Plan, see Exhibit 10 to the Corporation’s Quarterly Report on Form 10-Q for the period ended August 31, 2004, as filed with the SEC on October 1,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0" w:type="dxa"/>
            <w:vAlign w:val="bottom"/>
          </w:tcPr>
          <w:p>
            <w:pPr>
              <w:ind w:left="4180"/>
              <w:spacing w:after="0"/>
              <w:rPr>
                <w:sz w:val="20"/>
                <w:szCs w:val="20"/>
                <w:color w:val="auto"/>
              </w:rPr>
            </w:pPr>
            <w:r>
              <w:rPr>
                <w:rFonts w:ascii="Arial" w:cs="Arial" w:eastAsia="Arial" w:hAnsi="Arial"/>
                <w:sz w:val="18"/>
                <w:szCs w:val="18"/>
                <w:color w:val="auto"/>
              </w:rPr>
              <w:t>27</w:t>
            </w:r>
          </w:p>
        </w:tc>
      </w:tr>
      <w:tr>
        <w:trPr>
          <w:trHeight w:val="105"/>
        </w:trPr>
        <w:tc>
          <w:tcPr>
            <w:tcW w:w="6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0" w:type="dxa"/>
            <w:vAlign w:val="bottom"/>
            <w:tcBorders>
              <w:bottom w:val="single" w:sz="8" w:color="808080"/>
            </w:tcBorders>
          </w:tcPr>
          <w:p>
            <w:pPr>
              <w:spacing w:after="0"/>
              <w:rPr>
                <w:sz w:val="9"/>
                <w:szCs w:val="9"/>
                <w:color w:val="auto"/>
              </w:rPr>
            </w:pPr>
          </w:p>
        </w:tc>
      </w:tr>
      <w:tr>
        <w:trPr>
          <w:trHeight w:val="76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0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000" w:type="dxa"/>
            <w:vAlign w:val="bottom"/>
          </w:tcPr>
          <w:p>
            <w:pPr>
              <w:spacing w:after="0"/>
              <w:rPr>
                <w:sz w:val="24"/>
                <w:szCs w:val="24"/>
                <w:color w:val="auto"/>
              </w:rPr>
            </w:pPr>
          </w:p>
        </w:tc>
      </w:tr>
      <w:tr>
        <w:trPr>
          <w:trHeight w:val="411"/>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31.1</w:t>
            </w:r>
          </w:p>
        </w:tc>
        <w:tc>
          <w:tcPr>
            <w:tcW w:w="1000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of Scholastic Corporation filed pursuant to Section 302 of the Sarbanes-Oxley Act</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16"/>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31.2</w:t>
            </w:r>
          </w:p>
        </w:tc>
        <w:tc>
          <w:tcPr>
            <w:tcW w:w="10000" w:type="dxa"/>
            <w:vAlign w:val="bottom"/>
          </w:tcPr>
          <w:p>
            <w:pPr>
              <w:ind w:left="180"/>
              <w:spacing w:after="0"/>
              <w:rPr>
                <w:sz w:val="20"/>
                <w:szCs w:val="20"/>
                <w:color w:val="auto"/>
              </w:rPr>
            </w:pPr>
            <w:r>
              <w:rPr>
                <w:rFonts w:ascii="Arial" w:cs="Arial" w:eastAsia="Arial" w:hAnsi="Arial"/>
                <w:sz w:val="18"/>
                <w:szCs w:val="18"/>
                <w:color w:val="auto"/>
                <w:w w:val="97"/>
              </w:rPr>
              <w:t>Certification of the Chief Financial Officer of Scholastic Corporation filed pursuant to Section 302 of the Sarbanes-Oxley Act of</w:t>
            </w:r>
          </w:p>
        </w:tc>
      </w:tr>
      <w:tr>
        <w:trPr>
          <w:trHeight w:val="230"/>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-1427480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-1427480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620" w:right="1100" w:hanging="964"/>
        <w:spacing w:after="0" w:line="261"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January 7, 2005</w:t>
      </w:r>
      <w:r>
        <w:rPr>
          <w:sz w:val="20"/>
          <w:szCs w:val="20"/>
          <w:color w:val="auto"/>
        </w:rPr>
        <w:tab/>
      </w:r>
      <w:r>
        <w:rPr>
          <w:rFonts w:ascii="Arial" w:cs="Arial" w:eastAsia="Arial" w:hAnsi="Arial"/>
          <w:sz w:val="16"/>
          <w:szCs w:val="16"/>
          <w:color w:val="auto"/>
        </w:rPr>
        <w:t>/s/ Richard Robinson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37903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January 7, 2005</w:t>
      </w:r>
      <w:r>
        <w:rPr>
          <w:sz w:val="20"/>
          <w:szCs w:val="20"/>
          <w:color w:val="auto"/>
        </w:rPr>
        <w:tab/>
      </w:r>
      <w:r>
        <w:rPr>
          <w:rFonts w:ascii="Arial" w:cs="Arial" w:eastAsia="Arial" w:hAnsi="Arial"/>
          <w:sz w:val="16"/>
          <w:szCs w:val="16"/>
          <w:color w:val="auto"/>
        </w:rPr>
        <w:t>s/ Mary A. Winston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37903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40"/>
          </w:cols>
          <w:pgMar w:left="240" w:top="121" w:right="219" w:bottom="0" w:gutter="0" w:footer="0" w:header="0"/>
        </w:sectPr>
      </w:pPr>
    </w:p>
    <w:bookmarkStart w:id="15" w:name="page16"/>
    <w:bookmarkEnd w:id="15"/>
    <w:p>
      <w:pPr>
        <w:jc w:val="center"/>
        <w:ind w:right="-4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180"/>
        <w:spacing w:after="0" w:line="282" w:lineRule="auto"/>
        <w:rPr>
          <w:sz w:val="20"/>
          <w:szCs w:val="20"/>
          <w:color w:val="auto"/>
        </w:rPr>
      </w:pPr>
      <w:r>
        <w:rPr>
          <w:rFonts w:ascii="Arial" w:cs="Arial" w:eastAsia="Arial" w:hAnsi="Arial"/>
          <w:sz w:val="18"/>
          <w:szCs w:val="18"/>
          <w:b w:val="1"/>
          <w:bCs w:val="1"/>
          <w:color w:val="auto"/>
        </w:rPr>
        <w:t>QUARTERLY REPORT ON FORM 10-Q, DATED NOVEMBER 30, 2004 Exhibits Index</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2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7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Certification of the Chief Executive Officer of Scholastic Corporation filed pursuant to Section 302 of the Sarbanes-Oxley Act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418"/>
        </w:trPr>
        <w:tc>
          <w:tcPr>
            <w:tcW w:w="780" w:type="dxa"/>
            <w:vAlign w:val="bottom"/>
          </w:tcPr>
          <w:p>
            <w:pPr>
              <w:jc w:val="right"/>
              <w:ind w:right="199"/>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00" w:right="520" w:hanging="864"/>
        <w:spacing w:after="0" w:line="277"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240" w:top="341" w:right="7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25"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225" w:lineRule="exact"/>
        <w:rPr>
          <w:rFonts w:ascii="Arial" w:cs="Arial" w:eastAsia="Arial" w:hAnsi="Arial"/>
          <w:sz w:val="18"/>
          <w:szCs w:val="18"/>
          <w:color w:val="auto"/>
        </w:rPr>
      </w:pPr>
    </w:p>
    <w:p>
      <w:pPr>
        <w:jc w:val="both"/>
        <w:ind w:left="920" w:right="20" w:hanging="264"/>
        <w:spacing w:after="0" w:line="264" w:lineRule="auto"/>
        <w:tabs>
          <w:tab w:leader="none" w:pos="9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260" w:hanging="264"/>
        <w:spacing w:after="0" w:line="308" w:lineRule="auto"/>
        <w:tabs>
          <w:tab w:leader="none" w:pos="9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20" w:hanging="264"/>
        <w:spacing w:after="0" w:line="277" w:lineRule="auto"/>
        <w:tabs>
          <w:tab w:leader="none" w:pos="9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620" w:right="200" w:hanging="315"/>
        <w:spacing w:after="0" w:line="286" w:lineRule="auto"/>
        <w:tabs>
          <w:tab w:leader="none" w:pos="1625"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620" w:right="60" w:hanging="315"/>
        <w:spacing w:after="0" w:line="342" w:lineRule="auto"/>
        <w:tabs>
          <w:tab w:leader="none" w:pos="162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60" w:hanging="315"/>
        <w:spacing w:after="0" w:line="264" w:lineRule="auto"/>
        <w:tabs>
          <w:tab w:leader="none" w:pos="16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right="180" w:hanging="264"/>
        <w:spacing w:after="0" w:line="342" w:lineRule="auto"/>
        <w:tabs>
          <w:tab w:leader="none" w:pos="9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315"/>
        <w:spacing w:after="0" w:line="342" w:lineRule="auto"/>
        <w:tabs>
          <w:tab w:leader="none" w:pos="162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315"/>
        <w:spacing w:after="0" w:line="277" w:lineRule="auto"/>
        <w:tabs>
          <w:tab w:leader="none" w:pos="1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2005</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/s/Richard Robinson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A. Winston, the principal financial officer of Scholastic Corporation, certify that:</w:t>
      </w:r>
    </w:p>
    <w:p>
      <w:pPr>
        <w:spacing w:after="0" w:line="225"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225" w:lineRule="exact"/>
        <w:rPr>
          <w:rFonts w:ascii="Arial" w:cs="Arial" w:eastAsia="Arial" w:hAnsi="Arial"/>
          <w:sz w:val="18"/>
          <w:szCs w:val="18"/>
          <w:color w:val="auto"/>
        </w:rPr>
      </w:pPr>
    </w:p>
    <w:p>
      <w:pPr>
        <w:jc w:val="both"/>
        <w:ind w:left="920" w:right="20" w:hanging="264"/>
        <w:spacing w:after="0" w:line="264" w:lineRule="auto"/>
        <w:tabs>
          <w:tab w:leader="none" w:pos="9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260" w:hanging="264"/>
        <w:spacing w:after="0" w:line="308" w:lineRule="auto"/>
        <w:tabs>
          <w:tab w:leader="none" w:pos="9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20" w:hanging="264"/>
        <w:spacing w:after="0" w:line="277" w:lineRule="auto"/>
        <w:tabs>
          <w:tab w:leader="none" w:pos="9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620" w:right="200" w:hanging="315"/>
        <w:spacing w:after="0" w:line="286" w:lineRule="auto"/>
        <w:tabs>
          <w:tab w:leader="none" w:pos="1621"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jc w:val="both"/>
        <w:ind w:left="1620" w:right="60" w:hanging="315"/>
        <w:spacing w:after="0" w:line="342" w:lineRule="auto"/>
        <w:tabs>
          <w:tab w:leader="none" w:pos="162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60" w:hanging="315"/>
        <w:spacing w:after="0" w:line="264" w:lineRule="auto"/>
        <w:tabs>
          <w:tab w:leader="none" w:pos="16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right="180" w:hanging="264"/>
        <w:spacing w:after="0" w:line="342" w:lineRule="auto"/>
        <w:tabs>
          <w:tab w:leader="none" w:pos="9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315"/>
        <w:spacing w:after="0" w:line="342" w:lineRule="auto"/>
        <w:tabs>
          <w:tab w:leader="none" w:pos="16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40" w:right="580" w:hanging="335"/>
        <w:spacing w:after="0" w:line="277" w:lineRule="auto"/>
        <w:tabs>
          <w:tab w:leader="none" w:pos="16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2005</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/s/Mary A. Winston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907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November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81" w:lineRule="exact"/>
        <w:rPr>
          <w:sz w:val="20"/>
          <w:szCs w:val="20"/>
          <w:color w:val="auto"/>
        </w:rPr>
      </w:pPr>
    </w:p>
    <w:p>
      <w:pPr>
        <w:ind w:left="1300" w:right="480" w:hanging="644"/>
        <w:spacing w:after="0" w:line="277" w:lineRule="auto"/>
        <w:tabs>
          <w:tab w:leader="none" w:pos="13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2004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contained in the Form 10-Q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Dated: January 7, 2005</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/s/Richard Robinson</w:t>
            </w:r>
          </w:p>
        </w:tc>
      </w:tr>
      <w:tr>
        <w:trPr>
          <w:trHeight w:val="195"/>
        </w:trPr>
        <w:tc>
          <w:tcPr>
            <w:tcW w:w="67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Richard Robinson</w:t>
            </w:r>
          </w:p>
        </w:tc>
      </w:tr>
      <w:tr>
        <w:trPr>
          <w:trHeight w:val="230"/>
        </w:trPr>
        <w:tc>
          <w:tcPr>
            <w:tcW w:w="67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700" w:type="dxa"/>
            <w:vAlign w:val="bottom"/>
          </w:tcPr>
          <w:p>
            <w:pPr>
              <w:spacing w:after="0"/>
              <w:rPr>
                <w:sz w:val="20"/>
                <w:szCs w:val="20"/>
                <w:color w:val="auto"/>
              </w:rPr>
            </w:pPr>
            <w:r>
              <w:rPr>
                <w:rFonts w:ascii="Arial" w:cs="Arial" w:eastAsia="Arial" w:hAnsi="Arial"/>
                <w:sz w:val="18"/>
                <w:szCs w:val="18"/>
                <w:color w:val="auto"/>
              </w:rPr>
              <w:t>Dated: January 7, 2005</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/s/Mary A. Winston</w:t>
            </w:r>
          </w:p>
        </w:tc>
      </w:tr>
      <w:tr>
        <w:trPr>
          <w:trHeight w:val="195"/>
        </w:trPr>
        <w:tc>
          <w:tcPr>
            <w:tcW w:w="67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Mary A. Winston</w:t>
            </w:r>
          </w:p>
        </w:tc>
      </w:tr>
      <w:tr>
        <w:trPr>
          <w:trHeight w:val="230"/>
        </w:trPr>
        <w:tc>
          <w:tcPr>
            <w:tcW w:w="67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2"/>
    </w:lvl>
  </w:abstractNum>
  <w:abstractNum w:abstractNumId="13">
    <w:nsid w:val="4E6AFB66"/>
    <w:multiLevelType w:val="hybridMultilevel"/>
    <w:lvl w:ilvl="0">
      <w:lvlJc w:val="left"/>
      <w:lvlText w:val="%1"/>
      <w:numFmt w:val="decimal"/>
      <w:start w:val="32"/>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2"/>
    </w:lvl>
  </w:abstractNum>
  <w:abstractNum w:abstractNumId="16">
    <w:nsid w:val="431BD7B7"/>
    <w:multiLevelType w:val="hybridMultilevel"/>
    <w:lvl w:ilvl="0">
      <w:lvlJc w:val="left"/>
      <w:lvlText w:val="%1"/>
      <w:numFmt w:val="decimal"/>
      <w:start w:val="1"/>
    </w:lvl>
    <w:lvl w:ilvl="1">
      <w:lvlJc w:val="left"/>
      <w:lvlText w:val="%2)"/>
      <w:numFmt w:val="lowerLetter"/>
      <w:start w:val="2"/>
    </w:lvl>
  </w:abstractNum>
  <w:abstractNum w:abstractNumId="17">
    <w:nsid w:val="3F2DBA31"/>
    <w:multiLevelType w:val="hybridMultilevel"/>
    <w:lvl w:ilvl="0">
      <w:lvlJc w:val="left"/>
      <w:lvlText w:val="%1."/>
      <w:numFmt w:val="decimal"/>
      <w:start w:val="5"/>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12" Type="http://schemas.openxmlformats.org/officeDocument/2006/relationships/hyperlink" Target="file:///data/convert/a05-1218_110q.htm#ManagementsDiscussion" TargetMode="External"/><Relationship Id="rId13" Type="http://schemas.openxmlformats.org/officeDocument/2006/relationships/hyperlink" Target="file:///data/convert/a05-1218_110q.htm#Item3_QuantitativeAndQualitativeDis" TargetMode="External"/><Relationship Id="rId14" Type="http://schemas.openxmlformats.org/officeDocument/2006/relationships/hyperlink" Target="file:///data/convert/a05-1218_110q.htm#Item4_ControlsAndProcedures" TargetMode="External"/><Relationship Id="rId15" Type="http://schemas.openxmlformats.org/officeDocument/2006/relationships/hyperlink" Target="file:///data/convert/a05-1218_110q.htm#PartIiOtherInformation" TargetMode="External"/><Relationship Id="rId16" Type="http://schemas.openxmlformats.org/officeDocument/2006/relationships/hyperlink" Target="file:///data/convert/a05-1218_110q.htm#Item4_SubmissionOfMattersToAVote" TargetMode="External"/><Relationship Id="rId17" Type="http://schemas.openxmlformats.org/officeDocument/2006/relationships/hyperlink" Target="file:///data/convert/a05-1218_110q.htm#Item5_OtherInformation" TargetMode="External"/><Relationship Id="rId18" Type="http://schemas.openxmlformats.org/officeDocument/2006/relationships/hyperlink" Target="file:///data/convert/a05-1218_110q.htm#Item6_Exhibits" TargetMode="External"/><Relationship Id="rId19" Type="http://schemas.openxmlformats.org/officeDocument/2006/relationships/hyperlink" Target="file:///data/convert/a05-1218_110q.htm#Signatures"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2019-12-13T19:47:41Z</dcterms:created>
  <dcterms:modified xsi:type="dcterms:W3CDTF">2019-12-13T19:47:41Z</dcterms:modified>
</cp:coreProperties>
</file>