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2910205</wp:posOffset>
            </wp:positionH>
            <wp:positionV relativeFrom="page">
              <wp:posOffset>157480</wp:posOffset>
            </wp:positionV>
            <wp:extent cx="1741170"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41170" cy="222885"/>
                    </a:xfrm>
                    <a:prstGeom prst="rect">
                      <a:avLst/>
                    </a:prstGeom>
                    <a:noFill/>
                  </pic:spPr>
                </pic:pic>
              </a:graphicData>
            </a:graphic>
          </wp:anchor>
        </w:drawing>
        <w:t>UNITED STATES</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w w:val="91"/>
              </w:rPr>
              <w:t>For the quarterly period ended November 30, 2010</w:t>
            </w:r>
          </w:p>
        </w:tc>
        <w:tc>
          <w:tcPr>
            <w:tcW w:w="7200" w:type="dxa"/>
            <w:vAlign w:val="bottom"/>
          </w:tcPr>
          <w:p>
            <w:pPr>
              <w:ind w:left="3080"/>
              <w:spacing w:after="0"/>
              <w:rPr>
                <w:sz w:val="20"/>
                <w:szCs w:val="20"/>
                <w:color w:val="auto"/>
              </w:rPr>
            </w:pPr>
            <w:r>
              <w:rPr>
                <w:rFonts w:ascii="Arial" w:cs="Arial" w:eastAsia="Arial" w:hAnsi="Arial"/>
                <w:sz w:val="18"/>
                <w:szCs w:val="18"/>
                <w:color w:val="auto"/>
              </w:rPr>
              <w:t>Commission File No. 000-19860</w:t>
            </w:r>
          </w:p>
        </w:tc>
      </w:tr>
      <w:tr>
        <w:trPr>
          <w:trHeight w:val="426"/>
        </w:trPr>
        <w:tc>
          <w:tcPr>
            <w:tcW w:w="3720" w:type="dxa"/>
            <w:vAlign w:val="bottom"/>
          </w:tcPr>
          <w:p>
            <w:pPr>
              <w:spacing w:after="0"/>
              <w:rPr>
                <w:sz w:val="24"/>
                <w:szCs w:val="24"/>
                <w:color w:val="auto"/>
              </w:rPr>
            </w:pPr>
          </w:p>
        </w:tc>
        <w:tc>
          <w:tcPr>
            <w:tcW w:w="7200" w:type="dxa"/>
            <w:vAlign w:val="bottom"/>
          </w:tcPr>
          <w:p>
            <w:pPr>
              <w:jc w:val="center"/>
              <w:ind w:right="311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720" w:type="dxa"/>
            <w:vAlign w:val="bottom"/>
          </w:tcPr>
          <w:p>
            <w:pPr>
              <w:spacing w:after="0"/>
              <w:rPr>
                <w:sz w:val="19"/>
                <w:szCs w:val="19"/>
                <w:color w:val="auto"/>
              </w:rPr>
            </w:pPr>
          </w:p>
        </w:tc>
        <w:tc>
          <w:tcPr>
            <w:tcW w:w="7200" w:type="dxa"/>
            <w:vAlign w:val="bottom"/>
          </w:tcPr>
          <w:p>
            <w:pPr>
              <w:jc w:val="center"/>
              <w:ind w:right="31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39"/>
        </w:trPr>
        <w:tc>
          <w:tcPr>
            <w:tcW w:w="3720" w:type="dxa"/>
            <w:vAlign w:val="bottom"/>
          </w:tcPr>
          <w:p>
            <w:pPr>
              <w:ind w:left="660"/>
              <w:spacing w:after="0"/>
              <w:rPr>
                <w:sz w:val="20"/>
                <w:szCs w:val="20"/>
                <w:color w:val="auto"/>
              </w:rPr>
            </w:pPr>
            <w:r>
              <w:rPr>
                <w:rFonts w:ascii="Arial" w:cs="Arial" w:eastAsia="Arial" w:hAnsi="Arial"/>
                <w:sz w:val="18"/>
                <w:szCs w:val="18"/>
                <w:b w:val="1"/>
                <w:bCs w:val="1"/>
                <w:color w:val="auto"/>
              </w:rPr>
              <w:t>Delaware</w:t>
            </w:r>
          </w:p>
        </w:tc>
        <w:tc>
          <w:tcPr>
            <w:tcW w:w="720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200" w:type="dxa"/>
            <w:vAlign w:val="bottom"/>
          </w:tcPr>
          <w:p>
            <w:pPr>
              <w:jc w:val="center"/>
              <w:ind w:left="469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200" w:type="dxa"/>
            <w:vAlign w:val="bottom"/>
          </w:tcPr>
          <w:p>
            <w:pPr>
              <w:spacing w:after="0"/>
              <w:rPr>
                <w:sz w:val="19"/>
                <w:szCs w:val="19"/>
                <w:color w:val="auto"/>
              </w:rPr>
            </w:pPr>
          </w:p>
        </w:tc>
      </w:tr>
      <w:tr>
        <w:trPr>
          <w:trHeight w:val="426"/>
        </w:trPr>
        <w:tc>
          <w:tcPr>
            <w:tcW w:w="37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720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200" w:type="dxa"/>
            <w:vAlign w:val="bottom"/>
          </w:tcPr>
          <w:p>
            <w:pPr>
              <w:jc w:val="center"/>
              <w:ind w:left="46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800"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5000" w:space="720"/>
            <w:col w:w="5740"/>
          </w:cols>
          <w:pgMar w:left="240" w:top="800"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5020" w:type="dxa"/>
            <w:vAlign w:val="bottom"/>
            <w:gridSpan w:val="2"/>
          </w:tcPr>
          <w:p>
            <w:pPr>
              <w:jc w:val="center"/>
              <w:ind w:right="2940"/>
              <w:spacing w:after="0"/>
              <w:rPr>
                <w:sz w:val="20"/>
                <w:szCs w:val="20"/>
                <w:color w:val="auto"/>
              </w:rPr>
            </w:pPr>
            <w:r>
              <w:rPr>
                <w:rFonts w:ascii="Arial" w:cs="Arial" w:eastAsia="Arial" w:hAnsi="Arial"/>
                <w:sz w:val="18"/>
                <w:szCs w:val="18"/>
                <w:color w:val="auto"/>
                <w:w w:val="93"/>
              </w:rPr>
              <w:t>Title</w:t>
            </w:r>
          </w:p>
        </w:tc>
        <w:tc>
          <w:tcPr>
            <w:tcW w:w="34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23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5020" w:type="dxa"/>
            <w:vAlign w:val="bottom"/>
            <w:gridSpan w:val="2"/>
          </w:tcPr>
          <w:p>
            <w:pPr>
              <w:jc w:val="center"/>
              <w:ind w:right="2960"/>
              <w:spacing w:after="0"/>
              <w:rPr>
                <w:sz w:val="20"/>
                <w:szCs w:val="20"/>
                <w:color w:val="auto"/>
              </w:rPr>
            </w:pPr>
            <w:r>
              <w:rPr>
                <w:rFonts w:ascii="Arial" w:cs="Arial" w:eastAsia="Arial" w:hAnsi="Arial"/>
                <w:sz w:val="18"/>
                <w:szCs w:val="18"/>
                <w:color w:val="auto"/>
                <w:w w:val="85"/>
              </w:rPr>
              <w:t>of each class</w:t>
            </w:r>
          </w:p>
        </w:tc>
        <w:tc>
          <w:tcPr>
            <w:tcW w:w="3460" w:type="dxa"/>
            <w:vAlign w:val="bottom"/>
          </w:tcPr>
          <w:p>
            <w:pPr>
              <w:jc w:val="center"/>
              <w:spacing w:after="0"/>
              <w:rPr>
                <w:sz w:val="20"/>
                <w:szCs w:val="20"/>
                <w:color w:val="auto"/>
              </w:rPr>
            </w:pPr>
            <w:r>
              <w:rPr>
                <w:rFonts w:ascii="Arial" w:cs="Arial" w:eastAsia="Arial" w:hAnsi="Arial"/>
                <w:sz w:val="18"/>
                <w:szCs w:val="18"/>
                <w:color w:val="auto"/>
                <w:w w:val="88"/>
              </w:rPr>
              <w:t>as of November 30, 2010</w:t>
            </w:r>
          </w:p>
        </w:tc>
        <w:tc>
          <w:tcPr>
            <w:tcW w:w="2300" w:type="dxa"/>
            <w:vAlign w:val="bottom"/>
          </w:tcPr>
          <w:p>
            <w:pPr>
              <w:spacing w:after="0"/>
              <w:rPr>
                <w:sz w:val="19"/>
                <w:szCs w:val="19"/>
                <w:color w:val="auto"/>
              </w:rPr>
            </w:pPr>
          </w:p>
        </w:tc>
      </w:tr>
      <w:tr>
        <w:trPr>
          <w:trHeight w:val="110"/>
        </w:trPr>
        <w:tc>
          <w:tcPr>
            <w:tcW w:w="68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96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58"/>
        </w:trPr>
        <w:tc>
          <w:tcPr>
            <w:tcW w:w="5700" w:type="dxa"/>
            <w:vAlign w:val="bottom"/>
            <w:gridSpan w:val="3"/>
          </w:tcPr>
          <w:p>
            <w:pPr>
              <w:jc w:val="center"/>
              <w:ind w:right="2280"/>
              <w:spacing w:after="0"/>
              <w:rPr>
                <w:sz w:val="20"/>
                <w:szCs w:val="20"/>
                <w:color w:val="auto"/>
              </w:rPr>
            </w:pPr>
            <w:r>
              <w:rPr>
                <w:rFonts w:ascii="Arial" w:cs="Arial" w:eastAsia="Arial" w:hAnsi="Arial"/>
                <w:sz w:val="18"/>
                <w:szCs w:val="18"/>
                <w:color w:val="auto"/>
                <w:w w:val="88"/>
              </w:rPr>
              <w:t>Common Stock, $.01 par value</w:t>
            </w:r>
          </w:p>
        </w:tc>
        <w:tc>
          <w:tcPr>
            <w:tcW w:w="3460" w:type="dxa"/>
            <w:vAlign w:val="bottom"/>
          </w:tcPr>
          <w:p>
            <w:pPr>
              <w:jc w:val="right"/>
              <w:ind w:right="1252"/>
              <w:spacing w:after="0"/>
              <w:rPr>
                <w:sz w:val="20"/>
                <w:szCs w:val="20"/>
                <w:color w:val="auto"/>
              </w:rPr>
            </w:pPr>
            <w:r>
              <w:rPr>
                <w:rFonts w:ascii="Arial" w:cs="Arial" w:eastAsia="Arial" w:hAnsi="Arial"/>
                <w:sz w:val="18"/>
                <w:szCs w:val="18"/>
                <w:color w:val="auto"/>
              </w:rPr>
              <w:t>29,190,030</w:t>
            </w:r>
          </w:p>
        </w:tc>
        <w:tc>
          <w:tcPr>
            <w:tcW w:w="2300" w:type="dxa"/>
            <w:vAlign w:val="bottom"/>
          </w:tcPr>
          <w:p>
            <w:pPr>
              <w:spacing w:after="0"/>
              <w:rPr>
                <w:sz w:val="24"/>
                <w:szCs w:val="24"/>
                <w:color w:val="auto"/>
              </w:rPr>
            </w:pPr>
          </w:p>
        </w:tc>
      </w:tr>
      <w:tr>
        <w:trPr>
          <w:trHeight w:val="222"/>
        </w:trPr>
        <w:tc>
          <w:tcPr>
            <w:tcW w:w="5700" w:type="dxa"/>
            <w:vAlign w:val="bottom"/>
            <w:gridSpan w:val="3"/>
          </w:tcPr>
          <w:p>
            <w:pPr>
              <w:jc w:val="center"/>
              <w:ind w:right="2260"/>
              <w:spacing w:after="0"/>
              <w:rPr>
                <w:sz w:val="20"/>
                <w:szCs w:val="20"/>
                <w:color w:val="auto"/>
              </w:rPr>
            </w:pPr>
            <w:r>
              <w:rPr>
                <w:rFonts w:ascii="Arial" w:cs="Arial" w:eastAsia="Arial" w:hAnsi="Arial"/>
                <w:sz w:val="18"/>
                <w:szCs w:val="18"/>
                <w:color w:val="auto"/>
                <w:w w:val="88"/>
              </w:rPr>
              <w:t>Class A Stock, $.01 par value</w:t>
            </w:r>
          </w:p>
        </w:tc>
        <w:tc>
          <w:tcPr>
            <w:tcW w:w="3460" w:type="dxa"/>
            <w:vAlign w:val="bottom"/>
          </w:tcPr>
          <w:p>
            <w:pPr>
              <w:jc w:val="right"/>
              <w:ind w:right="1292"/>
              <w:spacing w:after="0"/>
              <w:rPr>
                <w:sz w:val="20"/>
                <w:szCs w:val="20"/>
                <w:color w:val="auto"/>
              </w:rPr>
            </w:pPr>
            <w:r>
              <w:rPr>
                <w:rFonts w:ascii="Arial" w:cs="Arial" w:eastAsia="Arial" w:hAnsi="Arial"/>
                <w:sz w:val="18"/>
                <w:szCs w:val="18"/>
                <w:color w:val="auto"/>
              </w:rPr>
              <w:t>1,656,200</w:t>
            </w:r>
          </w:p>
        </w:tc>
        <w:tc>
          <w:tcPr>
            <w:tcW w:w="2300" w:type="dxa"/>
            <w:vAlign w:val="bottom"/>
          </w:tcPr>
          <w:p>
            <w:pPr>
              <w:spacing w:after="0"/>
              <w:rPr>
                <w:sz w:val="19"/>
                <w:szCs w:val="19"/>
                <w:color w:val="auto"/>
              </w:rPr>
            </w:pPr>
          </w:p>
        </w:tc>
      </w:tr>
      <w:tr>
        <w:trPr>
          <w:trHeight w:val="350"/>
        </w:trPr>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61"/>
        </w:trPr>
        <w:tc>
          <w:tcPr>
            <w:tcW w:w="68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296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00"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NOVEMBER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8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860" w:type="dxa"/>
            <w:vAlign w:val="bottom"/>
            <w:gridSpan w:val="17"/>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(Unaudited)</w:t>
              </w:r>
            </w:hyperlink>
          </w:p>
        </w:tc>
        <w:tc>
          <w:tcPr>
            <w:tcW w:w="700" w:type="dxa"/>
            <w:vAlign w:val="bottom"/>
            <w:tcBorders>
              <w:top w:val="single" w:sz="8" w:color="0000EE"/>
            </w:tcBorders>
            <w:gridSpan w:val="3"/>
          </w:tcPr>
          <w:p>
            <w:pPr>
              <w:spacing w:after="0"/>
              <w:rPr>
                <w:sz w:val="24"/>
                <w:szCs w:val="24"/>
                <w:color w:val="auto"/>
              </w:rPr>
            </w:pPr>
          </w:p>
        </w:tc>
        <w:tc>
          <w:tcPr>
            <w:tcW w:w="4680" w:type="dxa"/>
            <w:vAlign w:val="bottom"/>
            <w:gridSpan w:val="3"/>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w:t>
              </w:r>
            </w:hyperlink>
          </w:p>
        </w:tc>
        <w:tc>
          <w:tcPr>
            <w:tcW w:w="5440" w:type="dxa"/>
            <w:vAlign w:val="bottom"/>
            <w:gridSpan w:val="7"/>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340" w:type="dxa"/>
            <w:vAlign w:val="bottom"/>
            <w:gridSpan w:val="2"/>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6">
              <w:r>
                <w:rPr>
                  <w:rFonts w:ascii="Arial" w:cs="Arial" w:eastAsia="Arial" w:hAnsi="Arial"/>
                  <w:sz w:val="18"/>
                  <w:szCs w:val="18"/>
                  <w:color w:val="0000EE"/>
                  <w:w w:val="83"/>
                </w:rPr>
                <w:t>Item 2.</w:t>
              </w:r>
            </w:hyperlink>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3.</w:t>
              </w:r>
            </w:hyperlink>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4.</w:t>
              </w:r>
            </w:hyperlink>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Item 1.</w:t>
              </w:r>
            </w:hyperlink>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Item 2.</w:t>
              </w:r>
            </w:hyperlink>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700" w:type="dxa"/>
            <w:vAlign w:val="bottom"/>
            <w:tcBorders>
              <w:left w:val="single" w:sz="8" w:color="0000EE"/>
            </w:tcBorders>
            <w:gridSpan w:val="7"/>
            <w:shd w:val="clear" w:color="auto" w:fill="0000EE"/>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Item 6.</w:t>
              </w:r>
            </w:hyperlink>
          </w:p>
        </w:tc>
        <w:tc>
          <w:tcPr>
            <w:tcW w:w="900" w:type="dxa"/>
            <w:vAlign w:val="bottom"/>
          </w:tcPr>
          <w:p>
            <w:pPr>
              <w:spacing w:after="0"/>
              <w:rPr>
                <w:sz w:val="24"/>
                <w:szCs w:val="24"/>
                <w:color w:val="auto"/>
              </w:rPr>
            </w:pPr>
          </w:p>
        </w:tc>
        <w:tc>
          <w:tcPr>
            <w:tcW w:w="914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20" w:type="dxa"/>
            <w:vAlign w:val="bottom"/>
            <w:gridSpan w:val="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900" w:type="dxa"/>
            <w:vAlign w:val="bottom"/>
            <w:tcBorders>
              <w:lef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tcBorders>
              <w:lef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80" w:type="dxa"/>
            <w:vAlign w:val="bottom"/>
            <w:gridSpan w:val="3"/>
          </w:tcPr>
          <w:p>
            <w:pPr>
              <w:jc w:val="right"/>
              <w:ind w:right="692"/>
              <w:spacing w:after="0"/>
              <w:rPr>
                <w:sz w:val="20"/>
                <w:szCs w:val="20"/>
                <w:color w:val="auto"/>
              </w:rPr>
            </w:pPr>
            <w:r>
              <w:rPr>
                <w:rFonts w:ascii="Arial" w:cs="Arial" w:eastAsia="Arial" w:hAnsi="Arial"/>
                <w:sz w:val="18"/>
                <w:szCs w:val="18"/>
                <w:b w:val="1"/>
                <w:bCs w:val="1"/>
                <w:i w:val="1"/>
                <w:iCs w:val="1"/>
                <w:color w:val="auto"/>
              </w:rPr>
              <w:t>Three months ended</w:t>
            </w:r>
          </w:p>
        </w:tc>
        <w:tc>
          <w:tcPr>
            <w:tcW w:w="400" w:type="dxa"/>
            <w:vAlign w:val="bottom"/>
          </w:tcPr>
          <w:p>
            <w:pPr>
              <w:spacing w:after="0"/>
              <w:rPr>
                <w:sz w:val="18"/>
                <w:szCs w:val="18"/>
                <w:color w:val="auto"/>
              </w:rPr>
            </w:pPr>
          </w:p>
        </w:tc>
        <w:tc>
          <w:tcPr>
            <w:tcW w:w="2400" w:type="dxa"/>
            <w:vAlign w:val="bottom"/>
            <w:gridSpan w:val="3"/>
          </w:tcPr>
          <w:p>
            <w:pPr>
              <w:jc w:val="right"/>
              <w:ind w:right="632"/>
              <w:spacing w:after="0"/>
              <w:rPr>
                <w:sz w:val="20"/>
                <w:szCs w:val="20"/>
                <w:color w:val="auto"/>
              </w:rPr>
            </w:pPr>
            <w:r>
              <w:rPr>
                <w:rFonts w:ascii="Arial" w:cs="Arial" w:eastAsia="Arial" w:hAnsi="Arial"/>
                <w:sz w:val="18"/>
                <w:szCs w:val="18"/>
                <w:b w:val="1"/>
                <w:bCs w:val="1"/>
                <w:i w:val="1"/>
                <w:iCs w:val="1"/>
                <w:color w:val="auto"/>
              </w:rPr>
              <w:t>Six months ended</w:t>
            </w:r>
          </w:p>
        </w:tc>
      </w:tr>
      <w:tr>
        <w:trPr>
          <w:trHeight w:val="222"/>
        </w:trPr>
        <w:tc>
          <w:tcPr>
            <w:tcW w:w="5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November 30,</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November 30,</w:t>
            </w:r>
          </w:p>
        </w:tc>
        <w:tc>
          <w:tcPr>
            <w:tcW w:w="840" w:type="dxa"/>
            <w:vAlign w:val="bottom"/>
          </w:tcPr>
          <w:p>
            <w:pPr>
              <w:spacing w:after="0"/>
              <w:rPr>
                <w:sz w:val="19"/>
                <w:szCs w:val="19"/>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4"/>
                <w:szCs w:val="24"/>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94"/>
              </w:rPr>
              <w:t>2009</w:t>
            </w:r>
          </w:p>
        </w:tc>
        <w:tc>
          <w:tcPr>
            <w:tcW w:w="40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4"/>
                <w:szCs w:val="24"/>
                <w:color w:val="auto"/>
              </w:rPr>
            </w:pPr>
          </w:p>
        </w:tc>
        <w:tc>
          <w:tcPr>
            <w:tcW w:w="840" w:type="dxa"/>
            <w:vAlign w:val="bottom"/>
          </w:tcPr>
          <w:p>
            <w:pPr>
              <w:jc w:val="right"/>
              <w:ind w:right="372"/>
              <w:spacing w:after="0"/>
              <w:rPr>
                <w:sz w:val="20"/>
                <w:szCs w:val="20"/>
                <w:color w:val="auto"/>
              </w:rPr>
            </w:pPr>
            <w:r>
              <w:rPr>
                <w:rFonts w:ascii="Arial" w:cs="Arial" w:eastAsia="Arial" w:hAnsi="Arial"/>
                <w:sz w:val="18"/>
                <w:szCs w:val="18"/>
                <w:b w:val="1"/>
                <w:bCs w:val="1"/>
                <w:color w:val="auto"/>
                <w:w w:val="89"/>
              </w:rPr>
              <w:t>2009</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675.7</w:t>
            </w:r>
          </w:p>
        </w:tc>
        <w:tc>
          <w:tcPr>
            <w:tcW w:w="5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660.1</w:t>
            </w: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966.6</w:t>
            </w:r>
          </w:p>
        </w:tc>
        <w:tc>
          <w:tcPr>
            <w:tcW w:w="5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975.7</w:t>
            </w:r>
          </w:p>
        </w:tc>
      </w:tr>
      <w:tr>
        <w:trPr>
          <w:trHeight w:val="358"/>
        </w:trPr>
        <w:tc>
          <w:tcPr>
            <w:tcW w:w="56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42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296.2</w:t>
            </w:r>
          </w:p>
        </w:tc>
        <w:tc>
          <w:tcPr>
            <w:tcW w:w="5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273.6</w:t>
            </w:r>
          </w:p>
        </w:tc>
        <w:tc>
          <w:tcPr>
            <w:tcW w:w="4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443.9</w:t>
            </w:r>
          </w:p>
        </w:tc>
        <w:tc>
          <w:tcPr>
            <w:tcW w:w="5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431.9</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w w:val="90"/>
              </w:rPr>
              <w:t>Selling, general and administrative expenses (exclusive of depreciation and</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64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232.3</w:t>
            </w:r>
          </w:p>
        </w:tc>
        <w:tc>
          <w:tcPr>
            <w:tcW w:w="5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220.5</w:t>
            </w:r>
          </w:p>
        </w:tc>
        <w:tc>
          <w:tcPr>
            <w:tcW w:w="4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402.9</w:t>
            </w:r>
          </w:p>
        </w:tc>
        <w:tc>
          <w:tcPr>
            <w:tcW w:w="5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392.0</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42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6.5</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28.9</w:t>
            </w:r>
          </w:p>
        </w:tc>
        <w:tc>
          <w:tcPr>
            <w:tcW w:w="5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29.5</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Asset impairments</w:t>
            </w:r>
          </w:p>
        </w:tc>
        <w:tc>
          <w:tcPr>
            <w:tcW w:w="42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40.1</w:t>
            </w:r>
          </w:p>
        </w:tc>
        <w:tc>
          <w:tcPr>
            <w:tcW w:w="4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40.1</w:t>
            </w: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42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5.4</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42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547.0</w:t>
            </w:r>
          </w:p>
        </w:tc>
        <w:tc>
          <w:tcPr>
            <w:tcW w:w="5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554.5</w:t>
            </w:r>
          </w:p>
        </w:tc>
        <w:tc>
          <w:tcPr>
            <w:tcW w:w="40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884.7</w:t>
            </w:r>
          </w:p>
        </w:tc>
        <w:tc>
          <w:tcPr>
            <w:tcW w:w="50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905.4</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128.7</w:t>
            </w:r>
          </w:p>
        </w:tc>
        <w:tc>
          <w:tcPr>
            <w:tcW w:w="5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105.6</w:t>
            </w:r>
          </w:p>
        </w:tc>
        <w:tc>
          <w:tcPr>
            <w:tcW w:w="40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81.9</w:t>
            </w:r>
          </w:p>
        </w:tc>
        <w:tc>
          <w:tcPr>
            <w:tcW w:w="50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70.3</w:t>
            </w:r>
          </w:p>
        </w:tc>
      </w:tr>
      <w:tr>
        <w:trPr>
          <w:trHeight w:val="358"/>
        </w:trPr>
        <w:tc>
          <w:tcPr>
            <w:tcW w:w="5640" w:type="dxa"/>
            <w:vAlign w:val="bottom"/>
          </w:tcPr>
          <w:p>
            <w:pPr>
              <w:ind w:left="160"/>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0.9</w:t>
            </w: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8.2</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5640" w:type="dxa"/>
            <w:vAlign w:val="bottom"/>
          </w:tcPr>
          <w:p>
            <w:pPr>
              <w:spacing w:after="0"/>
              <w:rPr>
                <w:sz w:val="20"/>
                <w:szCs w:val="20"/>
                <w:color w:val="auto"/>
              </w:rPr>
            </w:pPr>
            <w:r>
              <w:rPr>
                <w:rFonts w:ascii="Arial" w:cs="Arial" w:eastAsia="Arial" w:hAnsi="Arial"/>
                <w:sz w:val="18"/>
                <w:szCs w:val="18"/>
                <w:b w:val="1"/>
                <w:bCs w:val="1"/>
                <w:color w:val="auto"/>
              </w:rPr>
              <w:t>Earnings from continuing operations before income taxes</w:t>
            </w:r>
          </w:p>
        </w:tc>
        <w:tc>
          <w:tcPr>
            <w:tcW w:w="42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124.3</w:t>
            </w:r>
          </w:p>
        </w:tc>
        <w:tc>
          <w:tcPr>
            <w:tcW w:w="5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101.3</w:t>
            </w:r>
          </w:p>
        </w:tc>
        <w:tc>
          <w:tcPr>
            <w:tcW w:w="40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73.7</w:t>
            </w:r>
          </w:p>
        </w:tc>
        <w:tc>
          <w:tcPr>
            <w:tcW w:w="50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63.0</w:t>
            </w:r>
          </w:p>
        </w:tc>
      </w:tr>
      <w:tr>
        <w:trPr>
          <w:trHeight w:val="365"/>
        </w:trPr>
        <w:tc>
          <w:tcPr>
            <w:tcW w:w="564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47.4</w:t>
            </w:r>
          </w:p>
        </w:tc>
        <w:tc>
          <w:tcPr>
            <w:tcW w:w="5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44.5</w:t>
            </w:r>
          </w:p>
        </w:tc>
        <w:tc>
          <w:tcPr>
            <w:tcW w:w="40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31.0</w:t>
            </w:r>
          </w:p>
        </w:tc>
        <w:tc>
          <w:tcPr>
            <w:tcW w:w="50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30.8</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5640" w:type="dxa"/>
            <w:vAlign w:val="bottom"/>
          </w:tcPr>
          <w:p>
            <w:pPr>
              <w:spacing w:after="0"/>
              <w:rPr>
                <w:sz w:val="20"/>
                <w:szCs w:val="20"/>
                <w:color w:val="auto"/>
              </w:rPr>
            </w:pPr>
            <w:r>
              <w:rPr>
                <w:rFonts w:ascii="Arial" w:cs="Arial" w:eastAsia="Arial" w:hAnsi="Arial"/>
                <w:sz w:val="18"/>
                <w:szCs w:val="18"/>
                <w:b w:val="1"/>
                <w:bCs w:val="1"/>
                <w:color w:val="auto"/>
              </w:rPr>
              <w:t>Earnings from continuing operations</w:t>
            </w:r>
          </w:p>
        </w:tc>
        <w:tc>
          <w:tcPr>
            <w:tcW w:w="42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76.9</w:t>
            </w:r>
          </w:p>
        </w:tc>
        <w:tc>
          <w:tcPr>
            <w:tcW w:w="5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56.8</w:t>
            </w:r>
          </w:p>
        </w:tc>
        <w:tc>
          <w:tcPr>
            <w:tcW w:w="40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42.7</w:t>
            </w:r>
          </w:p>
        </w:tc>
        <w:tc>
          <w:tcPr>
            <w:tcW w:w="50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32.2</w:t>
            </w:r>
          </w:p>
        </w:tc>
      </w:tr>
      <w:tr>
        <w:trPr>
          <w:trHeight w:val="365"/>
        </w:trPr>
        <w:tc>
          <w:tcPr>
            <w:tcW w:w="5640" w:type="dxa"/>
            <w:vAlign w:val="bottom"/>
          </w:tcPr>
          <w:p>
            <w:pPr>
              <w:spacing w:after="0"/>
              <w:rPr>
                <w:sz w:val="20"/>
                <w:szCs w:val="20"/>
                <w:color w:val="auto"/>
              </w:rPr>
            </w:pPr>
            <w:r>
              <w:rPr>
                <w:rFonts w:ascii="Arial" w:cs="Arial" w:eastAsia="Arial" w:hAnsi="Arial"/>
                <w:sz w:val="18"/>
                <w:szCs w:val="18"/>
                <w:b w:val="1"/>
                <w:bCs w:val="1"/>
                <w:color w:val="auto"/>
              </w:rPr>
              <w:t>(Loss) earnings from discontinued operations, net of tax</w:t>
            </w:r>
          </w:p>
        </w:tc>
        <w:tc>
          <w:tcPr>
            <w:tcW w:w="42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(2.0)</w:t>
            </w:r>
          </w:p>
        </w:tc>
        <w:tc>
          <w:tcPr>
            <w:tcW w:w="50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(3.0)</w:t>
            </w:r>
          </w:p>
        </w:tc>
        <w:tc>
          <w:tcPr>
            <w:tcW w:w="50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0.3</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56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74.9</w:t>
            </w:r>
          </w:p>
        </w:tc>
        <w:tc>
          <w:tcPr>
            <w:tcW w:w="5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55.5</w:t>
            </w: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39.7</w:t>
            </w:r>
          </w:p>
        </w:tc>
        <w:tc>
          <w:tcPr>
            <w:tcW w:w="5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32.5</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2"/>
        </w:trPr>
        <w:tc>
          <w:tcPr>
            <w:tcW w:w="5640" w:type="dxa"/>
            <w:vAlign w:val="bottom"/>
          </w:tcPr>
          <w:p>
            <w:pPr>
              <w:spacing w:after="0"/>
              <w:rPr>
                <w:sz w:val="20"/>
                <w:szCs w:val="20"/>
                <w:color w:val="auto"/>
              </w:rPr>
            </w:pPr>
            <w:r>
              <w:rPr>
                <w:rFonts w:ascii="Arial" w:cs="Arial" w:eastAsia="Arial" w:hAnsi="Arial"/>
                <w:sz w:val="18"/>
                <w:szCs w:val="18"/>
                <w:b w:val="1"/>
                <w:bCs w:val="1"/>
                <w:color w:val="auto"/>
                <w:w w:val="96"/>
              </w:rPr>
              <w:t>Basic and diluted earnings (loss) per Share of Class A and Common</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b w:val="1"/>
                <w:bCs w:val="1"/>
                <w:color w:val="auto"/>
              </w:rPr>
              <w:t>Stock</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2.23</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1.56</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1.20</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0.88</w:t>
            </w:r>
          </w:p>
        </w:tc>
      </w:tr>
      <w:tr>
        <w:trPr>
          <w:trHeight w:val="358"/>
        </w:trPr>
        <w:tc>
          <w:tcPr>
            <w:tcW w:w="5640" w:type="dxa"/>
            <w:vAlign w:val="bottom"/>
          </w:tcPr>
          <w:p>
            <w:pPr>
              <w:ind w:left="160"/>
              <w:spacing w:after="0"/>
              <w:rPr>
                <w:sz w:val="20"/>
                <w:szCs w:val="20"/>
                <w:color w:val="auto"/>
              </w:rPr>
            </w:pPr>
            <w:r>
              <w:rPr>
                <w:rFonts w:ascii="Arial" w:cs="Arial" w:eastAsia="Arial" w:hAnsi="Arial"/>
                <w:sz w:val="18"/>
                <w:szCs w:val="18"/>
                <w:color w:val="auto"/>
              </w:rPr>
              <w:t>(Loss) earnings from discontinued operations, net of tax</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(0.06)</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(0.04)</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(0.08)</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0.01</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2.17</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1.52</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1.12</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0.89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2.19</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1.54</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1.19</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0.88</w:t>
            </w:r>
          </w:p>
        </w:tc>
      </w:tr>
      <w:tr>
        <w:trPr>
          <w:trHeight w:val="358"/>
        </w:trPr>
        <w:tc>
          <w:tcPr>
            <w:tcW w:w="5640" w:type="dxa"/>
            <w:vAlign w:val="bottom"/>
          </w:tcPr>
          <w:p>
            <w:pPr>
              <w:ind w:left="160"/>
              <w:spacing w:after="0"/>
              <w:rPr>
                <w:sz w:val="20"/>
                <w:szCs w:val="20"/>
                <w:color w:val="auto"/>
              </w:rPr>
            </w:pPr>
            <w:r>
              <w:rPr>
                <w:rFonts w:ascii="Arial" w:cs="Arial" w:eastAsia="Arial" w:hAnsi="Arial"/>
                <w:sz w:val="18"/>
                <w:szCs w:val="18"/>
                <w:color w:val="auto"/>
              </w:rPr>
              <w:t>(Loss) earnings from discontinued operations, net of tax</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(0.05)</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(0.03)</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(0.08)</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0.00</w:t>
            </w: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2.14</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1.51</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1.11</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0.88</w:t>
            </w:r>
          </w:p>
        </w:tc>
      </w:tr>
      <w:tr>
        <w:trPr>
          <w:trHeight w:val="365"/>
        </w:trPr>
        <w:tc>
          <w:tcPr>
            <w:tcW w:w="564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0.075</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0.075</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0.150</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0.150</w:t>
            </w:r>
          </w:p>
        </w:tc>
      </w:tr>
      <w:tr>
        <w:trPr>
          <w:trHeight w:val="110"/>
        </w:trPr>
        <w:tc>
          <w:tcPr>
            <w:tcW w:w="5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125"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2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November 30, 2010</w:t>
            </w: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rPr>
              <w:t>May 31, 2010</w:t>
            </w:r>
          </w:p>
        </w:tc>
        <w:tc>
          <w:tcPr>
            <w:tcW w:w="19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November 30, 2009</w:t>
            </w:r>
          </w:p>
        </w:tc>
      </w:tr>
      <w:tr>
        <w:trPr>
          <w:trHeight w:val="110"/>
        </w:trPr>
        <w:tc>
          <w:tcPr>
            <w:tcW w:w="47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09"/>
        </w:trPr>
        <w:tc>
          <w:tcPr>
            <w:tcW w:w="47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7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54.4</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   244.1</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178.3</w:t>
            </w:r>
          </w:p>
        </w:tc>
      </w:tr>
      <w:tr>
        <w:trPr>
          <w:trHeight w:val="216"/>
        </w:trPr>
        <w:tc>
          <w:tcPr>
            <w:tcW w:w="47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12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287.7</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212.5</w:t>
            </w:r>
          </w:p>
        </w:tc>
        <w:tc>
          <w:tcPr>
            <w:tcW w:w="82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284.6</w:t>
            </w:r>
          </w:p>
        </w:tc>
      </w:tr>
      <w:tr>
        <w:trPr>
          <w:trHeight w:val="216"/>
        </w:trPr>
        <w:tc>
          <w:tcPr>
            <w:tcW w:w="478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12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371.6</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315.7</w:t>
            </w:r>
          </w:p>
        </w:tc>
        <w:tc>
          <w:tcPr>
            <w:tcW w:w="82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374.7</w:t>
            </w:r>
          </w:p>
        </w:tc>
      </w:tr>
      <w:tr>
        <w:trPr>
          <w:trHeight w:val="216"/>
        </w:trPr>
        <w:tc>
          <w:tcPr>
            <w:tcW w:w="47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12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59.8</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59.3</w:t>
            </w:r>
          </w:p>
        </w:tc>
        <w:tc>
          <w:tcPr>
            <w:tcW w:w="82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65.2</w:t>
            </w:r>
          </w:p>
        </w:tc>
      </w:tr>
      <w:tr>
        <w:trPr>
          <w:trHeight w:val="216"/>
        </w:trPr>
        <w:tc>
          <w:tcPr>
            <w:tcW w:w="478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12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51.3</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42.5</w:t>
            </w:r>
          </w:p>
        </w:tc>
        <w:tc>
          <w:tcPr>
            <w:tcW w:w="82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41.7</w:t>
            </w:r>
          </w:p>
        </w:tc>
      </w:tr>
      <w:tr>
        <w:trPr>
          <w:trHeight w:val="222"/>
        </w:trPr>
        <w:tc>
          <w:tcPr>
            <w:tcW w:w="478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212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10.2</w:t>
            </w:r>
          </w:p>
        </w:tc>
        <w:tc>
          <w:tcPr>
            <w:tcW w:w="1500" w:type="dxa"/>
            <w:vAlign w:val="bottom"/>
          </w:tcPr>
          <w:p>
            <w:pPr>
              <w:jc w:val="right"/>
              <w:ind w:right="312"/>
              <w:spacing w:after="0"/>
              <w:rPr>
                <w:sz w:val="20"/>
                <w:szCs w:val="20"/>
                <w:color w:val="auto"/>
              </w:rPr>
            </w:pPr>
            <w:r>
              <w:rPr>
                <w:rFonts w:ascii="Arial" w:cs="Arial" w:eastAsia="Arial" w:hAnsi="Arial"/>
                <w:sz w:val="18"/>
                <w:szCs w:val="18"/>
                <w:color w:val="auto"/>
              </w:rPr>
              <w:t>12.9</w:t>
            </w:r>
          </w:p>
        </w:tc>
        <w:tc>
          <w:tcPr>
            <w:tcW w:w="82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16.9</w:t>
            </w:r>
          </w:p>
        </w:tc>
      </w:tr>
      <w:tr>
        <w:trPr>
          <w:trHeight w:val="110"/>
        </w:trPr>
        <w:tc>
          <w:tcPr>
            <w:tcW w:w="47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assets</w:t>
            </w:r>
          </w:p>
        </w:tc>
        <w:tc>
          <w:tcPr>
            <w:tcW w:w="9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rPr>
              <w:t>835.0</w:t>
            </w:r>
          </w:p>
        </w:tc>
        <w:tc>
          <w:tcPr>
            <w:tcW w:w="58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887.0</w:t>
            </w:r>
          </w:p>
        </w:tc>
        <w:tc>
          <w:tcPr>
            <w:tcW w:w="660" w:type="dxa"/>
            <w:vAlign w:val="bottom"/>
          </w:tcPr>
          <w:p>
            <w:pPr>
              <w:spacing w:after="0"/>
              <w:rPr>
                <w:sz w:val="19"/>
                <w:szCs w:val="19"/>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b w:val="1"/>
                <w:bCs w:val="1"/>
                <w:color w:val="auto"/>
              </w:rPr>
              <w:t>961.4</w:t>
            </w:r>
          </w:p>
        </w:tc>
      </w:tr>
      <w:tr>
        <w:trPr>
          <w:trHeight w:val="358"/>
        </w:trPr>
        <w:tc>
          <w:tcPr>
            <w:tcW w:w="59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94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343.5</w:t>
            </w:r>
          </w:p>
        </w:tc>
        <w:tc>
          <w:tcPr>
            <w:tcW w:w="58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316.6</w:t>
            </w:r>
          </w:p>
        </w:tc>
        <w:tc>
          <w:tcPr>
            <w:tcW w:w="6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312.8</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109.8</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110.7</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111.1</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38.6</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38.0</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41.3</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6.7</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163.7</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156.6</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157.0</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15.0</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15.5</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18.8</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Noncurrent deferred income taxes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33.4</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33.6</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59.6</w:t>
            </w:r>
          </w:p>
        </w:tc>
      </w:tr>
      <w:tr>
        <w:trPr>
          <w:trHeight w:val="222"/>
        </w:trPr>
        <w:tc>
          <w:tcPr>
            <w:tcW w:w="590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9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37.8</w:t>
            </w:r>
          </w:p>
        </w:tc>
        <w:tc>
          <w:tcPr>
            <w:tcW w:w="58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35.3</w:t>
            </w:r>
          </w:p>
        </w:tc>
        <w:tc>
          <w:tcPr>
            <w:tcW w:w="660" w:type="dxa"/>
            <w:vAlign w:val="bottom"/>
          </w:tcPr>
          <w:p>
            <w:pPr>
              <w:spacing w:after="0"/>
              <w:rPr>
                <w:sz w:val="19"/>
                <w:szCs w:val="19"/>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39.0</w:t>
            </w:r>
          </w:p>
        </w:tc>
      </w:tr>
      <w:tr>
        <w:trPr>
          <w:trHeight w:val="110"/>
        </w:trPr>
        <w:tc>
          <w:tcPr>
            <w:tcW w:w="5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w w:val="99"/>
              </w:rPr>
              <w:t>1,584.4</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w w:val="93"/>
              </w:rPr>
              <w:t>1,600.4</w:t>
            </w: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b w:val="1"/>
                <w:bCs w:val="1"/>
                <w:color w:val="auto"/>
              </w:rPr>
              <w:t>1,707.7</w:t>
            </w:r>
          </w:p>
        </w:tc>
      </w:tr>
      <w:tr>
        <w:trPr>
          <w:trHeight w:val="110"/>
        </w:trPr>
        <w:tc>
          <w:tcPr>
            <w:tcW w:w="5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58"/>
        </w:trPr>
        <w:tc>
          <w:tcPr>
            <w:tcW w:w="59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59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50.0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50.3</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55.8</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2.2</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164.5</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134.4</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48.8</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42.3</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47.9</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81.7</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39.8</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73.7</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165.8</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156.2</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184.2</w:t>
            </w:r>
          </w:p>
        </w:tc>
      </w:tr>
      <w:tr>
        <w:trPr>
          <w:trHeight w:val="222"/>
        </w:trPr>
        <w:tc>
          <w:tcPr>
            <w:tcW w:w="590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9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2.1</w:t>
            </w:r>
          </w:p>
        </w:tc>
      </w:tr>
      <w:tr>
        <w:trPr>
          <w:trHeight w:val="110"/>
        </w:trPr>
        <w:tc>
          <w:tcPr>
            <w:tcW w:w="5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64"/>
        </w:trPr>
        <w:tc>
          <w:tcPr>
            <w:tcW w:w="59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liabilities</w:t>
            </w:r>
          </w:p>
        </w:tc>
        <w:tc>
          <w:tcPr>
            <w:tcW w:w="94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rPr>
              <w:t>513.0</w:t>
            </w:r>
          </w:p>
        </w:tc>
        <w:tc>
          <w:tcPr>
            <w:tcW w:w="58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393.4</w:t>
            </w:r>
          </w:p>
        </w:tc>
        <w:tc>
          <w:tcPr>
            <w:tcW w:w="6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b w:val="1"/>
                <w:bCs w:val="1"/>
                <w:color w:val="auto"/>
              </w:rPr>
              <w:t>500.3</w:t>
            </w:r>
          </w:p>
        </w:tc>
      </w:tr>
      <w:tr>
        <w:trPr>
          <w:trHeight w:val="358"/>
        </w:trPr>
        <w:tc>
          <w:tcPr>
            <w:tcW w:w="59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181.2</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223.8</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54.5</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55.0</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54.6</w:t>
            </w:r>
          </w:p>
        </w:tc>
      </w:tr>
      <w:tr>
        <w:trPr>
          <w:trHeight w:val="222"/>
        </w:trPr>
        <w:tc>
          <w:tcPr>
            <w:tcW w:w="590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9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115.0</w:t>
            </w:r>
          </w:p>
        </w:tc>
        <w:tc>
          <w:tcPr>
            <w:tcW w:w="58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119.1</w:t>
            </w:r>
          </w:p>
        </w:tc>
        <w:tc>
          <w:tcPr>
            <w:tcW w:w="660" w:type="dxa"/>
            <w:vAlign w:val="bottom"/>
          </w:tcPr>
          <w:p>
            <w:pPr>
              <w:spacing w:after="0"/>
              <w:rPr>
                <w:sz w:val="19"/>
                <w:szCs w:val="19"/>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101.9</w:t>
            </w:r>
          </w:p>
        </w:tc>
      </w:tr>
      <w:tr>
        <w:trPr>
          <w:trHeight w:val="110"/>
        </w:trPr>
        <w:tc>
          <w:tcPr>
            <w:tcW w:w="5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64"/>
        </w:trPr>
        <w:tc>
          <w:tcPr>
            <w:tcW w:w="59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94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rPr>
              <w:t>350.7</w:t>
            </w:r>
          </w:p>
        </w:tc>
        <w:tc>
          <w:tcPr>
            <w:tcW w:w="58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376.6</w:t>
            </w:r>
          </w:p>
        </w:tc>
        <w:tc>
          <w:tcPr>
            <w:tcW w:w="6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b w:val="1"/>
                <w:bCs w:val="1"/>
                <w:color w:val="auto"/>
              </w:rPr>
              <w:t>380.3</w:t>
            </w:r>
          </w:p>
        </w:tc>
      </w:tr>
      <w:tr>
        <w:trPr>
          <w:trHeight w:val="365"/>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94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358"/>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0.0</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0.4</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577.7</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569.2</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559.8</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(72.6)</w:t>
            </w:r>
          </w:p>
        </w:tc>
        <w:tc>
          <w:tcPr>
            <w:tcW w:w="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(85.4)</w:t>
            </w:r>
          </w:p>
        </w:tc>
        <w:tc>
          <w:tcPr>
            <w:tcW w:w="660" w:type="dxa"/>
            <w:vAlign w:val="bottom"/>
          </w:tcPr>
          <w:p>
            <w:pPr>
              <w:spacing w:after="0"/>
              <w:rPr>
                <w:sz w:val="18"/>
                <w:szCs w:val="18"/>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(70.4)</w:t>
            </w: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9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642.4</w:t>
            </w:r>
          </w:p>
        </w:tc>
        <w:tc>
          <w:tcPr>
            <w:tcW w:w="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607.8</w:t>
            </w:r>
          </w:p>
        </w:tc>
        <w:tc>
          <w:tcPr>
            <w:tcW w:w="66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589.8</w:t>
            </w:r>
          </w:p>
        </w:tc>
      </w:tr>
      <w:tr>
        <w:trPr>
          <w:trHeight w:val="222"/>
        </w:trPr>
        <w:tc>
          <w:tcPr>
            <w:tcW w:w="590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940" w:type="dxa"/>
            <w:vAlign w:val="bottom"/>
          </w:tcPr>
          <w:p>
            <w:pPr>
              <w:spacing w:after="0"/>
              <w:rPr>
                <w:sz w:val="19"/>
                <w:szCs w:val="19"/>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(427.2)</w:t>
            </w:r>
          </w:p>
        </w:tc>
        <w:tc>
          <w:tcPr>
            <w:tcW w:w="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(261.6)</w:t>
            </w:r>
          </w:p>
        </w:tc>
        <w:tc>
          <w:tcPr>
            <w:tcW w:w="66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(252.5)</w:t>
            </w:r>
          </w:p>
        </w:tc>
      </w:tr>
      <w:tr>
        <w:trPr>
          <w:trHeight w:val="110"/>
        </w:trPr>
        <w:tc>
          <w:tcPr>
            <w:tcW w:w="5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59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stockholders’ equity</w:t>
            </w:r>
          </w:p>
        </w:tc>
        <w:tc>
          <w:tcPr>
            <w:tcW w:w="94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720.7</w:t>
            </w:r>
          </w:p>
        </w:tc>
        <w:tc>
          <w:tcPr>
            <w:tcW w:w="58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830.4</w:t>
            </w:r>
          </w:p>
        </w:tc>
        <w:tc>
          <w:tcPr>
            <w:tcW w:w="6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827.1</w:t>
            </w:r>
          </w:p>
        </w:tc>
      </w:tr>
      <w:tr>
        <w:trPr>
          <w:trHeight w:val="110"/>
        </w:trPr>
        <w:tc>
          <w:tcPr>
            <w:tcW w:w="5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w w:val="99"/>
              </w:rPr>
              <w:t>1,584.4</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w w:val="93"/>
              </w:rPr>
              <w:t>1,600.4</w:t>
            </w: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b w:val="1"/>
                <w:bCs w:val="1"/>
                <w:color w:val="auto"/>
              </w:rPr>
              <w:t>1,707.7</w:t>
            </w:r>
          </w:p>
        </w:tc>
      </w:tr>
      <w:tr>
        <w:trPr>
          <w:trHeight w:val="110"/>
        </w:trPr>
        <w:tc>
          <w:tcPr>
            <w:tcW w:w="59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96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96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i w:val="1"/>
          <w:iCs w:val="1"/>
          <w:color w:val="auto"/>
        </w:rPr>
        <w:t>Six months ended</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i w:val="1"/>
          <w:i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r>
      <w:tr>
        <w:trPr>
          <w:trHeight w:val="110"/>
        </w:trPr>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09"/>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39.7</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32.5</w:t>
            </w:r>
          </w:p>
        </w:tc>
      </w:tr>
      <w:tr>
        <w:trPr>
          <w:trHeight w:val="222"/>
        </w:trPr>
        <w:tc>
          <w:tcPr>
            <w:tcW w:w="8600" w:type="dxa"/>
            <w:vAlign w:val="bottom"/>
          </w:tcPr>
          <w:p>
            <w:pPr>
              <w:ind w:left="320"/>
              <w:spacing w:after="0"/>
              <w:rPr>
                <w:sz w:val="20"/>
                <w:szCs w:val="20"/>
                <w:color w:val="auto"/>
              </w:rPr>
            </w:pPr>
            <w:r>
              <w:rPr>
                <w:rFonts w:ascii="Arial" w:cs="Arial" w:eastAsia="Arial" w:hAnsi="Arial"/>
                <w:sz w:val="18"/>
                <w:szCs w:val="18"/>
                <w:color w:val="auto"/>
              </w:rPr>
              <w:t>(Loss) earnings from discontinued operations, net of tax</w:t>
            </w:r>
          </w:p>
        </w:tc>
        <w:tc>
          <w:tcPr>
            <w:tcW w:w="5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w:t>
            </w:r>
          </w:p>
        </w:tc>
      </w:tr>
      <w:tr>
        <w:trPr>
          <w:trHeight w:val="110"/>
        </w:trPr>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16"/>
        </w:trPr>
        <w:tc>
          <w:tcPr>
            <w:tcW w:w="86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5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32.2</w:t>
            </w:r>
          </w:p>
        </w:tc>
      </w:tr>
      <w:tr>
        <w:trPr>
          <w:trHeight w:val="358"/>
        </w:trPr>
        <w:tc>
          <w:tcPr>
            <w:tcW w:w="8600" w:type="dxa"/>
            <w:vAlign w:val="bottom"/>
          </w:tcPr>
          <w:p>
            <w:pPr>
              <w:spacing w:after="0"/>
              <w:rPr>
                <w:sz w:val="20"/>
                <w:szCs w:val="20"/>
                <w:color w:val="auto"/>
              </w:rPr>
            </w:pPr>
            <w:r>
              <w:rPr>
                <w:rFonts w:ascii="Arial" w:cs="Arial" w:eastAsia="Arial" w:hAnsi="Arial"/>
                <w:sz w:val="18"/>
                <w:szCs w:val="18"/>
                <w:color w:val="auto"/>
                <w:w w:val="92"/>
              </w:rPr>
              <w:t>Adjustments to reconcile earnings from continuing operations to net cash provided by (used in) operating activities of</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13.8</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Provision for losses on royalty</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24.3</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29.5</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8.4</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Non-cash write off related to asset impairments</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40.1</w:t>
            </w:r>
          </w:p>
        </w:tc>
      </w:tr>
      <w:tr>
        <w:trPr>
          <w:trHeight w:val="216"/>
        </w:trPr>
        <w:tc>
          <w:tcPr>
            <w:tcW w:w="86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(62.8)</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2.6</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4.6</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43.7</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5.7</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39.3</w:t>
            </w:r>
          </w:p>
        </w:tc>
      </w:tr>
      <w:tr>
        <w:trPr>
          <w:trHeight w:val="216"/>
        </w:trPr>
        <w:tc>
          <w:tcPr>
            <w:tcW w:w="860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86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10"/>
        </w:trPr>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16"/>
        </w:trPr>
        <w:tc>
          <w:tcPr>
            <w:tcW w:w="860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5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39.3</w:t>
            </w:r>
          </w:p>
        </w:tc>
        <w:tc>
          <w:tcPr>
            <w:tcW w:w="3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71.2</w:t>
            </w:r>
          </w:p>
        </w:tc>
      </w:tr>
      <w:tr>
        <w:trPr>
          <w:trHeight w:val="110"/>
        </w:trPr>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58"/>
        </w:trPr>
        <w:tc>
          <w:tcPr>
            <w:tcW w:w="860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5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82.0</w:t>
            </w:r>
          </w:p>
        </w:tc>
        <w:tc>
          <w:tcPr>
            <w:tcW w:w="3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103.4</w:t>
            </w:r>
          </w:p>
        </w:tc>
      </w:tr>
      <w:tr>
        <w:trPr>
          <w:trHeight w:val="222"/>
        </w:trPr>
        <w:tc>
          <w:tcPr>
            <w:tcW w:w="860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w:t>
            </w:r>
          </w:p>
        </w:tc>
      </w:tr>
      <w:tr>
        <w:trPr>
          <w:trHeight w:val="110"/>
        </w:trPr>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64"/>
        </w:trPr>
        <w:tc>
          <w:tcPr>
            <w:tcW w:w="860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83.5</w:t>
            </w:r>
          </w:p>
        </w:tc>
        <w:tc>
          <w:tcPr>
            <w:tcW w:w="3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105.8</w:t>
            </w:r>
          </w:p>
        </w:tc>
      </w:tr>
      <w:tr>
        <w:trPr>
          <w:trHeight w:val="358"/>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(used in) provided by investing activities: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Net proceeds from sale of discontinued operations</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Land acquisition</w:t>
            </w:r>
          </w:p>
        </w:tc>
        <w:tc>
          <w:tcPr>
            <w:tcW w:w="5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8600" w:type="dxa"/>
            <w:vAlign w:val="bottom"/>
          </w:tcPr>
          <w:p>
            <w:pPr>
              <w:ind w:left="160"/>
              <w:spacing w:after="0"/>
              <w:rPr>
                <w:sz w:val="20"/>
                <w:szCs w:val="20"/>
                <w:color w:val="auto"/>
              </w:rPr>
            </w:pPr>
            <w:r>
              <w:rPr>
                <w:rFonts w:ascii="Arial" w:cs="Arial" w:eastAsia="Arial" w:hAnsi="Arial"/>
                <w:sz w:val="18"/>
                <w:szCs w:val="18"/>
                <w:color w:val="auto"/>
              </w:rPr>
              <w:t>Acquisition-related payments (net of cash received of $2.5)</w:t>
            </w:r>
          </w:p>
        </w:tc>
        <w:tc>
          <w:tcPr>
            <w:tcW w:w="5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58"/>
        </w:trPr>
        <w:tc>
          <w:tcPr>
            <w:tcW w:w="86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22"/>
        </w:trPr>
        <w:tc>
          <w:tcPr>
            <w:tcW w:w="86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discontinued operations</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64"/>
        </w:trPr>
        <w:tc>
          <w:tcPr>
            <w:tcW w:w="86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432"/>
        </w:trPr>
        <w:tc>
          <w:tcPr>
            <w:tcW w:w="860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40" w:top="382" w:right="21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i w:val="1"/>
          <w:iCs w:val="1"/>
          <w:color w:val="auto"/>
        </w:rPr>
        <w:t>Six months ended</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i w:val="1"/>
          <w:i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r>
      <w:tr>
        <w:trPr>
          <w:trHeight w:val="110"/>
        </w:trPr>
        <w:tc>
          <w:tcPr>
            <w:tcW w:w="67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09"/>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23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Revolver</w:t>
            </w:r>
          </w:p>
        </w:tc>
        <w:tc>
          <w:tcPr>
            <w:tcW w:w="238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Repayment of Credit Agreement and Revolver</w:t>
            </w:r>
          </w:p>
        </w:tc>
        <w:tc>
          <w:tcPr>
            <w:tcW w:w="23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Repurchase of 5% notes</w:t>
            </w:r>
          </w:p>
        </w:tc>
        <w:tc>
          <w:tcPr>
            <w:tcW w:w="238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238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104.5</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23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3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23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(165.7)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238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23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6760" w:type="dxa"/>
            <w:vAlign w:val="bottom"/>
          </w:tcPr>
          <w:p>
            <w:pPr>
              <w:ind w:left="160"/>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110"/>
        </w:trPr>
        <w:tc>
          <w:tcPr>
            <w:tcW w:w="67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58"/>
        </w:trPr>
        <w:tc>
          <w:tcPr>
            <w:tcW w:w="6760" w:type="dxa"/>
            <w:vAlign w:val="bottom"/>
          </w:tcPr>
          <w:p>
            <w:pPr>
              <w:ind w:left="160"/>
              <w:spacing w:after="0"/>
              <w:rPr>
                <w:sz w:val="20"/>
                <w:szCs w:val="20"/>
                <w:color w:val="auto"/>
              </w:rPr>
            </w:pPr>
            <w:r>
              <w:rPr>
                <w:rFonts w:ascii="Arial" w:cs="Arial" w:eastAsia="Arial" w:hAnsi="Arial"/>
                <w:sz w:val="18"/>
                <w:szCs w:val="18"/>
                <w:color w:val="auto"/>
              </w:rPr>
              <w:t>Net cash used in financing activities of continuing operations</w:t>
            </w:r>
          </w:p>
        </w:tc>
        <w:tc>
          <w:tcPr>
            <w:tcW w:w="238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(195.4)</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2"/>
        </w:trPr>
        <w:tc>
          <w:tcPr>
            <w:tcW w:w="6760" w:type="dxa"/>
            <w:vAlign w:val="bottom"/>
          </w:tcPr>
          <w:p>
            <w:pPr>
              <w:ind w:left="160"/>
              <w:spacing w:after="0"/>
              <w:rPr>
                <w:sz w:val="20"/>
                <w:szCs w:val="20"/>
                <w:color w:val="auto"/>
              </w:rPr>
            </w:pPr>
            <w:r>
              <w:rPr>
                <w:rFonts w:ascii="Arial" w:cs="Arial" w:eastAsia="Arial" w:hAnsi="Arial"/>
                <w:sz w:val="18"/>
                <w:szCs w:val="18"/>
                <w:color w:val="auto"/>
              </w:rPr>
              <w:t>Net cash used in financing activities of discontinued operations</w:t>
            </w:r>
          </w:p>
        </w:tc>
        <w:tc>
          <w:tcPr>
            <w:tcW w:w="23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67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58"/>
        </w:trPr>
        <w:tc>
          <w:tcPr>
            <w:tcW w:w="676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38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(195.4)</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2"/>
        </w:trPr>
        <w:tc>
          <w:tcPr>
            <w:tcW w:w="676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23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10"/>
        </w:trPr>
        <w:tc>
          <w:tcPr>
            <w:tcW w:w="67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58"/>
        </w:trPr>
        <w:tc>
          <w:tcPr>
            <w:tcW w:w="67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38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(189.7)</w:t>
            </w:r>
          </w:p>
        </w:tc>
        <w:tc>
          <w:tcPr>
            <w:tcW w:w="3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34.7</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3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244.1</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143.6</w:t>
            </w:r>
          </w:p>
        </w:tc>
      </w:tr>
      <w:tr>
        <w:trPr>
          <w:trHeight w:val="110"/>
        </w:trPr>
        <w:tc>
          <w:tcPr>
            <w:tcW w:w="67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16"/>
        </w:trPr>
        <w:tc>
          <w:tcPr>
            <w:tcW w:w="67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54.4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178.3</w:t>
            </w:r>
          </w:p>
        </w:tc>
      </w:tr>
      <w:tr>
        <w:trPr>
          <w:trHeight w:val="110"/>
        </w:trPr>
        <w:tc>
          <w:tcPr>
            <w:tcW w:w="67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2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Intercompany transactions are eliminated in consolidation.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2010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2010 relate to the twelve month period ended May 31, 2010.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As more fully described in Note 3, “Discontinued Operations,” the Company closed or sold several operations during fiscal 2008 and 2009, and presently holds for sale one operation. All of these businesses are classified as discontinued operations in the Company’s financial statements.</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remaining assets and liabilities associated with the foregoing discontinued businesses or operations are presented in the Company’s condensed consolidated balance sheets as “Current assets of discontinued operations” and “Current liabilities of discontinued operations” as of November 30, 2010, May 31, 2010 and November 30, 2009. In fiscal 2010, the Company sold a previously discontinued non-core book distribution business. The aggregate results of operations of these businesses for the six months ended November 30, 2010 and 2009 are included in the condensed consolidated statements of operations as “(Loss) earnings from discontinued operations, net of tax.” The aggregate cash flows of these businesses are also presented separately in the Company’s consolidated statements of cash flows for the six months ended November 30, 2010 and 2009. All corresponding prior year periods presented in the Company’s condensed consolidated financial statements and accompanying notes have been reclassified to reflect the discontinued operations presentation.</w:t>
      </w:r>
    </w:p>
    <w:p>
      <w:pPr>
        <w:spacing w:after="0" w:line="1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first quarter of fiscal 2011, the Company determined that its distribution facility in Danbury, Connecticut (the “Danbury Facility”) was no longer “held for sale.” Accordingly, the assets, liabilities and results of operations of the Danbury Facility are included in continuing operations for all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current presentation includes a net reclassification of certain costs to “Cost of goods sold” from “Selling, general and administrative expenses,” which totaled $3.9 for the three months ended November 30, 2009 and $6.1 for the six months ended November 30,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November 30, 2009 condensed consolidated balance sheet is included for comparative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including, but not limited to: collectability of accounts receivable; sales returns; gross margin rates used to determine inventory values; gross profits for book fair operations during interim periods; amortization periods; stock-based compensation expense; pension and other post-retirement obligations; tax rates; recoverability of inventories, deferred income taxes and tax reserves, prepublication costs and royalty advances; and the fair value of goodwill and other intangibles.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condensed consolidated balance sheets include restricted cash of $1.3, $0.0 and $0.0 as of November 30, 2010, May 31, 2010 and November 30, 2009, respectively, which is reported in “Other current assets.” This restricted cash was acquired with the assets of Marilyn Burn Education Associates (d/b/a Math Solutions) (“Math Solutions”), See Note 2, “Acquisition and Land Purchase,” for a further description of the acquisition.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October 2009, the Financial Accounting Standards Board (the “FASB”) issued an update to authoritative guidance on the revenue recognition related to multiple deliverable revenue arrangements. The guidance addresses the accounting for multiple-deliverable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The current authoritative guidance establishes the accounting and reporting guidance for arrangements under which the vendor will perform multiple revenue-generating activities. Specifically, this guidance addresses how to separate deliverables and how to measure and allocate arrangement consideration to one or more units of accounting. This guidance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2009, the FASB issued an update to authoritative guidance related to certain revenue arrangements that include software elements. The accounting guidance update addresses the accounting revenue arrangements that contain tangible products and software and it affects vendors that sell or lease tangible products in an arrangement that contains software that is more than incidental to the tangible product as a whole. The update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“Software – Revenue Recognition.” The amendment requires that hardware components of a tangible product containing software components always be excluded from the software revenue guidance. This guidance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April 2010, the FASB issued an update to authoritative guidance on the milestone method of revenue recognition. The objective of this update is to provide guidance on defining a milestone and determining when it may be appropriate to apply the milestone method of revenue recognition for research or development transactions. Research or development arrangements frequently include payment provisions whereby a portion or all of the consideration is contingent upon milestone events such as a specific result from the research or development efforts. An entity often recognizes these milestone payments as revenue in their entirety upon achieving the related milestone, commonly referred to as the milestone method. The amendments in this update provide guidance on the criteria that should be met for determining whether the milestone method of revenue recognition is appropriate. The amendments in this update are effective on a prospective basis for milestones achieved in fiscal years, and interim periods within those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and Land Purchase</w:t>
      </w:r>
    </w:p>
    <w:p>
      <w:pPr>
        <w:spacing w:after="0" w:line="23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 xml:space="preserve">On September 9, 2010, the Company purchased the assets of Math Solutions, an education resources and professional development company focusing on K-12 math instruction, for $8.0, net of cash. The Company intends to integrate this business with its existing educational technology businesses. As a result of this transaction, the Company recognized $6.9 of goodwill. Transaction costs of $0.4 were expensed in the second quarter of fiscal 2011, and are included in “Other expense income” on the Company’s condensed consolidated statements of operations. The results of operations of this acquisition subsequent to the acquisition date are included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current fiscal period, the Company purchased the land where its Corporate Headquarters are located for $24.3 and also satisfied capital lease obligations on this property of $1.3.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During fiscal 2008, the Company determined to sell or shut down its domestic, Canadian and UK continuities businesses, and intends to sell a related warehousing and distribution facility located in Maumelle, Arkansas (the “Maumelle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In fiscal 2010, the Company sold a previously discontinued non-core book distribution business. All of the above businesses are classified as discontinued operations in the Company’s financial statements.</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continues to monitor the expected cash proceeds to be realized from the disposition of discontinued operations’ assets, and adjusts asset values accordingly.</w:t>
      </w:r>
    </w:p>
    <w:p>
      <w:pPr>
        <w:spacing w:after="0" w:line="18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continuously evaluates its portfolio of businesses for both impairment and economic viability. The Company did not cease any additional operations or classify any additional operations as “held for sale” during the six-month period ended November 30, 2010. During the first quarter of fiscal 2011, the Company determined that the Danbury Facility was no longer “held for sale.” Accordingly, the assets, liabilities and results of operations of the Danbury Facility are included in continuing operations for all periods presented.</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second quarter of fiscal 2011, the Company began the process of settling the pension plan of Grolier Limited, a Canadian entity in the continuities business. Losses related to the recognition of prior service costs associated with the portion of the settlement completed in the second quarter are reflected in the table below. See Note 10, “Employee Benefit Plans,” for further details pertaining to the settlement.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380" w:type="dxa"/>
            <w:vAlign w:val="bottom"/>
            <w:gridSpan w:val="3"/>
          </w:tcPr>
          <w:p>
            <w:pPr>
              <w:jc w:val="right"/>
              <w:ind w:right="72"/>
              <w:spacing w:after="0"/>
              <w:rPr>
                <w:sz w:val="20"/>
                <w:szCs w:val="20"/>
                <w:color w:val="auto"/>
              </w:rPr>
            </w:pPr>
            <w:r>
              <w:rPr>
                <w:rFonts w:ascii="Arial" w:cs="Arial" w:eastAsia="Arial" w:hAnsi="Arial"/>
                <w:sz w:val="18"/>
                <w:szCs w:val="18"/>
                <w:b w:val="1"/>
                <w:bCs w:val="1"/>
                <w:i w:val="1"/>
                <w:iCs w:val="1"/>
                <w:color w:val="auto"/>
              </w:rPr>
              <w:t>Three months ended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gridSpan w:val="3"/>
          </w:tcPr>
          <w:p>
            <w:pPr>
              <w:jc w:val="right"/>
              <w:ind w:right="572"/>
              <w:spacing w:after="0"/>
              <w:rPr>
                <w:sz w:val="20"/>
                <w:szCs w:val="20"/>
                <w:color w:val="auto"/>
              </w:rPr>
            </w:pPr>
            <w:r>
              <w:rPr>
                <w:rFonts w:ascii="Arial" w:cs="Arial" w:eastAsia="Arial" w:hAnsi="Arial"/>
                <w:sz w:val="18"/>
                <w:szCs w:val="18"/>
                <w:b w:val="1"/>
                <w:bCs w:val="1"/>
                <w:i w:val="1"/>
                <w:iCs w:val="1"/>
                <w:color w:val="auto"/>
              </w:rPr>
              <w:t>Six months ended</w:t>
            </w:r>
          </w:p>
        </w:tc>
        <w:tc>
          <w:tcPr>
            <w:tcW w:w="20" w:type="dxa"/>
            <w:vAlign w:val="bottom"/>
          </w:tcPr>
          <w:p>
            <w:pPr>
              <w:spacing w:after="0"/>
              <w:rPr>
                <w:sz w:val="18"/>
                <w:szCs w:val="18"/>
                <w:color w:val="auto"/>
              </w:rPr>
            </w:pPr>
          </w:p>
        </w:tc>
      </w:tr>
      <w:tr>
        <w:trPr>
          <w:trHeight w:val="222"/>
        </w:trPr>
        <w:tc>
          <w:tcPr>
            <w:tcW w:w="4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20" w:type="dxa"/>
            <w:vAlign w:val="bottom"/>
            <w:gridSpan w:val="2"/>
          </w:tcPr>
          <w:p>
            <w:pPr>
              <w:jc w:val="right"/>
              <w:ind w:right="312"/>
              <w:spacing w:after="0"/>
              <w:rPr>
                <w:sz w:val="20"/>
                <w:szCs w:val="20"/>
                <w:color w:val="auto"/>
              </w:rPr>
            </w:pPr>
            <w:r>
              <w:rPr>
                <w:rFonts w:ascii="Arial" w:cs="Arial" w:eastAsia="Arial" w:hAnsi="Arial"/>
                <w:sz w:val="18"/>
                <w:szCs w:val="18"/>
                <w:b w:val="1"/>
                <w:bCs w:val="1"/>
                <w:i w:val="1"/>
                <w:iCs w:val="1"/>
                <w:color w:val="auto"/>
                <w:w w:val="84"/>
              </w:rPr>
              <w:t>November 30,</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November 30,</w:t>
            </w: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1960" w:type="dxa"/>
            <w:vAlign w:val="bottom"/>
          </w:tcPr>
          <w:p>
            <w:pPr>
              <w:spacing w:after="0"/>
              <w:rPr>
                <w:sz w:val="24"/>
                <w:szCs w:val="24"/>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r>
      <w:tr>
        <w:trPr>
          <w:trHeight w:val="358"/>
        </w:trPr>
        <w:tc>
          <w:tcPr>
            <w:tcW w:w="4920" w:type="dxa"/>
            <w:vAlign w:val="bottom"/>
          </w:tcPr>
          <w:p>
            <w:pPr>
              <w:spacing w:after="0"/>
              <w:rPr>
                <w:sz w:val="20"/>
                <w:szCs w:val="20"/>
                <w:color w:val="auto"/>
              </w:rPr>
            </w:pPr>
            <w:r>
              <w:rPr>
                <w:rFonts w:ascii="Arial" w:cs="Arial" w:eastAsia="Arial" w:hAnsi="Arial"/>
                <w:sz w:val="18"/>
                <w:szCs w:val="18"/>
                <w:color w:val="auto"/>
              </w:rPr>
              <w:t>Loss on sale</w:t>
            </w:r>
          </w:p>
        </w:tc>
        <w:tc>
          <w:tcPr>
            <w:tcW w:w="1960" w:type="dxa"/>
            <w:vAlign w:val="bottom"/>
          </w:tcPr>
          <w:p>
            <w:pPr>
              <w:spacing w:after="0"/>
              <w:rPr>
                <w:sz w:val="24"/>
                <w:szCs w:val="24"/>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91"/>
              </w:rPr>
              <w:t>(1.1)</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(Loss) earnings before income taxes</w:t>
            </w:r>
          </w:p>
        </w:tc>
        <w:tc>
          <w:tcPr>
            <w:tcW w:w="19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96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88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91"/>
              </w:rPr>
              <w:t>(0.3)</w:t>
            </w: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20" w:type="dxa"/>
            <w:vAlign w:val="bottom"/>
          </w:tcPr>
          <w:p>
            <w:pPr>
              <w:spacing w:after="0"/>
              <w:rPr>
                <w:sz w:val="20"/>
                <w:szCs w:val="20"/>
                <w:color w:val="auto"/>
              </w:rPr>
            </w:pPr>
            <w:r>
              <w:rPr>
                <w:rFonts w:ascii="Arial" w:cs="Arial" w:eastAsia="Arial" w:hAnsi="Arial"/>
                <w:sz w:val="18"/>
                <w:szCs w:val="18"/>
                <w:b w:val="1"/>
                <w:bCs w:val="1"/>
                <w:color w:val="auto"/>
              </w:rPr>
              <w:t>(Loss) earnings from discontinued operations, net of tax</w:t>
            </w:r>
          </w:p>
        </w:tc>
        <w:tc>
          <w:tcPr>
            <w:tcW w:w="1960" w:type="dxa"/>
            <w:vAlign w:val="bottom"/>
          </w:tcPr>
          <w:p>
            <w:pPr>
              <w:jc w:val="right"/>
              <w:ind w:right="5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rPr>
              <w:t>(2.0)</w:t>
            </w:r>
          </w:p>
        </w:tc>
        <w:tc>
          <w:tcPr>
            <w:tcW w:w="88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(1.3)</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(3.0)</w:t>
            </w:r>
          </w:p>
        </w:tc>
        <w:tc>
          <w:tcPr>
            <w:tcW w:w="3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0.3</w:t>
            </w:r>
          </w:p>
        </w:tc>
        <w:tc>
          <w:tcPr>
            <w:tcW w:w="20" w:type="dxa"/>
            <w:vAlign w:val="bottom"/>
          </w:tcPr>
          <w:p>
            <w:pPr>
              <w:spacing w:after="0"/>
              <w:rPr>
                <w:sz w:val="24"/>
                <w:szCs w:val="24"/>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920" w:type="dxa"/>
            <w:vAlign w:val="bottom"/>
          </w:tcPr>
          <w:p>
            <w:pPr>
              <w:spacing w:after="0"/>
              <w:rPr>
                <w:sz w:val="24"/>
                <w:szCs w:val="24"/>
                <w:color w:val="auto"/>
              </w:rPr>
            </w:pPr>
          </w:p>
        </w:tc>
        <w:tc>
          <w:tcPr>
            <w:tcW w:w="1960" w:type="dxa"/>
            <w:vAlign w:val="bottom"/>
          </w:tcPr>
          <w:p>
            <w:pPr>
              <w:jc w:val="right"/>
              <w:ind w:right="1032"/>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92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304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November 30, 2010</w:t>
            </w:r>
          </w:p>
        </w:tc>
        <w:tc>
          <w:tcPr>
            <w:tcW w:w="172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May 31, 2010</w:t>
            </w:r>
          </w:p>
        </w:tc>
        <w:tc>
          <w:tcPr>
            <w:tcW w:w="208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November 30, 2009</w:t>
            </w:r>
          </w:p>
        </w:tc>
        <w:tc>
          <w:tcPr>
            <w:tcW w:w="20" w:type="dxa"/>
            <w:vAlign w:val="bottom"/>
          </w:tcPr>
          <w:p>
            <w:pPr>
              <w:spacing w:after="0"/>
              <w:rPr>
                <w:sz w:val="19"/>
                <w:szCs w:val="19"/>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6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60" w:type="dxa"/>
            <w:vAlign w:val="bottom"/>
          </w:tcPr>
          <w:p>
            <w:pPr>
              <w:spacing w:after="0"/>
              <w:rPr>
                <w:sz w:val="24"/>
                <w:szCs w:val="24"/>
                <w:color w:val="auto"/>
              </w:rPr>
            </w:pPr>
          </w:p>
        </w:tc>
        <w:tc>
          <w:tcPr>
            <w:tcW w:w="11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3.7</w:t>
            </w:r>
          </w:p>
        </w:tc>
        <w:tc>
          <w:tcPr>
            <w:tcW w:w="960" w:type="dxa"/>
            <w:vAlign w:val="bottom"/>
          </w:tcPr>
          <w:p>
            <w:pPr>
              <w:spacing w:after="0"/>
              <w:rPr>
                <w:sz w:val="24"/>
                <w:szCs w:val="24"/>
                <w:color w:val="auto"/>
              </w:rPr>
            </w:pP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Inventories, net</w:t>
            </w:r>
          </w:p>
        </w:tc>
        <w:tc>
          <w:tcPr>
            <w:tcW w:w="1860" w:type="dxa"/>
            <w:vAlign w:val="bottom"/>
          </w:tcPr>
          <w:p>
            <w:pPr>
              <w:spacing w:after="0"/>
              <w:rPr>
                <w:sz w:val="18"/>
                <w:szCs w:val="18"/>
                <w:color w:val="auto"/>
              </w:rPr>
            </w:pPr>
          </w:p>
        </w:tc>
        <w:tc>
          <w:tcPr>
            <w:tcW w:w="11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Other assets</w:t>
            </w:r>
          </w:p>
        </w:tc>
        <w:tc>
          <w:tcPr>
            <w:tcW w:w="1860" w:type="dxa"/>
            <w:vAlign w:val="bottom"/>
          </w:tcPr>
          <w:p>
            <w:pPr>
              <w:spacing w:after="0"/>
              <w:rPr>
                <w:sz w:val="19"/>
                <w:szCs w:val="19"/>
                <w:color w:val="auto"/>
              </w:rPr>
            </w:pPr>
          </w:p>
        </w:tc>
        <w:tc>
          <w:tcPr>
            <w:tcW w:w="1180" w:type="dxa"/>
            <w:vAlign w:val="bottom"/>
          </w:tcPr>
          <w:p>
            <w:pPr>
              <w:jc w:val="right"/>
              <w:ind w:right="752"/>
              <w:spacing w:after="0"/>
              <w:rPr>
                <w:sz w:val="20"/>
                <w:szCs w:val="20"/>
                <w:color w:val="auto"/>
              </w:rPr>
            </w:pPr>
            <w:r>
              <w:rPr>
                <w:rFonts w:ascii="Arial" w:cs="Arial" w:eastAsia="Arial" w:hAnsi="Arial"/>
                <w:sz w:val="18"/>
                <w:szCs w:val="18"/>
                <w:color w:val="auto"/>
                <w:w w:val="91"/>
              </w:rPr>
              <w:t>10.2</w:t>
            </w:r>
          </w:p>
        </w:tc>
        <w:tc>
          <w:tcPr>
            <w:tcW w:w="800" w:type="dxa"/>
            <w:vAlign w:val="bottom"/>
          </w:tcPr>
          <w:p>
            <w:pPr>
              <w:spacing w:after="0"/>
              <w:rPr>
                <w:sz w:val="19"/>
                <w:szCs w:val="19"/>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9.2</w:t>
            </w:r>
          </w:p>
        </w:tc>
        <w:tc>
          <w:tcPr>
            <w:tcW w:w="960" w:type="dxa"/>
            <w:vAlign w:val="bottom"/>
          </w:tcPr>
          <w:p>
            <w:pPr>
              <w:spacing w:after="0"/>
              <w:rPr>
                <w:sz w:val="19"/>
                <w:szCs w:val="19"/>
                <w:color w:val="auto"/>
              </w:rPr>
            </w:pP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Current assets of discontinued operations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52"/>
              <w:spacing w:after="0"/>
              <w:rPr>
                <w:sz w:val="20"/>
                <w:szCs w:val="20"/>
                <w:color w:val="auto"/>
              </w:rPr>
            </w:pPr>
            <w:r>
              <w:rPr>
                <w:rFonts w:ascii="Arial" w:cs="Arial" w:eastAsia="Arial" w:hAnsi="Arial"/>
                <w:sz w:val="18"/>
                <w:szCs w:val="18"/>
                <w:b w:val="1"/>
                <w:bCs w:val="1"/>
                <w:color w:val="auto"/>
                <w:w w:val="91"/>
              </w:rPr>
              <w:t>10.2</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432"/>
              <w:spacing w:after="0"/>
              <w:rPr>
                <w:sz w:val="20"/>
                <w:szCs w:val="20"/>
                <w:color w:val="auto"/>
              </w:rPr>
            </w:pPr>
            <w:r>
              <w:rPr>
                <w:rFonts w:ascii="Arial" w:cs="Arial" w:eastAsia="Arial" w:hAnsi="Arial"/>
                <w:sz w:val="18"/>
                <w:szCs w:val="18"/>
                <w:b w:val="1"/>
                <w:bCs w:val="1"/>
                <w:color w:val="auto"/>
              </w:rPr>
              <w:t>12.9</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692"/>
              <w:spacing w:after="0"/>
              <w:rPr>
                <w:sz w:val="20"/>
                <w:szCs w:val="20"/>
                <w:color w:val="auto"/>
              </w:rPr>
            </w:pPr>
            <w:r>
              <w:rPr>
                <w:rFonts w:ascii="Arial" w:cs="Arial" w:eastAsia="Arial" w:hAnsi="Arial"/>
                <w:sz w:val="18"/>
                <w:szCs w:val="18"/>
                <w:b w:val="1"/>
                <w:bCs w:val="1"/>
                <w:color w:val="auto"/>
                <w:w w:val="91"/>
              </w:rPr>
              <w:t>16.9</w:t>
            </w:r>
          </w:p>
        </w:tc>
        <w:tc>
          <w:tcPr>
            <w:tcW w:w="20" w:type="dxa"/>
            <w:vAlign w:val="bottom"/>
          </w:tcPr>
          <w:p>
            <w:pPr>
              <w:spacing w:after="0"/>
              <w:rPr>
                <w:sz w:val="24"/>
                <w:szCs w:val="24"/>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600" w:type="dxa"/>
            <w:vAlign w:val="bottom"/>
          </w:tcPr>
          <w:p>
            <w:pPr>
              <w:spacing w:after="0"/>
              <w:rPr>
                <w:sz w:val="20"/>
                <w:szCs w:val="20"/>
                <w:color w:val="auto"/>
              </w:rPr>
            </w:pPr>
            <w:r>
              <w:rPr>
                <w:rFonts w:ascii="Arial" w:cs="Arial" w:eastAsia="Arial" w:hAnsi="Arial"/>
                <w:sz w:val="18"/>
                <w:szCs w:val="18"/>
                <w:color w:val="auto"/>
              </w:rPr>
              <w:t>Accounts payable</w:t>
            </w:r>
          </w:p>
        </w:tc>
        <w:tc>
          <w:tcPr>
            <w:tcW w:w="1860" w:type="dxa"/>
            <w:vAlign w:val="bottom"/>
          </w:tcPr>
          <w:p>
            <w:pPr>
              <w:spacing w:after="0"/>
              <w:rPr>
                <w:sz w:val="24"/>
                <w:szCs w:val="24"/>
                <w:color w:val="auto"/>
              </w:rPr>
            </w:pPr>
          </w:p>
        </w:tc>
        <w:tc>
          <w:tcPr>
            <w:tcW w:w="11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4"/>
                <w:szCs w:val="24"/>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860" w:type="dxa"/>
            <w:vAlign w:val="bottom"/>
          </w:tcPr>
          <w:p>
            <w:pPr>
              <w:spacing w:after="0"/>
              <w:rPr>
                <w:sz w:val="19"/>
                <w:szCs w:val="19"/>
                <w:color w:val="auto"/>
              </w:rPr>
            </w:pPr>
          </w:p>
        </w:tc>
        <w:tc>
          <w:tcPr>
            <w:tcW w:w="1180" w:type="dxa"/>
            <w:vAlign w:val="bottom"/>
          </w:tcPr>
          <w:p>
            <w:pPr>
              <w:jc w:val="right"/>
              <w:ind w:right="75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9"/>
                <w:szCs w:val="19"/>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2.9</w:t>
            </w:r>
          </w:p>
        </w:tc>
        <w:tc>
          <w:tcPr>
            <w:tcW w:w="960" w:type="dxa"/>
            <w:vAlign w:val="bottom"/>
          </w:tcPr>
          <w:p>
            <w:pPr>
              <w:spacing w:after="0"/>
              <w:rPr>
                <w:sz w:val="19"/>
                <w:szCs w:val="19"/>
                <w:color w:val="auto"/>
              </w:rPr>
            </w:pPr>
          </w:p>
        </w:tc>
        <w:tc>
          <w:tcPr>
            <w:tcW w:w="1120" w:type="dxa"/>
            <w:vAlign w:val="bottom"/>
          </w:tcPr>
          <w:p>
            <w:pPr>
              <w:jc w:val="right"/>
              <w:ind w:right="692"/>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52"/>
              <w:spacing w:after="0"/>
              <w:rPr>
                <w:sz w:val="20"/>
                <w:szCs w:val="20"/>
                <w:color w:val="auto"/>
              </w:rPr>
            </w:pPr>
            <w:r>
              <w:rPr>
                <w:rFonts w:ascii="Arial" w:cs="Arial" w:eastAsia="Arial" w:hAnsi="Arial"/>
                <w:sz w:val="18"/>
                <w:szCs w:val="18"/>
                <w:b w:val="1"/>
                <w:bCs w:val="1"/>
                <w:color w:val="auto"/>
              </w:rPr>
              <w:t>1.7</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432"/>
              <w:spacing w:after="0"/>
              <w:rPr>
                <w:sz w:val="20"/>
                <w:szCs w:val="20"/>
                <w:color w:val="auto"/>
              </w:rPr>
            </w:pPr>
            <w:r>
              <w:rPr>
                <w:rFonts w:ascii="Arial" w:cs="Arial" w:eastAsia="Arial" w:hAnsi="Arial"/>
                <w:sz w:val="18"/>
                <w:szCs w:val="18"/>
                <w:b w:val="1"/>
                <w:bCs w:val="1"/>
                <w:color w:val="auto"/>
              </w:rPr>
              <w:t>2.9</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692"/>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24"/>
                <w:szCs w:val="24"/>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600" w:type="dxa"/>
            <w:vAlign w:val="bottom"/>
          </w:tcPr>
          <w:p>
            <w:pPr>
              <w:spacing w:after="0"/>
              <w:rPr>
                <w:sz w:val="24"/>
                <w:szCs w:val="24"/>
                <w:color w:val="auto"/>
              </w:rPr>
            </w:pPr>
          </w:p>
        </w:tc>
        <w:tc>
          <w:tcPr>
            <w:tcW w:w="1860" w:type="dxa"/>
            <w:vAlign w:val="bottom"/>
          </w:tcPr>
          <w:p>
            <w:pPr>
              <w:jc w:val="right"/>
              <w:ind w:right="612"/>
              <w:spacing w:after="0"/>
              <w:rPr>
                <w:sz w:val="20"/>
                <w:szCs w:val="20"/>
                <w:color w:val="auto"/>
              </w:rPr>
            </w:pPr>
            <w:r>
              <w:rPr>
                <w:rFonts w:ascii="Arial" w:cs="Arial" w:eastAsia="Arial" w:hAnsi="Arial"/>
                <w:sz w:val="18"/>
                <w:szCs w:val="18"/>
                <w:color w:val="auto"/>
              </w:rPr>
              <w:t>8</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60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 of products and services consistent with the method by which the Company’s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decision-maker assesses operating performance and allocates resources.</w:t>
      </w:r>
    </w:p>
    <w:p>
      <w:pPr>
        <w:spacing w:after="0" w:line="194" w:lineRule="exact"/>
        <w:rPr>
          <w:sz w:val="20"/>
          <w:szCs w:val="20"/>
          <w:color w:val="auto"/>
        </w:rPr>
      </w:pPr>
    </w:p>
    <w:p>
      <w:pPr>
        <w:ind w:right="22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94" w:lineRule="exact"/>
        <w:rPr>
          <w:rFonts w:ascii="Arial" w:cs="Arial" w:eastAsia="Arial" w:hAnsi="Arial"/>
          <w:sz w:val="18"/>
          <w:szCs w:val="18"/>
          <w:color w:val="auto"/>
        </w:rPr>
      </w:pPr>
    </w:p>
    <w:p>
      <w:pPr>
        <w:jc w:val="both"/>
        <w:ind w:right="36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curriculum materials, children’s books, classroom magazines and print and on-line reference and non-fiction products for grades pre-kindergarten to 12 in the United States. This segment is comprised of two operating segments.</w:t>
      </w:r>
    </w:p>
    <w:p>
      <w:pPr>
        <w:spacing w:after="0" w:line="194" w:lineRule="exact"/>
        <w:rPr>
          <w:rFonts w:ascii="Arial" w:cs="Arial" w:eastAsia="Arial" w:hAnsi="Arial"/>
          <w:sz w:val="18"/>
          <w:szCs w:val="18"/>
          <w:color w:val="auto"/>
        </w:rPr>
      </w:pPr>
    </w:p>
    <w:p>
      <w:pPr>
        <w:ind w:right="5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consumer promotions and merchandising and advertising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sponsorship programs. This segment is comprised of three operating segments.</w:t>
      </w:r>
    </w:p>
    <w:p>
      <w:pPr>
        <w:spacing w:after="0" w:line="185"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4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87"/>
              </w:rPr>
              <w:t>Children’s Book</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Media,</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08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Educational</w:t>
            </w:r>
          </w:p>
        </w:tc>
        <w:tc>
          <w:tcPr>
            <w:tcW w:w="180" w:type="dxa"/>
            <w:vAlign w:val="bottom"/>
          </w:tcPr>
          <w:p>
            <w:pPr>
              <w:spacing w:after="0"/>
              <w:rPr>
                <w:sz w:val="12"/>
                <w:szCs w:val="12"/>
                <w:color w:val="auto"/>
              </w:rPr>
            </w:pPr>
          </w:p>
        </w:tc>
        <w:tc>
          <w:tcPr>
            <w:tcW w:w="8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Licensing</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jc w:val="center"/>
              <w:ind w:right="172"/>
              <w:spacing w:after="0" w:line="135" w:lineRule="exact"/>
              <w:rPr>
                <w:sz w:val="20"/>
                <w:szCs w:val="20"/>
                <w:color w:val="auto"/>
              </w:rPr>
            </w:pPr>
            <w:r>
              <w:rPr>
                <w:rFonts w:ascii="Arial" w:cs="Arial" w:eastAsia="Arial" w:hAnsi="Arial"/>
                <w:sz w:val="14"/>
                <w:szCs w:val="14"/>
                <w:b w:val="1"/>
                <w:bCs w:val="1"/>
                <w:color w:val="auto"/>
                <w:w w:val="88"/>
              </w:rPr>
              <w:t>and</w:t>
            </w: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7"/>
              </w:rPr>
              <w:t xml:space="preserve">Overhead </w:t>
            </w:r>
            <w:r>
              <w:rPr>
                <w:rFonts w:ascii="Arial" w:cs="Arial" w:eastAsia="Arial" w:hAnsi="Arial"/>
                <w:sz w:val="22"/>
                <w:szCs w:val="22"/>
                <w:b w:val="1"/>
                <w:bCs w:val="1"/>
                <w:color w:val="auto"/>
                <w:w w:val="97"/>
                <w:vertAlign w:val="superscript"/>
              </w:rPr>
              <w:t>(2)</w:t>
            </w:r>
          </w:p>
        </w:tc>
        <w:tc>
          <w:tcPr>
            <w:tcW w:w="160" w:type="dxa"/>
            <w:vAlign w:val="bottom"/>
          </w:tcPr>
          <w:p>
            <w:pPr>
              <w:spacing w:after="0"/>
              <w:rPr>
                <w:sz w:val="11"/>
                <w:szCs w:val="11"/>
                <w:color w:val="auto"/>
              </w:rPr>
            </w:pPr>
          </w:p>
        </w:tc>
        <w:tc>
          <w:tcPr>
            <w:tcW w:w="70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89"/>
              </w:rPr>
              <w:t>Distribution</w:t>
            </w:r>
          </w:p>
        </w:tc>
        <w:tc>
          <w:tcPr>
            <w:tcW w:w="1080" w:type="dxa"/>
            <w:vAlign w:val="bottom"/>
            <w:tcBorders>
              <w:bottom w:val="single" w:sz="8" w:color="808080"/>
            </w:tcBorders>
            <w:gridSpan w:val="2"/>
          </w:tcPr>
          <w:p>
            <w:pPr>
              <w:ind w:left="140"/>
              <w:spacing w:after="0"/>
              <w:rPr>
                <w:sz w:val="20"/>
                <w:szCs w:val="20"/>
                <w:color w:val="auto"/>
              </w:rPr>
            </w:pPr>
            <w:r>
              <w:rPr>
                <w:rFonts w:ascii="Arial" w:cs="Arial" w:eastAsia="Arial" w:hAnsi="Arial"/>
                <w:sz w:val="14"/>
                <w:szCs w:val="14"/>
                <w:b w:val="1"/>
                <w:bCs w:val="1"/>
                <w:color w:val="auto"/>
                <w:w w:val="98"/>
              </w:rPr>
              <w:t xml:space="preserve">Publishing </w:t>
            </w:r>
            <w:r>
              <w:rPr>
                <w:rFonts w:ascii="Arial" w:cs="Arial" w:eastAsia="Arial" w:hAnsi="Arial"/>
                <w:sz w:val="22"/>
                <w:szCs w:val="22"/>
                <w:b w:val="1"/>
                <w:bCs w:val="1"/>
                <w:color w:val="auto"/>
                <w:w w:val="98"/>
                <w:vertAlign w:val="superscript"/>
              </w:rPr>
              <w:t>(1)</w:t>
            </w:r>
          </w:p>
        </w:tc>
        <w:tc>
          <w:tcPr>
            <w:tcW w:w="98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8"/>
              </w:rPr>
              <w:t>Advertising</w:t>
            </w:r>
          </w:p>
        </w:tc>
        <w:tc>
          <w:tcPr>
            <w:tcW w:w="1020" w:type="dxa"/>
            <w:vAlign w:val="bottom"/>
            <w:tcBorders>
              <w:bottom w:val="single" w:sz="8" w:color="808080"/>
            </w:tcBorders>
            <w:gridSpan w:val="2"/>
            <w:vMerge w:val="continue"/>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w w:val="79"/>
              </w:rPr>
              <w:t>Domestic</w:t>
            </w:r>
          </w:p>
        </w:tc>
        <w:tc>
          <w:tcPr>
            <w:tcW w:w="980" w:type="dxa"/>
            <w:vAlign w:val="bottom"/>
            <w:tcBorders>
              <w:bottom w:val="single" w:sz="8" w:color="808080"/>
            </w:tcBorders>
            <w:gridSpan w:val="2"/>
          </w:tcPr>
          <w:p>
            <w:pPr>
              <w:ind w:left="120"/>
              <w:spacing w:after="0"/>
              <w:rPr>
                <w:sz w:val="20"/>
                <w:szCs w:val="20"/>
                <w:color w:val="auto"/>
              </w:rPr>
            </w:pPr>
            <w:r>
              <w:rPr>
                <w:rFonts w:ascii="Arial" w:cs="Arial" w:eastAsia="Arial" w:hAnsi="Arial"/>
                <w:sz w:val="14"/>
                <w:szCs w:val="14"/>
                <w:b w:val="1"/>
                <w:bCs w:val="1"/>
                <w:color w:val="auto"/>
                <w:w w:val="99"/>
              </w:rPr>
              <w:t>International</w:t>
            </w: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00" w:type="dxa"/>
            <w:vAlign w:val="bottom"/>
          </w:tcPr>
          <w:p>
            <w:pPr>
              <w:spacing w:after="0"/>
              <w:rPr>
                <w:sz w:val="20"/>
                <w:szCs w:val="20"/>
                <w:color w:val="auto"/>
              </w:rPr>
            </w:pPr>
            <w:r>
              <w:rPr>
                <w:rFonts w:ascii="Arial" w:cs="Arial" w:eastAsia="Arial" w:hAnsi="Arial"/>
                <w:sz w:val="14"/>
                <w:szCs w:val="14"/>
                <w:b w:val="1"/>
                <w:bCs w:val="1"/>
                <w:color w:val="auto"/>
              </w:rPr>
              <w:t>November 30, 2010</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160"/>
              <w:spacing w:after="0"/>
              <w:rPr>
                <w:sz w:val="20"/>
                <w:szCs w:val="20"/>
                <w:color w:val="auto"/>
              </w:rPr>
            </w:pPr>
            <w:r>
              <w:rPr>
                <w:rFonts w:ascii="Arial" w:cs="Arial" w:eastAsia="Arial" w:hAnsi="Arial"/>
                <w:sz w:val="14"/>
                <w:szCs w:val="14"/>
                <w:color w:val="auto"/>
              </w:rPr>
              <w:t>Revenues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387.3</w:t>
            </w:r>
          </w:p>
        </w:tc>
        <w:tc>
          <w:tcPr>
            <w:tcW w:w="42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101.6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40.9</w:t>
            </w:r>
          </w:p>
        </w:tc>
        <w:tc>
          <w:tcPr>
            <w:tcW w:w="3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529.8</w:t>
            </w:r>
          </w:p>
        </w:tc>
        <w:tc>
          <w:tcPr>
            <w:tcW w:w="380" w:type="dxa"/>
            <w:vAlign w:val="bottom"/>
          </w:tcPr>
          <w:p>
            <w:pPr>
              <w:ind w:lef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145.9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675.7</w:t>
            </w:r>
          </w:p>
        </w:tc>
        <w:tc>
          <w:tcPr>
            <w:tcW w:w="0" w:type="dxa"/>
            <w:vAlign w:val="bottom"/>
          </w:tcPr>
          <w:p>
            <w:pPr>
              <w:spacing w:after="0"/>
              <w:rPr>
                <w:sz w:val="1"/>
                <w:szCs w:val="1"/>
                <w:color w:val="auto"/>
              </w:rPr>
            </w:pPr>
          </w:p>
        </w:tc>
      </w:tr>
      <w:tr>
        <w:trPr>
          <w:trHeight w:val="144"/>
        </w:trPr>
        <w:tc>
          <w:tcPr>
            <w:tcW w:w="410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720" w:type="dxa"/>
            <w:vAlign w:val="bottom"/>
          </w:tcPr>
          <w:p>
            <w:pPr>
              <w:spacing w:after="0"/>
              <w:rPr>
                <w:sz w:val="12"/>
                <w:szCs w:val="12"/>
                <w:color w:val="auto"/>
              </w:rPr>
            </w:pPr>
          </w:p>
        </w:tc>
        <w:tc>
          <w:tcPr>
            <w:tcW w:w="10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2.3</w:t>
            </w:r>
          </w:p>
        </w:tc>
        <w:tc>
          <w:tcPr>
            <w:tcW w:w="420" w:type="dxa"/>
            <w:vAlign w:val="bottom"/>
          </w:tcPr>
          <w:p>
            <w:pPr>
              <w:spacing w:after="0"/>
              <w:rPr>
                <w:sz w:val="12"/>
                <w:szCs w:val="12"/>
                <w:color w:val="auto"/>
              </w:rPr>
            </w:pPr>
          </w:p>
        </w:tc>
        <w:tc>
          <w:tcPr>
            <w:tcW w:w="6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0.1</w:t>
            </w:r>
          </w:p>
        </w:tc>
        <w:tc>
          <w:tcPr>
            <w:tcW w:w="380" w:type="dxa"/>
            <w:vAlign w:val="bottom"/>
          </w:tcPr>
          <w:p>
            <w:pPr>
              <w:spacing w:after="0"/>
              <w:rPr>
                <w:sz w:val="12"/>
                <w:szCs w:val="12"/>
                <w:color w:val="auto"/>
              </w:rPr>
            </w:pPr>
          </w:p>
        </w:tc>
        <w:tc>
          <w:tcPr>
            <w:tcW w:w="6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2.4</w:t>
            </w:r>
          </w:p>
        </w:tc>
        <w:tc>
          <w:tcPr>
            <w:tcW w:w="380" w:type="dxa"/>
            <w:vAlign w:val="bottom"/>
          </w:tcPr>
          <w:p>
            <w:pPr>
              <w:spacing w:after="0"/>
              <w:rPr>
                <w:sz w:val="12"/>
                <w:szCs w:val="12"/>
                <w:color w:val="auto"/>
              </w:rPr>
            </w:pPr>
          </w:p>
        </w:tc>
        <w:tc>
          <w:tcPr>
            <w:tcW w:w="60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0.6</w:t>
            </w:r>
          </w:p>
        </w:tc>
        <w:tc>
          <w:tcPr>
            <w:tcW w:w="180" w:type="dxa"/>
            <w:vAlign w:val="bottom"/>
          </w:tcPr>
          <w:p>
            <w:pPr>
              <w:spacing w:after="0"/>
              <w:rPr>
                <w:sz w:val="12"/>
                <w:szCs w:val="12"/>
                <w:color w:val="auto"/>
              </w:rPr>
            </w:pPr>
          </w:p>
        </w:tc>
        <w:tc>
          <w:tcPr>
            <w:tcW w:w="5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410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7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3.9</w:t>
            </w:r>
          </w:p>
        </w:tc>
        <w:tc>
          <w:tcPr>
            <w:tcW w:w="42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13.2</w:t>
            </w:r>
          </w:p>
        </w:tc>
        <w:tc>
          <w:tcPr>
            <w:tcW w:w="38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0"/>
        </w:trPr>
        <w:tc>
          <w:tcPr>
            <w:tcW w:w="410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7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3.0</w:t>
            </w:r>
          </w:p>
        </w:tc>
        <w:tc>
          <w:tcPr>
            <w:tcW w:w="42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1.6</w:t>
            </w:r>
          </w:p>
        </w:tc>
        <w:tc>
          <w:tcPr>
            <w:tcW w:w="38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11.6</w:t>
            </w:r>
          </w:p>
        </w:tc>
        <w:tc>
          <w:tcPr>
            <w:tcW w:w="38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7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7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w:t>
            </w:r>
          </w:p>
        </w:tc>
        <w:tc>
          <w:tcPr>
            <w:tcW w:w="42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0.1</w:t>
            </w:r>
          </w:p>
        </w:tc>
        <w:tc>
          <w:tcPr>
            <w:tcW w:w="38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w:t>
            </w:r>
          </w:p>
        </w:tc>
        <w:tc>
          <w:tcPr>
            <w:tcW w:w="38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7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97.3</w:t>
            </w:r>
          </w:p>
        </w:tc>
        <w:tc>
          <w:tcPr>
            <w:tcW w:w="42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11.0</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w:t>
            </w:r>
          </w:p>
        </w:tc>
        <w:tc>
          <w:tcPr>
            <w:tcW w:w="3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103.4</w:t>
            </w:r>
          </w:p>
        </w:tc>
        <w:tc>
          <w:tcPr>
            <w:tcW w:w="38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25.3</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72"/>
        </w:trPr>
        <w:tc>
          <w:tcPr>
            <w:tcW w:w="4100" w:type="dxa"/>
            <w:vAlign w:val="bottom"/>
          </w:tcPr>
          <w:p>
            <w:pPr>
              <w:ind w:left="160"/>
              <w:spacing w:after="0"/>
              <w:rPr>
                <w:sz w:val="20"/>
                <w:szCs w:val="20"/>
                <w:color w:val="auto"/>
              </w:rPr>
            </w:pPr>
            <w:r>
              <w:rPr>
                <w:rFonts w:ascii="Arial" w:cs="Arial" w:eastAsia="Arial" w:hAnsi="Arial"/>
                <w:sz w:val="14"/>
                <w:szCs w:val="14"/>
                <w:color w:val="auto"/>
              </w:rPr>
              <w:t>Expenditures for long-lived assets including royalty advances</w:t>
            </w:r>
          </w:p>
        </w:tc>
        <w:tc>
          <w:tcPr>
            <w:tcW w:w="72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7.9</w:t>
            </w:r>
          </w:p>
        </w:tc>
        <w:tc>
          <w:tcPr>
            <w:tcW w:w="42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31.4</w:t>
            </w:r>
          </w:p>
        </w:tc>
        <w:tc>
          <w:tcPr>
            <w:tcW w:w="1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57.1</w:t>
            </w:r>
          </w:p>
        </w:tc>
        <w:tc>
          <w:tcPr>
            <w:tcW w:w="3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71"/>
        </w:trPr>
        <w:tc>
          <w:tcPr>
            <w:tcW w:w="410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100" w:type="dxa"/>
            <w:vAlign w:val="bottom"/>
          </w:tcPr>
          <w:p>
            <w:pPr>
              <w:spacing w:after="0"/>
              <w:rPr>
                <w:sz w:val="20"/>
                <w:szCs w:val="20"/>
                <w:color w:val="auto"/>
              </w:rPr>
            </w:pPr>
            <w:r>
              <w:rPr>
                <w:rFonts w:ascii="Arial" w:cs="Arial" w:eastAsia="Arial" w:hAnsi="Arial"/>
                <w:sz w:val="14"/>
                <w:szCs w:val="14"/>
                <w:b w:val="1"/>
                <w:bCs w:val="1"/>
                <w:color w:val="auto"/>
              </w:rPr>
              <w:t>November 30, 2009</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160"/>
              <w:spacing w:after="0"/>
              <w:rPr>
                <w:sz w:val="20"/>
                <w:szCs w:val="20"/>
                <w:color w:val="auto"/>
              </w:rPr>
            </w:pPr>
            <w:r>
              <w:rPr>
                <w:rFonts w:ascii="Arial" w:cs="Arial" w:eastAsia="Arial" w:hAnsi="Arial"/>
                <w:sz w:val="14"/>
                <w:szCs w:val="14"/>
                <w:color w:val="auto"/>
              </w:rPr>
              <w:t>Revenues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368.8</w:t>
            </w:r>
          </w:p>
        </w:tc>
        <w:tc>
          <w:tcPr>
            <w:tcW w:w="42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122.6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37.8</w:t>
            </w:r>
          </w:p>
        </w:tc>
        <w:tc>
          <w:tcPr>
            <w:tcW w:w="3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529.2</w:t>
            </w:r>
          </w:p>
        </w:tc>
        <w:tc>
          <w:tcPr>
            <w:tcW w:w="380" w:type="dxa"/>
            <w:vAlign w:val="bottom"/>
          </w:tcPr>
          <w:p>
            <w:pPr>
              <w:ind w:lef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130.9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660.1</w:t>
            </w:r>
          </w:p>
        </w:tc>
        <w:tc>
          <w:tcPr>
            <w:tcW w:w="0" w:type="dxa"/>
            <w:vAlign w:val="bottom"/>
          </w:tcPr>
          <w:p>
            <w:pPr>
              <w:spacing w:after="0"/>
              <w:rPr>
                <w:sz w:val="1"/>
                <w:szCs w:val="1"/>
                <w:color w:val="auto"/>
              </w:rPr>
            </w:pPr>
          </w:p>
        </w:tc>
      </w:tr>
      <w:tr>
        <w:trPr>
          <w:trHeight w:val="144"/>
        </w:trPr>
        <w:tc>
          <w:tcPr>
            <w:tcW w:w="410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720" w:type="dxa"/>
            <w:vAlign w:val="bottom"/>
          </w:tcPr>
          <w:p>
            <w:pPr>
              <w:spacing w:after="0"/>
              <w:rPr>
                <w:sz w:val="12"/>
                <w:szCs w:val="12"/>
                <w:color w:val="auto"/>
              </w:rPr>
            </w:pPr>
          </w:p>
        </w:tc>
        <w:tc>
          <w:tcPr>
            <w:tcW w:w="10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1.4</w:t>
            </w:r>
          </w:p>
        </w:tc>
        <w:tc>
          <w:tcPr>
            <w:tcW w:w="420" w:type="dxa"/>
            <w:vAlign w:val="bottom"/>
          </w:tcPr>
          <w:p>
            <w:pPr>
              <w:spacing w:after="0"/>
              <w:rPr>
                <w:sz w:val="12"/>
                <w:szCs w:val="12"/>
                <w:color w:val="auto"/>
              </w:rPr>
            </w:pPr>
          </w:p>
        </w:tc>
        <w:tc>
          <w:tcPr>
            <w:tcW w:w="6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8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2.4</w:t>
            </w:r>
          </w:p>
        </w:tc>
        <w:tc>
          <w:tcPr>
            <w:tcW w:w="380" w:type="dxa"/>
            <w:vAlign w:val="bottom"/>
          </w:tcPr>
          <w:p>
            <w:pPr>
              <w:spacing w:after="0"/>
              <w:rPr>
                <w:sz w:val="12"/>
                <w:szCs w:val="12"/>
                <w:color w:val="auto"/>
              </w:rPr>
            </w:pPr>
          </w:p>
        </w:tc>
        <w:tc>
          <w:tcPr>
            <w:tcW w:w="600" w:type="dxa"/>
            <w:vAlign w:val="bottom"/>
          </w:tcPr>
          <w:p>
            <w:pPr>
              <w:jc w:val="right"/>
              <w:ind w:right="32"/>
              <w:spacing w:after="0" w:line="144"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5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6"/>
        </w:trPr>
        <w:tc>
          <w:tcPr>
            <w:tcW w:w="410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7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3.6</w:t>
            </w:r>
          </w:p>
        </w:tc>
        <w:tc>
          <w:tcPr>
            <w:tcW w:w="42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13.3</w:t>
            </w:r>
          </w:p>
        </w:tc>
        <w:tc>
          <w:tcPr>
            <w:tcW w:w="38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0"/>
        </w:trPr>
        <w:tc>
          <w:tcPr>
            <w:tcW w:w="410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72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3.0</w:t>
            </w:r>
          </w:p>
        </w:tc>
        <w:tc>
          <w:tcPr>
            <w:tcW w:w="42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6.6</w:t>
            </w:r>
          </w:p>
        </w:tc>
        <w:tc>
          <w:tcPr>
            <w:tcW w:w="18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11.6</w:t>
            </w:r>
          </w:p>
        </w:tc>
        <w:tc>
          <w:tcPr>
            <w:tcW w:w="38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7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36.3</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36.3</w:t>
            </w:r>
          </w:p>
        </w:tc>
        <w:tc>
          <w:tcPr>
            <w:tcW w:w="38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7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w:t>
            </w:r>
          </w:p>
        </w:tc>
        <w:tc>
          <w:tcPr>
            <w:tcW w:w="42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0.3</w:t>
            </w:r>
          </w:p>
        </w:tc>
        <w:tc>
          <w:tcPr>
            <w:tcW w:w="38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w:t>
            </w:r>
          </w:p>
        </w:tc>
        <w:tc>
          <w:tcPr>
            <w:tcW w:w="38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0.3</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7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107.8</w:t>
            </w:r>
          </w:p>
        </w:tc>
        <w:tc>
          <w:tcPr>
            <w:tcW w:w="42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w:t>
            </w:r>
          </w:p>
        </w:tc>
        <w:tc>
          <w:tcPr>
            <w:tcW w:w="3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(15.5)</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90.8</w:t>
            </w:r>
          </w:p>
        </w:tc>
        <w:tc>
          <w:tcPr>
            <w:tcW w:w="38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14.8</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72"/>
        </w:trPr>
        <w:tc>
          <w:tcPr>
            <w:tcW w:w="4100" w:type="dxa"/>
            <w:vAlign w:val="bottom"/>
          </w:tcPr>
          <w:p>
            <w:pPr>
              <w:ind w:left="160"/>
              <w:spacing w:after="0"/>
              <w:rPr>
                <w:sz w:val="20"/>
                <w:szCs w:val="20"/>
                <w:color w:val="auto"/>
              </w:rPr>
            </w:pPr>
            <w:r>
              <w:rPr>
                <w:rFonts w:ascii="Arial" w:cs="Arial" w:eastAsia="Arial" w:hAnsi="Arial"/>
                <w:sz w:val="14"/>
                <w:szCs w:val="14"/>
                <w:color w:val="auto"/>
              </w:rPr>
              <w:t>Expenditures for long-lived assets including royalty advances</w:t>
            </w:r>
          </w:p>
        </w:tc>
        <w:tc>
          <w:tcPr>
            <w:tcW w:w="72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42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23.7</w:t>
            </w:r>
          </w:p>
        </w:tc>
        <w:tc>
          <w:tcPr>
            <w:tcW w:w="3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95"/>
        </w:trPr>
        <w:tc>
          <w:tcPr>
            <w:tcW w:w="4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7"/>
              </w:rPr>
              <w:t>Children’s Book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Media,</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80" w:type="dxa"/>
            <w:vAlign w:val="bottom"/>
          </w:tcPr>
          <w:p>
            <w:pPr>
              <w:spacing w:after="0"/>
              <w:rPr>
                <w:sz w:val="12"/>
                <w:szCs w:val="12"/>
                <w:color w:val="auto"/>
              </w:rPr>
            </w:pPr>
          </w:p>
        </w:tc>
        <w:tc>
          <w:tcPr>
            <w:tcW w:w="9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0"/>
              </w:rPr>
              <w:t>Educational</w:t>
            </w:r>
          </w:p>
        </w:tc>
        <w:tc>
          <w:tcPr>
            <w:tcW w:w="180" w:type="dxa"/>
            <w:vAlign w:val="bottom"/>
          </w:tcPr>
          <w:p>
            <w:pPr>
              <w:spacing w:after="0"/>
              <w:rPr>
                <w:sz w:val="12"/>
                <w:szCs w:val="12"/>
                <w:color w:val="auto"/>
              </w:rPr>
            </w:pPr>
          </w:p>
        </w:tc>
        <w:tc>
          <w:tcPr>
            <w:tcW w:w="8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Licensing</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jc w:val="center"/>
              <w:ind w:right="192"/>
              <w:spacing w:after="0" w:line="135"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88"/>
              </w:rPr>
              <w:t>and</w:t>
            </w:r>
          </w:p>
        </w:tc>
        <w:tc>
          <w:tcPr>
            <w:tcW w:w="104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7"/>
              </w:rPr>
              <w:t xml:space="preserve">Overhead </w:t>
            </w:r>
            <w:r>
              <w:rPr>
                <w:rFonts w:ascii="Arial" w:cs="Arial" w:eastAsia="Arial" w:hAnsi="Arial"/>
                <w:sz w:val="22"/>
                <w:szCs w:val="22"/>
                <w:b w:val="1"/>
                <w:bCs w:val="1"/>
                <w:color w:val="auto"/>
                <w:w w:val="97"/>
                <w:vertAlign w:val="superscript"/>
              </w:rPr>
              <w:t>(2)</w:t>
            </w:r>
          </w:p>
        </w:tc>
        <w:tc>
          <w:tcPr>
            <w:tcW w:w="180" w:type="dxa"/>
            <w:vAlign w:val="bottom"/>
          </w:tcPr>
          <w:p>
            <w:pPr>
              <w:spacing w:after="0"/>
              <w:rPr>
                <w:sz w:val="11"/>
                <w:szCs w:val="11"/>
                <w:color w:val="auto"/>
              </w:rPr>
            </w:pPr>
          </w:p>
        </w:tc>
        <w:tc>
          <w:tcPr>
            <w:tcW w:w="56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39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center"/>
              <w:ind w:right="192"/>
              <w:spacing w:after="0"/>
              <w:rPr>
                <w:sz w:val="20"/>
                <w:szCs w:val="20"/>
                <w:color w:val="auto"/>
              </w:rPr>
            </w:pPr>
            <w:r>
              <w:rPr>
                <w:rFonts w:ascii="Arial" w:cs="Arial" w:eastAsia="Arial" w:hAnsi="Arial"/>
                <w:sz w:val="14"/>
                <w:szCs w:val="14"/>
                <w:b w:val="1"/>
                <w:bCs w:val="1"/>
                <w:color w:val="auto"/>
                <w:w w:val="89"/>
              </w:rPr>
              <w:t>Distribution</w:t>
            </w: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b w:val="1"/>
                <w:bCs w:val="1"/>
                <w:color w:val="auto"/>
                <w:w w:val="81"/>
              </w:rPr>
              <w:t xml:space="preserve">Publishing </w:t>
            </w:r>
            <w:r>
              <w:rPr>
                <w:rFonts w:ascii="Arial" w:cs="Arial" w:eastAsia="Arial" w:hAnsi="Arial"/>
                <w:sz w:val="22"/>
                <w:szCs w:val="22"/>
                <w:b w:val="1"/>
                <w:bCs w:val="1"/>
                <w:color w:val="auto"/>
                <w:w w:val="81"/>
                <w:vertAlign w:val="superscript"/>
              </w:rPr>
              <w:t>(1)</w:t>
            </w: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8"/>
              </w:rPr>
              <w:t>Advertising</w:t>
            </w:r>
          </w:p>
        </w:tc>
        <w:tc>
          <w:tcPr>
            <w:tcW w:w="1040" w:type="dxa"/>
            <w:vAlign w:val="bottom"/>
            <w:tcBorders>
              <w:bottom w:val="single" w:sz="8" w:color="808080"/>
            </w:tcBorders>
            <w:gridSpan w:val="2"/>
            <w:vMerge w:val="continue"/>
          </w:tcPr>
          <w:p>
            <w:pPr>
              <w:spacing w:after="0"/>
              <w:rPr>
                <w:sz w:val="24"/>
                <w:szCs w:val="24"/>
                <w:color w:val="auto"/>
              </w:rPr>
            </w:pPr>
          </w:p>
        </w:tc>
        <w:tc>
          <w:tcPr>
            <w:tcW w:w="740" w:type="dxa"/>
            <w:vAlign w:val="bottom"/>
            <w:tcBorders>
              <w:bottom w:val="single" w:sz="8" w:color="808080"/>
            </w:tcBorders>
            <w:gridSpan w:val="2"/>
          </w:tcPr>
          <w:p>
            <w:pPr>
              <w:ind w:left="100"/>
              <w:spacing w:after="0"/>
              <w:rPr>
                <w:sz w:val="20"/>
                <w:szCs w:val="20"/>
                <w:color w:val="auto"/>
              </w:rPr>
            </w:pPr>
            <w:r>
              <w:rPr>
                <w:rFonts w:ascii="Arial" w:cs="Arial" w:eastAsia="Arial" w:hAnsi="Arial"/>
                <w:sz w:val="14"/>
                <w:szCs w:val="14"/>
                <w:b w:val="1"/>
                <w:bCs w:val="1"/>
                <w:color w:val="auto"/>
                <w:w w:val="98"/>
              </w:rPr>
              <w:t>Domestic</w:t>
            </w: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w w:val="90"/>
              </w:rPr>
              <w:t>International</w:t>
            </w: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20" w:type="dxa"/>
            <w:vAlign w:val="bottom"/>
          </w:tcPr>
          <w:p>
            <w:pPr>
              <w:spacing w:after="0"/>
              <w:rPr>
                <w:sz w:val="20"/>
                <w:szCs w:val="20"/>
                <w:color w:val="auto"/>
              </w:rPr>
            </w:pPr>
            <w:r>
              <w:rPr>
                <w:rFonts w:ascii="Arial" w:cs="Arial" w:eastAsia="Arial" w:hAnsi="Arial"/>
                <w:sz w:val="14"/>
                <w:szCs w:val="14"/>
                <w:b w:val="1"/>
                <w:bCs w:val="1"/>
                <w:color w:val="auto"/>
              </w:rPr>
              <w:t>November 30, 2010</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460.2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220.2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58.4</w:t>
            </w:r>
          </w:p>
        </w:tc>
        <w:tc>
          <w:tcPr>
            <w:tcW w:w="3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738.8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227.8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966.6</w:t>
            </w:r>
          </w:p>
        </w:tc>
        <w:tc>
          <w:tcPr>
            <w:tcW w:w="0" w:type="dxa"/>
            <w:vAlign w:val="bottom"/>
          </w:tcPr>
          <w:p>
            <w:pPr>
              <w:spacing w:after="0"/>
              <w:rPr>
                <w:sz w:val="1"/>
                <w:szCs w:val="1"/>
                <w:color w:val="auto"/>
              </w:rPr>
            </w:pPr>
          </w:p>
        </w:tc>
      </w:tr>
      <w:tr>
        <w:trPr>
          <w:trHeight w:val="144"/>
        </w:trPr>
        <w:tc>
          <w:tcPr>
            <w:tcW w:w="392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560" w:type="dxa"/>
            <w:vAlign w:val="bottom"/>
          </w:tcPr>
          <w:p>
            <w:pPr>
              <w:spacing w:after="0"/>
              <w:rPr>
                <w:sz w:val="12"/>
                <w:szCs w:val="12"/>
                <w:color w:val="auto"/>
              </w:rPr>
            </w:pPr>
          </w:p>
        </w:tc>
        <w:tc>
          <w:tcPr>
            <w:tcW w:w="10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4.3</w:t>
            </w:r>
          </w:p>
        </w:tc>
        <w:tc>
          <w:tcPr>
            <w:tcW w:w="180" w:type="dxa"/>
            <w:vAlign w:val="bottom"/>
          </w:tcPr>
          <w:p>
            <w:pPr>
              <w:spacing w:after="0"/>
              <w:rPr>
                <w:sz w:val="12"/>
                <w:szCs w:val="12"/>
                <w:color w:val="auto"/>
              </w:rPr>
            </w:pPr>
          </w:p>
        </w:tc>
        <w:tc>
          <w:tcPr>
            <w:tcW w:w="9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0.1</w:t>
            </w:r>
          </w:p>
        </w:tc>
        <w:tc>
          <w:tcPr>
            <w:tcW w:w="380" w:type="dxa"/>
            <w:vAlign w:val="bottom"/>
          </w:tcPr>
          <w:p>
            <w:pPr>
              <w:spacing w:after="0"/>
              <w:rPr>
                <w:sz w:val="12"/>
                <w:szCs w:val="12"/>
                <w:color w:val="auto"/>
              </w:rPr>
            </w:pPr>
          </w:p>
        </w:tc>
        <w:tc>
          <w:tcPr>
            <w:tcW w:w="6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4" w:lineRule="exact"/>
              <w:rPr>
                <w:sz w:val="20"/>
                <w:szCs w:val="20"/>
                <w:color w:val="auto"/>
              </w:rPr>
            </w:pPr>
            <w:r>
              <w:rPr>
                <w:rFonts w:ascii="Arial" w:cs="Arial" w:eastAsia="Arial" w:hAnsi="Arial"/>
                <w:sz w:val="14"/>
                <w:szCs w:val="14"/>
                <w:color w:val="auto"/>
              </w:rPr>
              <w:t>4.4</w:t>
            </w:r>
          </w:p>
        </w:tc>
        <w:tc>
          <w:tcPr>
            <w:tcW w:w="18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6"/>
        </w:trPr>
        <w:tc>
          <w:tcPr>
            <w:tcW w:w="39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56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16.9</w:t>
            </w:r>
          </w:p>
        </w:tc>
        <w:tc>
          <w:tcPr>
            <w:tcW w:w="1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26.3</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0"/>
        </w:trPr>
        <w:tc>
          <w:tcPr>
            <w:tcW w:w="392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56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13.5</w:t>
            </w:r>
          </w:p>
        </w:tc>
        <w:tc>
          <w:tcPr>
            <w:tcW w:w="1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3.3</w:t>
            </w:r>
          </w:p>
        </w:tc>
        <w:tc>
          <w:tcPr>
            <w:tcW w:w="38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0.4</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0.2</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45.7</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39.5</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w:t>
            </w:r>
          </w:p>
        </w:tc>
        <w:tc>
          <w:tcPr>
            <w:tcW w:w="3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58.8</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23.1</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540.0</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304.5</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56.2</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375.5</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1,276.2</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298.0</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1,574.2</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95.3</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155.0</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w w:val="98"/>
              </w:rPr>
              <w:t>Expenditures for long-lived assets including royalty advances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20.9</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22.5</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36.9</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84.5</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7.1</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72"/>
        </w:trPr>
        <w:tc>
          <w:tcPr>
            <w:tcW w:w="3920" w:type="dxa"/>
            <w:vAlign w:val="bottom"/>
          </w:tcPr>
          <w:p>
            <w:pPr>
              <w:ind w:left="160"/>
              <w:spacing w:after="0"/>
              <w:rPr>
                <w:sz w:val="20"/>
                <w:szCs w:val="20"/>
                <w:color w:val="auto"/>
              </w:rPr>
            </w:pPr>
            <w:r>
              <w:rPr>
                <w:rFonts w:ascii="Arial" w:cs="Arial" w:eastAsia="Arial" w:hAnsi="Arial"/>
                <w:sz w:val="14"/>
                <w:szCs w:val="14"/>
                <w:color w:val="auto"/>
              </w:rPr>
              <w:t>Long-lived assets</w:t>
            </w:r>
          </w:p>
        </w:tc>
        <w:tc>
          <w:tcPr>
            <w:tcW w:w="56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182.4</w:t>
            </w:r>
          </w:p>
        </w:tc>
        <w:tc>
          <w:tcPr>
            <w:tcW w:w="18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175.6</w:t>
            </w:r>
          </w:p>
        </w:tc>
        <w:tc>
          <w:tcPr>
            <w:tcW w:w="18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19.8</w:t>
            </w:r>
          </w:p>
        </w:tc>
        <w:tc>
          <w:tcPr>
            <w:tcW w:w="38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249.9</w:t>
            </w:r>
          </w:p>
        </w:tc>
        <w:tc>
          <w:tcPr>
            <w:tcW w:w="18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627.7</w:t>
            </w:r>
          </w:p>
        </w:tc>
        <w:tc>
          <w:tcPr>
            <w:tcW w:w="18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73.0</w:t>
            </w:r>
          </w:p>
        </w:tc>
        <w:tc>
          <w:tcPr>
            <w:tcW w:w="2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700.7</w:t>
            </w:r>
          </w:p>
        </w:tc>
        <w:tc>
          <w:tcPr>
            <w:tcW w:w="0" w:type="dxa"/>
            <w:vAlign w:val="bottom"/>
          </w:tcPr>
          <w:p>
            <w:pPr>
              <w:spacing w:after="0"/>
              <w:rPr>
                <w:sz w:val="1"/>
                <w:szCs w:val="1"/>
                <w:color w:val="auto"/>
              </w:rPr>
            </w:pPr>
          </w:p>
        </w:tc>
      </w:tr>
      <w:tr>
        <w:trPr>
          <w:trHeight w:val="271"/>
        </w:trPr>
        <w:tc>
          <w:tcPr>
            <w:tcW w:w="392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920" w:type="dxa"/>
            <w:vAlign w:val="bottom"/>
          </w:tcPr>
          <w:p>
            <w:pPr>
              <w:spacing w:after="0"/>
              <w:rPr>
                <w:sz w:val="20"/>
                <w:szCs w:val="20"/>
                <w:color w:val="auto"/>
              </w:rPr>
            </w:pPr>
            <w:r>
              <w:rPr>
                <w:rFonts w:ascii="Arial" w:cs="Arial" w:eastAsia="Arial" w:hAnsi="Arial"/>
                <w:sz w:val="14"/>
                <w:szCs w:val="14"/>
                <w:b w:val="1"/>
                <w:bCs w:val="1"/>
                <w:color w:val="auto"/>
              </w:rPr>
              <w:t>November 30, 2009</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445.0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271.3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52.9</w:t>
            </w:r>
          </w:p>
        </w:tc>
        <w:tc>
          <w:tcPr>
            <w:tcW w:w="3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769.2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206.5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975.7</w:t>
            </w:r>
          </w:p>
        </w:tc>
        <w:tc>
          <w:tcPr>
            <w:tcW w:w="0" w:type="dxa"/>
            <w:vAlign w:val="bottom"/>
          </w:tcPr>
          <w:p>
            <w:pPr>
              <w:spacing w:after="0"/>
              <w:rPr>
                <w:sz w:val="1"/>
                <w:szCs w:val="1"/>
                <w:color w:val="auto"/>
              </w:rPr>
            </w:pPr>
          </w:p>
        </w:tc>
      </w:tr>
      <w:tr>
        <w:trPr>
          <w:trHeight w:val="144"/>
        </w:trPr>
        <w:tc>
          <w:tcPr>
            <w:tcW w:w="392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560" w:type="dxa"/>
            <w:vAlign w:val="bottom"/>
          </w:tcPr>
          <w:p>
            <w:pPr>
              <w:spacing w:after="0"/>
              <w:rPr>
                <w:sz w:val="12"/>
                <w:szCs w:val="12"/>
                <w:color w:val="auto"/>
              </w:rPr>
            </w:pPr>
          </w:p>
        </w:tc>
        <w:tc>
          <w:tcPr>
            <w:tcW w:w="10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9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8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6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4"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9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6"/>
        </w:trPr>
        <w:tc>
          <w:tcPr>
            <w:tcW w:w="39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56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0.4</w:t>
            </w:r>
          </w:p>
        </w:tc>
        <w:tc>
          <w:tcPr>
            <w:tcW w:w="38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17.6</w:t>
            </w:r>
          </w:p>
        </w:tc>
        <w:tc>
          <w:tcPr>
            <w:tcW w:w="1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26.5</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80"/>
        </w:trPr>
        <w:tc>
          <w:tcPr>
            <w:tcW w:w="392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56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13.4</w:t>
            </w:r>
          </w:p>
        </w:tc>
        <w:tc>
          <w:tcPr>
            <w:tcW w:w="1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4.2</w:t>
            </w:r>
          </w:p>
        </w:tc>
        <w:tc>
          <w:tcPr>
            <w:tcW w:w="38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Asset impairments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36.3</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36.3</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9.6</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0.4</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60.3</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37.2</w:t>
            </w:r>
          </w:p>
        </w:tc>
        <w:tc>
          <w:tcPr>
            <w:tcW w:w="18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w:t>
            </w:r>
          </w:p>
        </w:tc>
        <w:tc>
          <w:tcPr>
            <w:tcW w:w="3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(39.0)</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57.4</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12.9</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523.3</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314.0</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66.7</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516.2</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1,420.2</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270.6</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1,690.8</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88.4</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148.6</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color w:val="auto"/>
                <w:w w:val="98"/>
              </w:rPr>
              <w:t>Expenditures for long-lived assets including royalty advances</w:t>
            </w:r>
          </w:p>
        </w:tc>
        <w:tc>
          <w:tcPr>
            <w:tcW w:w="560" w:type="dxa"/>
            <w:vAlign w:val="bottom"/>
          </w:tcPr>
          <w:p>
            <w:pPr>
              <w:spacing w:after="0"/>
              <w:rPr>
                <w:sz w:val="12"/>
                <w:szCs w:val="12"/>
                <w:color w:val="auto"/>
              </w:rPr>
            </w:pP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23.7</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12.6</w:t>
            </w:r>
          </w:p>
        </w:tc>
        <w:tc>
          <w:tcPr>
            <w:tcW w:w="18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w:t>
            </w:r>
          </w:p>
        </w:tc>
        <w:tc>
          <w:tcPr>
            <w:tcW w:w="3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7.1</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46.5</w:t>
            </w:r>
          </w:p>
        </w:tc>
        <w:tc>
          <w:tcPr>
            <w:tcW w:w="18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72"/>
        </w:trPr>
        <w:tc>
          <w:tcPr>
            <w:tcW w:w="3920" w:type="dxa"/>
            <w:vAlign w:val="bottom"/>
          </w:tcPr>
          <w:p>
            <w:pPr>
              <w:ind w:left="160"/>
              <w:spacing w:after="0"/>
              <w:rPr>
                <w:sz w:val="20"/>
                <w:szCs w:val="20"/>
                <w:color w:val="auto"/>
              </w:rPr>
            </w:pPr>
            <w:r>
              <w:rPr>
                <w:rFonts w:ascii="Arial" w:cs="Arial" w:eastAsia="Arial" w:hAnsi="Arial"/>
                <w:sz w:val="14"/>
                <w:szCs w:val="14"/>
                <w:color w:val="auto"/>
              </w:rPr>
              <w:t>Long-lived assets</w:t>
            </w:r>
          </w:p>
        </w:tc>
        <w:tc>
          <w:tcPr>
            <w:tcW w:w="56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181.5</w:t>
            </w:r>
          </w:p>
        </w:tc>
        <w:tc>
          <w:tcPr>
            <w:tcW w:w="18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167.5</w:t>
            </w:r>
          </w:p>
        </w:tc>
        <w:tc>
          <w:tcPr>
            <w:tcW w:w="18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25.0</w:t>
            </w:r>
          </w:p>
        </w:tc>
        <w:tc>
          <w:tcPr>
            <w:tcW w:w="38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225.6</w:t>
            </w:r>
          </w:p>
        </w:tc>
        <w:tc>
          <w:tcPr>
            <w:tcW w:w="18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599.6</w:t>
            </w:r>
          </w:p>
        </w:tc>
        <w:tc>
          <w:tcPr>
            <w:tcW w:w="18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72.0</w:t>
            </w:r>
          </w:p>
        </w:tc>
        <w:tc>
          <w:tcPr>
            <w:tcW w:w="2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671.6</w:t>
            </w:r>
          </w:p>
        </w:tc>
        <w:tc>
          <w:tcPr>
            <w:tcW w:w="0" w:type="dxa"/>
            <w:vAlign w:val="bottom"/>
          </w:tcPr>
          <w:p>
            <w:pPr>
              <w:spacing w:after="0"/>
              <w:rPr>
                <w:sz w:val="1"/>
                <w:szCs w:val="1"/>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combination as of September 9, 2010.</w:t>
      </w:r>
    </w:p>
    <w:p>
      <w:pPr>
        <w:spacing w:after="0" w:line="157"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the Danbury facility.</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and production costs.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Carrying</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w w:val="87"/>
              </w:rPr>
              <w:t>Value</w:t>
            </w:r>
          </w:p>
        </w:tc>
        <w:tc>
          <w:tcPr>
            <w:tcW w:w="11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Fair Value</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gridSpan w:val="3"/>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gridSpan w:val="3"/>
          </w:tcPr>
          <w:p>
            <w:pPr>
              <w:spacing w:after="0"/>
              <w:rPr>
                <w:sz w:val="9"/>
                <w:szCs w:val="9"/>
                <w:color w:val="auto"/>
              </w:rPr>
            </w:pPr>
          </w:p>
        </w:tc>
      </w:tr>
      <w:tr>
        <w:trPr>
          <w:trHeight w:val="31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right"/>
              <w:ind w:right="292"/>
              <w:spacing w:after="0"/>
              <w:rPr>
                <w:sz w:val="20"/>
                <w:szCs w:val="20"/>
                <w:color w:val="auto"/>
              </w:rPr>
            </w:pPr>
            <w:r>
              <w:rPr>
                <w:rFonts w:ascii="Arial" w:cs="Arial" w:eastAsia="Arial" w:hAnsi="Arial"/>
                <w:sz w:val="18"/>
                <w:szCs w:val="18"/>
                <w:b w:val="1"/>
                <w:bCs w:val="1"/>
                <w:i w:val="1"/>
                <w:iCs w:val="1"/>
                <w:color w:val="auto"/>
                <w:w w:val="91"/>
              </w:rPr>
              <w:t>November 30, 2010</w:t>
            </w:r>
          </w:p>
        </w:tc>
        <w:tc>
          <w:tcPr>
            <w:tcW w:w="1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May 31, 2010</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right"/>
              <w:ind w:right="252"/>
              <w:spacing w:after="0"/>
              <w:rPr>
                <w:sz w:val="20"/>
                <w:szCs w:val="20"/>
                <w:color w:val="auto"/>
              </w:rPr>
            </w:pPr>
            <w:r>
              <w:rPr>
                <w:rFonts w:ascii="Arial" w:cs="Arial" w:eastAsia="Arial" w:hAnsi="Arial"/>
                <w:sz w:val="18"/>
                <w:szCs w:val="18"/>
                <w:b w:val="1"/>
                <w:bCs w:val="1"/>
                <w:i w:val="1"/>
                <w:iCs w:val="1"/>
                <w:color w:val="auto"/>
                <w:w w:val="89"/>
              </w:rPr>
              <w:t>November 30, 2009</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458"/>
        </w:trPr>
        <w:tc>
          <w:tcPr>
            <w:tcW w:w="5260" w:type="dxa"/>
            <w:vAlign w:val="bottom"/>
          </w:tcPr>
          <w:p>
            <w:pPr>
              <w:spacing w:after="0"/>
              <w:rPr>
                <w:sz w:val="20"/>
                <w:szCs w:val="20"/>
                <w:color w:val="auto"/>
              </w:rPr>
            </w:pPr>
            <w:r>
              <w:rPr>
                <w:rFonts w:ascii="Arial" w:cs="Arial" w:eastAsia="Arial" w:hAnsi="Arial"/>
                <w:sz w:val="18"/>
                <w:szCs w:val="18"/>
                <w:color w:val="auto"/>
                <w:w w:val="90"/>
              </w:rPr>
              <w:t>Lines of Credit (weighted average interest rates of 4.0%, 3.9% and 3.0%,</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respectively)</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Loan Agreement: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2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w w:val="99"/>
              </w:rPr>
              <w:t>Term Loan (interest rates of 1.0%, 1.1% and 1.1%, respectively)</w:t>
            </w:r>
          </w:p>
        </w:tc>
        <w:tc>
          <w:tcPr>
            <w:tcW w:w="2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71.6</w:t>
            </w:r>
          </w:p>
        </w:tc>
        <w:tc>
          <w:tcPr>
            <w:tcW w:w="4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93.0</w:t>
            </w:r>
          </w:p>
        </w:tc>
        <w:tc>
          <w:tcPr>
            <w:tcW w:w="5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114.4</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114.4</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2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152.4</w:t>
            </w:r>
          </w:p>
        </w:tc>
        <w:tc>
          <w:tcPr>
            <w:tcW w:w="4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154.8</w:t>
            </w:r>
          </w:p>
        </w:tc>
        <w:tc>
          <w:tcPr>
            <w:tcW w:w="18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152.3</w:t>
            </w:r>
          </w:p>
        </w:tc>
        <w:tc>
          <w:tcPr>
            <w:tcW w:w="58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151.3</w:t>
            </w:r>
          </w:p>
        </w:tc>
        <w:tc>
          <w:tcPr>
            <w:tcW w:w="2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152.2</w:t>
            </w:r>
          </w:p>
        </w:tc>
        <w:tc>
          <w:tcPr>
            <w:tcW w:w="3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143.8</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16"/>
        </w:trPr>
        <w:tc>
          <w:tcPr>
            <w:tcW w:w="526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231.2</w:t>
            </w:r>
          </w:p>
        </w:tc>
        <w:tc>
          <w:tcPr>
            <w:tcW w:w="4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233.6</w:t>
            </w:r>
          </w:p>
        </w:tc>
        <w:tc>
          <w:tcPr>
            <w:tcW w:w="18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252.8</w:t>
            </w:r>
          </w:p>
        </w:tc>
        <w:tc>
          <w:tcPr>
            <w:tcW w:w="58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251.8</w:t>
            </w:r>
          </w:p>
        </w:tc>
        <w:tc>
          <w:tcPr>
            <w:tcW w:w="20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279.6</w:t>
            </w:r>
          </w:p>
        </w:tc>
        <w:tc>
          <w:tcPr>
            <w:tcW w:w="38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271.2</w:t>
            </w:r>
          </w:p>
        </w:tc>
      </w:tr>
      <w:tr>
        <w:trPr>
          <w:trHeight w:val="358"/>
        </w:trPr>
        <w:tc>
          <w:tcPr>
            <w:tcW w:w="5260" w:type="dxa"/>
            <w:vAlign w:val="bottom"/>
          </w:tcPr>
          <w:p>
            <w:pPr>
              <w:spacing w:after="0"/>
              <w:rPr>
                <w:sz w:val="20"/>
                <w:szCs w:val="20"/>
                <w:color w:val="auto"/>
              </w:rPr>
            </w:pPr>
            <w:r>
              <w:rPr>
                <w:rFonts w:ascii="Arial" w:cs="Arial" w:eastAsia="Arial" w:hAnsi="Arial"/>
                <w:sz w:val="18"/>
                <w:szCs w:val="18"/>
                <w:color w:val="auto"/>
                <w:w w:val="97"/>
              </w:rPr>
              <w:t>Less lines of credit, short-term debt and current portion of long-term</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(50.3)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464"/>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181.2</w:t>
            </w:r>
          </w:p>
        </w:tc>
        <w:tc>
          <w:tcPr>
            <w:tcW w:w="4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183.6</w:t>
            </w: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202.5</w:t>
            </w:r>
          </w:p>
        </w:tc>
        <w:tc>
          <w:tcPr>
            <w:tcW w:w="5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201.5</w:t>
            </w:r>
          </w:p>
        </w:tc>
        <w:tc>
          <w:tcPr>
            <w:tcW w:w="20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223.8</w:t>
            </w:r>
          </w:p>
        </w:tc>
        <w:tc>
          <w:tcPr>
            <w:tcW w:w="3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215.4</w:t>
            </w:r>
          </w:p>
        </w:tc>
      </w:tr>
      <w:tr>
        <w:trPr>
          <w:trHeight w:val="110"/>
        </w:trPr>
        <w:tc>
          <w:tcPr>
            <w:tcW w:w="5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Short-term debt’s carrying value approximates fair value. Fair value of the Loan Agreement approximates its carrying value due to its variable interest rate and stable credit rating.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November 30, 2010, for the remainder of fiscal 2011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1542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Six-month period ending May 31:</w:t>
            </w: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2011</w:t>
            </w:r>
          </w:p>
        </w:tc>
        <w:tc>
          <w:tcPr>
            <w:tcW w:w="2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28.6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2012</w:t>
            </w:r>
          </w:p>
        </w:tc>
        <w:tc>
          <w:tcPr>
            <w:tcW w:w="26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2013</w:t>
            </w:r>
          </w:p>
        </w:tc>
        <w:tc>
          <w:tcPr>
            <w:tcW w:w="26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159.8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2014</w:t>
            </w:r>
          </w:p>
        </w:tc>
        <w:tc>
          <w:tcPr>
            <w:tcW w:w="26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2015</w:t>
            </w:r>
          </w:p>
        </w:tc>
        <w:tc>
          <w:tcPr>
            <w:tcW w:w="26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474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231.2</w:t>
            </w:r>
          </w:p>
        </w:tc>
      </w:tr>
      <w:tr>
        <w:trPr>
          <w:trHeight w:val="110"/>
        </w:trPr>
        <w:tc>
          <w:tcPr>
            <w:tcW w:w="474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November 30, 2010, the Company’s domestic credit lines available under unsecured money market bid rate credit lines totaled $20.0. There were no outstanding borrowings under these credit lines at November 30, 2010, May 31, 2010 and November 30, 2009.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November 30, 2010, the Company had various local currency credit lines, with maximum available borrowings in amounts equivalent to $33.8, underwritten by banks primarily in the United States, Canada and the United Kingdom. These credit lines are typically available for overdraft borrowings or loans up to 364 days and may be renewed, if requested by the Company, at the sole option of the lender. Borrowings and weighted average interest rates for these lines of credit are presented in the table above.</w:t>
      </w:r>
    </w:p>
    <w:p>
      <w:pPr>
        <w:sectPr>
          <w:pgSz w:w="11900" w:h="16838" w:orient="portrait"/>
          <w:cols w:equalWidth="0" w:num="1">
            <w:col w:w="11440"/>
          </w:cols>
          <w:pgMar w:left="240" w:top="382" w:right="21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Term Loan, which may be prepaid at any time without penalty, requires quarterly principal payments of $10.7, with the first payment on December 31, 2007, and a final payment of $7.4 due on June 1, 2012.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w:t>
      </w:r>
    </w:p>
    <w:p>
      <w:pPr>
        <w:spacing w:after="0" w:line="2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 (1)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November 30, 2010, there were no borrowings outstanding under the Revolving Loan.</w:t>
      </w:r>
    </w:p>
    <w:p>
      <w:pPr>
        <w:spacing w:after="0" w:line="19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of November 30, 2010, the applicable margin on the Term Loan was 0.750% and the applicable margin on the Revolving Loan was 0.600%. The Loan Agreement also provides for the payment of a facility fee ranging from 0.125% to 0.250% per annum on the Revolving Loan only, which at November 30, 2010, was 0.150%. As of November 30, 2010, $71.6 was outstanding under the Term Loan at an interest rate of 1.01%.</w:t>
      </w:r>
    </w:p>
    <w:p>
      <w:pPr>
        <w:spacing w:after="0" w:line="16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November 30, 2010, standby letters of credit outstanding under the Loan Agreement totaled $1.4. The Loan Agreement contains certain covenants, including interest coverage and leverage ratio tests and certain limitations on the amount of dividends and other distributions, and at November 30, 2010,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repurchased $5.0 of the 5% Notes on the open market in fiscal 2010. The Company did not make any additional purchases during the six-month period ended November 30, 2010.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20"/>
                <w:szCs w:val="20"/>
                <w:color w:val="auto"/>
              </w:rPr>
            </w:pPr>
            <w:r>
              <w:rPr>
                <w:rFonts w:ascii="Arial" w:cs="Arial" w:eastAsia="Arial" w:hAnsi="Arial"/>
                <w:sz w:val="18"/>
                <w:szCs w:val="18"/>
                <w:b w:val="1"/>
                <w:bCs w:val="1"/>
                <w:color w:val="auto"/>
              </w:rPr>
              <w:t>6. Comprehensive Income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w w:val="90"/>
              </w:rPr>
              <w:t>The following table sets forth comprehensive income for the periods indicated: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7"/>
          </w:tcPr>
          <w:p>
            <w:pPr>
              <w:jc w:val="right"/>
              <w:spacing w:after="0"/>
              <w:rPr>
                <w:sz w:val="20"/>
                <w:szCs w:val="20"/>
                <w:color w:val="auto"/>
              </w:rPr>
            </w:pPr>
            <w:r>
              <w:rPr>
                <w:rFonts w:ascii="Arial" w:cs="Arial" w:eastAsia="Arial" w:hAnsi="Arial"/>
                <w:sz w:val="18"/>
                <w:szCs w:val="18"/>
                <w:b w:val="1"/>
                <w:bCs w:val="1"/>
                <w:i w:val="1"/>
                <w:iCs w:val="1"/>
                <w:color w:val="auto"/>
                <w:w w:val="85"/>
              </w:rPr>
              <w:t>Three months ended November 30,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w w:val="92"/>
              </w:rPr>
              <w:t>Six months ended November 30,</w:t>
            </w:r>
          </w:p>
        </w:tc>
        <w:tc>
          <w:tcPr>
            <w:tcW w:w="20" w:type="dxa"/>
            <w:vAlign w:val="bottom"/>
          </w:tcPr>
          <w:p>
            <w:pPr>
              <w:spacing w:after="0"/>
              <w:rPr>
                <w:sz w:val="24"/>
                <w:szCs w:val="24"/>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4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74.9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640" w:type="dxa"/>
            <w:vAlign w:val="bottom"/>
          </w:tcPr>
          <w:p>
            <w:pPr>
              <w:ind w:left="160"/>
              <w:spacing w:after="0"/>
              <w:rPr>
                <w:sz w:val="20"/>
                <w:szCs w:val="20"/>
                <w:color w:val="auto"/>
              </w:rPr>
            </w:pPr>
            <w:r>
              <w:rPr>
                <w:rFonts w:ascii="Arial" w:cs="Arial" w:eastAsia="Arial" w:hAnsi="Arial"/>
                <w:sz w:val="18"/>
                <w:szCs w:val="18"/>
                <w:color w:val="auto"/>
              </w:rPr>
              <w:t>Pension and post-retirement adjustments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5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Total other comprehensive income, net: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5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40" w:type="dxa"/>
            <w:vAlign w:val="bottom"/>
          </w:tcPr>
          <w:p>
            <w:pPr>
              <w:ind w:left="160"/>
              <w:spacing w:after="0"/>
              <w:rPr>
                <w:sz w:val="20"/>
                <w:szCs w:val="20"/>
                <w:color w:val="auto"/>
              </w:rPr>
            </w:pPr>
            <w:r>
              <w:rPr>
                <w:rFonts w:ascii="Arial" w:cs="Arial" w:eastAsia="Arial" w:hAnsi="Arial"/>
                <w:sz w:val="18"/>
                <w:szCs w:val="18"/>
                <w:color w:val="auto"/>
              </w:rPr>
              <w:t>Total comprehensive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83.7</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5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portion of the Company’s restricted stock units (“RSUs”) granted to employees participate in earnings through cumulative non-forfeitable dividends payable to the employees upon vesting of the RSUs. For periods in which the Company has Net income, basic earnings per Common and Class A shares outstanding (the “Issued Shares”) is calculated as the lesser of:</w:t>
      </w:r>
    </w:p>
    <w:p>
      <w:pPr>
        <w:spacing w:after="0" w:line="208"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earnings divided by the weighted average shares outstanding of the Issued Shares during the period (the “Treasury Stock Method”); or</w:t>
      </w:r>
    </w:p>
    <w:p>
      <w:pPr>
        <w:spacing w:after="0" w:line="180" w:lineRule="exact"/>
        <w:rPr>
          <w:rFonts w:ascii="Arial" w:cs="Arial" w:eastAsia="Arial" w:hAnsi="Arial"/>
          <w:sz w:val="16"/>
          <w:szCs w:val="16"/>
          <w:color w:val="auto"/>
        </w:rPr>
      </w:pPr>
    </w:p>
    <w:p>
      <w:pPr>
        <w:ind w:left="920" w:right="300" w:hanging="453"/>
        <w:spacing w:after="0" w:line="25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 earnings distributed in the period to the Issued Shares and undistributed earnings available to the Issued Shares (excluding earnings attributable to the participating RSUs) divided by the weighted average shares outstanding of the Issued Shares during the period (the “Two Class Method”).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periods in which the Company has Net income is calculated as the lesser of:</w:t>
      </w:r>
    </w:p>
    <w:p>
      <w:pPr>
        <w:spacing w:after="0" w:line="158"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Treasury Stock Method incorporating the effect of dilutive shares; or</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Two Class Method incorporating the effect of dilutive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the three and six months ended November 30, 2009, the Treasury Stock Method and the Two Class Method did not produce different earnings per share values. In the three and six month periods ended November 30, 2010, the Treasury Stock Method produced higher earnings per share values of $0.01; accordingly, the Two Class method was used to calculate earnings per share for the three and six month periods ended November 30, 2010.</w:t>
      </w:r>
    </w:p>
    <w:p>
      <w:pPr>
        <w:spacing w:after="0" w:line="1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 period in which the Company reports a discontinued operation, Earnings (loss) from continuing operations is used as the “control number” in determining whether potentially dilutive common shares are dilutive or anti-dilutive.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0" w:right="4440" w:hanging="43"/>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three and six month periods ended November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206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w w:val="97"/>
              </w:rPr>
              <w:t>Three months ended</w:t>
            </w:r>
          </w:p>
        </w:tc>
        <w:tc>
          <w:tcPr>
            <w:tcW w:w="240" w:type="dxa"/>
            <w:vAlign w:val="bottom"/>
          </w:tcPr>
          <w:p>
            <w:pPr>
              <w:spacing w:after="0"/>
              <w:rPr>
                <w:sz w:val="18"/>
                <w:szCs w:val="18"/>
                <w:color w:val="auto"/>
              </w:rPr>
            </w:pPr>
          </w:p>
        </w:tc>
        <w:tc>
          <w:tcPr>
            <w:tcW w:w="164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w w:val="83"/>
              </w:rPr>
              <w:t>Six months ended</w:t>
            </w:r>
          </w:p>
        </w:tc>
        <w:tc>
          <w:tcPr>
            <w:tcW w:w="0" w:type="dxa"/>
            <w:vAlign w:val="bottom"/>
          </w:tcPr>
          <w:p>
            <w:pPr>
              <w:spacing w:after="0"/>
              <w:rPr>
                <w:sz w:val="1"/>
                <w:szCs w:val="1"/>
                <w:color w:val="auto"/>
              </w:rPr>
            </w:pPr>
          </w:p>
        </w:tc>
      </w:tr>
      <w:tr>
        <w:trPr>
          <w:trHeight w:val="222"/>
        </w:trPr>
        <w:tc>
          <w:tcPr>
            <w:tcW w:w="7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w w:val="85"/>
              </w:rPr>
              <w:t>November 30, 2010</w:t>
            </w:r>
          </w:p>
        </w:tc>
        <w:tc>
          <w:tcPr>
            <w:tcW w:w="240" w:type="dxa"/>
            <w:vAlign w:val="bottom"/>
          </w:tcPr>
          <w:p>
            <w:pPr>
              <w:spacing w:after="0"/>
              <w:rPr>
                <w:sz w:val="19"/>
                <w:szCs w:val="19"/>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w w:val="84"/>
              </w:rPr>
              <w:t>November 30, 2010</w:t>
            </w:r>
          </w:p>
        </w:tc>
        <w:tc>
          <w:tcPr>
            <w:tcW w:w="0" w:type="dxa"/>
            <w:vAlign w:val="bottom"/>
          </w:tcPr>
          <w:p>
            <w:pPr>
              <w:spacing w:after="0"/>
              <w:rPr>
                <w:sz w:val="1"/>
                <w:szCs w:val="1"/>
                <w:color w:val="auto"/>
              </w:rPr>
            </w:pPr>
          </w:p>
        </w:tc>
      </w:tr>
      <w:tr>
        <w:trPr>
          <w:trHeight w:val="110"/>
        </w:trPr>
        <w:tc>
          <w:tcPr>
            <w:tcW w:w="7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00" w:type="dxa"/>
            <w:vAlign w:val="bottom"/>
          </w:tcPr>
          <w:p>
            <w:pPr>
              <w:spacing w:after="0"/>
              <w:rPr>
                <w:sz w:val="20"/>
                <w:szCs w:val="20"/>
                <w:color w:val="auto"/>
              </w:rPr>
            </w:pPr>
            <w:r>
              <w:rPr>
                <w:rFonts w:ascii="Arial" w:cs="Arial" w:eastAsia="Arial" w:hAnsi="Arial"/>
                <w:sz w:val="18"/>
                <w:szCs w:val="18"/>
                <w:color w:val="auto"/>
              </w:rPr>
              <w:t>Earnings from continuing operations attributable to Class A and Common Shares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132"/>
              <w:spacing w:after="0"/>
              <w:rPr>
                <w:sz w:val="20"/>
                <w:szCs w:val="20"/>
                <w:color w:val="auto"/>
              </w:rPr>
            </w:pPr>
            <w:r>
              <w:rPr>
                <w:rFonts w:ascii="Arial" w:cs="Arial" w:eastAsia="Arial" w:hAnsi="Arial"/>
                <w:sz w:val="18"/>
                <w:szCs w:val="18"/>
                <w:b w:val="1"/>
                <w:bCs w:val="1"/>
                <w:color w:val="auto"/>
              </w:rPr>
              <w:t>76.6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365"/>
        </w:trPr>
        <w:tc>
          <w:tcPr>
            <w:tcW w:w="7500" w:type="dxa"/>
            <w:vAlign w:val="bottom"/>
          </w:tcPr>
          <w:p>
            <w:pPr>
              <w:spacing w:after="0"/>
              <w:rPr>
                <w:sz w:val="20"/>
                <w:szCs w:val="20"/>
                <w:color w:val="auto"/>
              </w:rPr>
            </w:pPr>
            <w:r>
              <w:rPr>
                <w:rFonts w:ascii="Arial" w:cs="Arial" w:eastAsia="Arial" w:hAnsi="Arial"/>
                <w:sz w:val="18"/>
                <w:szCs w:val="18"/>
                <w:color w:val="auto"/>
              </w:rPr>
              <w:t>(Loss) from discontinued operations attributable to Class A and Common Shares, net of tax</w:t>
            </w:r>
          </w:p>
        </w:tc>
        <w:tc>
          <w:tcPr>
            <w:tcW w:w="300" w:type="dxa"/>
            <w:vAlign w:val="bottom"/>
          </w:tcPr>
          <w:p>
            <w:pPr>
              <w:spacing w:after="0"/>
              <w:rPr>
                <w:sz w:val="24"/>
                <w:szCs w:val="24"/>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58"/>
        </w:trPr>
        <w:tc>
          <w:tcPr>
            <w:tcW w:w="7500" w:type="dxa"/>
            <w:vAlign w:val="bottom"/>
          </w:tcPr>
          <w:p>
            <w:pPr>
              <w:spacing w:after="0"/>
              <w:rPr>
                <w:sz w:val="20"/>
                <w:szCs w:val="20"/>
                <w:color w:val="auto"/>
              </w:rPr>
            </w:pPr>
            <w:r>
              <w:rPr>
                <w:rFonts w:ascii="Arial" w:cs="Arial" w:eastAsia="Arial" w:hAnsi="Arial"/>
                <w:sz w:val="18"/>
                <w:szCs w:val="18"/>
                <w:color w:val="auto"/>
              </w:rPr>
              <w:t>Net income attributable to Class A and Common Shares</w:t>
            </w:r>
          </w:p>
        </w:tc>
        <w:tc>
          <w:tcPr>
            <w:tcW w:w="300" w:type="dxa"/>
            <w:vAlign w:val="bottom"/>
          </w:tcPr>
          <w:p>
            <w:pPr>
              <w:spacing w:after="0"/>
              <w:rPr>
                <w:sz w:val="24"/>
                <w:szCs w:val="24"/>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24"/>
                <w:szCs w:val="24"/>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w w:val="89"/>
              </w:rPr>
              <w:t>Weighted average Shares of Class A Stock and Common Stock outstanding for basic earnings per share</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9"/>
                <w:szCs w:val="19"/>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358"/>
        </w:trPr>
        <w:tc>
          <w:tcPr>
            <w:tcW w:w="7500" w:type="dxa"/>
            <w:vAlign w:val="bottom"/>
          </w:tcPr>
          <w:p>
            <w:pPr>
              <w:spacing w:after="0"/>
              <w:rPr>
                <w:sz w:val="20"/>
                <w:szCs w:val="20"/>
                <w:color w:val="auto"/>
              </w:rPr>
            </w:pPr>
            <w:r>
              <w:rPr>
                <w:rFonts w:ascii="Arial" w:cs="Arial" w:eastAsia="Arial" w:hAnsi="Arial"/>
                <w:sz w:val="18"/>
                <w:szCs w:val="18"/>
                <w:color w:val="auto"/>
                <w:w w:val="98"/>
              </w:rPr>
              <w:t>Dilutive effect of Class A Stock and Common Stock potentially issuable pursuant to stock-based</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compensation plans (in millions)</w:t>
            </w:r>
          </w:p>
        </w:tc>
        <w:tc>
          <w:tcPr>
            <w:tcW w:w="30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58"/>
        </w:trPr>
        <w:tc>
          <w:tcPr>
            <w:tcW w:w="7500" w:type="dxa"/>
            <w:vAlign w:val="bottom"/>
          </w:tcPr>
          <w:p>
            <w:pPr>
              <w:spacing w:after="0"/>
              <w:rPr>
                <w:sz w:val="20"/>
                <w:szCs w:val="20"/>
                <w:color w:val="auto"/>
              </w:rPr>
            </w:pPr>
            <w:r>
              <w:rPr>
                <w:rFonts w:ascii="Arial" w:cs="Arial" w:eastAsia="Arial" w:hAnsi="Arial"/>
                <w:sz w:val="18"/>
                <w:szCs w:val="18"/>
                <w:color w:val="auto"/>
                <w:w w:val="98"/>
              </w:rPr>
              <w:t>Adjusted weighted average Shares of Class A Stock and Common Stock outstanding for diluted</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earnings per share (in millions)</w:t>
            </w:r>
          </w:p>
        </w:tc>
        <w:tc>
          <w:tcPr>
            <w:tcW w:w="30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9"/>
                <w:szCs w:val="19"/>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352"/>
        </w:trPr>
        <w:tc>
          <w:tcPr>
            <w:tcW w:w="750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Stock and Common Stock:</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16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2.23</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0"/>
        </w:trPr>
        <w:tc>
          <w:tcPr>
            <w:tcW w:w="75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72"/>
              <w:spacing w:after="0"/>
              <w:rPr>
                <w:sz w:val="20"/>
                <w:szCs w:val="20"/>
                <w:color w:val="auto"/>
              </w:rPr>
            </w:pPr>
            <w:r>
              <w:rPr>
                <w:rFonts w:ascii="Arial" w:cs="Arial" w:eastAsia="Arial" w:hAnsi="Arial"/>
                <w:sz w:val="18"/>
                <w:szCs w:val="18"/>
                <w:b w:val="1"/>
                <w:bCs w:val="1"/>
                <w:color w:val="auto"/>
              </w:rPr>
              <w:t>(0.06)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132"/>
              <w:spacing w:after="0"/>
              <w:rPr>
                <w:sz w:val="20"/>
                <w:szCs w:val="20"/>
                <w:color w:val="auto"/>
              </w:rPr>
            </w:pPr>
            <w:r>
              <w:rPr>
                <w:rFonts w:ascii="Arial" w:cs="Arial" w:eastAsia="Arial" w:hAnsi="Arial"/>
                <w:sz w:val="18"/>
                <w:szCs w:val="18"/>
                <w:b w:val="1"/>
                <w:bCs w:val="1"/>
                <w:color w:val="auto"/>
              </w:rPr>
              <w:t>2.17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358"/>
        </w:trPr>
        <w:tc>
          <w:tcPr>
            <w:tcW w:w="7500" w:type="dxa"/>
            <w:vAlign w:val="bottom"/>
          </w:tcPr>
          <w:p>
            <w:pPr>
              <w:ind w:left="16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2.19</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0"/>
        </w:trPr>
        <w:tc>
          <w:tcPr>
            <w:tcW w:w="75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72"/>
              <w:spacing w:after="0"/>
              <w:rPr>
                <w:sz w:val="20"/>
                <w:szCs w:val="20"/>
                <w:color w:val="auto"/>
              </w:rPr>
            </w:pPr>
            <w:r>
              <w:rPr>
                <w:rFonts w:ascii="Arial" w:cs="Arial" w:eastAsia="Arial" w:hAnsi="Arial"/>
                <w:sz w:val="18"/>
                <w:szCs w:val="18"/>
                <w:b w:val="1"/>
                <w:bCs w:val="1"/>
                <w:color w:val="auto"/>
              </w:rPr>
              <w:t>(0.05)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132"/>
              <w:spacing w:after="0"/>
              <w:rPr>
                <w:sz w:val="20"/>
                <w:szCs w:val="20"/>
                <w:color w:val="auto"/>
              </w:rPr>
            </w:pPr>
            <w:r>
              <w:rPr>
                <w:rFonts w:ascii="Arial" w:cs="Arial" w:eastAsia="Arial" w:hAnsi="Arial"/>
                <w:sz w:val="18"/>
                <w:szCs w:val="18"/>
                <w:b w:val="1"/>
                <w:bCs w:val="1"/>
                <w:color w:val="auto"/>
              </w:rPr>
              <w:t>2.14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110"/>
        </w:trPr>
        <w:tc>
          <w:tcPr>
            <w:tcW w:w="7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Earnings from continuing operations exclude earnings of $0.3 and $0.2 for the three and six months ended November 30, 2010, respectively, in respect of earnings attributable to participating RSUs.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0" w:right="4440" w:hanging="43"/>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Company calculates per share figures prior to rounding in millions. The following table summarizes the reconciliation of the numerators and denominators for the basic and diluted earnings (loss) per share computation for the three and six month periods ended November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w w:val="94"/>
              </w:rPr>
              <w:t>Three months ended</w:t>
            </w:r>
          </w:p>
        </w:tc>
        <w:tc>
          <w:tcPr>
            <w:tcW w:w="174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w w:val="95"/>
              </w:rPr>
              <w:t>Six months ended</w:t>
            </w:r>
          </w:p>
        </w:tc>
        <w:tc>
          <w:tcPr>
            <w:tcW w:w="0" w:type="dxa"/>
            <w:vAlign w:val="bottom"/>
          </w:tcPr>
          <w:p>
            <w:pPr>
              <w:spacing w:after="0"/>
              <w:rPr>
                <w:sz w:val="1"/>
                <w:szCs w:val="1"/>
                <w:color w:val="auto"/>
              </w:rPr>
            </w:pPr>
          </w:p>
        </w:tc>
      </w:tr>
      <w:tr>
        <w:trPr>
          <w:trHeight w:val="222"/>
        </w:trPr>
        <w:tc>
          <w:tcPr>
            <w:tcW w:w="7740" w:type="dxa"/>
            <w:vAlign w:val="bottom"/>
          </w:tcPr>
          <w:p>
            <w:pPr>
              <w:spacing w:after="0"/>
              <w:rPr>
                <w:sz w:val="19"/>
                <w:szCs w:val="19"/>
                <w:color w:val="auto"/>
              </w:rPr>
            </w:pPr>
          </w:p>
        </w:tc>
        <w:tc>
          <w:tcPr>
            <w:tcW w:w="196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November 30, 2009</w:t>
            </w:r>
          </w:p>
        </w:tc>
        <w:tc>
          <w:tcPr>
            <w:tcW w:w="17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5"/>
              </w:rPr>
              <w:t>November 30, 2009</w:t>
            </w:r>
          </w:p>
        </w:tc>
        <w:tc>
          <w:tcPr>
            <w:tcW w:w="0" w:type="dxa"/>
            <w:vAlign w:val="bottom"/>
          </w:tcPr>
          <w:p>
            <w:pPr>
              <w:spacing w:after="0"/>
              <w:rPr>
                <w:sz w:val="1"/>
                <w:szCs w:val="1"/>
                <w:color w:val="auto"/>
              </w:rPr>
            </w:pPr>
          </w:p>
        </w:tc>
      </w:tr>
      <w:tr>
        <w:trPr>
          <w:trHeight w:val="110"/>
        </w:trPr>
        <w:tc>
          <w:tcPr>
            <w:tcW w:w="77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774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56.8</w:t>
            </w:r>
          </w:p>
        </w:tc>
        <w:tc>
          <w:tcPr>
            <w:tcW w:w="7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(Loss) earnings from discontinued operations, net of tax</w:t>
            </w:r>
          </w:p>
        </w:tc>
        <w:tc>
          <w:tcPr>
            <w:tcW w:w="8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55.5</w:t>
            </w:r>
          </w:p>
        </w:tc>
        <w:tc>
          <w:tcPr>
            <w:tcW w:w="7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89"/>
              </w:rPr>
              <w:t>Weighted average Shares of Class A Stock and Common Stock outstanding for basic earnings per share (in</w:t>
            </w: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millions)</w:t>
            </w:r>
          </w:p>
        </w:tc>
        <w:tc>
          <w:tcPr>
            <w:tcW w:w="86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36.4</w:t>
            </w:r>
          </w:p>
        </w:tc>
        <w:tc>
          <w:tcPr>
            <w:tcW w:w="7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358"/>
        </w:trPr>
        <w:tc>
          <w:tcPr>
            <w:tcW w:w="7740" w:type="dxa"/>
            <w:vAlign w:val="bottom"/>
          </w:tcPr>
          <w:p>
            <w:pPr>
              <w:spacing w:after="0"/>
              <w:rPr>
                <w:sz w:val="20"/>
                <w:szCs w:val="20"/>
                <w:color w:val="auto"/>
              </w:rPr>
            </w:pPr>
            <w:r>
              <w:rPr>
                <w:rFonts w:ascii="Arial" w:cs="Arial" w:eastAsia="Arial" w:hAnsi="Arial"/>
                <w:sz w:val="18"/>
                <w:szCs w:val="18"/>
                <w:color w:val="auto"/>
              </w:rPr>
              <w:t>Dilutive effect of Class A Stock and Common Stock potentially issuable pursuant to stock-based</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compensation plans (in millions)</w:t>
            </w:r>
          </w:p>
        </w:tc>
        <w:tc>
          <w:tcPr>
            <w:tcW w:w="86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7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58"/>
        </w:trPr>
        <w:tc>
          <w:tcPr>
            <w:tcW w:w="7740" w:type="dxa"/>
            <w:vAlign w:val="bottom"/>
          </w:tcPr>
          <w:p>
            <w:pPr>
              <w:spacing w:after="0"/>
              <w:rPr>
                <w:sz w:val="20"/>
                <w:szCs w:val="20"/>
                <w:color w:val="auto"/>
              </w:rPr>
            </w:pPr>
            <w:r>
              <w:rPr>
                <w:rFonts w:ascii="Arial" w:cs="Arial" w:eastAsia="Arial" w:hAnsi="Arial"/>
                <w:sz w:val="18"/>
                <w:szCs w:val="18"/>
                <w:color w:val="auto"/>
                <w:w w:val="92"/>
              </w:rPr>
              <w:t>Adjusted weighted average Shares of Class A Stock and Common Stock outstanding for diluted earnings</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per share (in millions)</w:t>
            </w:r>
          </w:p>
        </w:tc>
        <w:tc>
          <w:tcPr>
            <w:tcW w:w="86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36.8</w:t>
            </w:r>
          </w:p>
        </w:tc>
        <w:tc>
          <w:tcPr>
            <w:tcW w:w="7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352"/>
        </w:trPr>
        <w:tc>
          <w:tcPr>
            <w:tcW w:w="774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Stock and Common Stock:</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40" w:type="dxa"/>
            <w:vAlign w:val="bottom"/>
          </w:tcPr>
          <w:p>
            <w:pPr>
              <w:ind w:left="160"/>
              <w:spacing w:after="0"/>
              <w:rPr>
                <w:sz w:val="20"/>
                <w:szCs w:val="20"/>
                <w:color w:val="auto"/>
              </w:rPr>
            </w:pPr>
            <w:r>
              <w:rPr>
                <w:rFonts w:ascii="Arial" w:cs="Arial" w:eastAsia="Arial" w:hAnsi="Arial"/>
                <w:sz w:val="18"/>
                <w:szCs w:val="18"/>
                <w:b w:val="1"/>
                <w:bCs w:val="1"/>
                <w:color w:val="auto"/>
              </w:rPr>
              <w:t>Basic earnings (loss) per share:</w:t>
            </w:r>
          </w:p>
        </w:tc>
        <w:tc>
          <w:tcPr>
            <w:tcW w:w="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1.56</w:t>
            </w:r>
          </w:p>
        </w:tc>
        <w:tc>
          <w:tcPr>
            <w:tcW w:w="76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0.88</w:t>
            </w:r>
          </w:p>
        </w:tc>
        <w:tc>
          <w:tcPr>
            <w:tcW w:w="0" w:type="dxa"/>
            <w:vAlign w:val="bottom"/>
          </w:tcPr>
          <w:p>
            <w:pPr>
              <w:spacing w:after="0"/>
              <w:rPr>
                <w:sz w:val="1"/>
                <w:szCs w:val="1"/>
                <w:color w:val="auto"/>
              </w:rPr>
            </w:pPr>
          </w:p>
        </w:tc>
      </w:tr>
      <w:tr>
        <w:trPr>
          <w:trHeight w:val="210"/>
        </w:trPr>
        <w:tc>
          <w:tcPr>
            <w:tcW w:w="774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8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20"/>
              <w:spacing w:after="0"/>
              <w:rPr>
                <w:sz w:val="20"/>
                <w:szCs w:val="20"/>
                <w:color w:val="auto"/>
              </w:rPr>
            </w:pPr>
            <w:r>
              <w:rPr>
                <w:rFonts w:ascii="Arial" w:cs="Arial" w:eastAsia="Arial" w:hAnsi="Arial"/>
                <w:sz w:val="18"/>
                <w:szCs w:val="18"/>
                <w:color w:val="auto"/>
              </w:rPr>
              <w:t>(Loss) earnings from discontinued operations, net of tax</w:t>
            </w: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(0.04)</w:t>
            </w:r>
          </w:p>
        </w:tc>
        <w:tc>
          <w:tcPr>
            <w:tcW w:w="7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28"/>
        </w:trPr>
        <w:tc>
          <w:tcPr>
            <w:tcW w:w="774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1.52</w:t>
            </w:r>
          </w:p>
        </w:tc>
        <w:tc>
          <w:tcPr>
            <w:tcW w:w="7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0.89</w:t>
            </w:r>
          </w:p>
        </w:tc>
        <w:tc>
          <w:tcPr>
            <w:tcW w:w="0" w:type="dxa"/>
            <w:vAlign w:val="bottom"/>
          </w:tcPr>
          <w:p>
            <w:pPr>
              <w:spacing w:after="0"/>
              <w:rPr>
                <w:sz w:val="1"/>
                <w:szCs w:val="1"/>
                <w:color w:val="auto"/>
              </w:rPr>
            </w:pPr>
          </w:p>
        </w:tc>
      </w:tr>
      <w:tr>
        <w:trPr>
          <w:trHeight w:val="358"/>
        </w:trPr>
        <w:tc>
          <w:tcPr>
            <w:tcW w:w="774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1.54</w:t>
            </w:r>
          </w:p>
        </w:tc>
        <w:tc>
          <w:tcPr>
            <w:tcW w:w="76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0.88</w:t>
            </w:r>
          </w:p>
        </w:tc>
        <w:tc>
          <w:tcPr>
            <w:tcW w:w="0" w:type="dxa"/>
            <w:vAlign w:val="bottom"/>
          </w:tcPr>
          <w:p>
            <w:pPr>
              <w:spacing w:after="0"/>
              <w:rPr>
                <w:sz w:val="1"/>
                <w:szCs w:val="1"/>
                <w:color w:val="auto"/>
              </w:rPr>
            </w:pPr>
          </w:p>
        </w:tc>
      </w:tr>
      <w:tr>
        <w:trPr>
          <w:trHeight w:val="210"/>
        </w:trPr>
        <w:tc>
          <w:tcPr>
            <w:tcW w:w="774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8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(0.03)</w:t>
            </w:r>
          </w:p>
        </w:tc>
        <w:tc>
          <w:tcPr>
            <w:tcW w:w="7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8"/>
        </w:trPr>
        <w:tc>
          <w:tcPr>
            <w:tcW w:w="774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1.51</w:t>
            </w:r>
          </w:p>
        </w:tc>
        <w:tc>
          <w:tcPr>
            <w:tcW w:w="7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0.88</w:t>
            </w:r>
          </w:p>
        </w:tc>
        <w:tc>
          <w:tcPr>
            <w:tcW w:w="0" w:type="dxa"/>
            <w:vAlign w:val="bottom"/>
          </w:tcPr>
          <w:p>
            <w:pPr>
              <w:spacing w:after="0"/>
              <w:rPr>
                <w:sz w:val="1"/>
                <w:szCs w:val="1"/>
                <w:color w:val="auto"/>
              </w:rPr>
            </w:pPr>
          </w:p>
        </w:tc>
      </w:tr>
      <w:tr>
        <w:trPr>
          <w:trHeight w:val="110"/>
        </w:trPr>
        <w:tc>
          <w:tcPr>
            <w:tcW w:w="77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Potentially dilutive shares outstanding pursuant to compensation plans that were not included in the diluted earnings per share calculation because they were anti-dilutive were 4.4 million and 5.3 million for the three months ended November 30, 2010 and 2009, and 4.8 million and 5.5 million for the six months ended November 30, 2010 and 2009, respectively.</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six months ended November 30, 2010, the Company repurchased 388,426 common shares on the open market for approximately $9.7 pursuant to a share buy-back program authorized by the Board of Directors.</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on November 3, 2010, the Company announced the final results of a modified Dutch auction tender offer which expired on October 28, 2010. The Company accepted for purchase 5,199,699 of its common shares at a price of $30.00 per share for a total cost of $156.0, excluding related fees and expenses. The common shares purchased pursuant to the tender offer represented approximately 15.1% of the common shares outstanding as of October 27, 2010. The Company funded the purchase of the shares in the tender offer using cash on hand and short term borrowings under its existing credit facility, which borrowings were repaid prior to November 30, 2010.</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30, 2010, $44.5 remains available for future purchases of common shares under the current repurchase authorization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13, “Treasury Stock,” for a more complete description of the Company’s share buy-back program.</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0" w:right="4440" w:hanging="43"/>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82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Six months ended</w:t>
            </w:r>
          </w:p>
        </w:tc>
        <w:tc>
          <w:tcPr>
            <w:tcW w:w="19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93"/>
              </w:rPr>
              <w:t>Twelve months ended</w:t>
            </w:r>
          </w:p>
        </w:tc>
        <w:tc>
          <w:tcPr>
            <w:tcW w:w="174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w w:val="95"/>
              </w:rPr>
              <w:t>Six months ended</w:t>
            </w:r>
          </w:p>
        </w:tc>
      </w:tr>
      <w:tr>
        <w:trPr>
          <w:trHeight w:val="222"/>
        </w:trPr>
        <w:tc>
          <w:tcPr>
            <w:tcW w:w="3940" w:type="dxa"/>
            <w:vAlign w:val="bottom"/>
          </w:tcPr>
          <w:p>
            <w:pPr>
              <w:spacing w:after="0"/>
              <w:rPr>
                <w:sz w:val="19"/>
                <w:szCs w:val="19"/>
                <w:color w:val="auto"/>
              </w:rPr>
            </w:pPr>
          </w:p>
        </w:tc>
        <w:tc>
          <w:tcPr>
            <w:tcW w:w="382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November 30, 2010</w:t>
            </w:r>
          </w:p>
        </w:tc>
        <w:tc>
          <w:tcPr>
            <w:tcW w:w="340" w:type="dxa"/>
            <w:vAlign w:val="bottom"/>
          </w:tcPr>
          <w:p>
            <w:pPr>
              <w:spacing w:after="0"/>
              <w:rPr>
                <w:sz w:val="19"/>
                <w:szCs w:val="19"/>
                <w:color w:val="auto"/>
              </w:rPr>
            </w:pPr>
          </w:p>
        </w:tc>
        <w:tc>
          <w:tcPr>
            <w:tcW w:w="160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w w:val="98"/>
              </w:rPr>
              <w:t>May 31, 2010</w:t>
            </w:r>
          </w:p>
        </w:tc>
        <w:tc>
          <w:tcPr>
            <w:tcW w:w="17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5"/>
              </w:rPr>
              <w:t>November 30, 2009</w:t>
            </w:r>
          </w:p>
        </w:tc>
      </w:tr>
      <w:tr>
        <w:trPr>
          <w:trHeight w:val="110"/>
        </w:trPr>
        <w:tc>
          <w:tcPr>
            <w:tcW w:w="394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394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2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174.0</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174.0</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174.0</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7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(17.0)</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110"/>
        </w:trPr>
        <w:tc>
          <w:tcPr>
            <w:tcW w:w="394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rPr>
              <w:t>Beginning balance</w:t>
            </w:r>
          </w:p>
        </w:tc>
        <w:tc>
          <w:tcPr>
            <w:tcW w:w="2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156.6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157.0</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157.0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Additions</w:t>
            </w:r>
          </w:p>
        </w:tc>
        <w:tc>
          <w:tcPr>
            <w:tcW w:w="27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Impairment charge</w:t>
            </w:r>
          </w:p>
        </w:tc>
        <w:tc>
          <w:tcPr>
            <w:tcW w:w="274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7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394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394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74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163.7</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b w:val="1"/>
                <w:bCs w:val="1"/>
                <w:color w:val="auto"/>
              </w:rPr>
              <w:t>156.6</w:t>
            </w:r>
          </w:p>
        </w:tc>
        <w:tc>
          <w:tcPr>
            <w:tcW w:w="72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157.0</w:t>
            </w:r>
          </w:p>
        </w:tc>
      </w:tr>
      <w:tr>
        <w:trPr>
          <w:trHeight w:val="110"/>
        </w:trPr>
        <w:tc>
          <w:tcPr>
            <w:tcW w:w="394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On September 9, 2010, the Company purchased the assets of Math Solutions, an education resources and professional development company focusing on K-12 math instruction, for $8.0, net of cash. The Company intends to integrate this business with its existing educational technology businesses. As a result of this acquisition the Company recognized $6.9 of goodwill in the second quarter of fiscal 2011. The Company is currently reviewing its purchase accounting for the acquisition of Math Solutions, and, upon completion of such review, expects to recognize other intangible assets apart from goodwill. The Company also recognized $0.2 of goodwill associated with an international acquisition in the second quarter.</w:t>
      </w:r>
    </w:p>
    <w:p>
      <w:pPr>
        <w:spacing w:after="0" w:line="17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of May 31, 2010, the Company determined that the carrying value of its direct-to-home catalog business specializing in toys exceeded the fair value of this reporting unit. The Company employed internally developed discounted cash flow forecasts and market comparisons to determine the fair value of the reporting unit and the implied fair value of the reporting unit’s assets and liabilities. Accordingly, the Company recognized an impairment charge of $0.4 at May 31, 2010.</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0" w:right="4440" w:hanging="43"/>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Total other intangibles subject to amortization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82"/>
              </w:rPr>
              <w:t>Six months ended</w:t>
            </w: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w w:val="92"/>
              </w:rPr>
              <w:t>Twelve months ended</w:t>
            </w:r>
          </w:p>
        </w:tc>
        <w:tc>
          <w:tcPr>
            <w:tcW w:w="220" w:type="dxa"/>
            <w:vAlign w:val="bottom"/>
          </w:tcPr>
          <w:p>
            <w:pPr>
              <w:spacing w:after="0"/>
              <w:rPr>
                <w:sz w:val="18"/>
                <w:szCs w:val="18"/>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b w:val="1"/>
                <w:bCs w:val="1"/>
                <w:i w:val="1"/>
                <w:iCs w:val="1"/>
                <w:color w:val="auto"/>
                <w:w w:val="82"/>
              </w:rPr>
              <w:t>Six months ended</w:t>
            </w:r>
          </w:p>
        </w:tc>
      </w:tr>
      <w:tr>
        <w:trPr>
          <w:trHeight w:val="222"/>
        </w:trPr>
        <w:tc>
          <w:tcPr>
            <w:tcW w:w="5680" w:type="dxa"/>
            <w:vAlign w:val="bottom"/>
          </w:tcPr>
          <w:p>
            <w:pPr>
              <w:spacing w:after="0"/>
              <w:rPr>
                <w:sz w:val="19"/>
                <w:szCs w:val="19"/>
                <w:color w:val="auto"/>
              </w:rPr>
            </w:pPr>
          </w:p>
        </w:tc>
        <w:tc>
          <w:tcPr>
            <w:tcW w:w="212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November 30, 2010</w:t>
            </w:r>
          </w:p>
        </w:tc>
        <w:tc>
          <w:tcPr>
            <w:tcW w:w="34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w w:val="96"/>
              </w:rPr>
              <w:t>May 31, 2010</w:t>
            </w:r>
          </w:p>
        </w:tc>
        <w:tc>
          <w:tcPr>
            <w:tcW w:w="17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5"/>
              </w:rPr>
              <w:t>November 30, 2009</w:t>
            </w:r>
          </w:p>
        </w:tc>
      </w:tr>
      <w:tr>
        <w:trPr>
          <w:trHeight w:val="110"/>
        </w:trPr>
        <w:tc>
          <w:tcPr>
            <w:tcW w:w="5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5680" w:type="dxa"/>
            <w:vAlign w:val="bottom"/>
          </w:tcPr>
          <w:p>
            <w:pPr>
              <w:spacing w:after="0"/>
              <w:rPr>
                <w:sz w:val="20"/>
                <w:szCs w:val="20"/>
                <w:color w:val="auto"/>
              </w:rPr>
            </w:pPr>
            <w:r>
              <w:rPr>
                <w:rFonts w:ascii="Arial" w:cs="Arial" w:eastAsia="Arial" w:hAnsi="Arial"/>
                <w:sz w:val="18"/>
                <w:szCs w:val="18"/>
                <w:color w:val="auto"/>
              </w:rPr>
              <w:t>Beginning balance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8"/>
                <w:szCs w:val="18"/>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Impairment charge</w:t>
            </w:r>
          </w:p>
        </w:tc>
        <w:tc>
          <w:tcPr>
            <w:tcW w:w="540" w:type="dxa"/>
            <w:vAlign w:val="bottom"/>
          </w:tcPr>
          <w:p>
            <w:pPr>
              <w:spacing w:after="0"/>
              <w:rPr>
                <w:sz w:val="18"/>
                <w:szCs w:val="18"/>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adjustments</w:t>
            </w:r>
          </w:p>
        </w:tc>
        <w:tc>
          <w:tcPr>
            <w:tcW w:w="540" w:type="dxa"/>
            <w:vAlign w:val="bottom"/>
          </w:tcPr>
          <w:p>
            <w:pPr>
              <w:spacing w:after="0"/>
              <w:rPr>
                <w:sz w:val="18"/>
                <w:szCs w:val="18"/>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Amortization expense</w:t>
            </w:r>
          </w:p>
        </w:tc>
        <w:tc>
          <w:tcPr>
            <w:tcW w:w="54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5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5680" w:type="dxa"/>
            <w:vAlign w:val="bottom"/>
          </w:tcPr>
          <w:p>
            <w:pPr>
              <w:spacing w:after="0"/>
              <w:rPr>
                <w:sz w:val="20"/>
                <w:szCs w:val="20"/>
                <w:color w:val="auto"/>
              </w:rPr>
            </w:pPr>
            <w:r>
              <w:rPr>
                <w:rFonts w:ascii="Arial" w:cs="Arial" w:eastAsia="Arial" w:hAnsi="Arial"/>
                <w:sz w:val="18"/>
                <w:szCs w:val="18"/>
                <w:color w:val="auto"/>
              </w:rPr>
              <w:t>Customer lists, net of accumulated amortization of $1.0, $0.9 and $0.7,</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2"/>
        </w:trPr>
        <w:tc>
          <w:tcPr>
            <w:tcW w:w="5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110"/>
        </w:trPr>
        <w:tc>
          <w:tcPr>
            <w:tcW w:w="5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458"/>
        </w:trPr>
        <w:tc>
          <w:tcPr>
            <w:tcW w:w="5680" w:type="dxa"/>
            <w:vAlign w:val="bottom"/>
          </w:tcPr>
          <w:p>
            <w:pPr>
              <w:spacing w:after="0"/>
              <w:rPr>
                <w:sz w:val="20"/>
                <w:szCs w:val="20"/>
                <w:color w:val="auto"/>
              </w:rPr>
            </w:pPr>
            <w:r>
              <w:rPr>
                <w:rFonts w:ascii="Arial" w:cs="Arial" w:eastAsia="Arial" w:hAnsi="Arial"/>
                <w:sz w:val="18"/>
                <w:szCs w:val="18"/>
                <w:color w:val="auto"/>
              </w:rPr>
              <w:t>Beginning balance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Reclassified from indefinite-lived intangible assets</w:t>
            </w:r>
          </w:p>
        </w:tc>
        <w:tc>
          <w:tcPr>
            <w:tcW w:w="540" w:type="dxa"/>
            <w:vAlign w:val="bottom"/>
          </w:tcPr>
          <w:p>
            <w:pPr>
              <w:spacing w:after="0"/>
              <w:rPr>
                <w:sz w:val="18"/>
                <w:szCs w:val="18"/>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Amortization expense</w:t>
            </w:r>
          </w:p>
        </w:tc>
        <w:tc>
          <w:tcPr>
            <w:tcW w:w="54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110"/>
        </w:trPr>
        <w:tc>
          <w:tcPr>
            <w:tcW w:w="5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5680" w:type="dxa"/>
            <w:vAlign w:val="bottom"/>
          </w:tcPr>
          <w:p>
            <w:pPr>
              <w:spacing w:after="0"/>
              <w:rPr>
                <w:sz w:val="20"/>
                <w:szCs w:val="20"/>
                <w:color w:val="auto"/>
              </w:rPr>
            </w:pPr>
            <w:r>
              <w:rPr>
                <w:rFonts w:ascii="Arial" w:cs="Arial" w:eastAsia="Arial" w:hAnsi="Arial"/>
                <w:sz w:val="18"/>
                <w:szCs w:val="18"/>
                <w:color w:val="auto"/>
                <w:w w:val="96"/>
              </w:rPr>
              <w:t>Other intangibles, net of accumulated amortization of $3.5, $3.0 and $2.7,</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2"/>
        </w:trPr>
        <w:tc>
          <w:tcPr>
            <w:tcW w:w="5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12.4</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2.6</w:t>
            </w:r>
          </w:p>
        </w:tc>
      </w:tr>
      <w:tr>
        <w:trPr>
          <w:trHeight w:val="110"/>
        </w:trPr>
        <w:tc>
          <w:tcPr>
            <w:tcW w:w="5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58"/>
        </w:trPr>
        <w:tc>
          <w:tcPr>
            <w:tcW w:w="56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r>
      <w:tr>
        <w:trPr>
          <w:trHeight w:val="316"/>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92"/>
              <w:spacing w:after="0"/>
              <w:rPr>
                <w:sz w:val="20"/>
                <w:szCs w:val="20"/>
                <w:color w:val="auto"/>
              </w:rPr>
            </w:pPr>
            <w:r>
              <w:rPr>
                <w:rFonts w:ascii="Arial" w:cs="Arial" w:eastAsia="Arial" w:hAnsi="Arial"/>
                <w:sz w:val="18"/>
                <w:szCs w:val="18"/>
                <w:b w:val="1"/>
                <w:bCs w:val="1"/>
                <w:color w:val="auto"/>
              </w:rPr>
              <w:t>13.2</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12"/>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b w:val="1"/>
                <w:bCs w:val="1"/>
                <w:color w:val="auto"/>
              </w:rPr>
              <w:t>3.7</w:t>
            </w:r>
          </w:p>
        </w:tc>
      </w:tr>
      <w:tr>
        <w:trPr>
          <w:trHeight w:val="110"/>
        </w:trPr>
        <w:tc>
          <w:tcPr>
            <w:tcW w:w="5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Amortization expense for Total other intangibles totaled $0.6 for the six months ended November 30, 2010, $0.8 for the twelve months ended May 31, 2010 and $0.2 for the six months ended November 30, 2009.</w:t>
      </w:r>
    </w:p>
    <w:p>
      <w:pPr>
        <w:spacing w:after="0" w:line="18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During the first quarter of fiscal 2010, the Company and its joint venture partner terminated a book distribution joint venture in the United Kingdom. As a result of this transaction, the Company received a portion of the business and a related customer list previously held by the joint venture in exchange for the partial forgiveness of amounts owed to the Company by the joint venture and related entities. The Company recognized this customer list in the first quarter of fiscal 2010 with a carrying value of $5.1, which the Company intended to operate apart from its existing customer list. In the second quarter of fiscal 2010, the Company determined that, to maximize profitability, the acquired customer list should ultimately be combined with its existing customer list. As a result, the Company assessed this customer list for impairment and determined that the customer list was impaired based upon the highest and best use for this asset. This assessment incorporated internally developed cash flow projections to measure fair value, as market data for this asset is not readily available. Accordingly, the Company recognized an impairment charge in the second quarter of fiscal 2010 related to this asset of $3.8.</w:t>
      </w:r>
    </w:p>
    <w:p>
      <w:pPr>
        <w:spacing w:after="0" w:line="17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The Company implemented certain strategic initiatives during fiscal 2010 to centralize publishing efforts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These initiatives included the elimination of the front list for certain library-specific titles. The Company will continue to serve the library market through other channels, notably the trade channel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and various digital initiatives. As a result of these initiatives, and in tandem with reduced expectations in certain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print businesses, the Company determined that intangible assets of $28.7 and prepublication costs of $7.6 associated with such businesses, totaling $36.3, were impaired. The Company employed qualitative and internally developed quantitative methods, including discounted cash flow models, to determine the fair value of the asset to a market participant. Significant inputs included a best use analysis of the existing market for the asset, including uses for the asset other than its current usage, resulting in a determination that the market for the asset had declined significantly.</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fourth quarter of fiscal 2010, the Company determined that the fair value of the trademark associated with the Company’s direct-to-home catalog business specializing in toys was less than the carrying value of the trademark. The Company used historical and projected results while applying a residual income fair value method to make this determination and recognized an impairment of this trademark of $2.6.</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0" w:right="4440" w:hanging="43"/>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three month period ended November 30, 2010, the Company determined that certain intangible assets associated with publishing and trademark rights, which were previously accounted for as indefinite-lived assets, were no longer indefinite-lived. Accordingly, the Company assessed these assets for impairment as of September 1, 2010, and subsequently commenced amortization of the assets. The Company determined that the fair value of the assets exceeded their carrying value as of September 1, 2010, and therefore no impairment was recognized. The Company employed Level 3 fair value measurement techniques to determine the fair value of these assets as of September 1, 2010, including primarily the relief from royalty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tcPr>
          <w:p>
            <w:pPr>
              <w:spacing w:after="0"/>
              <w:rPr>
                <w:sz w:val="19"/>
                <w:szCs w:val="19"/>
                <w:color w:val="auto"/>
              </w:rPr>
            </w:pPr>
          </w:p>
        </w:tc>
        <w:tc>
          <w:tcPr>
            <w:tcW w:w="3840" w:type="dxa"/>
            <w:vAlign w:val="bottom"/>
            <w:gridSpan w:val="2"/>
          </w:tcPr>
          <w:p>
            <w:pPr>
              <w:jc w:val="right"/>
              <w:ind w:right="112"/>
              <w:spacing w:after="0"/>
              <w:rPr>
                <w:sz w:val="20"/>
                <w:szCs w:val="20"/>
                <w:color w:val="auto"/>
              </w:rPr>
            </w:pPr>
            <w:r>
              <w:rPr>
                <w:rFonts w:ascii="Arial" w:cs="Arial" w:eastAsia="Arial" w:hAnsi="Arial"/>
                <w:sz w:val="18"/>
                <w:szCs w:val="18"/>
                <w:b w:val="1"/>
                <w:bCs w:val="1"/>
                <w:i w:val="1"/>
                <w:iCs w:val="1"/>
                <w:color w:val="auto"/>
              </w:rPr>
              <w:t>November 30, 2010</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May 31, 2010</w:t>
            </w:r>
          </w:p>
        </w:tc>
        <w:tc>
          <w:tcPr>
            <w:tcW w:w="16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88"/>
              </w:rPr>
              <w:t>November 30, 2009</w:t>
            </w:r>
          </w:p>
        </w:tc>
      </w:tr>
      <w:tr>
        <w:trPr>
          <w:trHeight w:val="110"/>
        </w:trPr>
        <w:tc>
          <w:tcPr>
            <w:tcW w:w="4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09"/>
        </w:trPr>
        <w:tc>
          <w:tcPr>
            <w:tcW w:w="462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Titles</w:t>
            </w:r>
          </w:p>
        </w:tc>
        <w:tc>
          <w:tcPr>
            <w:tcW w:w="28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Trademarks and Other</w:t>
            </w:r>
          </w:p>
        </w:tc>
        <w:tc>
          <w:tcPr>
            <w:tcW w:w="286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12.5</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110"/>
        </w:trPr>
        <w:tc>
          <w:tcPr>
            <w:tcW w:w="4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1.8</w:t>
            </w:r>
          </w:p>
        </w:tc>
        <w:tc>
          <w:tcPr>
            <w:tcW w:w="56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b w:val="1"/>
                <w:bCs w:val="1"/>
                <w:color w:val="auto"/>
              </w:rPr>
              <w:t>12.5</w:t>
            </w:r>
          </w:p>
        </w:tc>
        <w:tc>
          <w:tcPr>
            <w:tcW w:w="7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r>
      <w:tr>
        <w:trPr>
          <w:trHeight w:val="110"/>
        </w:trPr>
        <w:tc>
          <w:tcPr>
            <w:tcW w:w="4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$22.5, $20.6 and $23.8 at November 30, 2010, May 31, 2010 and November 30, 2009, respectively.</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owns a non-controlling interest in a book distribution business located in the United Kingdom. The carrying value of this cost-method investment was $9.1 as of November 30, 2010.</w:t>
      </w:r>
    </w:p>
    <w:p>
      <w:pPr>
        <w:spacing w:after="0" w:line="18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Company’s investment in Usborne, which consists of a 26.2% non controlling interest in a children’s book publishing business located in the UK, is accounted for using the equity method of accounting. The net value of this investment at November 30, 2010 was $12.8.</w:t>
      </w:r>
    </w:p>
    <w:p>
      <w:pPr>
        <w:spacing w:after="0" w:line="13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maintains a 12.25% equity interest in an entity that produces and distributes educational children’s television programming which is accounted for using the equity method of accounting. The net value of this investment at November 30, 2010 was $0.6. The Company does not have a contractual commitment to fund this entity prospectively, and has not guaranteed any liabilities of the entity.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joint ventures totaled $1.1 for the six months ended November 30, 2010 and $0.6 for the six months ended November 30, 2009.</w:t>
      </w:r>
    </w:p>
    <w:p>
      <w:pPr>
        <w:spacing w:after="0" w:line="24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the fourth quarter of fiscal 2010, the Company determined that a cost-method investment in a U.S. based internet company was other than temporarily impaired. Accordingly, the Company recognized a loss of $1.5.</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0" w:right="4460" w:hanging="43"/>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19"/>
                <w:szCs w:val="19"/>
                <w:color w:val="auto"/>
              </w:rPr>
            </w:pPr>
          </w:p>
        </w:tc>
        <w:tc>
          <w:tcPr>
            <w:tcW w:w="436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November 30, 2010</w:t>
            </w: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May 31, 2010</w:t>
            </w:r>
          </w:p>
        </w:tc>
        <w:tc>
          <w:tcPr>
            <w:tcW w:w="176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6"/>
              </w:rPr>
              <w:t>November 30, 2009</w:t>
            </w:r>
          </w:p>
        </w:tc>
        <w:tc>
          <w:tcPr>
            <w:tcW w:w="20" w:type="dxa"/>
            <w:vAlign w:val="bottom"/>
          </w:tcPr>
          <w:p>
            <w:pPr>
              <w:spacing w:after="0"/>
              <w:rPr>
                <w:sz w:val="19"/>
                <w:szCs w:val="19"/>
                <w:color w:val="auto"/>
              </w:rPr>
            </w:pPr>
          </w:p>
        </w:tc>
      </w:tr>
      <w:tr>
        <w:trPr>
          <w:trHeight w:val="110"/>
        </w:trPr>
        <w:tc>
          <w:tcPr>
            <w:tcW w:w="39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396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The Book People, Ltd.</w:t>
            </w:r>
          </w:p>
        </w:tc>
        <w:tc>
          <w:tcPr>
            <w:tcW w:w="33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7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r>
      <w:tr>
        <w:trPr>
          <w:trHeight w:val="222"/>
        </w:trPr>
        <w:tc>
          <w:tcPr>
            <w:tcW w:w="3960" w:type="dxa"/>
            <w:vAlign w:val="bottom"/>
          </w:tcPr>
          <w:p>
            <w:pPr>
              <w:ind w:left="160"/>
              <w:spacing w:after="0"/>
              <w:rPr>
                <w:sz w:val="20"/>
                <w:szCs w:val="20"/>
                <w:color w:val="auto"/>
              </w:rPr>
            </w:pPr>
            <w:r>
              <w:rPr>
                <w:rFonts w:ascii="Arial" w:cs="Arial" w:eastAsia="Arial" w:hAnsi="Arial"/>
                <w:sz w:val="18"/>
                <w:szCs w:val="18"/>
                <w:color w:val="auto"/>
              </w:rPr>
              <w:t>KIDZUI</w:t>
            </w:r>
          </w:p>
        </w:tc>
        <w:tc>
          <w:tcPr>
            <w:tcW w:w="33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110"/>
        </w:trPr>
        <w:tc>
          <w:tcPr>
            <w:tcW w:w="39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960" w:type="dxa"/>
            <w:vAlign w:val="bottom"/>
          </w:tcPr>
          <w:p>
            <w:pPr>
              <w:spacing w:after="0"/>
              <w:rPr>
                <w:sz w:val="20"/>
                <w:szCs w:val="20"/>
                <w:color w:val="auto"/>
              </w:rPr>
            </w:pPr>
            <w:r>
              <w:rPr>
                <w:rFonts w:ascii="Arial" w:cs="Arial" w:eastAsia="Arial" w:hAnsi="Arial"/>
                <w:sz w:val="18"/>
                <w:szCs w:val="18"/>
                <w:color w:val="auto"/>
              </w:rPr>
              <w:t>Total cost method investments</w:t>
            </w:r>
          </w:p>
        </w:tc>
        <w:tc>
          <w:tcPr>
            <w:tcW w:w="33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7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r>
      <w:tr>
        <w:trPr>
          <w:trHeight w:val="110"/>
        </w:trPr>
        <w:tc>
          <w:tcPr>
            <w:tcW w:w="39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396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960" w:type="dxa"/>
            <w:vAlign w:val="bottom"/>
          </w:tcPr>
          <w:p>
            <w:pPr>
              <w:ind w:left="160"/>
              <w:spacing w:after="0"/>
              <w:rPr>
                <w:sz w:val="20"/>
                <w:szCs w:val="20"/>
                <w:color w:val="auto"/>
              </w:rPr>
            </w:pPr>
            <w:r>
              <w:rPr>
                <w:rFonts w:ascii="Arial" w:cs="Arial" w:eastAsia="Arial" w:hAnsi="Arial"/>
                <w:sz w:val="18"/>
                <w:szCs w:val="18"/>
                <w:color w:val="auto"/>
              </w:rPr>
              <w:t>Usborne</w:t>
            </w:r>
          </w:p>
        </w:tc>
        <w:tc>
          <w:tcPr>
            <w:tcW w:w="33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12.8</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7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222"/>
        </w:trPr>
        <w:tc>
          <w:tcPr>
            <w:tcW w:w="3960" w:type="dxa"/>
            <w:vAlign w:val="bottom"/>
          </w:tcPr>
          <w:p>
            <w:pPr>
              <w:ind w:left="160"/>
              <w:spacing w:after="0"/>
              <w:rPr>
                <w:sz w:val="20"/>
                <w:szCs w:val="20"/>
                <w:color w:val="auto"/>
              </w:rPr>
            </w:pPr>
            <w:r>
              <w:rPr>
                <w:rFonts w:ascii="Arial" w:cs="Arial" w:eastAsia="Arial" w:hAnsi="Arial"/>
                <w:sz w:val="18"/>
                <w:szCs w:val="18"/>
                <w:color w:val="auto"/>
              </w:rPr>
              <w:t>Other</w:t>
            </w:r>
          </w:p>
        </w:tc>
        <w:tc>
          <w:tcPr>
            <w:tcW w:w="33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7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110"/>
        </w:trPr>
        <w:tc>
          <w:tcPr>
            <w:tcW w:w="39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960" w:type="dxa"/>
            <w:vAlign w:val="bottom"/>
          </w:tcPr>
          <w:p>
            <w:pPr>
              <w:spacing w:after="0"/>
              <w:rPr>
                <w:sz w:val="20"/>
                <w:szCs w:val="20"/>
                <w:color w:val="auto"/>
              </w:rPr>
            </w:pPr>
            <w:r>
              <w:rPr>
                <w:rFonts w:ascii="Arial" w:cs="Arial" w:eastAsia="Arial" w:hAnsi="Arial"/>
                <w:sz w:val="18"/>
                <w:szCs w:val="18"/>
                <w:color w:val="auto"/>
              </w:rPr>
              <w:t>Total equity method investments</w:t>
            </w:r>
          </w:p>
        </w:tc>
        <w:tc>
          <w:tcPr>
            <w:tcW w:w="332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56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78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r>
      <w:tr>
        <w:trPr>
          <w:trHeight w:val="110"/>
        </w:trPr>
        <w:tc>
          <w:tcPr>
            <w:tcW w:w="39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58"/>
        </w:trPr>
        <w:tc>
          <w:tcPr>
            <w:tcW w:w="39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3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22.5</w:t>
            </w:r>
          </w:p>
        </w:tc>
        <w:tc>
          <w:tcPr>
            <w:tcW w:w="5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20.6</w:t>
            </w:r>
          </w:p>
        </w:tc>
        <w:tc>
          <w:tcPr>
            <w:tcW w:w="7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4"/>
                <w:szCs w:val="24"/>
                <w:color w:val="auto"/>
              </w:rPr>
            </w:pPr>
          </w:p>
        </w:tc>
      </w:tr>
      <w:tr>
        <w:trPr>
          <w:trHeight w:val="134"/>
        </w:trPr>
        <w:tc>
          <w:tcPr>
            <w:tcW w:w="396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3960" w:type="dxa"/>
            <w:vAlign w:val="bottom"/>
          </w:tcPr>
          <w:p>
            <w:pPr>
              <w:spacing w:after="0"/>
              <w:rPr>
                <w:sz w:val="24"/>
                <w:szCs w:val="24"/>
                <w:color w:val="auto"/>
              </w:rPr>
            </w:pPr>
          </w:p>
        </w:tc>
        <w:tc>
          <w:tcPr>
            <w:tcW w:w="3320" w:type="dxa"/>
            <w:vAlign w:val="bottom"/>
          </w:tcPr>
          <w:p>
            <w:pPr>
              <w:jc w:val="right"/>
              <w:ind w:right="1392"/>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39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-543560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-543560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-543560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-543560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-543560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-543560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-543560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-543560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-543560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-543560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following table sets forth components of the net periodic benefit costs for the periods indicated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and the defined benefit pension plan of Grolier Limited, an indirect subsidiary of Scholastic Corporation located in Canada (the “Canadian Pension Plan” and together with the U.S. Pension Plan and the UK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Plans</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w w:val="93"/>
              </w:rPr>
              <w:t>Post-Retirement Benefits</w:t>
            </w:r>
          </w:p>
        </w:tc>
        <w:tc>
          <w:tcPr>
            <w:tcW w:w="20" w:type="dxa"/>
            <w:vAlign w:val="bottom"/>
          </w:tcPr>
          <w:p>
            <w:pPr>
              <w:spacing w:after="0"/>
              <w:rPr>
                <w:sz w:val="19"/>
                <w:szCs w:val="19"/>
                <w:color w:val="auto"/>
              </w:rPr>
            </w:pPr>
          </w:p>
        </w:tc>
      </w:tr>
      <w:tr>
        <w:trPr>
          <w:trHeight w:val="222"/>
        </w:trPr>
        <w:tc>
          <w:tcPr>
            <w:tcW w:w="4340" w:type="dxa"/>
            <w:vAlign w:val="bottom"/>
          </w:tcPr>
          <w:p>
            <w:pPr>
              <w:spacing w:after="0"/>
              <w:rPr>
                <w:sz w:val="19"/>
                <w:szCs w:val="19"/>
                <w:color w:val="auto"/>
              </w:rPr>
            </w:pPr>
          </w:p>
        </w:tc>
        <w:tc>
          <w:tcPr>
            <w:tcW w:w="4140" w:type="dxa"/>
            <w:vAlign w:val="bottom"/>
            <w:gridSpan w:val="4"/>
          </w:tcPr>
          <w:p>
            <w:pPr>
              <w:ind w:left="1400"/>
              <w:spacing w:after="0"/>
              <w:rPr>
                <w:sz w:val="20"/>
                <w:szCs w:val="20"/>
                <w:color w:val="auto"/>
              </w:rPr>
            </w:pPr>
            <w:r>
              <w:rPr>
                <w:rFonts w:ascii="Arial" w:cs="Arial" w:eastAsia="Arial" w:hAnsi="Arial"/>
                <w:sz w:val="18"/>
                <w:szCs w:val="18"/>
                <w:b w:val="1"/>
                <w:bCs w:val="1"/>
                <w:i w:val="1"/>
                <w:iCs w:val="1"/>
                <w:color w:val="auto"/>
                <w:w w:val="90"/>
              </w:rPr>
              <w:t>Three months ended November 30,</w:t>
            </w:r>
          </w:p>
        </w:tc>
        <w:tc>
          <w:tcPr>
            <w:tcW w:w="2960" w:type="dxa"/>
            <w:vAlign w:val="bottom"/>
            <w:gridSpan w:val="4"/>
          </w:tcPr>
          <w:p>
            <w:pPr>
              <w:jc w:val="right"/>
              <w:ind w:right="132"/>
              <w:spacing w:after="0"/>
              <w:rPr>
                <w:sz w:val="20"/>
                <w:szCs w:val="20"/>
                <w:color w:val="auto"/>
              </w:rPr>
            </w:pPr>
            <w:r>
              <w:rPr>
                <w:rFonts w:ascii="Arial" w:cs="Arial" w:eastAsia="Arial" w:hAnsi="Arial"/>
                <w:sz w:val="18"/>
                <w:szCs w:val="18"/>
                <w:b w:val="1"/>
                <w:bCs w:val="1"/>
                <w:i w:val="1"/>
                <w:iCs w:val="1"/>
                <w:color w:val="auto"/>
                <w:w w:val="90"/>
              </w:rPr>
              <w:t>Three months ended November 30,</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452"/>
              <w:spacing w:after="0"/>
              <w:rPr>
                <w:sz w:val="20"/>
                <w:szCs w:val="20"/>
                <w:color w:val="auto"/>
              </w:rPr>
            </w:pPr>
            <w:r>
              <w:rPr>
                <w:rFonts w:ascii="Arial" w:cs="Arial" w:eastAsia="Arial" w:hAnsi="Arial"/>
                <w:sz w:val="18"/>
                <w:szCs w:val="18"/>
                <w:b w:val="1"/>
                <w:bCs w:val="1"/>
                <w:color w:val="auto"/>
                <w:w w:val="89"/>
              </w:rPr>
              <w:t>2009</w:t>
            </w:r>
          </w:p>
        </w:tc>
        <w:tc>
          <w:tcPr>
            <w:tcW w:w="380" w:type="dxa"/>
            <w:vAlign w:val="bottom"/>
          </w:tcPr>
          <w:p>
            <w:pPr>
              <w:spacing w:after="0"/>
              <w:rPr>
                <w:sz w:val="24"/>
                <w:szCs w:val="24"/>
                <w:color w:val="auto"/>
              </w:rPr>
            </w:pPr>
          </w:p>
        </w:tc>
        <w:tc>
          <w:tcPr>
            <w:tcW w:w="1300" w:type="dxa"/>
            <w:vAlign w:val="bottom"/>
          </w:tcPr>
          <w:p>
            <w:pPr>
              <w:jc w:val="right"/>
              <w:ind w:right="61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34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120" w:type="dxa"/>
            <w:vAlign w:val="bottom"/>
          </w:tcPr>
          <w:p>
            <w:pPr>
              <w:ind w:left="14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0.1</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1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212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w w:val="97"/>
              </w:rPr>
              <w:t>(2.3)</w:t>
            </w:r>
          </w:p>
        </w:tc>
        <w:tc>
          <w:tcPr>
            <w:tcW w:w="5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21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21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2"/>
        </w:trPr>
        <w:tc>
          <w:tcPr>
            <w:tcW w:w="4340" w:type="dxa"/>
            <w:vAlign w:val="bottom"/>
          </w:tcPr>
          <w:p>
            <w:pPr>
              <w:ind w:left="160"/>
              <w:spacing w:after="0"/>
              <w:rPr>
                <w:sz w:val="20"/>
                <w:szCs w:val="20"/>
                <w:color w:val="auto"/>
              </w:rPr>
            </w:pPr>
            <w:r>
              <w:rPr>
                <w:rFonts w:ascii="Arial" w:cs="Arial" w:eastAsia="Arial" w:hAnsi="Arial"/>
                <w:sz w:val="18"/>
                <w:szCs w:val="18"/>
                <w:color w:val="auto"/>
              </w:rPr>
              <w:t>Settlement of Canadian plan</w:t>
            </w:r>
          </w:p>
        </w:tc>
        <w:tc>
          <w:tcPr>
            <w:tcW w:w="2120" w:type="dxa"/>
            <w:vAlign w:val="bottom"/>
          </w:tcPr>
          <w:p>
            <w:pPr>
              <w:spacing w:after="0"/>
              <w:rPr>
                <w:sz w:val="19"/>
                <w:szCs w:val="19"/>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2120" w:type="dxa"/>
            <w:vAlign w:val="bottom"/>
          </w:tcPr>
          <w:p>
            <w:pPr>
              <w:ind w:left="14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3.8</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4"/>
                <w:szCs w:val="24"/>
                <w:color w:val="auto"/>
              </w:rPr>
            </w:pPr>
          </w:p>
        </w:tc>
      </w:tr>
      <w:tr>
        <w:trPr>
          <w:trHeight w:val="134"/>
        </w:trPr>
        <w:tc>
          <w:tcPr>
            <w:tcW w:w="434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Plans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w w:val="99"/>
              </w:rPr>
              <w:t>Post-Retirement Benefits</w:t>
            </w:r>
          </w:p>
        </w:tc>
        <w:tc>
          <w:tcPr>
            <w:tcW w:w="20" w:type="dxa"/>
            <w:vAlign w:val="bottom"/>
          </w:tcPr>
          <w:p>
            <w:pPr>
              <w:spacing w:after="0"/>
              <w:rPr>
                <w:sz w:val="19"/>
                <w:szCs w:val="19"/>
                <w:color w:val="auto"/>
              </w:rPr>
            </w:pPr>
          </w:p>
        </w:tc>
      </w:tr>
      <w:tr>
        <w:trPr>
          <w:trHeight w:val="222"/>
        </w:trPr>
        <w:tc>
          <w:tcPr>
            <w:tcW w:w="4340" w:type="dxa"/>
            <w:vAlign w:val="bottom"/>
          </w:tcPr>
          <w:p>
            <w:pPr>
              <w:spacing w:after="0"/>
              <w:rPr>
                <w:sz w:val="19"/>
                <w:szCs w:val="19"/>
                <w:color w:val="auto"/>
              </w:rPr>
            </w:pPr>
          </w:p>
        </w:tc>
        <w:tc>
          <w:tcPr>
            <w:tcW w:w="4140" w:type="dxa"/>
            <w:vAlign w:val="bottom"/>
            <w:gridSpan w:val="4"/>
          </w:tcPr>
          <w:p>
            <w:pPr>
              <w:jc w:val="right"/>
              <w:ind w:right="212"/>
              <w:spacing w:after="0"/>
              <w:rPr>
                <w:sz w:val="20"/>
                <w:szCs w:val="20"/>
                <w:color w:val="auto"/>
              </w:rPr>
            </w:pPr>
            <w:r>
              <w:rPr>
                <w:rFonts w:ascii="Arial" w:cs="Arial" w:eastAsia="Arial" w:hAnsi="Arial"/>
                <w:sz w:val="18"/>
                <w:szCs w:val="18"/>
                <w:b w:val="1"/>
                <w:bCs w:val="1"/>
                <w:i w:val="1"/>
                <w:iCs w:val="1"/>
                <w:color w:val="auto"/>
              </w:rPr>
              <w:t>Six months ended November 30,</w:t>
            </w:r>
          </w:p>
        </w:tc>
        <w:tc>
          <w:tcPr>
            <w:tcW w:w="260" w:type="dxa"/>
            <w:vAlign w:val="bottom"/>
          </w:tcPr>
          <w:p>
            <w:pPr>
              <w:spacing w:after="0"/>
              <w:rPr>
                <w:sz w:val="19"/>
                <w:szCs w:val="19"/>
                <w:color w:val="auto"/>
              </w:rPr>
            </w:pPr>
          </w:p>
        </w:tc>
        <w:tc>
          <w:tcPr>
            <w:tcW w:w="2700" w:type="dxa"/>
            <w:vAlign w:val="bottom"/>
            <w:gridSpan w:val="3"/>
          </w:tcPr>
          <w:p>
            <w:pPr>
              <w:jc w:val="right"/>
              <w:ind w:right="232"/>
              <w:spacing w:after="0"/>
              <w:rPr>
                <w:sz w:val="20"/>
                <w:szCs w:val="20"/>
                <w:color w:val="auto"/>
              </w:rPr>
            </w:pPr>
            <w:r>
              <w:rPr>
                <w:rFonts w:ascii="Arial" w:cs="Arial" w:eastAsia="Arial" w:hAnsi="Arial"/>
                <w:sz w:val="18"/>
                <w:szCs w:val="18"/>
                <w:b w:val="1"/>
                <w:bCs w:val="1"/>
                <w:i w:val="1"/>
                <w:iCs w:val="1"/>
                <w:color w:val="auto"/>
                <w:w w:val="84"/>
              </w:rPr>
              <w:t>Six months ended November 30,</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8"/>
                <w:szCs w:val="18"/>
                <w:b w:val="1"/>
                <w:bCs w:val="1"/>
                <w:color w:val="auto"/>
                <w:w w:val="84"/>
              </w:rPr>
              <w:t>2009</w:t>
            </w:r>
          </w:p>
        </w:tc>
        <w:tc>
          <w:tcPr>
            <w:tcW w:w="260" w:type="dxa"/>
            <w:vAlign w:val="bottom"/>
          </w:tcPr>
          <w:p>
            <w:pPr>
              <w:spacing w:after="0"/>
              <w:rPr>
                <w:sz w:val="24"/>
                <w:szCs w:val="24"/>
                <w:color w:val="auto"/>
              </w:rPr>
            </w:pPr>
          </w:p>
        </w:tc>
        <w:tc>
          <w:tcPr>
            <w:tcW w:w="1420" w:type="dxa"/>
            <w:vAlign w:val="bottom"/>
          </w:tcPr>
          <w:p>
            <w:pPr>
              <w:jc w:val="right"/>
              <w:ind w:right="612"/>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34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1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212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w w:val="97"/>
              </w:rPr>
              <w:t>(4.7)</w:t>
            </w:r>
          </w:p>
        </w:tc>
        <w:tc>
          <w:tcPr>
            <w:tcW w:w="5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21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21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22"/>
        </w:trPr>
        <w:tc>
          <w:tcPr>
            <w:tcW w:w="4340" w:type="dxa"/>
            <w:vAlign w:val="bottom"/>
          </w:tcPr>
          <w:p>
            <w:pPr>
              <w:ind w:left="160"/>
              <w:spacing w:after="0"/>
              <w:rPr>
                <w:sz w:val="20"/>
                <w:szCs w:val="20"/>
                <w:color w:val="auto"/>
              </w:rPr>
            </w:pPr>
            <w:r>
              <w:rPr>
                <w:rFonts w:ascii="Arial" w:cs="Arial" w:eastAsia="Arial" w:hAnsi="Arial"/>
                <w:sz w:val="18"/>
                <w:szCs w:val="18"/>
                <w:color w:val="auto"/>
              </w:rPr>
              <w:t>Settlement of Canadian plan</w:t>
            </w:r>
          </w:p>
        </w:tc>
        <w:tc>
          <w:tcPr>
            <w:tcW w:w="2120" w:type="dxa"/>
            <w:vAlign w:val="bottom"/>
          </w:tcPr>
          <w:p>
            <w:pPr>
              <w:spacing w:after="0"/>
              <w:rPr>
                <w:sz w:val="19"/>
                <w:szCs w:val="19"/>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21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4"/>
                <w:szCs w:val="24"/>
                <w:color w:val="auto"/>
              </w:rPr>
            </w:pPr>
          </w:p>
        </w:tc>
      </w:tr>
      <w:tr>
        <w:trPr>
          <w:trHeight w:val="134"/>
        </w:trPr>
        <w:tc>
          <w:tcPr>
            <w:tcW w:w="434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1, 2009, the Company modified the U.S Pension Plan, such that no further benefits will accrue to employees under the plan.</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Effective June 1, 2009, the Company modified the terms of the Post-Retirement Benefits, effectively excluding a large percentage of current employees from the plan. Under the plan amendments, only employees with 10 or more years of service to the Company and whose age plus service is at least 65 as of June 1, 2009 will be eligible to receive benefits upon retirement.</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three months ended November 30, 2010, the Company settled the majority of its outstanding liabilities of the Canadian Pension Plan by purchasing annuities to service these liabilities prospectively. Accordingly, net liabilities of $1.3 were settled with $1.2 of contributions above plan assets and the Company recognized pension expense through other comprehensive income of $3.4.</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funding practice with respect to the Pension Plans is to contribute on an annual basis at least the minimum amounts required by applicable laws. For the six months ended November 30, 2010, the Company contributed $2.3 to the U.S. Pension Plan, $0.3 to the UK Pension Plan and $1.2 to the Canadian Pension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based on actuarial calculations, to contribute cash of approximately $6.0 to the Pension Plans for the fiscal year ending May 31, 2011.</w:t>
      </w:r>
    </w:p>
    <w:p>
      <w:pPr>
        <w:sectPr>
          <w:pgSz w:w="11900" w:h="16838" w:orient="portrait"/>
          <w:cols w:equalWidth="0" w:num="1">
            <w:col w:w="11460"/>
          </w:cols>
          <w:pgMar w:left="240" w:top="382" w:right="199" w:bottom="1440" w:gutter="0" w:footer="0" w:header="0"/>
        </w:sect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included in Selling, general and administrative expenses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42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Three months ended November 30,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gridSpan w:val="3"/>
          </w:tcPr>
          <w:p>
            <w:pPr>
              <w:jc w:val="right"/>
              <w:ind w:right="352"/>
              <w:spacing w:after="0"/>
              <w:rPr>
                <w:sz w:val="20"/>
                <w:szCs w:val="20"/>
                <w:color w:val="auto"/>
              </w:rPr>
            </w:pPr>
            <w:r>
              <w:rPr>
                <w:rFonts w:ascii="Arial" w:cs="Arial" w:eastAsia="Arial" w:hAnsi="Arial"/>
                <w:sz w:val="18"/>
                <w:szCs w:val="18"/>
                <w:b w:val="1"/>
                <w:bCs w:val="1"/>
                <w:i w:val="1"/>
                <w:iCs w:val="1"/>
                <w:color w:val="auto"/>
                <w:w w:val="87"/>
              </w:rPr>
              <w:t>Six months ended November 30,</w:t>
            </w:r>
          </w:p>
        </w:tc>
        <w:tc>
          <w:tcPr>
            <w:tcW w:w="20" w:type="dxa"/>
            <w:vAlign w:val="bottom"/>
          </w:tcPr>
          <w:p>
            <w:pPr>
              <w:spacing w:after="0"/>
              <w:rPr>
                <w:sz w:val="19"/>
                <w:szCs w:val="19"/>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640" w:type="dxa"/>
            <w:vAlign w:val="bottom"/>
          </w:tcPr>
          <w:p>
            <w:pPr>
              <w:spacing w:after="0"/>
              <w:rPr>
                <w:sz w:val="24"/>
                <w:szCs w:val="24"/>
                <w:color w:val="auto"/>
              </w:rPr>
            </w:pPr>
          </w:p>
        </w:tc>
        <w:tc>
          <w:tcPr>
            <w:tcW w:w="2300" w:type="dxa"/>
            <w:vAlign w:val="bottom"/>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Stock option expense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134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5.4</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2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34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2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340" w:type="dxa"/>
            <w:vAlign w:val="bottom"/>
          </w:tcPr>
          <w:p>
            <w:pPr>
              <w:spacing w:after="0"/>
              <w:rPr>
                <w:sz w:val="18"/>
                <w:szCs w:val="18"/>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30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34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134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8.4</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r>
      <w:tr>
        <w:trPr>
          <w:trHeight w:val="134"/>
        </w:trPr>
        <w:tc>
          <w:tcPr>
            <w:tcW w:w="364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each of the three and six month periods ended November 30, 2010 and 2009,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Severance</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table below provides information regarding the severance cost appearing on the Company’s condensed consolidated statements of operations associated with certain cost reduction measures.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Accrued severance of $0.9, $3.4 and $1.5 as of November 30, 2010, May 31, 2010 and November 30, 2009, respectively, is included in “Other accrued expenses” on the Company’s 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40" w:type="dxa"/>
            <w:vAlign w:val="bottom"/>
            <w:gridSpan w:val="2"/>
          </w:tcPr>
          <w:p>
            <w:pPr>
              <w:jc w:val="right"/>
              <w:ind w:right="572"/>
              <w:spacing w:after="0"/>
              <w:rPr>
                <w:sz w:val="20"/>
                <w:szCs w:val="20"/>
                <w:color w:val="auto"/>
              </w:rPr>
            </w:pPr>
            <w:r>
              <w:rPr>
                <w:rFonts w:ascii="Arial" w:cs="Arial" w:eastAsia="Arial" w:hAnsi="Arial"/>
                <w:sz w:val="18"/>
                <w:szCs w:val="18"/>
                <w:b w:val="1"/>
                <w:bCs w:val="1"/>
                <w:i w:val="1"/>
                <w:iCs w:val="1"/>
                <w:color w:val="auto"/>
              </w:rPr>
              <w:t>Six months ended</w:t>
            </w:r>
          </w:p>
        </w:tc>
        <w:tc>
          <w:tcPr>
            <w:tcW w:w="2300" w:type="dxa"/>
            <w:vAlign w:val="bottom"/>
            <w:gridSpan w:val="2"/>
          </w:tcPr>
          <w:p>
            <w:pPr>
              <w:jc w:val="right"/>
              <w:ind w:right="472"/>
              <w:spacing w:after="0"/>
              <w:rPr>
                <w:sz w:val="20"/>
                <w:szCs w:val="20"/>
                <w:color w:val="auto"/>
              </w:rPr>
            </w:pPr>
            <w:r>
              <w:rPr>
                <w:rFonts w:ascii="Arial" w:cs="Arial" w:eastAsia="Arial" w:hAnsi="Arial"/>
                <w:sz w:val="18"/>
                <w:szCs w:val="18"/>
                <w:b w:val="1"/>
                <w:bCs w:val="1"/>
                <w:i w:val="1"/>
                <w:iCs w:val="1"/>
                <w:color w:val="auto"/>
                <w:w w:val="91"/>
              </w:rPr>
              <w:t>Twelve months ended</w:t>
            </w:r>
          </w:p>
        </w:tc>
        <w:tc>
          <w:tcPr>
            <w:tcW w:w="188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w w:val="95"/>
              </w:rPr>
              <w:t>Six months ended</w:t>
            </w:r>
          </w:p>
        </w:tc>
      </w:tr>
      <w:tr>
        <w:trPr>
          <w:trHeight w:val="222"/>
        </w:trPr>
        <w:tc>
          <w:tcPr>
            <w:tcW w:w="3880" w:type="dxa"/>
            <w:vAlign w:val="bottom"/>
          </w:tcPr>
          <w:p>
            <w:pPr>
              <w:spacing w:after="0"/>
              <w:rPr>
                <w:sz w:val="19"/>
                <w:szCs w:val="19"/>
                <w:color w:val="auto"/>
              </w:rPr>
            </w:pPr>
          </w:p>
        </w:tc>
        <w:tc>
          <w:tcPr>
            <w:tcW w:w="2240" w:type="dxa"/>
            <w:vAlign w:val="bottom"/>
            <w:gridSpan w:val="2"/>
          </w:tcPr>
          <w:p>
            <w:pPr>
              <w:jc w:val="right"/>
              <w:ind w:right="512"/>
              <w:spacing w:after="0"/>
              <w:rPr>
                <w:sz w:val="20"/>
                <w:szCs w:val="20"/>
                <w:color w:val="auto"/>
              </w:rPr>
            </w:pPr>
            <w:r>
              <w:rPr>
                <w:rFonts w:ascii="Arial" w:cs="Arial" w:eastAsia="Arial" w:hAnsi="Arial"/>
                <w:sz w:val="18"/>
                <w:szCs w:val="18"/>
                <w:b w:val="1"/>
                <w:bCs w:val="1"/>
                <w:i w:val="1"/>
                <w:iCs w:val="1"/>
                <w:color w:val="auto"/>
                <w:w w:val="99"/>
              </w:rPr>
              <w:t>November 30, 2010</w:t>
            </w:r>
          </w:p>
        </w:tc>
        <w:tc>
          <w:tcPr>
            <w:tcW w:w="2300" w:type="dxa"/>
            <w:vAlign w:val="bottom"/>
            <w:gridSpan w:val="2"/>
          </w:tcPr>
          <w:p>
            <w:pPr>
              <w:jc w:val="right"/>
              <w:ind w:right="752"/>
              <w:spacing w:after="0"/>
              <w:rPr>
                <w:sz w:val="20"/>
                <w:szCs w:val="20"/>
                <w:color w:val="auto"/>
              </w:rPr>
            </w:pPr>
            <w:r>
              <w:rPr>
                <w:rFonts w:ascii="Arial" w:cs="Arial" w:eastAsia="Arial" w:hAnsi="Arial"/>
                <w:sz w:val="18"/>
                <w:szCs w:val="18"/>
                <w:b w:val="1"/>
                <w:bCs w:val="1"/>
                <w:i w:val="1"/>
                <w:iCs w:val="1"/>
                <w:color w:val="auto"/>
              </w:rPr>
              <w:t>May 31, 2010</w:t>
            </w:r>
          </w:p>
        </w:tc>
        <w:tc>
          <w:tcPr>
            <w:tcW w:w="188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w w:val="94"/>
              </w:rPr>
              <w:t>November 30, 2009</w:t>
            </w:r>
          </w:p>
        </w:tc>
      </w:tr>
      <w:tr>
        <w:trPr>
          <w:trHeight w:val="110"/>
        </w:trPr>
        <w:tc>
          <w:tcPr>
            <w:tcW w:w="38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50" w:type="dxa"/>
            <w:vAlign w:val="bottom"/>
            <w:tcBorders>
              <w:bottom w:val="single" w:sz="8" w:color="808080"/>
            </w:tcBorders>
          </w:tcPr>
          <w:p>
            <w:pPr>
              <w:spacing w:after="0"/>
              <w:rPr>
                <w:sz w:val="9"/>
                <w:szCs w:val="9"/>
                <w:color w:val="auto"/>
              </w:rPr>
            </w:pPr>
          </w:p>
        </w:tc>
        <w:tc>
          <w:tcPr>
            <w:tcW w:w="1550" w:type="dxa"/>
            <w:vAlign w:val="bottom"/>
            <w:tcBorders>
              <w:bottom w:val="single" w:sz="8" w:color="808080"/>
            </w:tcBorders>
          </w:tcPr>
          <w:p>
            <w:pPr>
              <w:spacing w:after="0"/>
              <w:rPr>
                <w:sz w:val="9"/>
                <w:szCs w:val="9"/>
                <w:color w:val="auto"/>
              </w:rPr>
            </w:pPr>
          </w:p>
        </w:tc>
        <w:tc>
          <w:tcPr>
            <w:tcW w:w="730" w:type="dxa"/>
            <w:vAlign w:val="bottom"/>
            <w:tcBorders>
              <w:bottom w:val="single" w:sz="8" w:color="808080"/>
            </w:tcBorders>
          </w:tcPr>
          <w:p>
            <w:pPr>
              <w:spacing w:after="0"/>
              <w:rPr>
                <w:sz w:val="9"/>
                <w:szCs w:val="9"/>
                <w:color w:val="auto"/>
              </w:rPr>
            </w:pPr>
          </w:p>
        </w:tc>
        <w:tc>
          <w:tcPr>
            <w:tcW w:w="1150" w:type="dxa"/>
            <w:vAlign w:val="bottom"/>
            <w:tcBorders>
              <w:bottom w:val="single" w:sz="8" w:color="808080"/>
            </w:tcBorders>
          </w:tcPr>
          <w:p>
            <w:pPr>
              <w:spacing w:after="0"/>
              <w:rPr>
                <w:sz w:val="9"/>
                <w:szCs w:val="9"/>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Beginning balance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12"/>
              <w:spacing w:after="0"/>
              <w:rPr>
                <w:sz w:val="20"/>
                <w:szCs w:val="20"/>
                <w:color w:val="auto"/>
              </w:rPr>
            </w:pPr>
            <w:r>
              <w:rPr>
                <w:rFonts w:ascii="Arial" w:cs="Arial" w:eastAsia="Arial" w:hAnsi="Arial"/>
                <w:sz w:val="18"/>
                <w:szCs w:val="18"/>
                <w:color w:val="auto"/>
              </w:rPr>
              <w:t>3.4</w:t>
            </w:r>
          </w:p>
        </w:tc>
        <w:tc>
          <w:tcPr>
            <w:tcW w:w="750" w:type="dxa"/>
            <w:vAlign w:val="bottom"/>
          </w:tcPr>
          <w:p>
            <w:pPr>
              <w:jc w:val="right"/>
              <w:spacing w:after="0"/>
              <w:rPr>
                <w:sz w:val="20"/>
                <w:szCs w:val="20"/>
                <w:color w:val="auto"/>
              </w:rPr>
            </w:pPr>
            <w:r>
              <w:rPr>
                <w:rFonts w:ascii="Arial" w:cs="Arial" w:eastAsia="Arial" w:hAnsi="Arial"/>
                <w:sz w:val="18"/>
                <w:szCs w:val="18"/>
                <w:color w:val="auto"/>
              </w:rPr>
              <w:t>$</w:t>
            </w:r>
          </w:p>
        </w:tc>
        <w:tc>
          <w:tcPr>
            <w:tcW w:w="1550" w:type="dxa"/>
            <w:vAlign w:val="bottom"/>
          </w:tcPr>
          <w:p>
            <w:pPr>
              <w:jc w:val="right"/>
              <w:ind w:right="812"/>
              <w:spacing w:after="0"/>
              <w:rPr>
                <w:sz w:val="20"/>
                <w:szCs w:val="20"/>
                <w:color w:val="auto"/>
              </w:rPr>
            </w:pPr>
            <w:r>
              <w:rPr>
                <w:rFonts w:ascii="Arial" w:cs="Arial" w:eastAsia="Arial" w:hAnsi="Arial"/>
                <w:sz w:val="18"/>
                <w:szCs w:val="18"/>
                <w:color w:val="auto"/>
              </w:rPr>
              <w:t>3.4</w:t>
            </w:r>
          </w:p>
        </w:tc>
        <w:tc>
          <w:tcPr>
            <w:tcW w:w="730" w:type="dxa"/>
            <w:vAlign w:val="bottom"/>
          </w:tcPr>
          <w:p>
            <w:pPr>
              <w:jc w:val="right"/>
              <w:spacing w:after="0"/>
              <w:rPr>
                <w:sz w:val="20"/>
                <w:szCs w:val="20"/>
                <w:color w:val="auto"/>
              </w:rPr>
            </w:pPr>
            <w:r>
              <w:rPr>
                <w:rFonts w:ascii="Arial" w:cs="Arial" w:eastAsia="Arial" w:hAnsi="Arial"/>
                <w:sz w:val="18"/>
                <w:szCs w:val="18"/>
                <w:color w:val="auto"/>
              </w:rPr>
              <w:t>$</w:t>
            </w:r>
          </w:p>
        </w:tc>
        <w:tc>
          <w:tcPr>
            <w:tcW w:w="1150" w:type="dxa"/>
            <w:vAlign w:val="bottom"/>
          </w:tcPr>
          <w:p>
            <w:pPr>
              <w:jc w:val="right"/>
              <w:ind w:right="732"/>
              <w:spacing w:after="0"/>
              <w:rPr>
                <w:sz w:val="20"/>
                <w:szCs w:val="20"/>
                <w:color w:val="auto"/>
              </w:rPr>
            </w:pPr>
            <w:r>
              <w:rPr>
                <w:rFonts w:ascii="Arial" w:cs="Arial" w:eastAsia="Arial" w:hAnsi="Arial"/>
                <w:sz w:val="18"/>
                <w:szCs w:val="18"/>
                <w:color w:val="auto"/>
              </w:rPr>
              <w:t>3.4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Accruals</w:t>
            </w:r>
          </w:p>
        </w:tc>
        <w:tc>
          <w:tcPr>
            <w:tcW w:w="720" w:type="dxa"/>
            <w:vAlign w:val="bottom"/>
          </w:tcPr>
          <w:p>
            <w:pPr>
              <w:spacing w:after="0"/>
              <w:rPr>
                <w:sz w:val="18"/>
                <w:szCs w:val="18"/>
                <w:color w:val="auto"/>
              </w:rPr>
            </w:pPr>
          </w:p>
        </w:tc>
        <w:tc>
          <w:tcPr>
            <w:tcW w:w="1520" w:type="dxa"/>
            <w:vAlign w:val="bottom"/>
          </w:tcPr>
          <w:p>
            <w:pPr>
              <w:jc w:val="right"/>
              <w:ind w:right="1012"/>
              <w:spacing w:after="0"/>
              <w:rPr>
                <w:sz w:val="20"/>
                <w:szCs w:val="20"/>
                <w:color w:val="auto"/>
              </w:rPr>
            </w:pPr>
            <w:r>
              <w:rPr>
                <w:rFonts w:ascii="Arial" w:cs="Arial" w:eastAsia="Arial" w:hAnsi="Arial"/>
                <w:sz w:val="18"/>
                <w:szCs w:val="18"/>
                <w:color w:val="auto"/>
              </w:rPr>
              <w:t>3.1</w:t>
            </w:r>
          </w:p>
        </w:tc>
        <w:tc>
          <w:tcPr>
            <w:tcW w:w="750" w:type="dxa"/>
            <w:vAlign w:val="bottom"/>
          </w:tcPr>
          <w:p>
            <w:pPr>
              <w:spacing w:after="0"/>
              <w:rPr>
                <w:sz w:val="18"/>
                <w:szCs w:val="18"/>
                <w:color w:val="auto"/>
              </w:rPr>
            </w:pPr>
          </w:p>
        </w:tc>
        <w:tc>
          <w:tcPr>
            <w:tcW w:w="1550" w:type="dxa"/>
            <w:vAlign w:val="bottom"/>
          </w:tcPr>
          <w:p>
            <w:pPr>
              <w:jc w:val="right"/>
              <w:ind w:right="812"/>
              <w:spacing w:after="0"/>
              <w:rPr>
                <w:sz w:val="20"/>
                <w:szCs w:val="20"/>
                <w:color w:val="auto"/>
              </w:rPr>
            </w:pPr>
            <w:r>
              <w:rPr>
                <w:rFonts w:ascii="Arial" w:cs="Arial" w:eastAsia="Arial" w:hAnsi="Arial"/>
                <w:sz w:val="18"/>
                <w:szCs w:val="18"/>
                <w:color w:val="auto"/>
              </w:rPr>
              <w:t>9.2</w:t>
            </w:r>
          </w:p>
        </w:tc>
        <w:tc>
          <w:tcPr>
            <w:tcW w:w="730" w:type="dxa"/>
            <w:vAlign w:val="bottom"/>
          </w:tcPr>
          <w:p>
            <w:pPr>
              <w:spacing w:after="0"/>
              <w:rPr>
                <w:sz w:val="18"/>
                <w:szCs w:val="18"/>
                <w:color w:val="auto"/>
              </w:rPr>
            </w:pPr>
          </w:p>
        </w:tc>
        <w:tc>
          <w:tcPr>
            <w:tcW w:w="1150" w:type="dxa"/>
            <w:vAlign w:val="bottom"/>
          </w:tcPr>
          <w:p>
            <w:pPr>
              <w:jc w:val="right"/>
              <w:ind w:right="732"/>
              <w:spacing w:after="0"/>
              <w:rPr>
                <w:sz w:val="20"/>
                <w:szCs w:val="20"/>
                <w:color w:val="auto"/>
              </w:rPr>
            </w:pPr>
            <w:r>
              <w:rPr>
                <w:rFonts w:ascii="Arial" w:cs="Arial" w:eastAsia="Arial" w:hAnsi="Arial"/>
                <w:sz w:val="18"/>
                <w:szCs w:val="18"/>
                <w:color w:val="auto"/>
              </w:rPr>
              <w:t>5.4</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Payments</w:t>
            </w:r>
          </w:p>
        </w:tc>
        <w:tc>
          <w:tcPr>
            <w:tcW w:w="720" w:type="dxa"/>
            <w:vAlign w:val="bottom"/>
          </w:tcPr>
          <w:p>
            <w:pPr>
              <w:spacing w:after="0"/>
              <w:rPr>
                <w:sz w:val="19"/>
                <w:szCs w:val="19"/>
                <w:color w:val="auto"/>
              </w:rPr>
            </w:pPr>
          </w:p>
        </w:tc>
        <w:tc>
          <w:tcPr>
            <w:tcW w:w="1520" w:type="dxa"/>
            <w:vAlign w:val="bottom"/>
          </w:tcPr>
          <w:p>
            <w:pPr>
              <w:jc w:val="right"/>
              <w:ind w:right="952"/>
              <w:spacing w:after="0"/>
              <w:rPr>
                <w:sz w:val="20"/>
                <w:szCs w:val="20"/>
                <w:color w:val="auto"/>
              </w:rPr>
            </w:pPr>
            <w:r>
              <w:rPr>
                <w:rFonts w:ascii="Arial" w:cs="Arial" w:eastAsia="Arial" w:hAnsi="Arial"/>
                <w:sz w:val="18"/>
                <w:szCs w:val="18"/>
                <w:color w:val="auto"/>
              </w:rPr>
              <w:t>(5.6)</w:t>
            </w:r>
          </w:p>
        </w:tc>
        <w:tc>
          <w:tcPr>
            <w:tcW w:w="750" w:type="dxa"/>
            <w:vAlign w:val="bottom"/>
          </w:tcPr>
          <w:p>
            <w:pPr>
              <w:spacing w:after="0"/>
              <w:rPr>
                <w:sz w:val="19"/>
                <w:szCs w:val="19"/>
                <w:color w:val="auto"/>
              </w:rPr>
            </w:pPr>
          </w:p>
        </w:tc>
        <w:tc>
          <w:tcPr>
            <w:tcW w:w="1550" w:type="dxa"/>
            <w:vAlign w:val="bottom"/>
          </w:tcPr>
          <w:p>
            <w:pPr>
              <w:jc w:val="right"/>
              <w:ind w:right="752"/>
              <w:spacing w:after="0"/>
              <w:rPr>
                <w:sz w:val="20"/>
                <w:szCs w:val="20"/>
                <w:color w:val="auto"/>
              </w:rPr>
            </w:pPr>
            <w:r>
              <w:rPr>
                <w:rFonts w:ascii="Arial" w:cs="Arial" w:eastAsia="Arial" w:hAnsi="Arial"/>
                <w:sz w:val="18"/>
                <w:szCs w:val="18"/>
                <w:color w:val="auto"/>
              </w:rPr>
              <w:t>(9.2)</w:t>
            </w:r>
          </w:p>
        </w:tc>
        <w:tc>
          <w:tcPr>
            <w:tcW w:w="730" w:type="dxa"/>
            <w:vAlign w:val="bottom"/>
          </w:tcPr>
          <w:p>
            <w:pPr>
              <w:spacing w:after="0"/>
              <w:rPr>
                <w:sz w:val="19"/>
                <w:szCs w:val="19"/>
                <w:color w:val="auto"/>
              </w:rPr>
            </w:pPr>
          </w:p>
        </w:tc>
        <w:tc>
          <w:tcPr>
            <w:tcW w:w="1150" w:type="dxa"/>
            <w:vAlign w:val="bottom"/>
          </w:tcPr>
          <w:p>
            <w:pPr>
              <w:jc w:val="right"/>
              <w:ind w:right="672"/>
              <w:spacing w:after="0"/>
              <w:rPr>
                <w:sz w:val="20"/>
                <w:szCs w:val="20"/>
                <w:color w:val="auto"/>
              </w:rPr>
            </w:pPr>
            <w:r>
              <w:rPr>
                <w:rFonts w:ascii="Arial" w:cs="Arial" w:eastAsia="Arial" w:hAnsi="Arial"/>
                <w:sz w:val="18"/>
                <w:szCs w:val="18"/>
                <w:color w:val="auto"/>
                <w:w w:val="97"/>
              </w:rPr>
              <w:t>(7.3)</w:t>
            </w:r>
          </w:p>
        </w:tc>
      </w:tr>
      <w:tr>
        <w:trPr>
          <w:trHeight w:val="110"/>
        </w:trPr>
        <w:tc>
          <w:tcPr>
            <w:tcW w:w="38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50" w:type="dxa"/>
            <w:vAlign w:val="bottom"/>
            <w:tcBorders>
              <w:bottom w:val="single" w:sz="8" w:color="808080"/>
            </w:tcBorders>
          </w:tcPr>
          <w:p>
            <w:pPr>
              <w:spacing w:after="0"/>
              <w:rPr>
                <w:sz w:val="9"/>
                <w:szCs w:val="9"/>
                <w:color w:val="auto"/>
              </w:rPr>
            </w:pPr>
          </w:p>
        </w:tc>
        <w:tc>
          <w:tcPr>
            <w:tcW w:w="1550" w:type="dxa"/>
            <w:vAlign w:val="bottom"/>
            <w:tcBorders>
              <w:bottom w:val="single" w:sz="8" w:color="808080"/>
            </w:tcBorders>
          </w:tcPr>
          <w:p>
            <w:pPr>
              <w:spacing w:after="0"/>
              <w:rPr>
                <w:sz w:val="9"/>
                <w:szCs w:val="9"/>
                <w:color w:val="auto"/>
              </w:rPr>
            </w:pPr>
          </w:p>
        </w:tc>
        <w:tc>
          <w:tcPr>
            <w:tcW w:w="730" w:type="dxa"/>
            <w:vAlign w:val="bottom"/>
            <w:tcBorders>
              <w:bottom w:val="single" w:sz="8" w:color="808080"/>
            </w:tcBorders>
          </w:tcPr>
          <w:p>
            <w:pPr>
              <w:spacing w:after="0"/>
              <w:rPr>
                <w:sz w:val="9"/>
                <w:szCs w:val="9"/>
                <w:color w:val="auto"/>
              </w:rPr>
            </w:pPr>
          </w:p>
        </w:tc>
        <w:tc>
          <w:tcPr>
            <w:tcW w:w="115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12"/>
              <w:spacing w:after="0"/>
              <w:rPr>
                <w:sz w:val="20"/>
                <w:szCs w:val="20"/>
                <w:color w:val="auto"/>
              </w:rPr>
            </w:pPr>
            <w:r>
              <w:rPr>
                <w:rFonts w:ascii="Arial" w:cs="Arial" w:eastAsia="Arial" w:hAnsi="Arial"/>
                <w:sz w:val="18"/>
                <w:szCs w:val="18"/>
                <w:color w:val="auto"/>
              </w:rPr>
              <w:t>0.9</w:t>
            </w:r>
          </w:p>
        </w:tc>
        <w:tc>
          <w:tcPr>
            <w:tcW w:w="750" w:type="dxa"/>
            <w:vAlign w:val="bottom"/>
          </w:tcPr>
          <w:p>
            <w:pPr>
              <w:jc w:val="right"/>
              <w:spacing w:after="0"/>
              <w:rPr>
                <w:sz w:val="20"/>
                <w:szCs w:val="20"/>
                <w:color w:val="auto"/>
              </w:rPr>
            </w:pPr>
            <w:r>
              <w:rPr>
                <w:rFonts w:ascii="Arial" w:cs="Arial" w:eastAsia="Arial" w:hAnsi="Arial"/>
                <w:sz w:val="18"/>
                <w:szCs w:val="18"/>
                <w:color w:val="auto"/>
              </w:rPr>
              <w:t>$</w:t>
            </w:r>
          </w:p>
        </w:tc>
        <w:tc>
          <w:tcPr>
            <w:tcW w:w="1550" w:type="dxa"/>
            <w:vAlign w:val="bottom"/>
          </w:tcPr>
          <w:p>
            <w:pPr>
              <w:jc w:val="right"/>
              <w:ind w:right="812"/>
              <w:spacing w:after="0"/>
              <w:rPr>
                <w:sz w:val="20"/>
                <w:szCs w:val="20"/>
                <w:color w:val="auto"/>
              </w:rPr>
            </w:pPr>
            <w:r>
              <w:rPr>
                <w:rFonts w:ascii="Arial" w:cs="Arial" w:eastAsia="Arial" w:hAnsi="Arial"/>
                <w:sz w:val="18"/>
                <w:szCs w:val="18"/>
                <w:color w:val="auto"/>
              </w:rPr>
              <w:t>3.4</w:t>
            </w:r>
          </w:p>
        </w:tc>
        <w:tc>
          <w:tcPr>
            <w:tcW w:w="730" w:type="dxa"/>
            <w:vAlign w:val="bottom"/>
          </w:tcPr>
          <w:p>
            <w:pPr>
              <w:jc w:val="right"/>
              <w:spacing w:after="0"/>
              <w:rPr>
                <w:sz w:val="20"/>
                <w:szCs w:val="20"/>
                <w:color w:val="auto"/>
              </w:rPr>
            </w:pPr>
            <w:r>
              <w:rPr>
                <w:rFonts w:ascii="Arial" w:cs="Arial" w:eastAsia="Arial" w:hAnsi="Arial"/>
                <w:sz w:val="18"/>
                <w:szCs w:val="18"/>
                <w:color w:val="auto"/>
              </w:rPr>
              <w:t>$</w:t>
            </w:r>
          </w:p>
        </w:tc>
        <w:tc>
          <w:tcPr>
            <w:tcW w:w="1150" w:type="dxa"/>
            <w:vAlign w:val="bottom"/>
          </w:tcPr>
          <w:p>
            <w:pPr>
              <w:jc w:val="right"/>
              <w:ind w:right="732"/>
              <w:spacing w:after="0"/>
              <w:rPr>
                <w:sz w:val="20"/>
                <w:szCs w:val="20"/>
                <w:color w:val="auto"/>
              </w:rPr>
            </w:pPr>
            <w:r>
              <w:rPr>
                <w:rFonts w:ascii="Arial" w:cs="Arial" w:eastAsia="Arial" w:hAnsi="Arial"/>
                <w:sz w:val="18"/>
                <w:szCs w:val="18"/>
                <w:color w:val="auto"/>
              </w:rPr>
              <w:t>1.5</w:t>
            </w:r>
          </w:p>
        </w:tc>
      </w:tr>
      <w:tr>
        <w:trPr>
          <w:trHeight w:val="134"/>
        </w:trPr>
        <w:tc>
          <w:tcPr>
            <w:tcW w:w="38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750" w:type="dxa"/>
            <w:vAlign w:val="bottom"/>
            <w:tcBorders>
              <w:bottom w:val="single" w:sz="8" w:color="808080"/>
            </w:tcBorders>
          </w:tcPr>
          <w:p>
            <w:pPr>
              <w:spacing w:after="0"/>
              <w:rPr>
                <w:sz w:val="11"/>
                <w:szCs w:val="11"/>
                <w:color w:val="auto"/>
              </w:rPr>
            </w:pPr>
          </w:p>
        </w:tc>
        <w:tc>
          <w:tcPr>
            <w:tcW w:w="1550" w:type="dxa"/>
            <w:vAlign w:val="bottom"/>
            <w:tcBorders>
              <w:bottom w:val="single" w:sz="8" w:color="808080"/>
            </w:tcBorders>
          </w:tcPr>
          <w:p>
            <w:pPr>
              <w:spacing w:after="0"/>
              <w:rPr>
                <w:sz w:val="11"/>
                <w:szCs w:val="11"/>
                <w:color w:val="auto"/>
              </w:rPr>
            </w:pPr>
          </w:p>
        </w:tc>
        <w:tc>
          <w:tcPr>
            <w:tcW w:w="730" w:type="dxa"/>
            <w:vAlign w:val="bottom"/>
            <w:tcBorders>
              <w:bottom w:val="single" w:sz="8" w:color="808080"/>
            </w:tcBorders>
          </w:tcPr>
          <w:p>
            <w:pPr>
              <w:spacing w:after="0"/>
              <w:rPr>
                <w:sz w:val="11"/>
                <w:szCs w:val="11"/>
                <w:color w:val="auto"/>
              </w:rPr>
            </w:pPr>
          </w:p>
        </w:tc>
        <w:tc>
          <w:tcPr>
            <w:tcW w:w="115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December 16, 2009, the Company announced that its Board of Directors had authorized a further program to purchase up to $20.0 of its Common Stock, from time to time as conditions allow, on the open market or through negotiated private transactions. During the six months ended November 30, 2010, the Company repurchased 388,426 shares on the open market for approximately $9.7 at an average cost of $24.98 per share pursuant to this program.</w:t>
      </w:r>
    </w:p>
    <w:p>
      <w:pPr>
        <w:spacing w:after="0" w:line="16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pursuant to a subsequent Board of Directors authorization, the Company commenced a modified Dutch auction tender offer on September 28, 2010, which expired on October 28, 2010. Pursuant to this offer, the Company purchased 5,199,699 of its common shares at a price of $30.00 per share for a total cost of $156.0, excluding related fees and expenses. The common shares purchased represented approximately 15.1% of the common shares outstanding as of October 27, 2010. The Company funded the purchase of the shares in the tender offer using cash on hand and short term borrowings under its existing credit facility, which borrowings were repaid prior to November 30, 2010.</w:t>
      </w:r>
    </w:p>
    <w:p>
      <w:pPr>
        <w:spacing w:after="0" w:line="1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November 30, 2010, $44.5 remains available for future purchases under the current Board of Directors authorization, which purchases may be made from time to time as conditions allow, on the open market or in negotiated private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repurchase program may be suspended at any time without prior notice.</w:t>
      </w:r>
    </w:p>
    <w:p>
      <w:pPr>
        <w:sectPr>
          <w:pgSz w:w="11900" w:h="16838" w:orient="portrait"/>
          <w:cols w:equalWidth="0" w:num="1">
            <w:col w:w="11460"/>
          </w:cols>
          <w:pgMar w:left="240" w:top="382" w:right="19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accounting standard regarding fair value measurements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202" w:lineRule="exact"/>
        <w:rPr>
          <w:sz w:val="20"/>
          <w:szCs w:val="20"/>
          <w:color w:val="auto"/>
        </w:rPr>
      </w:pPr>
    </w:p>
    <w:p>
      <w:pPr>
        <w:ind w:left="920" w:hanging="45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16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Quoted prices for similar assets or liabilities in active markets</w:t>
      </w:r>
    </w:p>
    <w:p>
      <w:pPr>
        <w:spacing w:after="0" w:line="15" w:lineRule="exact"/>
        <w:rPr>
          <w:rFonts w:ascii="Arial" w:cs="Arial" w:eastAsia="Arial" w:hAnsi="Arial"/>
          <w:sz w:val="18"/>
          <w:szCs w:val="18"/>
          <w:color w:val="auto"/>
        </w:rPr>
      </w:pPr>
    </w:p>
    <w:p>
      <w:pPr>
        <w:ind w:left="920" w:right="4720"/>
        <w:spacing w:after="0" w:line="281" w:lineRule="auto"/>
        <w:rPr>
          <w:rFonts w:ascii="Arial" w:cs="Arial" w:eastAsia="Arial" w:hAnsi="Arial"/>
          <w:sz w:val="18"/>
          <w:szCs w:val="18"/>
          <w:color w:val="auto"/>
        </w:rPr>
      </w:pPr>
      <w:r>
        <w:rPr>
          <w:rFonts w:ascii="Arial" w:cs="Arial" w:eastAsia="Arial" w:hAnsi="Arial"/>
          <w:sz w:val="16"/>
          <w:szCs w:val="16"/>
          <w:color w:val="auto"/>
        </w:rPr>
        <w:t>o Quoted prices for identical or similar assets or liabilities in inactive markets o Inputs other than quoted prices that are observable for the asset or liability</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Inputs that are derived principally from or corroborated by observable market data by correlation or other means</w:t>
      </w:r>
    </w:p>
    <w:p>
      <w:pPr>
        <w:spacing w:after="0" w:line="145" w:lineRule="exact"/>
        <w:rPr>
          <w:rFonts w:ascii="Arial" w:cs="Arial" w:eastAsia="Arial" w:hAnsi="Arial"/>
          <w:sz w:val="18"/>
          <w:szCs w:val="18"/>
          <w:color w:val="auto"/>
        </w:rPr>
      </w:pPr>
    </w:p>
    <w:p>
      <w:pPr>
        <w:ind w:left="920" w:right="140" w:hanging="456"/>
        <w:spacing w:after="0" w:line="275"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debt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5,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16, “Derivatives and Hedging,” for a more complete description of fair value measurements employed.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Level 2 and Level 3 inputs are employed by the Company in the fair value measurement of these assets and liabilities. In fiscal 2010, the Company recognized impairments of indefinite-lived and long-lived assets totaling $43.1. In fiscal 2011, the Company acquired certain assets in a business combination for $8.0, net of cash acquired. The Company has not yet completed its purchase price allocation for this acquisition. See Note 8, “Goodwill and Other Intangibles,” for a discussion of the fair value measures employed in these asset impairment and acquisition analyses.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calculates its interim income tax provision in accordance with current authoritative accounting guidance. 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Company’s annual effective tax rate for the fiscal year ending May 31, 2011 is currently expected to be approximately 43%. The Company’s expected full year effective tax rate exceeds statutory rates primarily as a result of net operating losses in foreign jurisdictions, mainly in the United Kingdom, where the Company does not expect to realize future tax benefits. As a result, valuation allowances are provided for the net operating loss carry forwards in these jurisdictions.</w:t>
      </w:r>
    </w:p>
    <w:p>
      <w:pPr>
        <w:spacing w:after="0" w:line="19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 recognizes tax benefits of uncertain tax positions in accordance with the current accounting guidance pertaining to uncertainty in income taxes. The Company does not currently anticipate a material change to its unrecognized tax benefits within twelve months of November 30, 2010, notwithstanding changes expected to result from the settlement of the IRS examination for fiscal years ended May 31, 2003 through 2006. However, actual developments can change these expectations, including the final terms of settlement of such audit.</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New York State for its fiscal years ended May 31, 2002 through 2004. It is possible that state and foreign tax examinations will be settled during the next twelve months. If any of these tax examinations are settled within that period, the Company will make any necessary adjustments to its unrecognized tax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 and Hedging</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These derivative contracts are economic hedges and are not designated as cash flow hedges. The Company marks-to-market these instruments and records the changes in the fair value of these items in current earnings, and recognizes the unrealized gain or loss in other current liabilities. Unrealized gains of $0.1 were recognized at November 30, 2010 and unrealized losses of $1.0 were recognized at November 30, 2009.</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also enters into foreign currency derivative contracts to hedge the foreign exchange risk associated with certain receivables denominated in foreign currencies. The Company marks-to-market these instruments and records the changes in the fair value of these items in current earnings offsetting the foreign exchange gains and losses arising from the effect of changes in exchange rates used to measure the related assets. Unrealized gains related to these derivatives were $0.2 and $0.0 at November 30, 2010 and 2009,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December 15, 2010, the Company announced that the Board of Directors declared a cash dividend of $0.10 per Class A and Common share. The dividend is payable on March 15, 2011 to shareholders of record as of January 31, 2011.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Revenues for the quarter ended November 30, 2010 were $675.7 million, up 2.4% from $660.1 million in the prior fiscal year period. Net income for the quarter ended November 30, 2010 was $74.9 million, up $19.4 million from $55.5 million in the prior fiscal year period. Consolidated earnings per diluted share were $2.14 versus $1.51 in the prior fiscal year quarter. The prior year fiscal quarter includes non-cash asset write-downs of $40.1 million. The current fiscal quarter results include higher revenues in Trade, School Book Fairs and International, partially offset by lower sales of educational technology relative to a year ago, as well as higher promotion spending in School Book Clubs and increased investments in digital initiatives.</w:t>
      </w:r>
    </w:p>
    <w:p>
      <w:pPr>
        <w:spacing w:after="0" w:line="17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reflected increased revenue in School Book Fairs and Trade, with School Book Clubs maintaining last year’s sales and teacher participation levels. The Company continued to execute its long-term strategic plan and move forward with key digital initiatives and achieved continued growth in on-line ordering, following full implementation of the new Clubs ordering platform. In addition, the Company began testing its children’s eBook offering with children and families, as well as previewing it with publishers, in preparation for a spring beta launch and full rollout next fall.</w:t>
      </w:r>
    </w:p>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Sales of educational technology did not reach last year’s record levels, when the Company benefited from the 2009 federal stimulus program. However, sales were up over 50% compared to pre-stimulus levels two years ago, driven by a larger customer base.</w:t>
      </w:r>
    </w:p>
    <w:p>
      <w:pPr>
        <w:spacing w:after="0" w:line="186"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During the second quarter the Company repurchased approximately 5.2 million shares of its Common Stock at $30.00 per share, returning approximately $156 million to shareholders, funded with cash and a temporary draw-down under its credit facility, which was repaid by quarter end. The Company had total debt of $231.2 million at the end of the second quarter, down from $279.6 million a year ago and continued to maintain a strong balance sheet and free cash flow.</w:t>
      </w:r>
    </w:p>
    <w:p>
      <w:pPr>
        <w:spacing w:after="0" w:line="14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While positive, these results were below the Company’s fiscal 2011 plan, reflecting lower spending by school districts and lower than expected revenue in Clubs. For the remainder of the fiscal year, the Company expects that sustained higher service revenue and new product launches will enable it to hold sales in Scholastic Education level with those in the prior year period, in spite of a continued challenging funding environment. In addition, the Company believes that increased on-line ordering, as well as this fall’s increased promotional spending, will generate modest growth in clubs during the remainder of the year.</w:t>
      </w:r>
    </w:p>
    <w:p>
      <w:pPr>
        <w:spacing w:after="0" w:line="167"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Based on the factors referred to above and its year-to-date results, the Company expects fiscal 2011 revenue of $1.9 to $1.95 billion and earnings per diluted share from continuing operations of $1.80 to $2.05, before the impact of any one-time items. The foregoing includes a benefit of approximately $0.15 per diluted share associated with the Company’s share repurchase pursuant to the tender offer. The Company continues to expect free cash flow of $90 million to $100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jc w:val="both"/>
        <w:ind w:right="200"/>
        <w:spacing w:after="0" w:line="284" w:lineRule="auto"/>
        <w:rPr>
          <w:sz w:val="20"/>
          <w:szCs w:val="20"/>
          <w:color w:val="auto"/>
        </w:rPr>
      </w:pPr>
      <w:r>
        <w:rPr>
          <w:rFonts w:ascii="Arial" w:cs="Arial" w:eastAsia="Arial" w:hAnsi="Arial"/>
          <w:sz w:val="16"/>
          <w:szCs w:val="16"/>
          <w:color w:val="auto"/>
        </w:rPr>
        <w:t xml:space="preserve">Revenues for the quarter ended November 30, 2010 increased by $15.6 million, or 2.4%, to $675.7 million, compared to $660.1 million in the prior fiscal year quarter, driven by higher 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of $18.5 million,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of $15.0 million and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of $3.1 million, partially offset by lower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of $21.0 million.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Revenues for the six months ended November 30, 2010 decreased by $9.1 million to $966.6 million, compared to $975.7 million in the prior year fiscal period primarily due to the lower revenues of $51.1 million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partially offset by higher revenues in the </w:t>
      </w:r>
      <w:r>
        <w:rPr>
          <w:rFonts w:ascii="Arial" w:cs="Arial" w:eastAsia="Arial" w:hAnsi="Arial"/>
          <w:sz w:val="18"/>
          <w:szCs w:val="18"/>
          <w:i w:val="1"/>
          <w:iCs w:val="1"/>
          <w:color w:val="auto"/>
        </w:rPr>
        <w:t>Children’s Book Publishing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Distribution, Media, Licensing and Advertising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 </w:t>
      </w:r>
      <w:r>
        <w:rPr>
          <w:rFonts w:ascii="Arial" w:cs="Arial" w:eastAsia="Arial" w:hAnsi="Arial"/>
          <w:sz w:val="18"/>
          <w:szCs w:val="18"/>
          <w:color w:val="auto"/>
        </w:rPr>
        <w:t>segments.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140"/>
        <w:spacing w:after="0" w:line="323" w:lineRule="auto"/>
        <w:rPr>
          <w:sz w:val="20"/>
          <w:szCs w:val="20"/>
          <w:color w:val="auto"/>
        </w:rPr>
      </w:pPr>
      <w:r>
        <w:rPr>
          <w:rFonts w:ascii="Arial" w:cs="Arial" w:eastAsia="Arial" w:hAnsi="Arial"/>
          <w:sz w:val="15"/>
          <w:szCs w:val="15"/>
          <w:color w:val="auto"/>
        </w:rPr>
        <w:t xml:space="preserve">Cost of goods sold as a percentage of revenue for the quarter ended November 30, 2010 increased to 43.8%, compared to 41.4% in the prior fiscal year quarter. Cost of goods sold as a percentage of revenue for the six months ended November 30, 2010 increased to 45.9%, compared to 44.3% in the prior fiscal year. The increase in both periods is primarily related to product, fulfillment and postage costs attributable to increased promotional activities in the Company’s </w:t>
      </w:r>
      <w:r>
        <w:rPr>
          <w:rFonts w:ascii="Arial" w:cs="Arial" w:eastAsia="Arial" w:hAnsi="Arial"/>
          <w:sz w:val="15"/>
          <w:szCs w:val="15"/>
          <w:i w:val="1"/>
          <w:iCs w:val="1"/>
          <w:color w:val="auto"/>
        </w:rPr>
        <w:t>Children’s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Book Publishing and Distribution </w:t>
      </w:r>
      <w:r>
        <w:rPr>
          <w:rFonts w:ascii="Arial" w:cs="Arial" w:eastAsia="Arial" w:hAnsi="Arial"/>
          <w:sz w:val="15"/>
          <w:szCs w:val="15"/>
          <w:color w:val="auto"/>
        </w:rPr>
        <w:t>segment. Components of Cost of goods sold for the three and six months ended November 30, 2010 and 2009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tcPr>
          <w:p>
            <w:pPr>
              <w:spacing w:after="0"/>
              <w:rPr>
                <w:sz w:val="19"/>
                <w:szCs w:val="19"/>
                <w:color w:val="auto"/>
              </w:rPr>
            </w:pPr>
          </w:p>
        </w:tc>
        <w:tc>
          <w:tcPr>
            <w:tcW w:w="3760" w:type="dxa"/>
            <w:vAlign w:val="bottom"/>
            <w:gridSpan w:val="4"/>
          </w:tcPr>
          <w:p>
            <w:pPr>
              <w:jc w:val="right"/>
              <w:ind w:right="132"/>
              <w:spacing w:after="0"/>
              <w:rPr>
                <w:sz w:val="20"/>
                <w:szCs w:val="20"/>
                <w:color w:val="auto"/>
              </w:rPr>
            </w:pPr>
            <w:r>
              <w:rPr>
                <w:rFonts w:ascii="Arial" w:cs="Arial" w:eastAsia="Arial" w:hAnsi="Arial"/>
                <w:sz w:val="18"/>
                <w:szCs w:val="18"/>
                <w:b w:val="1"/>
                <w:bCs w:val="1"/>
                <w:i w:val="1"/>
                <w:iCs w:val="1"/>
                <w:color w:val="auto"/>
              </w:rPr>
              <w:t>Three months ended November 30,</w:t>
            </w:r>
          </w:p>
        </w:tc>
        <w:tc>
          <w:tcPr>
            <w:tcW w:w="220" w:type="dxa"/>
            <w:vAlign w:val="bottom"/>
          </w:tcPr>
          <w:p>
            <w:pPr>
              <w:spacing w:after="0"/>
              <w:rPr>
                <w:sz w:val="19"/>
                <w:szCs w:val="19"/>
                <w:color w:val="auto"/>
              </w:rPr>
            </w:pPr>
          </w:p>
        </w:tc>
        <w:tc>
          <w:tcPr>
            <w:tcW w:w="2620" w:type="dxa"/>
            <w:vAlign w:val="bottom"/>
            <w:gridSpan w:val="3"/>
          </w:tcPr>
          <w:p>
            <w:pPr>
              <w:jc w:val="right"/>
              <w:ind w:right="172"/>
              <w:spacing w:after="0"/>
              <w:rPr>
                <w:sz w:val="20"/>
                <w:szCs w:val="20"/>
                <w:color w:val="auto"/>
              </w:rPr>
            </w:pPr>
            <w:r>
              <w:rPr>
                <w:rFonts w:ascii="Arial" w:cs="Arial" w:eastAsia="Arial" w:hAnsi="Arial"/>
                <w:sz w:val="18"/>
                <w:szCs w:val="18"/>
                <w:b w:val="1"/>
                <w:bCs w:val="1"/>
                <w:i w:val="1"/>
                <w:iCs w:val="1"/>
                <w:color w:val="auto"/>
                <w:w w:val="84"/>
              </w:rPr>
              <w:t>Six months ended November 30,</w:t>
            </w:r>
          </w:p>
        </w:tc>
      </w:tr>
      <w:tr>
        <w:trPr>
          <w:trHeight w:val="110"/>
        </w:trPr>
        <w:tc>
          <w:tcPr>
            <w:tcW w:w="48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48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2009</w:t>
            </w:r>
          </w:p>
        </w:tc>
      </w:tr>
      <w:tr>
        <w:trPr>
          <w:trHeight w:val="110"/>
        </w:trPr>
        <w:tc>
          <w:tcPr>
            <w:tcW w:w="48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09"/>
        </w:trPr>
        <w:tc>
          <w:tcPr>
            <w:tcW w:w="484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17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180.1</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257.4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255.7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Royalty costs</w:t>
            </w:r>
          </w:p>
        </w:tc>
        <w:tc>
          <w:tcPr>
            <w:tcW w:w="17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4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50.6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17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24.3</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17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76.3</w:t>
            </w:r>
          </w:p>
        </w:tc>
        <w:tc>
          <w:tcPr>
            <w:tcW w:w="4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3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101.3</w:t>
            </w:r>
          </w:p>
        </w:tc>
      </w:tr>
      <w:tr>
        <w:trPr>
          <w:trHeight w:val="110"/>
        </w:trPr>
        <w:tc>
          <w:tcPr>
            <w:tcW w:w="48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4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296.2</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443.9</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431.9</w:t>
            </w:r>
          </w:p>
        </w:tc>
      </w:tr>
      <w:tr>
        <w:trPr>
          <w:trHeight w:val="110"/>
        </w:trPr>
        <w:tc>
          <w:tcPr>
            <w:tcW w:w="48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general and administrative expenses increased to $232.3 million in the quarter, or 34.4% of revenue, compared to $220.5 million, or 33.4% of revenue, in the prior fiscal year quarter. Selling, general and administrative expenses for the six months ended November 30, 2010 were $402.9 million, or 41.7% or revenue, compared to $392.0 million, or 40.2% of revenue, in the prior fiscal year period. The increases over the prior periods are primarily due to increased technology spending on digital growth initiatives, as well as higher promotional expenses.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Bad debt expense decreased by $1.4 million, to $3.0 million, for the quarter ended November 30, 2010, compared to $4.4 million in the prior fiscal year quarter.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Bad debt expense decreased by $0.6 million to $5.9 million for the six months ended November 30, 2010, compared to $6.5 million in the prior fiscal year period.</w:t>
      </w:r>
    </w:p>
    <w:p>
      <w:pPr>
        <w:spacing w:after="0" w:line="2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prior year fiscal quarter reflects a non-cash charge of $36.3 million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for impairment of intangible and prepublication costs associated with print publishing for libraries, as well as a non-cash impairment charge of $3.8 million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related to a customer list acquired in connection with the dissolution of a joint venture.</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Severance expense decreased slightly to $1.0 million for the quarter ended November 30, 2010, compared to $1.1 million in the prior fiscal year quarter. For the six months ended November 30, 2010, severance expense decreased by $2.3 million, to $3.1 million, compared to $5.4 million in the prior year fiscal period when the Company was implementing its cost reduction plans.</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resulting operating income for the quarter ended November 30, 2010 was $128.7 million, compared to $105.6 million in the prior fiscal year quarter. For the six months ended November 30, 2010, the resulting operating income was $81.9 million, compared to $70.3 million in the prior fiscal year period.</w:t>
      </w:r>
    </w:p>
    <w:p>
      <w:pPr>
        <w:spacing w:after="0" w:line="13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interest expense decreased by $0.3 million to $4.0 million in the quarter ended November 30, 2010, compared to $4.3 million in the prior fiscal year quarter, due to lower average borrowings. For the six months ended November 30, 2010, net interest expense decreased by $0.4 million to $7.8 million, compared to $8.2 million in the prior fiscal year period, also due to lower average borrowings.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effective tax rates were 38.1% and 43.9% for the fiscal quarters ended November 30, 2010 and 2009, respectively. Significant factors that impact the effective tax rate include changes in the Company’s assessment of certain tax contingencies and the mix of earnings among the Company’s U.S. and international operations.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Earnings from continuing operations were $76.9 million or $2.19 per diluted share, for the quarter ended November 30, 2010, compared to earnings of $56.8 million, or $1.54 per diluted share, for the prior year fiscal quarter. For the six months ended November 30, 2010, earnings from continuing operations were $42.7 million, or $1.19 per diluted share, compared to $32.2 million, or $0.88 per diluted share, in the prior fiscal year period.</w:t>
      </w:r>
    </w:p>
    <w:p>
      <w:pPr>
        <w:spacing w:after="0" w:line="16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Loss from discontinued operations, net of tax, was $2.0 million, or $0.05 per share, for the quarter ended November 30, 2010, compared to a loss of $1.3 million, or $0.03 per share, for the prior year fiscal quarter. The Loss from discontinued operations for the six months ended November 30, 2010 was $3.0 million, or $0.08 per share, compared to Earnings from discontinued operations of $0.3 million, or less than $0.01 per share, for the prior fiscal year period. The six months ended November 30, 2010 includes a charge associated with the partial settlement of the pension plan of Grolier Limited, a Canadian entity in the continuities business.</w:t>
      </w:r>
    </w:p>
    <w:p>
      <w:pPr>
        <w:spacing w:after="0" w:line="19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Net income was $74.9 million or $2.14 per diluted share, for the quarter ended November 30, 2010, compared to $55.5 million, or $1.51 per diluted share, in the prior fiscal year quarter. Net income was $39.7 million, or $1.11 per diluted share, for the six months ended November 30, 2010, compared to $32.5 million, or $0.88 per diluted share, in the prior fiscal year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20"/>
                <w:szCs w:val="20"/>
                <w:color w:val="auto"/>
              </w:rPr>
            </w:pPr>
            <w:r>
              <w:rPr>
                <w:rFonts w:ascii="Arial" w:cs="Arial" w:eastAsia="Arial" w:hAnsi="Arial"/>
                <w:sz w:val="18"/>
                <w:szCs w:val="18"/>
                <w:b w:val="1"/>
                <w:bCs w:val="1"/>
                <w:color w:val="auto"/>
              </w:rPr>
              <w:t>Results of Continuing Operations</w:t>
            </w: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2"/>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9"/>
        </w:trPr>
        <w:tc>
          <w:tcPr>
            <w:tcW w:w="5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60" w:type="dxa"/>
            <w:vAlign w:val="bottom"/>
            <w:gridSpan w:val="3"/>
          </w:tcPr>
          <w:p>
            <w:pPr>
              <w:jc w:val="right"/>
              <w:ind w:right="332"/>
              <w:spacing w:after="0"/>
              <w:rPr>
                <w:sz w:val="20"/>
                <w:szCs w:val="20"/>
                <w:color w:val="auto"/>
              </w:rPr>
            </w:pPr>
            <w:r>
              <w:rPr>
                <w:rFonts w:ascii="Arial" w:cs="Arial" w:eastAsia="Arial" w:hAnsi="Arial"/>
                <w:sz w:val="18"/>
                <w:szCs w:val="18"/>
                <w:b w:val="1"/>
                <w:bCs w:val="1"/>
                <w:i w:val="1"/>
                <w:iCs w:val="1"/>
                <w:color w:val="auto"/>
                <w:w w:val="85"/>
              </w:rPr>
              <w:t>Three months ended</w:t>
            </w:r>
          </w:p>
        </w:tc>
        <w:tc>
          <w:tcPr>
            <w:tcW w:w="180" w:type="dxa"/>
            <w:vAlign w:val="bottom"/>
          </w:tcPr>
          <w:p>
            <w:pPr>
              <w:spacing w:after="0"/>
              <w:rPr>
                <w:sz w:val="24"/>
                <w:szCs w:val="24"/>
                <w:color w:val="auto"/>
              </w:rPr>
            </w:pPr>
          </w:p>
        </w:tc>
        <w:tc>
          <w:tcPr>
            <w:tcW w:w="2140" w:type="dxa"/>
            <w:vAlign w:val="bottom"/>
            <w:gridSpan w:val="3"/>
          </w:tcPr>
          <w:p>
            <w:pPr>
              <w:jc w:val="right"/>
              <w:ind w:right="532"/>
              <w:spacing w:after="0"/>
              <w:rPr>
                <w:sz w:val="20"/>
                <w:szCs w:val="20"/>
                <w:color w:val="auto"/>
              </w:rPr>
            </w:pPr>
            <w:r>
              <w:rPr>
                <w:rFonts w:ascii="Arial" w:cs="Arial" w:eastAsia="Arial" w:hAnsi="Arial"/>
                <w:sz w:val="18"/>
                <w:szCs w:val="18"/>
                <w:b w:val="1"/>
                <w:bCs w:val="1"/>
                <w:i w:val="1"/>
                <w:iCs w:val="1"/>
                <w:color w:val="auto"/>
                <w:w w:val="96"/>
              </w:rPr>
              <w:t>Six months ended</w:t>
            </w:r>
          </w:p>
        </w:tc>
      </w:tr>
      <w:tr>
        <w:trPr>
          <w:trHeight w:val="222"/>
        </w:trPr>
        <w:tc>
          <w:tcPr>
            <w:tcW w:w="51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020" w:type="dxa"/>
            <w:vAlign w:val="bottom"/>
          </w:tcPr>
          <w:p>
            <w:pPr>
              <w:spacing w:after="0"/>
              <w:rPr>
                <w:sz w:val="19"/>
                <w:szCs w:val="19"/>
                <w:color w:val="auto"/>
              </w:rPr>
            </w:pPr>
          </w:p>
        </w:tc>
        <w:tc>
          <w:tcPr>
            <w:tcW w:w="1960" w:type="dxa"/>
            <w:vAlign w:val="bottom"/>
            <w:gridSpan w:val="3"/>
          </w:tcPr>
          <w:p>
            <w:pPr>
              <w:jc w:val="right"/>
              <w:ind w:right="572"/>
              <w:spacing w:after="0"/>
              <w:rPr>
                <w:sz w:val="20"/>
                <w:szCs w:val="20"/>
                <w:color w:val="auto"/>
              </w:rPr>
            </w:pPr>
            <w:r>
              <w:rPr>
                <w:rFonts w:ascii="Arial" w:cs="Arial" w:eastAsia="Arial" w:hAnsi="Arial"/>
                <w:sz w:val="18"/>
                <w:szCs w:val="18"/>
                <w:b w:val="1"/>
                <w:bCs w:val="1"/>
                <w:i w:val="1"/>
                <w:iCs w:val="1"/>
                <w:color w:val="auto"/>
              </w:rPr>
              <w:t>November 30,</w:t>
            </w:r>
          </w:p>
        </w:tc>
        <w:tc>
          <w:tcPr>
            <w:tcW w:w="180" w:type="dxa"/>
            <w:vAlign w:val="bottom"/>
          </w:tcPr>
          <w:p>
            <w:pPr>
              <w:spacing w:after="0"/>
              <w:rPr>
                <w:sz w:val="19"/>
                <w:szCs w:val="19"/>
                <w:color w:val="auto"/>
              </w:rPr>
            </w:pPr>
          </w:p>
        </w:tc>
        <w:tc>
          <w:tcPr>
            <w:tcW w:w="2140" w:type="dxa"/>
            <w:vAlign w:val="bottom"/>
            <w:gridSpan w:val="3"/>
          </w:tcPr>
          <w:p>
            <w:pPr>
              <w:jc w:val="right"/>
              <w:ind w:right="67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51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5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88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2009</w:t>
            </w:r>
          </w:p>
        </w:tc>
        <w:tc>
          <w:tcPr>
            <w:tcW w:w="18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2009</w:t>
            </w:r>
          </w:p>
        </w:tc>
      </w:tr>
      <w:tr>
        <w:trPr>
          <w:trHeight w:val="110"/>
        </w:trPr>
        <w:tc>
          <w:tcPr>
            <w:tcW w:w="51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5140" w:type="dxa"/>
            <w:vAlign w:val="bottom"/>
          </w:tcPr>
          <w:p>
            <w:pPr>
              <w:spacing w:after="0"/>
              <w:rPr>
                <w:sz w:val="20"/>
                <w:szCs w:val="20"/>
                <w:color w:val="auto"/>
              </w:rPr>
            </w:pPr>
            <w:r>
              <w:rPr>
                <w:rFonts w:ascii="Arial" w:cs="Arial" w:eastAsia="Arial" w:hAnsi="Arial"/>
                <w:sz w:val="18"/>
                <w:szCs w:val="18"/>
                <w:color w:val="auto"/>
              </w:rPr>
              <w:t>Revenues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387.3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368.8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460.2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445.0</w:t>
            </w:r>
          </w:p>
        </w:tc>
      </w:tr>
      <w:tr>
        <w:trPr>
          <w:trHeight w:val="365"/>
        </w:trPr>
        <w:tc>
          <w:tcPr>
            <w:tcW w:w="5140" w:type="dxa"/>
            <w:vAlign w:val="bottom"/>
          </w:tcPr>
          <w:p>
            <w:pPr>
              <w:spacing w:after="0"/>
              <w:rPr>
                <w:sz w:val="20"/>
                <w:szCs w:val="20"/>
                <w:color w:val="auto"/>
              </w:rPr>
            </w:pPr>
            <w:r>
              <w:rPr>
                <w:rFonts w:ascii="Arial" w:cs="Arial" w:eastAsia="Arial" w:hAnsi="Arial"/>
                <w:sz w:val="18"/>
                <w:szCs w:val="18"/>
                <w:color w:val="auto"/>
              </w:rPr>
              <w:t>Operating income</w:t>
            </w:r>
          </w:p>
        </w:tc>
        <w:tc>
          <w:tcPr>
            <w:tcW w:w="202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60.3</w:t>
            </w:r>
          </w:p>
        </w:tc>
      </w:tr>
      <w:tr>
        <w:trPr>
          <w:trHeight w:val="110"/>
        </w:trPr>
        <w:tc>
          <w:tcPr>
            <w:tcW w:w="51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51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r>
    </w:tbl>
    <w:p>
      <w:pPr>
        <w:spacing w:after="0" w:line="2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November 30, 2010 increased by $18.5 million, or 5.0%, to $387.3 million, compared to $368.8 million in the prior fiscal year quarter. The increase is principally related to increased revenues in the Company’s book fairs business, driven primarily by an increase in revenue per fair and, to a lesser extent, an increase in the number of fairs held as compared to the prior fiscal year quarter. Revenues for the six months ended November 30, 2010 increased by $15.2 million to $460.2 million, compared to $445.0 million in the prior fiscal year period. This increase is related to higher revenues in the Company’s trade business, driven by a strong frontlist that included </w:t>
      </w:r>
      <w:r>
        <w:rPr>
          <w:rFonts w:ascii="Arial" w:cs="Arial" w:eastAsia="Arial" w:hAnsi="Arial"/>
          <w:sz w:val="16"/>
          <w:szCs w:val="16"/>
          <w:i w:val="1"/>
          <w:iCs w:val="1"/>
          <w:color w:val="auto"/>
        </w:rPr>
        <w:t>Mockingjay</w:t>
      </w:r>
      <w:r>
        <w:rPr>
          <w:rFonts w:ascii="Arial" w:cs="Arial" w:eastAsia="Arial" w:hAnsi="Arial"/>
          <w:sz w:val="16"/>
          <w:szCs w:val="16"/>
          <w:color w:val="auto"/>
        </w:rPr>
        <w:t xml:space="preserve"> by Suzanne Collins, which completed </w:t>
      </w:r>
      <w:r>
        <w:rPr>
          <w:rFonts w:ascii="Arial" w:cs="Arial" w:eastAsia="Arial" w:hAnsi="Arial"/>
          <w:sz w:val="16"/>
          <w:szCs w:val="16"/>
          <w:i w:val="1"/>
          <w:iCs w:val="1"/>
          <w:color w:val="auto"/>
        </w:rPr>
        <w:t>The Hunger Games</w:t>
      </w:r>
      <w:r>
        <w:rPr>
          <w:rFonts w:ascii="Arial" w:cs="Arial" w:eastAsia="Arial" w:hAnsi="Arial"/>
          <w:sz w:val="16"/>
          <w:szCs w:val="16"/>
          <w:color w:val="auto"/>
        </w:rPr>
        <w:t xml:space="preserve"> trilogy, and </w:t>
      </w:r>
      <w:r>
        <w:rPr>
          <w:rFonts w:ascii="Arial" w:cs="Arial" w:eastAsia="Arial" w:hAnsi="Arial"/>
          <w:sz w:val="16"/>
          <w:szCs w:val="16"/>
          <w:i w:val="1"/>
          <w:iCs w:val="1"/>
          <w:color w:val="auto"/>
        </w:rPr>
        <w:t>The 39 Clues</w:t>
      </w:r>
      <w:r>
        <w:rPr>
          <w:rFonts w:ascii="Arial" w:cs="Arial" w:eastAsia="Arial" w:hAnsi="Arial"/>
          <w:sz w:val="16"/>
          <w:szCs w:val="16"/>
          <w:color w:val="auto"/>
        </w:rPr>
        <w:t xml:space="preserve"> series, as well as by the increased revenues in the Company’s book fairs business discussed above.</w:t>
      </w:r>
    </w:p>
    <w:p>
      <w:pPr>
        <w:spacing w:after="0" w:line="174"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Segment operating income for the quarter ended November 30, 2010 decreased by $10.5 million, or 9.7%, to $97.3 million, compared to $107.8 million in the prior fiscal year quarter, primarily related to increased promotional spending in the Company’s book club business and increased expenditures related to the Company’s children’s book digital format. Segment operating income for the six months ended November 30, 2010, decreased by $14.6 million, or 24.2%, to $45.7 million, compared to $60.3 million in the prior fiscal year period, principally due to increased expenditures related to the Company’s children’s books digital format, e-commerce and eBook initiatives, as well as higher promotional spending in book clubs.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2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9"/>
        </w:trPr>
        <w:tc>
          <w:tcPr>
            <w:tcW w:w="4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00" w:type="dxa"/>
            <w:vAlign w:val="bottom"/>
            <w:gridSpan w:val="3"/>
          </w:tcPr>
          <w:p>
            <w:pPr>
              <w:jc w:val="right"/>
              <w:ind w:right="272"/>
              <w:spacing w:after="0"/>
              <w:rPr>
                <w:sz w:val="20"/>
                <w:szCs w:val="20"/>
                <w:color w:val="auto"/>
              </w:rPr>
            </w:pPr>
            <w:r>
              <w:rPr>
                <w:rFonts w:ascii="Arial" w:cs="Arial" w:eastAsia="Arial" w:hAnsi="Arial"/>
                <w:sz w:val="18"/>
                <w:szCs w:val="18"/>
                <w:b w:val="1"/>
                <w:bCs w:val="1"/>
                <w:i w:val="1"/>
                <w:iCs w:val="1"/>
                <w:color w:val="auto"/>
                <w:w w:val="85"/>
              </w:rPr>
              <w:t>Three months ended</w:t>
            </w:r>
          </w:p>
        </w:tc>
        <w:tc>
          <w:tcPr>
            <w:tcW w:w="240" w:type="dxa"/>
            <w:vAlign w:val="bottom"/>
          </w:tcPr>
          <w:p>
            <w:pPr>
              <w:spacing w:after="0"/>
              <w:rPr>
                <w:sz w:val="24"/>
                <w:szCs w:val="24"/>
                <w:color w:val="auto"/>
              </w:rPr>
            </w:pPr>
          </w:p>
        </w:tc>
        <w:tc>
          <w:tcPr>
            <w:tcW w:w="1860" w:type="dxa"/>
            <w:vAlign w:val="bottom"/>
            <w:gridSpan w:val="3"/>
          </w:tcPr>
          <w:p>
            <w:pPr>
              <w:jc w:val="right"/>
              <w:ind w:right="372"/>
              <w:spacing w:after="0"/>
              <w:rPr>
                <w:sz w:val="20"/>
                <w:szCs w:val="20"/>
                <w:color w:val="auto"/>
              </w:rPr>
            </w:pPr>
            <w:r>
              <w:rPr>
                <w:rFonts w:ascii="Arial" w:cs="Arial" w:eastAsia="Arial" w:hAnsi="Arial"/>
                <w:sz w:val="18"/>
                <w:szCs w:val="18"/>
                <w:b w:val="1"/>
                <w:bCs w:val="1"/>
                <w:i w:val="1"/>
                <w:iCs w:val="1"/>
                <w:color w:val="auto"/>
                <w:w w:val="88"/>
              </w:rPr>
              <w:t>Six months ended</w:t>
            </w:r>
          </w:p>
        </w:tc>
      </w:tr>
      <w:tr>
        <w:trPr>
          <w:trHeight w:val="222"/>
        </w:trPr>
        <w:tc>
          <w:tcPr>
            <w:tcW w:w="45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920" w:type="dxa"/>
            <w:vAlign w:val="bottom"/>
          </w:tcPr>
          <w:p>
            <w:pPr>
              <w:spacing w:after="0"/>
              <w:rPr>
                <w:sz w:val="19"/>
                <w:szCs w:val="19"/>
                <w:color w:val="auto"/>
              </w:rPr>
            </w:pPr>
          </w:p>
        </w:tc>
        <w:tc>
          <w:tcPr>
            <w:tcW w:w="1900" w:type="dxa"/>
            <w:vAlign w:val="bottom"/>
            <w:gridSpan w:val="3"/>
          </w:tcPr>
          <w:p>
            <w:pPr>
              <w:jc w:val="right"/>
              <w:ind w:right="512"/>
              <w:spacing w:after="0"/>
              <w:rPr>
                <w:sz w:val="20"/>
                <w:szCs w:val="20"/>
                <w:color w:val="auto"/>
              </w:rPr>
            </w:pPr>
            <w:r>
              <w:rPr>
                <w:rFonts w:ascii="Arial" w:cs="Arial" w:eastAsia="Arial" w:hAnsi="Arial"/>
                <w:sz w:val="18"/>
                <w:szCs w:val="18"/>
                <w:b w:val="1"/>
                <w:bCs w:val="1"/>
                <w:i w:val="1"/>
                <w:iCs w:val="1"/>
                <w:color w:val="auto"/>
              </w:rPr>
              <w:t>November 30,</w:t>
            </w:r>
          </w:p>
        </w:tc>
        <w:tc>
          <w:tcPr>
            <w:tcW w:w="240" w:type="dxa"/>
            <w:vAlign w:val="bottom"/>
          </w:tcPr>
          <w:p>
            <w:pPr>
              <w:spacing w:after="0"/>
              <w:rPr>
                <w:sz w:val="19"/>
                <w:szCs w:val="19"/>
                <w:color w:val="auto"/>
              </w:rPr>
            </w:pPr>
          </w:p>
        </w:tc>
        <w:tc>
          <w:tcPr>
            <w:tcW w:w="1860" w:type="dxa"/>
            <w:vAlign w:val="bottom"/>
            <w:gridSpan w:val="3"/>
          </w:tcPr>
          <w:p>
            <w:pPr>
              <w:jc w:val="right"/>
              <w:ind w:right="53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45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16"/>
        </w:trPr>
        <w:tc>
          <w:tcPr>
            <w:tcW w:w="4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2009</w:t>
            </w:r>
          </w:p>
        </w:tc>
        <w:tc>
          <w:tcPr>
            <w:tcW w:w="24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2009</w:t>
            </w:r>
          </w:p>
        </w:tc>
      </w:tr>
      <w:tr>
        <w:trPr>
          <w:trHeight w:val="110"/>
        </w:trPr>
        <w:tc>
          <w:tcPr>
            <w:tcW w:w="45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122.6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220.2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271.3</w:t>
            </w:r>
          </w:p>
        </w:tc>
      </w:tr>
      <w:tr>
        <w:trPr>
          <w:trHeight w:val="365"/>
        </w:trPr>
        <w:tc>
          <w:tcPr>
            <w:tcW w:w="4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92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37.2</w:t>
            </w:r>
          </w:p>
        </w:tc>
      </w:tr>
      <w:tr>
        <w:trPr>
          <w:trHeight w:val="110"/>
        </w:trPr>
        <w:tc>
          <w:tcPr>
            <w:tcW w:w="45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9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432"/>
        </w:trPr>
        <w:tc>
          <w:tcPr>
            <w:tcW w:w="452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2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the quarter ended November 30, 2010 decreased by $21.0 million, or 17.1%, to $101.6 million, compared to $122.6 million in the prior fiscal year quarter. This decrease was principally driven by the strong growth in sales of educational technology products in the prior year period, which have experienced a significant change in the funding environment for these programs in fiscal 2011 and the absence of a large library sale to New York City in the current period. This was partially offset by incremental revenues of $2.2 million from the Math Solutions business in the current fiscal quarter. Revenues for the six months ended November 30, 2010 decreased by $51.1 million, or 18.8%, to $220.2 million, compared to $271.3 million in the prior fiscal year period. The decrease was primarily due to the strong level of sales in the prior year period as referred to above, as well as lower school classroom and library revenues in the current period.</w:t>
      </w:r>
    </w:p>
    <w:p>
      <w:pPr>
        <w:spacing w:after="0" w:line="17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Segment operating income for the quarter ended November 30, 2010 increased by $15.1 million to $11.0 million, from an operating loss of $4.1 million in the prior fiscal year quarter, when the Company recognized an asset impairment charge of $36.3 million in connection with its decision to consolidate supplemental non-fiction and library publishing activities into the </w:t>
      </w:r>
      <w:r>
        <w:rPr>
          <w:rFonts w:ascii="Arial" w:cs="Arial" w:eastAsia="Arial" w:hAnsi="Arial"/>
          <w:sz w:val="18"/>
          <w:szCs w:val="18"/>
          <w:i w:val="1"/>
          <w:iCs w:val="1"/>
          <w:color w:val="auto"/>
        </w:rPr>
        <w:t>Children’s Book Publishing and Distribu</w:t>
      </w:r>
      <w:r>
        <w:rPr>
          <w:rFonts w:ascii="Arial" w:cs="Arial" w:eastAsia="Arial" w:hAnsi="Arial"/>
          <w:sz w:val="18"/>
          <w:szCs w:val="18"/>
          <w:color w:val="auto"/>
        </w:rPr>
        <w:t>t</w:t>
      </w:r>
      <w:r>
        <w:rPr>
          <w:rFonts w:ascii="Arial" w:cs="Arial" w:eastAsia="Arial" w:hAnsi="Arial"/>
          <w:sz w:val="18"/>
          <w:szCs w:val="18"/>
          <w:i w:val="1"/>
          <w:iCs w:val="1"/>
          <w:color w:val="auto"/>
        </w:rPr>
        <w:t>ion</w:t>
      </w:r>
      <w:r>
        <w:rPr>
          <w:rFonts w:ascii="Arial" w:cs="Arial" w:eastAsia="Arial" w:hAnsi="Arial"/>
          <w:sz w:val="18"/>
          <w:szCs w:val="18"/>
          <w:color w:val="auto"/>
        </w:rPr>
        <w:t xml:space="preserve"> segment. This increase was partially offset by the unfavorable results in educational technology products and services noted above. Segment operating income for the six months ended November 30, 2010, increased by $2.3 million, or 6.2%, to $39.5 million, from $37.2 million in the prior fiscal year period, related to the prior year’s impairment charge noted above, partially offset by declines in revenue.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9"/>
        </w:trPr>
        <w:tc>
          <w:tcPr>
            <w:tcW w:w="4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20" w:type="dxa"/>
            <w:vAlign w:val="bottom"/>
            <w:gridSpan w:val="3"/>
          </w:tcPr>
          <w:p>
            <w:pPr>
              <w:jc w:val="right"/>
              <w:ind w:right="492"/>
              <w:spacing w:after="0"/>
              <w:rPr>
                <w:sz w:val="20"/>
                <w:szCs w:val="20"/>
                <w:color w:val="auto"/>
              </w:rPr>
            </w:pPr>
            <w:r>
              <w:rPr>
                <w:rFonts w:ascii="Arial" w:cs="Arial" w:eastAsia="Arial" w:hAnsi="Arial"/>
                <w:sz w:val="18"/>
                <w:szCs w:val="18"/>
                <w:b w:val="1"/>
                <w:bCs w:val="1"/>
                <w:i w:val="1"/>
                <w:iCs w:val="1"/>
                <w:color w:val="auto"/>
                <w:w w:val="91"/>
              </w:rPr>
              <w:t>Three months ended</w:t>
            </w:r>
          </w:p>
        </w:tc>
        <w:tc>
          <w:tcPr>
            <w:tcW w:w="260" w:type="dxa"/>
            <w:vAlign w:val="bottom"/>
          </w:tcPr>
          <w:p>
            <w:pPr>
              <w:spacing w:after="0"/>
              <w:rPr>
                <w:sz w:val="24"/>
                <w:szCs w:val="24"/>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8"/>
                <w:szCs w:val="18"/>
                <w:b w:val="1"/>
                <w:bCs w:val="1"/>
                <w:i w:val="1"/>
                <w:iCs w:val="1"/>
                <w:color w:val="auto"/>
                <w:w w:val="99"/>
              </w:rPr>
              <w:t>Six months ended</w:t>
            </w:r>
          </w:p>
        </w:tc>
      </w:tr>
      <w:tr>
        <w:trPr>
          <w:trHeight w:val="222"/>
        </w:trPr>
        <w:tc>
          <w:tcPr>
            <w:tcW w:w="41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640" w:type="dxa"/>
            <w:vAlign w:val="bottom"/>
          </w:tcPr>
          <w:p>
            <w:pPr>
              <w:spacing w:after="0"/>
              <w:rPr>
                <w:sz w:val="19"/>
                <w:szCs w:val="19"/>
                <w:color w:val="auto"/>
              </w:rPr>
            </w:pPr>
          </w:p>
        </w:tc>
        <w:tc>
          <w:tcPr>
            <w:tcW w:w="2220" w:type="dxa"/>
            <w:vAlign w:val="bottom"/>
            <w:gridSpan w:val="3"/>
          </w:tcPr>
          <w:p>
            <w:pPr>
              <w:jc w:val="right"/>
              <w:ind w:right="732"/>
              <w:spacing w:after="0"/>
              <w:rPr>
                <w:sz w:val="20"/>
                <w:szCs w:val="20"/>
                <w:color w:val="auto"/>
              </w:rPr>
            </w:pPr>
            <w:r>
              <w:rPr>
                <w:rFonts w:ascii="Arial" w:cs="Arial" w:eastAsia="Arial" w:hAnsi="Arial"/>
                <w:sz w:val="18"/>
                <w:szCs w:val="18"/>
                <w:b w:val="1"/>
                <w:bCs w:val="1"/>
                <w:i w:val="1"/>
                <w:iCs w:val="1"/>
                <w:color w:val="auto"/>
              </w:rPr>
              <w:t>November 30,</w:t>
            </w:r>
          </w:p>
        </w:tc>
        <w:tc>
          <w:tcPr>
            <w:tcW w:w="260" w:type="dxa"/>
            <w:vAlign w:val="bottom"/>
          </w:tcPr>
          <w:p>
            <w:pPr>
              <w:spacing w:after="0"/>
              <w:rPr>
                <w:sz w:val="19"/>
                <w:szCs w:val="19"/>
                <w:color w:val="auto"/>
              </w:rPr>
            </w:pPr>
          </w:p>
        </w:tc>
        <w:tc>
          <w:tcPr>
            <w:tcW w:w="222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41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4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b w:val="1"/>
                <w:bCs w:val="1"/>
                <w:color w:val="auto"/>
              </w:rPr>
              <w:t>2009</w:t>
            </w:r>
          </w:p>
        </w:tc>
      </w:tr>
      <w:tr>
        <w:trPr>
          <w:trHeight w:val="110"/>
        </w:trPr>
        <w:tc>
          <w:tcPr>
            <w:tcW w:w="41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4100" w:type="dxa"/>
            <w:vAlign w:val="bottom"/>
          </w:tcPr>
          <w:p>
            <w:pPr>
              <w:spacing w:after="0"/>
              <w:rPr>
                <w:sz w:val="20"/>
                <w:szCs w:val="20"/>
                <w:color w:val="auto"/>
              </w:rPr>
            </w:pPr>
            <w:r>
              <w:rPr>
                <w:rFonts w:ascii="Arial" w:cs="Arial" w:eastAsia="Arial" w:hAnsi="Arial"/>
                <w:sz w:val="18"/>
                <w:szCs w:val="18"/>
                <w:color w:val="auto"/>
              </w:rPr>
              <w:t>Revenues</w:t>
            </w:r>
          </w:p>
        </w:tc>
        <w:tc>
          <w:tcPr>
            <w:tcW w:w="2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145.9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130.9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227.8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206.5</w:t>
            </w:r>
          </w:p>
        </w:tc>
      </w:tr>
      <w:tr>
        <w:trPr>
          <w:trHeight w:val="365"/>
        </w:trPr>
        <w:tc>
          <w:tcPr>
            <w:tcW w:w="4100" w:type="dxa"/>
            <w:vAlign w:val="bottom"/>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12.9</w:t>
            </w:r>
          </w:p>
        </w:tc>
      </w:tr>
      <w:tr>
        <w:trPr>
          <w:trHeight w:val="110"/>
        </w:trPr>
        <w:tc>
          <w:tcPr>
            <w:tcW w:w="41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464"/>
        </w:trPr>
        <w:tc>
          <w:tcPr>
            <w:tcW w:w="41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bl>
    <w:p>
      <w:pPr>
        <w:spacing w:after="0" w:line="21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November 30, 2010 increased by $15.0 million, or 11.5%, to $145.9 million, compared to $130.9 million in the prior fiscal year quarter, primarily due to the favorable impact of foreign currency exchange rates of $5.8 million, in addition to an increase in revenue of $6.2 million in the Company’s Canadian and Australian operations. Revenues for the six months ended November 30, 2010 increased $21.3 million, or 10.3%, to $227.8 million, compared to $206.5 million during the prior fiscal year period, primarily due to higher revenues of $10.5 million in the Company’s Australian and Canadian operations and the favorable impact of foreign currency exchange rates of $9.0 million.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Segment operating income for the quarter ended November 30, 2010 increased by $10.5 million, or 70.9%, to $25.3 million, compared to $14.8 million in the prior fiscal year quarter, which included an impairment charge of $3.8 million related to customer lists acquired in connection with the dissolution of a joint venture, as well as restructuring costs of $1.9 million related to the consolidation of distribution facilities in the UK, as well as favorable results in the current fiscal quarter in the foreign rights business of $1.6 million. Segment operating income for the six months ended November 30, 2010 increased by $10.2 million, or 79.1%, to $23.1 million, compared to $12.9 million in the prior fiscal year period, primarily due to the reasons noted above, as well as the favorable results in the current period in the Company’s Australian and Canadian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2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9"/>
        </w:trPr>
        <w:tc>
          <w:tcPr>
            <w:tcW w:w="4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gridSpan w:val="3"/>
          </w:tcPr>
          <w:p>
            <w:pPr>
              <w:jc w:val="right"/>
              <w:ind w:right="512"/>
              <w:spacing w:after="0"/>
              <w:rPr>
                <w:sz w:val="20"/>
                <w:szCs w:val="20"/>
                <w:color w:val="auto"/>
              </w:rPr>
            </w:pPr>
            <w:r>
              <w:rPr>
                <w:rFonts w:ascii="Arial" w:cs="Arial" w:eastAsia="Arial" w:hAnsi="Arial"/>
                <w:sz w:val="18"/>
                <w:szCs w:val="18"/>
                <w:b w:val="1"/>
                <w:bCs w:val="1"/>
                <w:i w:val="1"/>
                <w:iCs w:val="1"/>
                <w:color w:val="auto"/>
                <w:w w:val="91"/>
              </w:rPr>
              <w:t>Three months ended</w:t>
            </w:r>
          </w:p>
        </w:tc>
        <w:tc>
          <w:tcPr>
            <w:tcW w:w="280" w:type="dxa"/>
            <w:vAlign w:val="bottom"/>
          </w:tcPr>
          <w:p>
            <w:pPr>
              <w:spacing w:after="0"/>
              <w:rPr>
                <w:sz w:val="24"/>
                <w:szCs w:val="24"/>
                <w:color w:val="auto"/>
              </w:rPr>
            </w:pPr>
          </w:p>
        </w:tc>
        <w:tc>
          <w:tcPr>
            <w:tcW w:w="2140" w:type="dxa"/>
            <w:vAlign w:val="bottom"/>
            <w:gridSpan w:val="3"/>
          </w:tcPr>
          <w:p>
            <w:pPr>
              <w:jc w:val="right"/>
              <w:ind w:right="512"/>
              <w:spacing w:after="0"/>
              <w:rPr>
                <w:sz w:val="20"/>
                <w:szCs w:val="20"/>
                <w:color w:val="auto"/>
              </w:rPr>
            </w:pPr>
            <w:r>
              <w:rPr>
                <w:rFonts w:ascii="Arial" w:cs="Arial" w:eastAsia="Arial" w:hAnsi="Arial"/>
                <w:sz w:val="18"/>
                <w:szCs w:val="18"/>
                <w:b w:val="1"/>
                <w:bCs w:val="1"/>
                <w:i w:val="1"/>
                <w:iCs w:val="1"/>
                <w:color w:val="auto"/>
                <w:w w:val="98"/>
              </w:rPr>
              <w:t>Six months ended</w:t>
            </w:r>
          </w:p>
        </w:tc>
      </w:tr>
      <w:tr>
        <w:trPr>
          <w:trHeight w:val="222"/>
        </w:trPr>
        <w:tc>
          <w:tcPr>
            <w:tcW w:w="45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260" w:type="dxa"/>
            <w:vAlign w:val="bottom"/>
          </w:tcPr>
          <w:p>
            <w:pPr>
              <w:spacing w:after="0"/>
              <w:rPr>
                <w:sz w:val="19"/>
                <w:szCs w:val="19"/>
                <w:color w:val="auto"/>
              </w:rPr>
            </w:pPr>
          </w:p>
        </w:tc>
        <w:tc>
          <w:tcPr>
            <w:tcW w:w="2240" w:type="dxa"/>
            <w:vAlign w:val="bottom"/>
            <w:gridSpan w:val="3"/>
          </w:tcPr>
          <w:p>
            <w:pPr>
              <w:jc w:val="right"/>
              <w:ind w:right="752"/>
              <w:spacing w:after="0"/>
              <w:rPr>
                <w:sz w:val="20"/>
                <w:szCs w:val="20"/>
                <w:color w:val="auto"/>
              </w:rPr>
            </w:pPr>
            <w:r>
              <w:rPr>
                <w:rFonts w:ascii="Arial" w:cs="Arial" w:eastAsia="Arial" w:hAnsi="Arial"/>
                <w:sz w:val="18"/>
                <w:szCs w:val="18"/>
                <w:b w:val="1"/>
                <w:bCs w:val="1"/>
                <w:i w:val="1"/>
                <w:iCs w:val="1"/>
                <w:color w:val="auto"/>
              </w:rPr>
              <w:t>November 30,</w:t>
            </w:r>
          </w:p>
        </w:tc>
        <w:tc>
          <w:tcPr>
            <w:tcW w:w="280" w:type="dxa"/>
            <w:vAlign w:val="bottom"/>
          </w:tcPr>
          <w:p>
            <w:pPr>
              <w:spacing w:after="0"/>
              <w:rPr>
                <w:sz w:val="19"/>
                <w:szCs w:val="19"/>
                <w:color w:val="auto"/>
              </w:rPr>
            </w:pPr>
          </w:p>
        </w:tc>
        <w:tc>
          <w:tcPr>
            <w:tcW w:w="2140" w:type="dxa"/>
            <w:vAlign w:val="bottom"/>
            <w:gridSpan w:val="3"/>
          </w:tcPr>
          <w:p>
            <w:pPr>
              <w:jc w:val="right"/>
              <w:ind w:right="65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452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4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2009</w:t>
            </w:r>
          </w:p>
        </w:tc>
      </w:tr>
      <w:tr>
        <w:trPr>
          <w:trHeight w:val="110"/>
        </w:trPr>
        <w:tc>
          <w:tcPr>
            <w:tcW w:w="452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40.9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37.8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58.4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52.9</w:t>
            </w:r>
          </w:p>
        </w:tc>
      </w:tr>
      <w:tr>
        <w:trPr>
          <w:trHeight w:val="365"/>
        </w:trPr>
        <w:tc>
          <w:tcPr>
            <w:tcW w:w="4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10"/>
        </w:trPr>
        <w:tc>
          <w:tcPr>
            <w:tcW w:w="452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432"/>
        </w:trPr>
        <w:tc>
          <w:tcPr>
            <w:tcW w:w="4520" w:type="dxa"/>
            <w:vAlign w:val="bottom"/>
          </w:tcPr>
          <w:p>
            <w:pPr>
              <w:ind w:left="440"/>
              <w:spacing w:after="0"/>
              <w:rPr>
                <w:sz w:val="20"/>
                <w:szCs w:val="20"/>
                <w:color w:val="auto"/>
              </w:rPr>
            </w:pPr>
            <w:r>
              <w:rPr>
                <w:rFonts w:ascii="Arial" w:cs="Arial" w:eastAsia="Arial" w:hAnsi="Arial"/>
                <w:sz w:val="18"/>
                <w:szCs w:val="18"/>
                <w:color w:val="auto"/>
              </w:rPr>
              <w:t>* Not meaningful</w:t>
            </w:r>
          </w:p>
        </w:tc>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November 30, 2010 increased by $3.1 million, or 8.2%, to $40.9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compared to $37.8 million in the prior fiscal year quarter, primarily due to increased revenues related to magazine advertising, partially offset by lower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and interactive products. Revenues for the six months ended November 30, 2010 increased by $5.5 million, or 10.4%, to $58.4 million,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$52.9 million in the prior year fiscal period, primarily due to higher advertising and production revenues partially offset by lower sales of software and interactive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w:t>
      </w:r>
    </w:p>
    <w:p>
      <w:pPr>
        <w:spacing w:after="0" w:line="219"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Segment operating income for the quarter ended November 30, 2010 increased by $2.1 million to $4.7 million, compared to $2.6 million in the prior fiscal year quarter primarily due to higher magazine advertising revenues. Segment operating income for the six months ended November 30, 2010 increased by $2.9 million to $1.8 million, compared to a segment operating loss of $1.1 million in the prior fiscal year period, primarily due to the higher magazine advertising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Company’s cash and cash equivalents totaled $54.4 million at November 30, 2010, compared to $244.1 million at May 31, 2010 and $178.3 million at November 30, 2009.</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Cash provided by operating activities decreased by $22.3 million to $83.5 million for the six months ended November 30, 2010, compared to $105.8 million of cash provided by operating activities in the prior fiscal year period.</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Net income in the current period increased from $32.5 million to $39.7 million, the prior period included $40.1 million of non-cash impairment charges. Accordingly, Net income adjusted for non-cash items yielded cash from operations of $122.1 million in the current year, compared to $155.6 million in the prior period, as a result of lower cash from operations of $33.5 million in the current year.</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working capital and other operating accounts increased by $43.1 million in the six months ended November 30, 2010, compared to an increase of $51.9 million in the prior period. The decrease in net cash provided by operations of $8.8 million in the current period compared to the prior period was attributable to:</w:t>
      </w:r>
    </w:p>
    <w:p>
      <w:pPr>
        <w:spacing w:after="0" w:line="208" w:lineRule="exact"/>
        <w:rPr>
          <w:sz w:val="20"/>
          <w:szCs w:val="20"/>
          <w:color w:val="auto"/>
        </w:rPr>
      </w:pPr>
    </w:p>
    <w:p>
      <w:pPr>
        <w:ind w:left="920" w:right="260" w:hanging="453"/>
        <w:spacing w:after="0" w:line="33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$75.7 million increase in accounts receivable in the current period compared to a $90.5 million increase in accounts receivable in the prior year period. Higher prior period sales of education technology products drove higher receivables in the first six months of fiscal 2010, and</w:t>
      </w:r>
    </w:p>
    <w:p>
      <w:pPr>
        <w:spacing w:after="0" w:line="71" w:lineRule="exact"/>
        <w:rPr>
          <w:rFonts w:ascii="Arial" w:cs="Arial" w:eastAsia="Arial" w:hAnsi="Arial"/>
          <w:sz w:val="16"/>
          <w:szCs w:val="16"/>
          <w:color w:val="auto"/>
        </w:rPr>
      </w:pPr>
    </w:p>
    <w:p>
      <w:pPr>
        <w:ind w:left="920" w:right="200" w:hanging="453"/>
        <w:spacing w:after="0" w:line="268"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accounts payable in the current period of $59.2 million compared to an increase in the prior period of $4.6 million. Higher accounts payable resulted from inventory purchases and the timing of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these items were:</w:t>
      </w:r>
    </w:p>
    <w:p>
      <w:pPr>
        <w:spacing w:after="0" w:line="158" w:lineRule="exact"/>
        <w:rPr>
          <w:sz w:val="20"/>
          <w:szCs w:val="20"/>
          <w:color w:val="auto"/>
        </w:rPr>
      </w:pPr>
    </w:p>
    <w:p>
      <w:pPr>
        <w:ind w:left="920" w:right="500" w:hanging="453"/>
        <w:spacing w:after="0" w:line="33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$62.8 million increase in inventories in the current period compared to an increase of $39.1 million in the prior year period driven by higher inventory purchases in the current period to re-stock following significant inventory reductions during the second half of fiscal 2010;</w:t>
      </w:r>
    </w:p>
    <w:p>
      <w:pPr>
        <w:spacing w:after="0" w:line="71" w:lineRule="exact"/>
        <w:rPr>
          <w:rFonts w:ascii="Arial" w:cs="Arial" w:eastAsia="Arial" w:hAnsi="Arial"/>
          <w:sz w:val="16"/>
          <w:szCs w:val="16"/>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greater increase of prepaid expenses and other current assets in the current period than in the prior year period;</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higher accruals in the prior year period than in the current period for employee-related and other costs, some of which were paid in fiscal 2011; and</w:t>
      </w:r>
    </w:p>
    <w:p>
      <w:pPr>
        <w:spacing w:after="0" w:line="180" w:lineRule="exact"/>
        <w:rPr>
          <w:rFonts w:ascii="Arial" w:cs="Arial" w:eastAsia="Arial" w:hAnsi="Arial"/>
          <w:sz w:val="16"/>
          <w:szCs w:val="16"/>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income tax payments in the current period of $8.8 million.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used in investing activities increased by $42.0 million to $81.1 million for the six months ended November 30, 2010, compared to $39.1 million in the prior fiscal year period. This change was primarily related to:</w:t>
      </w:r>
    </w:p>
    <w:p>
      <w:pPr>
        <w:spacing w:after="0" w:line="118" w:lineRule="exact"/>
        <w:rPr>
          <w:sz w:val="20"/>
          <w:szCs w:val="20"/>
          <w:color w:val="auto"/>
        </w:rPr>
      </w:pPr>
    </w:p>
    <w:p>
      <w:pPr>
        <w:ind w:left="920" w:right="400" w:hanging="453"/>
        <w:spacing w:after="0" w:line="26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property, plant and equipment, and prepublication and production costs in the current period of $47.6 million, compared to $39.3 million in the prior period, largely related to increased spending on digital initiatives;</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and related payments of $9.2 million in the current period; and</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of the land upon which the Company’s corporate headquarters are located for $24.3 million in the current period.</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Cash used in financing activities was $195.4 million for the six months ended November 30, 2010, compared to $29.2 million for the prior fiscal year period. The change was primarily due to the completion of a modified Dutch tender offer in the current period. The Company accepted for purchase 5,199,699 of its common shares at a price of $30.00 per share, for a total cost of $156.0 million, exclusive of related fees and expenses. The common shares purchased pursuant to the tender offer represented approximately 15.1 % of the common shares outstanding as of October 27, 2010. The Company funded the purchase of the shares in the tender offer using cash on hand and short term borrowings under its existing credit facility, which, borrowings were repaid prior to November 30, 2010.</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has maintained sufficient liquidity to fund ongoing operations, dividends, authorized common share repurchases (including its recently-completed tender offer), debt service, planned capital expenditures and other investments. As of November 30, 2010, the Company’s primary sources of liquidity consisted of cash and cash equivalents of $54.4 million, cash from operations, and borrowings remaining available under the Revolving Loan (as described under “Financing” below) totaling $325.0 million. Approximately 69% of the Company’s outstanding debt is not due until fiscal 2013, 28% is spread ratably over each preceding period and the remaining 3% represents borrowings under the Company’s lines of credit.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 The Company’s credit rating from Standard &amp; Poor’s Rating Services is “BB-” and its credit rating from Moody’s Investors Service is “Ba2.” Moody’s Investors Service has rated the outlook for the Company as “Positive,” and Standard and Poor’s Rating Services has rated the outlook for the Company as “Stable.” The Company is currently compliant with its debt covenants and expects to remain compliant for the foreseeable future.</w:t>
      </w:r>
    </w:p>
    <w:p>
      <w:pPr>
        <w:spacing w:after="0" w:line="18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interest rates for the Loan Agreement are associated with certain leverage ratios, and, accordingly, a change in the Company’s credit rating does not result in an increase or decrease in interest costs under the Company’s Loan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November 30, 2010, the Company’s credit lines available under unsecured money market bid rate credit lines totaled $20.0 million. There were no outstanding borrowings under these credit lines at November 30, 2010, May 31, 2010 and November 30, 2009.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November 30, 2010, the Company had various local currency credit lines, with maximum available borrowings in amounts equivalent to $33.8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$7.2 million at November 30, 2010 at a weighted average interest rate of 4.0%; $7.5 million at May 31, 2010 at a weighted average interest rate of 3.9%; and $13.0 million at November 30, 2009 at a weighted average interest rate of 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Term Loan, which may be prepaid at any time without penalty, requires quarterly principal payments of $10.7 million, with the first payment on December 31, 2007, and a final payment of $7.4 million due on June 1, 2012.</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as amended, is based on (1) a rate equal to the higher of (i) the prime rate, (ii) the prevailing Federal Funds rate plus 0.500% or (iii) the Eurodollar Rate for a one month interest period plus 1%; or (2) an adjusted LIBOR rate plus an applicable margin, ranging from 0.500% to 1.250% based upon the Company’s prevailing consolidated debt to total capital ratio. As of November 30, 2010, there were no borrowings outstanding under the Revolving Loan.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 of November 30, 2010, the applicable margin of the Term Loan was 0.750% and the applicable margin on the Revolving Loan was 0.600%. The Loan Agreement also provides for the payment of a facility fee ranging from 0.125% to 0.250% per annum on the Revolving Loan only, which at November 30, 2010, was 0.150%. As of November 30, 2010, $71.6 million was outstanding under the Term Loan at an interest rate of 1.01%.</w:t>
      </w:r>
    </w:p>
    <w:p>
      <w:pPr>
        <w:spacing w:after="0" w:line="16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of November 30, 2010, standby letters of credit outstanding issued under the Loan Agreement totaled $1.4 million. The Loan Agreement contains certain covenants, including interest coverage and leverage ratio tests and certain limitations on the amount of dividends and other distributions, and at November 30, 2010, the Company was in compliance with these covenants. See Note 5 of Notes to condensed consolidated financial statements – unaudited in Item 1, “Financial Statements,” for outstanding balances and interest rates for these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120" w:firstLine="8"/>
        <w:spacing w:after="0" w:line="255" w:lineRule="auto"/>
        <w:tabs>
          <w:tab w:leader="none" w:pos="2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repurchased $5.0 million and $2.5 million of the 5% Notes on the open market in fiscal 2010 and 2009, respectively. The Company did not make any additional repurchases during the six-month period ended November 30, 2010.</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total debt obligations were $231.2 million at November 30, 2010, $252.8 million at May 31, 2010 and $279.6 million at November 30, 2009. The lower level of debt at November 30, 2010 as compared to May 31, 2010 and November 30, 2009 was primarily due to repayments made on the Term Loan, repurchases of the Company’s 5% Notes on the open market in fiscal 2010 and reduced borrowings resulting from lower debt requirements.</w:t>
      </w:r>
    </w:p>
    <w:p>
      <w:pPr>
        <w:spacing w:after="0" w:line="16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5 of Notes to condensed consolidated financial statements – unaudited in Item 1,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in Item 1, “Financial Statements,” for information concerning recent accounting pronouncements since the filing of the Company’s Annual Report.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382" w:right="8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conditions in the children’s book and educational material markets and acceptance of the Company’s products in those markets, earnings per share, levels of government spending for educational programs, e-commerce and digital initiatives strategies, goals, revenues, improved efficiencies, general costs, manufacturing costs, medical costs, merit pay, operating margins, working capital, liquidity, capital needs, expected investing activity, interest costs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November 30, 2010,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34% of the Company’s debt at November 30, 2010 bore interest at a variable rate and was sensitive to changes in interest rates, compared to approximately 40% at May 31, 2010 and 45% at November 30, 2009. The decrease in variable-rate debt as of November 30, 2010 compared to May 31, 2010 and November 30, 2009, was primarily due to repayments made on the Term Loan.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November 30, 2010 (see Note 5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amounts in millions</w:t>
            </w:r>
            <w:r>
              <w:rPr>
                <w:rFonts w:ascii="Arial" w:cs="Arial" w:eastAsia="Arial" w:hAnsi="Arial"/>
                <w:sz w:val="18"/>
                <w:szCs w:val="18"/>
                <w:color w:val="auto"/>
              </w:rPr>
              <w:t xml:space="preserve"> )</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Fiscal Year Maturity</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10"/>
        </w:trPr>
        <w:tc>
          <w:tcPr>
            <w:tcW w:w="30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6"/>
        </w:trPr>
        <w:tc>
          <w:tcPr>
            <w:tcW w:w="30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372"/>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w w:val="94"/>
              </w:rPr>
              <w:t>2014</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gridSpan w:val="2"/>
          </w:tcPr>
          <w:p>
            <w:pPr>
              <w:ind w:left="260"/>
              <w:spacing w:after="0"/>
              <w:rPr>
                <w:sz w:val="20"/>
                <w:szCs w:val="20"/>
                <w:color w:val="auto"/>
              </w:rPr>
            </w:pPr>
            <w:r>
              <w:rPr>
                <w:rFonts w:ascii="Arial" w:cs="Arial" w:eastAsia="Arial" w:hAnsi="Arial"/>
                <w:sz w:val="18"/>
                <w:szCs w:val="18"/>
                <w:b w:val="1"/>
                <w:bCs w:val="1"/>
                <w:color w:val="auto"/>
              </w:rPr>
              <w:t>Thereafter</w:t>
            </w: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Total</w:t>
            </w:r>
          </w:p>
        </w:tc>
      </w:tr>
      <w:tr>
        <w:trPr>
          <w:trHeight w:val="309"/>
        </w:trPr>
        <w:tc>
          <w:tcPr>
            <w:tcW w:w="300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Lines of Credit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7.2</w:t>
            </w: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Average interest rate</w:t>
            </w:r>
          </w:p>
        </w:tc>
        <w:tc>
          <w:tcPr>
            <w:tcW w:w="7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58"/>
        </w:trPr>
        <w:tc>
          <w:tcPr>
            <w:tcW w:w="3000" w:type="dxa"/>
            <w:vAlign w:val="bottom"/>
          </w:tcPr>
          <w:p>
            <w:pPr>
              <w:spacing w:after="0"/>
              <w:rPr>
                <w:sz w:val="20"/>
                <w:szCs w:val="20"/>
                <w:color w:val="auto"/>
              </w:rPr>
            </w:pPr>
            <w:r>
              <w:rPr>
                <w:rFonts w:ascii="Arial" w:cs="Arial" w:eastAsia="Arial" w:hAnsi="Arial"/>
                <w:sz w:val="18"/>
                <w:szCs w:val="18"/>
                <w:color w:val="auto"/>
              </w:rPr>
              <w:t>Long-term debt including current</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3000" w:type="dxa"/>
            <w:vAlign w:val="bottom"/>
          </w:tcPr>
          <w:p>
            <w:pPr>
              <w:ind w:left="320"/>
              <w:spacing w:after="0"/>
              <w:rPr>
                <w:sz w:val="20"/>
                <w:szCs w:val="20"/>
                <w:color w:val="auto"/>
              </w:rPr>
            </w:pPr>
            <w:r>
              <w:rPr>
                <w:rFonts w:ascii="Arial" w:cs="Arial" w:eastAsia="Arial" w:hAnsi="Arial"/>
                <w:sz w:val="18"/>
                <w:szCs w:val="18"/>
                <w:color w:val="auto"/>
              </w:rPr>
              <w:t>Fixed-rate debt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153.0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153.0</w:t>
            </w:r>
          </w:p>
        </w:tc>
      </w:tr>
      <w:tr>
        <w:trPr>
          <w:trHeight w:val="222"/>
        </w:trPr>
        <w:tc>
          <w:tcPr>
            <w:tcW w:w="3000" w:type="dxa"/>
            <w:vAlign w:val="bottom"/>
          </w:tcPr>
          <w:p>
            <w:pPr>
              <w:ind w:left="320"/>
              <w:spacing w:after="0"/>
              <w:rPr>
                <w:sz w:val="20"/>
                <w:szCs w:val="20"/>
                <w:color w:val="auto"/>
              </w:rPr>
            </w:pPr>
            <w:r>
              <w:rPr>
                <w:rFonts w:ascii="Arial" w:cs="Arial" w:eastAsia="Arial" w:hAnsi="Arial"/>
                <w:sz w:val="18"/>
                <w:szCs w:val="18"/>
                <w:color w:val="auto"/>
              </w:rPr>
              <w:t>Interest rate</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59"/>
        </w:trPr>
        <w:tc>
          <w:tcPr>
            <w:tcW w:w="3000" w:type="dxa"/>
            <w:vAlign w:val="bottom"/>
          </w:tcPr>
          <w:p>
            <w:pPr>
              <w:ind w:left="320"/>
              <w:spacing w:after="0"/>
              <w:rPr>
                <w:sz w:val="20"/>
                <w:szCs w:val="20"/>
                <w:color w:val="auto"/>
              </w:rPr>
            </w:pPr>
            <w:r>
              <w:rPr>
                <w:rFonts w:ascii="Arial" w:cs="Arial" w:eastAsia="Arial" w:hAnsi="Arial"/>
                <w:sz w:val="18"/>
                <w:szCs w:val="18"/>
                <w:color w:val="auto"/>
              </w:rPr>
              <w:t>Variable rate debt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42.8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71.6</w:t>
            </w:r>
          </w:p>
        </w:tc>
      </w:tr>
      <w:tr>
        <w:trPr>
          <w:trHeight w:val="372"/>
        </w:trPr>
        <w:tc>
          <w:tcPr>
            <w:tcW w:w="3000" w:type="dxa"/>
            <w:vAlign w:val="bottom"/>
            <w:tcBorders>
              <w:bottom w:val="single" w:sz="8" w:color="808080"/>
            </w:tcBorders>
          </w:tcPr>
          <w:p>
            <w:pPr>
              <w:ind w:left="32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(2)</w:t>
            </w:r>
          </w:p>
        </w:tc>
        <w:tc>
          <w:tcPr>
            <w:tcW w:w="7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35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2011 includes the remaining six months of the current fiscal year, ending May 31, 2011.</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interest rate under the Term Loan at November 30, 2010; the interest rate is subject to change over the life of the Term Loan.</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November 30, 2010,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November 30, 2010 that has materially affected, or is reasonably likely to materially affect, the Corporation’s internal control over financial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reported, the Company is party to certain actions originally filed by each of Alaska Laborer Employers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On September 30, 2010, the Court granted the Company’s motion to dismiss the second amended complaint for failure to state a cause of action, while also granting leave to the plaintiff to move to file a new proposed amended complaint. On December 1, 2010, the plaintiff filed a motion for leave to file a proposed third amended class action complaint, as well as a motion to replace Alaska Laborer Employers Retirement Fund with City of Sterling Heights Police and Fire Retirement System as lead plaintiff. The proposed third amended class action complaint shortens the original class action period to end on December 16, 2005 rather than on March 23, 2006, but otherwise continues to allege securities fraud relating to statements made by the Company concerning its operations and financial results, now for the period between March 18, 2005 and December 16, 2005, and seeks unspecified compensatory damages. The Company continues to believe that the allegations in such complaint are without merit and is vigorously defending the lawsuit.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three months ended November 30, 2010:</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Total</w:t>
      </w:r>
    </w:p>
    <w:p>
      <w:pPr>
        <w:spacing w:after="0" w:line="21"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number of shares</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5"/>
          <w:szCs w:val="15"/>
          <w:b w:val="1"/>
          <w:bCs w:val="1"/>
          <w:color w:val="auto"/>
        </w:rPr>
        <w:t>purchased as part of</w:t>
      </w:r>
    </w:p>
    <w:p>
      <w:pPr>
        <w:spacing w:after="0" w:line="44" w:lineRule="exact"/>
        <w:rPr>
          <w:sz w:val="20"/>
          <w:szCs w:val="20"/>
          <w:color w:val="auto"/>
        </w:rPr>
      </w:pPr>
    </w:p>
    <w:p>
      <w:pPr>
        <w:ind w:left="3380"/>
        <w:spacing w:after="0"/>
        <w:tabs>
          <w:tab w:leader="none" w:pos="5220" w:val="left"/>
          <w:tab w:leader="none" w:pos="7100" w:val="left"/>
        </w:tabs>
        <w:rPr>
          <w:sz w:val="20"/>
          <w:szCs w:val="20"/>
          <w:color w:val="auto"/>
        </w:rPr>
      </w:pPr>
      <w:r>
        <w:rPr>
          <w:rFonts w:ascii="Arial" w:cs="Arial" w:eastAsia="Arial" w:hAnsi="Arial"/>
          <w:sz w:val="18"/>
          <w:szCs w:val="18"/>
          <w:b w:val="1"/>
          <w:bCs w:val="1"/>
          <w:color w:val="auto"/>
        </w:rPr>
        <w:t>Total number of</w:t>
      </w:r>
      <w:r>
        <w:rPr>
          <w:sz w:val="20"/>
          <w:szCs w:val="20"/>
          <w:color w:val="auto"/>
        </w:rPr>
        <w:tab/>
      </w:r>
      <w:r>
        <w:rPr>
          <w:rFonts w:ascii="Arial" w:cs="Arial" w:eastAsia="Arial" w:hAnsi="Arial"/>
          <w:sz w:val="18"/>
          <w:szCs w:val="18"/>
          <w:b w:val="1"/>
          <w:bCs w:val="1"/>
          <w:color w:val="auto"/>
        </w:rPr>
        <w:t>Average price paid</w:t>
      </w:r>
      <w:r>
        <w:rPr>
          <w:sz w:val="20"/>
          <w:szCs w:val="20"/>
          <w:color w:val="auto"/>
        </w:rPr>
        <w:tab/>
      </w:r>
      <w:r>
        <w:rPr>
          <w:rFonts w:ascii="Arial" w:cs="Arial" w:eastAsia="Arial" w:hAnsi="Arial"/>
          <w:sz w:val="15"/>
          <w:szCs w:val="15"/>
          <w:b w:val="1"/>
          <w:bCs w:val="1"/>
          <w:color w:val="auto"/>
        </w:rPr>
        <w:t>publicly announced</w:t>
      </w:r>
    </w:p>
    <w:p>
      <w:pPr>
        <w:spacing w:after="0" w:line="9" w:lineRule="exact"/>
        <w:rPr>
          <w:sz w:val="20"/>
          <w:szCs w:val="20"/>
          <w:color w:val="auto"/>
        </w:rPr>
      </w:pPr>
    </w:p>
    <w:p>
      <w:pPr>
        <w:ind w:left="1180"/>
        <w:spacing w:after="0"/>
        <w:tabs>
          <w:tab w:leader="none" w:pos="3320" w:val="left"/>
          <w:tab w:leader="none" w:pos="5580" w:val="left"/>
          <w:tab w:leader="none" w:pos="7140" w:val="left"/>
        </w:tabs>
        <w:rPr>
          <w:sz w:val="20"/>
          <w:szCs w:val="20"/>
          <w:color w:val="auto"/>
        </w:rPr>
      </w:pPr>
      <w:r>
        <w:rPr>
          <w:rFonts w:ascii="Arial" w:cs="Arial" w:eastAsia="Arial" w:hAnsi="Arial"/>
          <w:sz w:val="18"/>
          <w:szCs w:val="18"/>
          <w:b w:val="1"/>
          <w:bCs w:val="1"/>
          <w:color w:val="auto"/>
        </w:rPr>
        <w:t>Period</w:t>
      </w:r>
      <w:r>
        <w:rPr>
          <w:sz w:val="20"/>
          <w:szCs w:val="20"/>
          <w:color w:val="auto"/>
        </w:rPr>
        <w:tab/>
      </w:r>
      <w:r>
        <w:rPr>
          <w:rFonts w:ascii="Arial" w:cs="Arial" w:eastAsia="Arial" w:hAnsi="Arial"/>
          <w:sz w:val="18"/>
          <w:szCs w:val="18"/>
          <w:b w:val="1"/>
          <w:bCs w:val="1"/>
          <w:color w:val="auto"/>
        </w:rPr>
        <w:t>shares purchased</w:t>
      </w:r>
      <w:r>
        <w:rPr>
          <w:sz w:val="20"/>
          <w:szCs w:val="20"/>
          <w:color w:val="auto"/>
        </w:rPr>
        <w:tab/>
      </w:r>
      <w:r>
        <w:rPr>
          <w:rFonts w:ascii="Arial" w:cs="Arial" w:eastAsia="Arial" w:hAnsi="Arial"/>
          <w:sz w:val="18"/>
          <w:szCs w:val="18"/>
          <w:b w:val="1"/>
          <w:bCs w:val="1"/>
          <w:color w:val="auto"/>
        </w:rPr>
        <w:t>per share</w:t>
      </w:r>
      <w:r>
        <w:rPr>
          <w:sz w:val="20"/>
          <w:szCs w:val="20"/>
          <w:color w:val="auto"/>
        </w:rPr>
        <w:tab/>
      </w:r>
      <w:r>
        <w:rPr>
          <w:rFonts w:ascii="Arial" w:cs="Arial" w:eastAsia="Arial" w:hAnsi="Arial"/>
          <w:sz w:val="15"/>
          <w:szCs w:val="15"/>
          <w:b w:val="1"/>
          <w:bCs w:val="1"/>
          <w:color w:val="auto"/>
        </w:rPr>
        <w:t>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460"/>
        <w:spacing w:after="0" w:line="298" w:lineRule="auto"/>
        <w:rPr>
          <w:sz w:val="20"/>
          <w:szCs w:val="20"/>
          <w:color w:val="auto"/>
        </w:rPr>
      </w:pPr>
      <w:r>
        <w:rPr>
          <w:rFonts w:ascii="Arial" w:cs="Arial" w:eastAsia="Arial" w:hAnsi="Arial"/>
          <w:sz w:val="16"/>
          <w:szCs w:val="16"/>
          <w:b w:val="1"/>
          <w:bCs w:val="1"/>
          <w:color w:val="auto"/>
        </w:rPr>
        <w:t xml:space="preserve">Maximum number of shares (or approximate dollar value) that may yet be purchased under the plans or programs </w:t>
      </w:r>
      <w:r>
        <w:rPr>
          <w:rFonts w:ascii="Arial" w:cs="Arial" w:eastAsia="Arial" w:hAnsi="Arial"/>
          <w:sz w:val="26"/>
          <w:szCs w:val="26"/>
          <w:b w:val="1"/>
          <w:bCs w:val="1"/>
          <w:color w:val="auto"/>
          <w:vertAlign w:val="superscript"/>
        </w:rPr>
        <w:t>(1)</w:t>
      </w:r>
    </w:p>
    <w:p>
      <w:pPr>
        <w:spacing w:after="0" w:line="59" w:lineRule="exact"/>
        <w:rPr>
          <w:sz w:val="20"/>
          <w:szCs w:val="20"/>
          <w:color w:val="auto"/>
        </w:rPr>
      </w:pPr>
    </w:p>
    <w:p>
      <w:pPr>
        <w:sectPr>
          <w:pgSz w:w="11900" w:h="16838" w:orient="portrait"/>
          <w:cols w:equalWidth="0" w:num="2">
            <w:col w:w="8620" w:space="620"/>
            <w:col w:w="2200"/>
          </w:cols>
          <w:pgMar w:left="240" w:top="382" w:right="2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September 1, 2010 through</w:t>
            </w: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8"/>
                <w:szCs w:val="18"/>
                <w:color w:val="auto"/>
              </w:rPr>
              <w:t>September 30, 2010</w:t>
            </w:r>
          </w:p>
        </w:tc>
        <w:tc>
          <w:tcPr>
            <w:tcW w:w="22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92"/>
              <w:spacing w:after="0"/>
              <w:rPr>
                <w:sz w:val="20"/>
                <w:szCs w:val="20"/>
                <w:color w:val="auto"/>
              </w:rPr>
            </w:pPr>
            <w:r>
              <w:rPr>
                <w:rFonts w:ascii="Arial" w:cs="Arial" w:eastAsia="Arial" w:hAnsi="Arial"/>
                <w:sz w:val="18"/>
                <w:szCs w:val="18"/>
                <w:color w:val="auto"/>
              </w:rPr>
              <w:t>0.5</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October 1, 2010 through</w:t>
            </w: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8"/>
                <w:szCs w:val="18"/>
                <w:color w:val="auto"/>
              </w:rPr>
              <w:t>October 31, 2010</w:t>
            </w:r>
          </w:p>
        </w:tc>
        <w:tc>
          <w:tcPr>
            <w:tcW w:w="2200" w:type="dxa"/>
            <w:vAlign w:val="bottom"/>
          </w:tcPr>
          <w:p>
            <w:pPr>
              <w:jc w:val="right"/>
              <w:ind w:right="472"/>
              <w:spacing w:after="0"/>
              <w:rPr>
                <w:sz w:val="20"/>
                <w:szCs w:val="20"/>
                <w:color w:val="auto"/>
              </w:rPr>
            </w:pPr>
            <w:r>
              <w:rPr>
                <w:rFonts w:ascii="Arial" w:cs="Arial" w:eastAsia="Arial" w:hAnsi="Arial"/>
                <w:sz w:val="18"/>
                <w:szCs w:val="18"/>
                <w:color w:val="auto"/>
              </w:rPr>
              <w:t>5,199,699</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2"/>
              <w:spacing w:after="0"/>
              <w:rPr>
                <w:sz w:val="20"/>
                <w:szCs w:val="20"/>
                <w:color w:val="auto"/>
              </w:rPr>
            </w:pPr>
            <w:r>
              <w:rPr>
                <w:rFonts w:ascii="Arial" w:cs="Arial" w:eastAsia="Arial" w:hAnsi="Arial"/>
                <w:sz w:val="18"/>
                <w:szCs w:val="18"/>
                <w:color w:val="auto"/>
                <w:w w:val="97"/>
              </w:rPr>
              <w:t>30.00</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5,199,699</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92"/>
              <w:spacing w:after="0"/>
              <w:rPr>
                <w:sz w:val="20"/>
                <w:szCs w:val="20"/>
                <w:color w:val="auto"/>
              </w:rPr>
            </w:pPr>
            <w:r>
              <w:rPr>
                <w:rFonts w:ascii="Arial" w:cs="Arial" w:eastAsia="Arial" w:hAnsi="Arial"/>
                <w:sz w:val="18"/>
                <w:szCs w:val="18"/>
                <w:color w:val="auto"/>
              </w:rPr>
              <w:t>44.5</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November 1, 2010 through</w:t>
            </w: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2860" w:type="dxa"/>
            <w:vAlign w:val="bottom"/>
          </w:tcPr>
          <w:p>
            <w:pPr>
              <w:ind w:left="160"/>
              <w:spacing w:after="0"/>
              <w:rPr>
                <w:sz w:val="20"/>
                <w:szCs w:val="20"/>
                <w:color w:val="auto"/>
              </w:rPr>
            </w:pPr>
            <w:r>
              <w:rPr>
                <w:rFonts w:ascii="Arial" w:cs="Arial" w:eastAsia="Arial" w:hAnsi="Arial"/>
                <w:sz w:val="18"/>
                <w:szCs w:val="18"/>
                <w:color w:val="auto"/>
              </w:rPr>
              <w:t>November 30, 2010</w:t>
            </w:r>
          </w:p>
        </w:tc>
        <w:tc>
          <w:tcPr>
            <w:tcW w:w="22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92"/>
              <w:spacing w:after="0"/>
              <w:rPr>
                <w:sz w:val="20"/>
                <w:szCs w:val="20"/>
                <w:color w:val="auto"/>
              </w:rPr>
            </w:pPr>
            <w:r>
              <w:rPr>
                <w:rFonts w:ascii="Arial" w:cs="Arial" w:eastAsia="Arial" w:hAnsi="Arial"/>
                <w:sz w:val="18"/>
                <w:szCs w:val="18"/>
                <w:color w:val="auto"/>
              </w:rPr>
              <w:t>44.5</w:t>
            </w:r>
          </w:p>
        </w:tc>
      </w:tr>
      <w:tr>
        <w:trPr>
          <w:trHeight w:val="365"/>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jc w:val="right"/>
              <w:ind w:right="472"/>
              <w:spacing w:after="0"/>
              <w:rPr>
                <w:sz w:val="20"/>
                <w:szCs w:val="20"/>
                <w:color w:val="auto"/>
              </w:rPr>
            </w:pPr>
            <w:r>
              <w:rPr>
                <w:rFonts w:ascii="Arial" w:cs="Arial" w:eastAsia="Arial" w:hAnsi="Arial"/>
                <w:sz w:val="18"/>
                <w:szCs w:val="18"/>
                <w:color w:val="auto"/>
              </w:rPr>
              <w:t>5,199,699</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2"/>
              <w:spacing w:after="0"/>
              <w:rPr>
                <w:sz w:val="20"/>
                <w:szCs w:val="20"/>
                <w:color w:val="auto"/>
              </w:rPr>
            </w:pPr>
            <w:r>
              <w:rPr>
                <w:rFonts w:ascii="Arial" w:cs="Arial" w:eastAsia="Arial" w:hAnsi="Arial"/>
                <w:sz w:val="18"/>
                <w:szCs w:val="18"/>
                <w:color w:val="auto"/>
                <w:w w:val="97"/>
              </w:rPr>
              <w:t>30.00</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5,199,699</w:t>
            </w: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0"/>
        </w:trPr>
        <w:tc>
          <w:tcPr>
            <w:tcW w:w="286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460" w:right="1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December 16, 2009, the Company announced that its Board of Directors had authorized a new program to purchase up to $20.0 million of Common Stock, from time to time as conditions allow, on the open market or through negotiated private transactions. As of September 30, 2010 approximately $0.5 million remained of such authorization.</w:t>
      </w:r>
    </w:p>
    <w:p>
      <w:pPr>
        <w:spacing w:after="0" w:line="126" w:lineRule="exact"/>
        <w:rPr>
          <w:rFonts w:ascii="Arial" w:cs="Arial" w:eastAsia="Arial" w:hAnsi="Arial"/>
          <w:sz w:val="18"/>
          <w:szCs w:val="18"/>
          <w:color w:val="auto"/>
        </w:rPr>
      </w:pPr>
    </w:p>
    <w:p>
      <w:pPr>
        <w:ind w:left="460" w:right="260"/>
        <w:spacing w:after="0" w:line="291" w:lineRule="auto"/>
        <w:rPr>
          <w:rFonts w:ascii="Arial" w:cs="Arial" w:eastAsia="Arial" w:hAnsi="Arial"/>
          <w:sz w:val="18"/>
          <w:szCs w:val="18"/>
          <w:color w:val="auto"/>
        </w:rPr>
      </w:pPr>
      <w:r>
        <w:rPr>
          <w:rFonts w:ascii="Arial" w:cs="Arial" w:eastAsia="Arial" w:hAnsi="Arial"/>
          <w:sz w:val="16"/>
          <w:szCs w:val="16"/>
          <w:color w:val="auto"/>
        </w:rPr>
        <w:t>On September 28, 2010, the Company announced the commencement of a modified Dutch auction tender offer to purchase up to $150 million of its common stock at a price not less than $27.00 per share and not more than $33.00 per share. On November 3, 2010, the Company announced that it had purchased the shares indicated in the table above at a purchase price of $30.00 per share, for an aggregate purchase price of approximately $156 million, and that approximately $44.5 million remained for the repurchase of common stock under the current Board authorizations, which amount includes the $0.5 million remaining from the prior Board authorization. These purchases may be made from time to time on the open market or through negotiated private transactions. Accordingly, as of November 30, 2010, approximately $44.5 million remained of the current Board authorizations.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Exhibits:</w:t>
            </w:r>
          </w:p>
        </w:tc>
        <w:tc>
          <w:tcPr>
            <w:tcW w:w="9700" w:type="dxa"/>
            <w:vAlign w:val="bottom"/>
          </w:tcPr>
          <w:p>
            <w:pPr>
              <w:spacing w:after="0"/>
              <w:rPr>
                <w:sz w:val="19"/>
                <w:szCs w:val="19"/>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tcPr>
          <w:p>
            <w:pPr>
              <w:ind w:left="18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tcPr>
          <w:p>
            <w:pPr>
              <w:ind w:left="18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020" w:hanging="1012"/>
        <w:spacing w:after="0" w:line="26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Schema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Calculation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2"/>
              </w:rPr>
              <w:t>XBRL Taxonomy Extension Definitions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Labels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89"/>
              </w:rPr>
              <w:t>XBRL Taxonomy Extension Presentation Document</w:t>
            </w:r>
          </w:p>
        </w:tc>
      </w:tr>
    </w:tbl>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382" w:right="8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color w:val="auto"/>
        </w:rPr>
        <w:t>Date: December 22,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80010</wp:posOffset>
            </wp:positionV>
            <wp:extent cx="32848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6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Executive Officer</w:t>
      </w:r>
    </w:p>
    <w:p>
      <w:pPr>
        <w:spacing w:after="0" w:line="300"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December 22, 2010</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80010</wp:posOffset>
            </wp:positionV>
            <wp:extent cx="32848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6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NOVEMBER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ind w:left="140"/>
              <w:spacing w:after="0"/>
              <w:rPr>
                <w:sz w:val="20"/>
                <w:szCs w:val="20"/>
                <w:color w:val="auto"/>
              </w:rPr>
            </w:pPr>
            <w:r>
              <w:rPr>
                <w:rFonts w:ascii="Arial" w:cs="Arial" w:eastAsia="Arial" w:hAnsi="Arial"/>
                <w:sz w:val="18"/>
                <w:szCs w:val="18"/>
                <w:b w:val="1"/>
                <w:bCs w:val="1"/>
                <w:color w:val="auto"/>
              </w:rPr>
              <w:t>Exhibit Number</w:t>
            </w:r>
          </w:p>
        </w:tc>
        <w:tc>
          <w:tcPr>
            <w:tcW w:w="9520" w:type="dxa"/>
            <w:vAlign w:val="bottom"/>
            <w:gridSpan w:val="3"/>
          </w:tcPr>
          <w:p>
            <w:pPr>
              <w:ind w:left="440"/>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5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7180" w:type="dxa"/>
            <w:vAlign w:val="bottom"/>
          </w:tcPr>
          <w:p>
            <w:pPr>
              <w:spacing w:after="0"/>
              <w:rPr>
                <w:sz w:val="9"/>
                <w:szCs w:val="9"/>
                <w:color w:val="auto"/>
              </w:rPr>
            </w:pPr>
          </w:p>
        </w:tc>
      </w:tr>
      <w:tr>
        <w:trPr>
          <w:trHeight w:val="458"/>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w:t>
            </w:r>
          </w:p>
        </w:tc>
      </w:tr>
      <w:tr>
        <w:trPr>
          <w:trHeight w:val="222"/>
        </w:trPr>
        <w:tc>
          <w:tcPr>
            <w:tcW w:w="1500" w:type="dxa"/>
            <w:vAlign w:val="bottom"/>
          </w:tcPr>
          <w:p>
            <w:pPr>
              <w:spacing w:after="0"/>
              <w:rPr>
                <w:sz w:val="19"/>
                <w:szCs w:val="19"/>
                <w:color w:val="auto"/>
              </w:rPr>
            </w:pPr>
          </w:p>
        </w:tc>
        <w:tc>
          <w:tcPr>
            <w:tcW w:w="234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7180" w:type="dxa"/>
            <w:vAlign w:val="bottom"/>
          </w:tcPr>
          <w:p>
            <w:pPr>
              <w:spacing w:after="0"/>
              <w:rPr>
                <w:sz w:val="19"/>
                <w:szCs w:val="19"/>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w:t>
            </w:r>
          </w:p>
        </w:tc>
      </w:tr>
      <w:tr>
        <w:trPr>
          <w:trHeight w:val="222"/>
        </w:trPr>
        <w:tc>
          <w:tcPr>
            <w:tcW w:w="1500" w:type="dxa"/>
            <w:vAlign w:val="bottom"/>
          </w:tcPr>
          <w:p>
            <w:pPr>
              <w:spacing w:after="0"/>
              <w:rPr>
                <w:sz w:val="19"/>
                <w:szCs w:val="19"/>
                <w:color w:val="auto"/>
              </w:rPr>
            </w:pPr>
          </w:p>
        </w:tc>
        <w:tc>
          <w:tcPr>
            <w:tcW w:w="234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7180" w:type="dxa"/>
            <w:vAlign w:val="bottom"/>
          </w:tcPr>
          <w:p>
            <w:pPr>
              <w:spacing w:after="0"/>
              <w:rPr>
                <w:sz w:val="19"/>
                <w:szCs w:val="19"/>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32</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w w:val="90"/>
              </w:rPr>
              <w:t>Certifications of the Chief Executive Officer and Chief Financial Officer of Scholastic Corporation furnished pursuant to Section</w:t>
            </w:r>
          </w:p>
        </w:tc>
      </w:tr>
      <w:tr>
        <w:trPr>
          <w:trHeight w:val="222"/>
        </w:trPr>
        <w:tc>
          <w:tcPr>
            <w:tcW w:w="1500" w:type="dxa"/>
            <w:vAlign w:val="bottom"/>
          </w:tcPr>
          <w:p>
            <w:pPr>
              <w:spacing w:after="0"/>
              <w:rPr>
                <w:sz w:val="19"/>
                <w:szCs w:val="19"/>
                <w:color w:val="auto"/>
              </w:rPr>
            </w:pP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906 of the Sarbanes-Oxley Act of 2002.</w:t>
            </w:r>
          </w:p>
        </w:tc>
      </w:tr>
      <w:tr>
        <w:trPr>
          <w:trHeight w:val="365"/>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XBRL Instance Document *</w:t>
            </w:r>
          </w:p>
        </w:tc>
      </w:tr>
      <w:tr>
        <w:trPr>
          <w:trHeight w:val="365"/>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Schema Document *</w:t>
            </w:r>
          </w:p>
        </w:tc>
      </w:tr>
      <w:tr>
        <w:trPr>
          <w:trHeight w:val="365"/>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Calculation Document *</w:t>
            </w:r>
          </w:p>
        </w:tc>
      </w:tr>
      <w:tr>
        <w:trPr>
          <w:trHeight w:val="365"/>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Definitions Document *</w:t>
            </w:r>
          </w:p>
        </w:tc>
      </w:tr>
      <w:tr>
        <w:trPr>
          <w:trHeight w:val="365"/>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952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ind w:firstLine="8"/>
        <w:spacing w:after="0" w:line="268" w:lineRule="auto"/>
        <w:tabs>
          <w:tab w:leader="none" w:pos="1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2010</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2010</w:t>
      </w:r>
    </w:p>
    <w:p>
      <w:pPr>
        <w:spacing w:after="0" w:line="23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173990</wp:posOffset>
            </wp:positionV>
            <wp:extent cx="25730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63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wp:posOffset>
            </wp:positionV>
            <wp:extent cx="72675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November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880" w:hanging="463"/>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30, 2010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463"/>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Date: December 22, 2010</w:t>
            </w:r>
          </w:p>
        </w:tc>
        <w:tc>
          <w:tcPr>
            <w:tcW w:w="312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6860" w:type="dxa"/>
            <w:vAlign w:val="bottom"/>
          </w:tcPr>
          <w:p>
            <w:pPr>
              <w:spacing w:after="0"/>
              <w:rPr>
                <w:sz w:val="20"/>
                <w:szCs w:val="20"/>
                <w:color w:val="auto"/>
              </w:rPr>
            </w:pPr>
            <w:r>
              <w:rPr>
                <w:rFonts w:ascii="Arial" w:cs="Arial" w:eastAsia="Arial" w:hAnsi="Arial"/>
                <w:sz w:val="18"/>
                <w:szCs w:val="18"/>
                <w:color w:val="auto"/>
              </w:rPr>
              <w:t>Date: December 22, 2010</w:t>
            </w:r>
          </w:p>
        </w:tc>
        <w:tc>
          <w:tcPr>
            <w:tcW w:w="3120" w:type="dxa"/>
            <w:vAlign w:val="bottom"/>
          </w:tcPr>
          <w:p>
            <w:pPr>
              <w:spacing w:after="0"/>
              <w:rPr>
                <w:sz w:val="20"/>
                <w:szCs w:val="20"/>
                <w:color w:val="auto"/>
              </w:rPr>
            </w:pPr>
            <w:r>
              <w:rPr>
                <w:rFonts w:ascii="Arial" w:cs="Arial" w:eastAsia="Arial" w:hAnsi="Arial"/>
                <w:sz w:val="18"/>
                <w:szCs w:val="18"/>
                <w:color w:val="auto"/>
              </w:rPr>
              <w:t>/s/Maureen O’Connell</w:t>
            </w:r>
          </w:p>
        </w:tc>
      </w:tr>
      <w:tr>
        <w:trPr>
          <w:trHeight w:val="259"/>
        </w:trPr>
        <w:tc>
          <w:tcPr>
            <w:tcW w:w="6860" w:type="dxa"/>
            <w:vAlign w:val="bottom"/>
          </w:tcPr>
          <w:p>
            <w:pPr>
              <w:spacing w:after="0"/>
              <w:rPr>
                <w:sz w:val="22"/>
                <w:szCs w:val="22"/>
                <w:color w:val="auto"/>
              </w:rPr>
            </w:pPr>
          </w:p>
        </w:tc>
        <w:tc>
          <w:tcPr>
            <w:tcW w:w="3120" w:type="dxa"/>
            <w:vAlign w:val="bottom"/>
            <w:tcBorders>
              <w:bottom w:val="single" w:sz="8" w:color="808080"/>
            </w:tcBorders>
          </w:tcPr>
          <w:p>
            <w:pPr>
              <w:spacing w:after="0"/>
              <w:rPr>
                <w:sz w:val="22"/>
                <w:szCs w:val="22"/>
                <w:color w:val="auto"/>
              </w:rPr>
            </w:pPr>
          </w:p>
        </w:tc>
      </w:tr>
      <w:tr>
        <w:trPr>
          <w:trHeight w:val="309"/>
        </w:trPr>
        <w:tc>
          <w:tcPr>
            <w:tcW w:w="68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Maureen O’Connell</w:t>
            </w:r>
          </w:p>
        </w:tc>
      </w:tr>
      <w:tr>
        <w:trPr>
          <w:trHeight w:val="222"/>
        </w:trPr>
        <w:tc>
          <w:tcPr>
            <w:tcW w:w="6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Roman"/>
      <w:start w:val="2"/>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32"/>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2019-12-10T09:25:04Z</dcterms:created>
  <dcterms:modified xsi:type="dcterms:W3CDTF">2019-12-10T09:25:04Z</dcterms:modified>
</cp:coreProperties>
</file>