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27"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FORM 10-Q</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QUARTERLY REPORT PURSUANT TO SECTION 13 OR 15(d) OF</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THE SECURITIES EXCHANGE ACT OF 1934</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For the quarterly period ended August 31, 2008</w:t>
            </w:r>
          </w:p>
        </w:tc>
        <w:tc>
          <w:tcPr>
            <w:tcW w:w="5080" w:type="dxa"/>
            <w:vAlign w:val="bottom"/>
          </w:tcPr>
          <w:p>
            <w:pPr>
              <w:jc w:val="right"/>
              <w:spacing w:after="0"/>
              <w:rPr>
                <w:sz w:val="20"/>
                <w:szCs w:val="20"/>
                <w:color w:val="auto"/>
              </w:rPr>
            </w:pPr>
            <w:r>
              <w:rPr>
                <w:rFonts w:ascii="Arial" w:cs="Arial" w:eastAsia="Arial" w:hAnsi="Arial"/>
                <w:sz w:val="18"/>
                <w:szCs w:val="18"/>
                <w:color w:val="auto"/>
              </w:rPr>
              <w:t>Commission File No. 000-19860</w:t>
            </w:r>
          </w:p>
        </w:tc>
      </w:tr>
      <w:tr>
        <w:trPr>
          <w:trHeight w:val="669"/>
        </w:trPr>
        <w:tc>
          <w:tcPr>
            <w:tcW w:w="6340" w:type="dxa"/>
            <w:vAlign w:val="bottom"/>
          </w:tcPr>
          <w:p>
            <w:pPr>
              <w:spacing w:after="0"/>
              <w:rPr>
                <w:sz w:val="20"/>
                <w:szCs w:val="20"/>
                <w:color w:val="auto"/>
              </w:rPr>
            </w:pPr>
            <w:r>
              <w:rPr>
                <w:rFonts w:ascii="Arial" w:cs="Arial" w:eastAsia="Arial" w:hAnsi="Arial"/>
                <w:sz w:val="18"/>
                <w:szCs w:val="18"/>
                <w:b w:val="1"/>
                <w:bCs w:val="1"/>
                <w:color w:val="auto"/>
              </w:rPr>
              <w:t>SCHOLASTIC CORPORATION</w:t>
            </w:r>
          </w:p>
        </w:tc>
        <w:tc>
          <w:tcPr>
            <w:tcW w:w="5080" w:type="dxa"/>
            <w:vAlign w:val="bottom"/>
          </w:tcPr>
          <w:p>
            <w:pPr>
              <w:spacing w:after="0"/>
              <w:rPr>
                <w:sz w:val="24"/>
                <w:szCs w:val="24"/>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(Exact name of Registrant as specified in its charter)</w:t>
            </w:r>
          </w:p>
        </w:tc>
        <w:tc>
          <w:tcPr>
            <w:tcW w:w="5080" w:type="dxa"/>
            <w:vAlign w:val="bottom"/>
          </w:tcPr>
          <w:p>
            <w:pPr>
              <w:spacing w:after="0"/>
              <w:rPr>
                <w:sz w:val="19"/>
                <w:szCs w:val="19"/>
                <w:color w:val="auto"/>
              </w:rPr>
            </w:pPr>
          </w:p>
        </w:tc>
      </w:tr>
      <w:tr>
        <w:trPr>
          <w:trHeight w:val="459"/>
        </w:trPr>
        <w:tc>
          <w:tcPr>
            <w:tcW w:w="6340" w:type="dxa"/>
            <w:vAlign w:val="bottom"/>
          </w:tcPr>
          <w:p>
            <w:pPr>
              <w:ind w:left="600"/>
              <w:spacing w:after="0"/>
              <w:rPr>
                <w:sz w:val="20"/>
                <w:szCs w:val="20"/>
                <w:color w:val="auto"/>
              </w:rPr>
            </w:pPr>
            <w:r>
              <w:rPr>
                <w:rFonts w:ascii="Arial" w:cs="Arial" w:eastAsia="Arial" w:hAnsi="Arial"/>
                <w:sz w:val="18"/>
                <w:szCs w:val="18"/>
                <w:b w:val="1"/>
                <w:bCs w:val="1"/>
                <w:color w:val="auto"/>
              </w:rPr>
              <w:t>Delaware</w:t>
            </w:r>
          </w:p>
        </w:tc>
        <w:tc>
          <w:tcPr>
            <w:tcW w:w="5080" w:type="dxa"/>
            <w:vAlign w:val="bottom"/>
          </w:tcPr>
          <w:p>
            <w:pPr>
              <w:jc w:val="right"/>
              <w:ind w:right="712"/>
              <w:spacing w:after="0"/>
              <w:rPr>
                <w:sz w:val="20"/>
                <w:szCs w:val="20"/>
                <w:color w:val="auto"/>
              </w:rPr>
            </w:pPr>
            <w:r>
              <w:rPr>
                <w:rFonts w:ascii="Arial" w:cs="Arial" w:eastAsia="Arial" w:hAnsi="Arial"/>
                <w:sz w:val="18"/>
                <w:szCs w:val="18"/>
                <w:b w:val="1"/>
                <w:bCs w:val="1"/>
                <w:color w:val="auto"/>
              </w:rPr>
              <w:t>13-3385513</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508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5080" w:type="dxa"/>
            <w:vAlign w:val="bottom"/>
          </w:tcPr>
          <w:p>
            <w:pPr>
              <w:spacing w:after="0"/>
              <w:rPr>
                <w:sz w:val="21"/>
                <w:szCs w:val="21"/>
                <w:color w:val="auto"/>
              </w:rPr>
            </w:pPr>
          </w:p>
        </w:tc>
      </w:tr>
      <w:tr>
        <w:trPr>
          <w:trHeight w:val="486"/>
        </w:trPr>
        <w:tc>
          <w:tcPr>
            <w:tcW w:w="634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5080" w:type="dxa"/>
            <w:vAlign w:val="bottom"/>
          </w:tcPr>
          <w:p>
            <w:pPr>
              <w:jc w:val="right"/>
              <w:ind w:right="912"/>
              <w:spacing w:after="0"/>
              <w:rPr>
                <w:sz w:val="20"/>
                <w:szCs w:val="20"/>
                <w:color w:val="auto"/>
              </w:rPr>
            </w:pPr>
            <w:r>
              <w:rPr>
                <w:rFonts w:ascii="Arial" w:cs="Arial" w:eastAsia="Arial" w:hAnsi="Arial"/>
                <w:sz w:val="18"/>
                <w:szCs w:val="18"/>
                <w:b w:val="1"/>
                <w:bCs w:val="1"/>
                <w:color w:val="auto"/>
              </w:rPr>
              <w:t>10012</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5080" w:type="dxa"/>
            <w:vAlign w:val="bottom"/>
          </w:tcPr>
          <w:p>
            <w:pPr>
              <w:jc w:val="right"/>
              <w:ind w:right="732"/>
              <w:spacing w:after="0"/>
              <w:rPr>
                <w:sz w:val="20"/>
                <w:szCs w:val="20"/>
                <w:color w:val="auto"/>
              </w:rPr>
            </w:pPr>
            <w:r>
              <w:rPr>
                <w:rFonts w:ascii="Arial" w:cs="Arial" w:eastAsia="Arial" w:hAnsi="Arial"/>
                <w:sz w:val="18"/>
                <w:szCs w:val="18"/>
                <w:color w:val="auto"/>
              </w:rPr>
              <w:t>(Zip Code)</w:t>
            </w:r>
          </w:p>
        </w:tc>
      </w:tr>
    </w:tbl>
    <w:p>
      <w:pPr>
        <w:spacing w:after="0" w:line="200" w:lineRule="exact"/>
        <w:rPr>
          <w:sz w:val="24"/>
          <w:szCs w:val="24"/>
          <w:color w:val="auto"/>
        </w:rPr>
      </w:pPr>
    </w:p>
    <w:p>
      <w:pPr>
        <w:spacing w:after="0" w:line="25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the 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167005</wp:posOffset>
            </wp:positionH>
            <wp:positionV relativeFrom="paragraph">
              <wp:posOffset>-17780</wp:posOffset>
            </wp:positionV>
            <wp:extent cx="1085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585" cy="889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-17780</wp:posOffset>
            </wp:positionV>
            <wp:extent cx="1117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99"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0" w:lineRule="exact"/>
        <w:rPr>
          <w:sz w:val="24"/>
          <w:szCs w:val="24"/>
          <w:color w:val="auto"/>
        </w:rPr>
      </w:pP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500" w:type="dxa"/>
            <w:vAlign w:val="bottom"/>
            <w:gridSpan w:val="4"/>
          </w:tcPr>
          <w:p>
            <w:pPr>
              <w:spacing w:after="0"/>
              <w:rPr>
                <w:sz w:val="20"/>
                <w:szCs w:val="20"/>
                <w:color w:val="auto"/>
              </w:rPr>
            </w:pPr>
            <w:r>
              <w:rPr>
                <w:rFonts w:ascii="Arial" w:cs="Arial" w:eastAsia="Arial" w:hAnsi="Arial"/>
                <w:sz w:val="18"/>
                <w:szCs w:val="18"/>
                <w:color w:val="auto"/>
              </w:rPr>
              <w:t>Large accelerated filer X</w:t>
            </w:r>
          </w:p>
        </w:tc>
        <w:tc>
          <w:tcPr>
            <w:tcW w:w="3420" w:type="dxa"/>
            <w:vAlign w:val="bottom"/>
            <w:gridSpan w:val="3"/>
          </w:tcPr>
          <w:p>
            <w:pPr>
              <w:ind w:left="1480"/>
              <w:spacing w:after="0"/>
              <w:rPr>
                <w:sz w:val="20"/>
                <w:szCs w:val="20"/>
                <w:color w:val="auto"/>
              </w:rPr>
            </w:pPr>
            <w:r>
              <w:rPr>
                <w:rFonts w:ascii="Arial" w:cs="Arial" w:eastAsia="Arial" w:hAnsi="Arial"/>
                <w:sz w:val="18"/>
                <w:szCs w:val="18"/>
                <w:color w:val="auto"/>
              </w:rPr>
              <w:t>Accelerated filer</w:t>
            </w: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500" w:type="dxa"/>
            <w:vAlign w:val="bottom"/>
            <w:gridSpan w:val="4"/>
          </w:tcPr>
          <w:p>
            <w:pPr>
              <w:spacing w:after="0" w:line="196" w:lineRule="exact"/>
              <w:rPr>
                <w:sz w:val="20"/>
                <w:szCs w:val="20"/>
                <w:color w:val="auto"/>
              </w:rPr>
            </w:pPr>
            <w:r>
              <w:rPr>
                <w:rFonts w:ascii="Arial" w:cs="Arial" w:eastAsia="Arial" w:hAnsi="Arial"/>
                <w:sz w:val="18"/>
                <w:szCs w:val="18"/>
                <w:color w:val="auto"/>
              </w:rPr>
              <w:t>Non-accelerated filer   (Do not check if a smaller reporting company)</w:t>
            </w:r>
          </w:p>
        </w:tc>
        <w:tc>
          <w:tcPr>
            <w:tcW w:w="3420" w:type="dxa"/>
            <w:vAlign w:val="bottom"/>
            <w:gridSpan w:val="3"/>
          </w:tcPr>
          <w:p>
            <w:pPr>
              <w:ind w:left="1480"/>
              <w:spacing w:after="0" w:line="196" w:lineRule="exact"/>
              <w:rPr>
                <w:sz w:val="20"/>
                <w:szCs w:val="20"/>
                <w:color w:val="auto"/>
              </w:rPr>
            </w:pPr>
            <w:r>
              <w:rPr>
                <w:rFonts w:ascii="Arial" w:cs="Arial" w:eastAsia="Arial" w:hAnsi="Arial"/>
                <w:sz w:val="18"/>
                <w:szCs w:val="18"/>
                <w:color w:val="auto"/>
                <w:w w:val="89"/>
              </w:rPr>
              <w:t>Smaller reporting company</w:t>
            </w:r>
          </w:p>
        </w:tc>
      </w:tr>
      <w:tr>
        <w:trPr>
          <w:trHeight w:val="20"/>
        </w:trPr>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6320790</wp:posOffset>
            </wp:positionH>
            <wp:positionV relativeFrom="paragraph">
              <wp:posOffset>-8255</wp:posOffset>
            </wp:positionV>
            <wp:extent cx="111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spacing w:after="0"/>
        <w:tabs>
          <w:tab w:leader="none" w:pos="6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 xml:space="preserve">No </w:t>
      </w:r>
      <w:r>
        <w:rPr>
          <w:rFonts w:ascii="Arial" w:cs="Arial" w:eastAsia="Arial" w:hAnsi="Arial"/>
          <w:sz w:val="18"/>
          <w:szCs w:val="18"/>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194945</wp:posOffset>
            </wp:positionH>
            <wp:positionV relativeFrom="paragraph">
              <wp:posOffset>-13970</wp:posOffset>
            </wp:positionV>
            <wp:extent cx="111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2320" w:type="dxa"/>
            <w:vAlign w:val="bottom"/>
            <w:gridSpan w:val="2"/>
          </w:tcPr>
          <w:p>
            <w:pPr>
              <w:jc w:val="center"/>
              <w:ind w:right="1420"/>
              <w:spacing w:after="0"/>
              <w:rPr>
                <w:sz w:val="20"/>
                <w:szCs w:val="20"/>
                <w:color w:val="auto"/>
              </w:rPr>
            </w:pPr>
            <w:r>
              <w:rPr>
                <w:rFonts w:ascii="Arial" w:cs="Arial" w:eastAsia="Arial" w:hAnsi="Arial"/>
                <w:sz w:val="18"/>
                <w:szCs w:val="18"/>
                <w:color w:val="auto"/>
                <w:w w:val="99"/>
              </w:rPr>
              <w:t>Title</w:t>
            </w:r>
          </w:p>
        </w:tc>
        <w:tc>
          <w:tcPr>
            <w:tcW w:w="5720" w:type="dxa"/>
            <w:vAlign w:val="bottom"/>
            <w:gridSpan w:val="3"/>
          </w:tcPr>
          <w:p>
            <w:pPr>
              <w:jc w:val="center"/>
              <w:ind w:right="2020"/>
              <w:spacing w:after="0"/>
              <w:rPr>
                <w:sz w:val="20"/>
                <w:szCs w:val="20"/>
                <w:color w:val="auto"/>
              </w:rPr>
            </w:pPr>
            <w:r>
              <w:rPr>
                <w:rFonts w:ascii="Arial" w:cs="Arial" w:eastAsia="Arial" w:hAnsi="Arial"/>
                <w:sz w:val="18"/>
                <w:szCs w:val="18"/>
                <w:color w:val="auto"/>
                <w:w w:val="87"/>
              </w:rPr>
              <w:t>Number of shares outstanding</w:t>
            </w:r>
          </w:p>
        </w:tc>
      </w:tr>
      <w:tr>
        <w:trPr>
          <w:trHeight w:val="205"/>
        </w:trPr>
        <w:tc>
          <w:tcPr>
            <w:tcW w:w="3420" w:type="dxa"/>
            <w:vAlign w:val="bottom"/>
          </w:tcPr>
          <w:p>
            <w:pPr>
              <w:spacing w:after="0"/>
              <w:rPr>
                <w:sz w:val="17"/>
                <w:szCs w:val="17"/>
                <w:color w:val="auto"/>
              </w:rPr>
            </w:pPr>
          </w:p>
        </w:tc>
        <w:tc>
          <w:tcPr>
            <w:tcW w:w="900" w:type="dxa"/>
            <w:vAlign w:val="bottom"/>
          </w:tcPr>
          <w:p>
            <w:pPr>
              <w:jc w:val="center"/>
              <w:spacing w:after="0" w:line="205" w:lineRule="exact"/>
              <w:rPr>
                <w:sz w:val="20"/>
                <w:szCs w:val="20"/>
                <w:color w:val="auto"/>
              </w:rPr>
            </w:pPr>
            <w:r>
              <w:rPr>
                <w:rFonts w:ascii="Arial" w:cs="Arial" w:eastAsia="Arial" w:hAnsi="Arial"/>
                <w:sz w:val="18"/>
                <w:szCs w:val="18"/>
                <w:color w:val="auto"/>
                <w:w w:val="85"/>
              </w:rPr>
              <w:t>of each class</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60" w:type="dxa"/>
            <w:vAlign w:val="bottom"/>
            <w:gridSpan w:val="2"/>
          </w:tcPr>
          <w:p>
            <w:pPr>
              <w:jc w:val="center"/>
              <w:ind w:right="2980"/>
              <w:spacing w:after="0" w:line="205" w:lineRule="exact"/>
              <w:rPr>
                <w:sz w:val="20"/>
                <w:szCs w:val="20"/>
                <w:color w:val="auto"/>
              </w:rPr>
            </w:pPr>
            <w:r>
              <w:rPr>
                <w:rFonts w:ascii="Arial" w:cs="Arial" w:eastAsia="Arial" w:hAnsi="Arial"/>
                <w:sz w:val="18"/>
                <w:szCs w:val="18"/>
                <w:color w:val="auto"/>
                <w:w w:val="85"/>
              </w:rPr>
              <w:t>as of September 30, 2008</w:t>
            </w:r>
          </w:p>
        </w:tc>
      </w:tr>
      <w:tr>
        <w:trPr>
          <w:trHeight w:val="20"/>
        </w:trPr>
        <w:tc>
          <w:tcPr>
            <w:tcW w:w="3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505"/>
        </w:trPr>
        <w:tc>
          <w:tcPr>
            <w:tcW w:w="5740" w:type="dxa"/>
            <w:vAlign w:val="bottom"/>
            <w:gridSpan w:val="3"/>
          </w:tcPr>
          <w:p>
            <w:pPr>
              <w:jc w:val="center"/>
              <w:ind w:left="1912"/>
              <w:spacing w:after="0"/>
              <w:rPr>
                <w:sz w:val="20"/>
                <w:szCs w:val="20"/>
                <w:color w:val="auto"/>
              </w:rPr>
            </w:pPr>
            <w:r>
              <w:rPr>
                <w:rFonts w:ascii="Arial" w:cs="Arial" w:eastAsia="Arial" w:hAnsi="Arial"/>
                <w:sz w:val="18"/>
                <w:szCs w:val="18"/>
                <w:color w:val="auto"/>
                <w:w w:val="88"/>
              </w:rPr>
              <w:t>Common Stock, $.01 par value</w:t>
            </w:r>
          </w:p>
        </w:tc>
        <w:tc>
          <w:tcPr>
            <w:tcW w:w="2740" w:type="dxa"/>
            <w:vAlign w:val="bottom"/>
            <w:gridSpan w:val="2"/>
          </w:tcPr>
          <w:p>
            <w:pPr>
              <w:jc w:val="right"/>
              <w:ind w:right="412"/>
              <w:spacing w:after="0"/>
              <w:rPr>
                <w:sz w:val="20"/>
                <w:szCs w:val="20"/>
                <w:color w:val="auto"/>
              </w:rPr>
            </w:pPr>
            <w:r>
              <w:rPr>
                <w:rFonts w:ascii="Arial" w:cs="Arial" w:eastAsia="Arial" w:hAnsi="Arial"/>
                <w:sz w:val="18"/>
                <w:szCs w:val="18"/>
                <w:color w:val="auto"/>
              </w:rPr>
              <w:t>36,113,748</w:t>
            </w:r>
          </w:p>
        </w:tc>
        <w:tc>
          <w:tcPr>
            <w:tcW w:w="2980" w:type="dxa"/>
            <w:vAlign w:val="bottom"/>
          </w:tcPr>
          <w:p>
            <w:pPr>
              <w:spacing w:after="0"/>
              <w:rPr>
                <w:sz w:val="24"/>
                <w:szCs w:val="24"/>
                <w:color w:val="auto"/>
              </w:rPr>
            </w:pPr>
          </w:p>
        </w:tc>
      </w:tr>
      <w:tr>
        <w:trPr>
          <w:trHeight w:val="243"/>
        </w:trPr>
        <w:tc>
          <w:tcPr>
            <w:tcW w:w="5740" w:type="dxa"/>
            <w:vAlign w:val="bottom"/>
            <w:gridSpan w:val="3"/>
          </w:tcPr>
          <w:p>
            <w:pPr>
              <w:ind w:left="2780"/>
              <w:spacing w:after="0"/>
              <w:rPr>
                <w:sz w:val="20"/>
                <w:szCs w:val="20"/>
                <w:color w:val="auto"/>
              </w:rPr>
            </w:pPr>
            <w:r>
              <w:rPr>
                <w:rFonts w:ascii="Arial" w:cs="Arial" w:eastAsia="Arial" w:hAnsi="Arial"/>
                <w:sz w:val="18"/>
                <w:szCs w:val="18"/>
                <w:color w:val="auto"/>
              </w:rPr>
              <w:t>Class A Stock, $.01 par value</w:t>
            </w:r>
          </w:p>
        </w:tc>
        <w:tc>
          <w:tcPr>
            <w:tcW w:w="2740" w:type="dxa"/>
            <w:vAlign w:val="bottom"/>
            <w:gridSpan w:val="2"/>
          </w:tcPr>
          <w:p>
            <w:pPr>
              <w:jc w:val="right"/>
              <w:ind w:right="452"/>
              <w:spacing w:after="0"/>
              <w:rPr>
                <w:sz w:val="20"/>
                <w:szCs w:val="20"/>
                <w:color w:val="auto"/>
              </w:rPr>
            </w:pPr>
            <w:r>
              <w:rPr>
                <w:rFonts w:ascii="Arial" w:cs="Arial" w:eastAsia="Arial" w:hAnsi="Arial"/>
                <w:sz w:val="18"/>
                <w:szCs w:val="18"/>
                <w:color w:val="auto"/>
              </w:rPr>
              <w:t>1,656,200</w:t>
            </w:r>
          </w:p>
        </w:tc>
        <w:tc>
          <w:tcPr>
            <w:tcW w:w="2980" w:type="dxa"/>
            <w:vAlign w:val="bottom"/>
          </w:tcPr>
          <w:p>
            <w:pPr>
              <w:spacing w:after="0"/>
              <w:rPr>
                <w:sz w:val="21"/>
                <w:szCs w:val="21"/>
                <w:color w:val="auto"/>
              </w:rPr>
            </w:pPr>
          </w:p>
        </w:tc>
      </w:tr>
      <w:tr>
        <w:trPr>
          <w:trHeight w:val="350"/>
        </w:trPr>
        <w:tc>
          <w:tcPr>
            <w:tcW w:w="3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61"/>
        </w:trPr>
        <w:tc>
          <w:tcPr>
            <w:tcW w:w="34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29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33" w:right="1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SCHOLASTIC CORPORATION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AUGUST 31, 2008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22"/>
          </w:tcPr>
          <w:p>
            <w:pPr>
              <w:spacing w:after="0"/>
              <w:rPr>
                <w:sz w:val="20"/>
                <w:szCs w:val="20"/>
                <w:color w:val="auto"/>
              </w:rPr>
            </w:pPr>
            <w:r>
              <w:rPr>
                <w:rFonts w:ascii="Arial" w:cs="Arial" w:eastAsia="Arial" w:hAnsi="Arial"/>
                <w:sz w:val="18"/>
                <w:szCs w:val="18"/>
                <w:b w:val="1"/>
                <w:bCs w:val="1"/>
                <w:color w:val="auto"/>
              </w:rPr>
              <w:t>Part I - Financial Information</w:t>
            </w:r>
          </w:p>
        </w:tc>
        <w:tc>
          <w:tcPr>
            <w:tcW w:w="2560" w:type="dxa"/>
            <w:vAlign w:val="bottom"/>
            <w:gridSpan w:val="2"/>
          </w:tcPr>
          <w:p>
            <w:pPr>
              <w:ind w:left="2200"/>
              <w:spacing w:after="0"/>
              <w:rPr>
                <w:sz w:val="20"/>
                <w:szCs w:val="20"/>
                <w:color w:val="auto"/>
              </w:rPr>
            </w:pPr>
            <w:r>
              <w:rPr>
                <w:rFonts w:ascii="Arial" w:cs="Arial" w:eastAsia="Arial" w:hAnsi="Arial"/>
                <w:sz w:val="18"/>
                <w:szCs w:val="18"/>
                <w:b w:val="1"/>
                <w:bCs w:val="1"/>
                <w:color w:val="auto"/>
                <w:w w:val="78"/>
              </w:rPr>
              <w:t>Page</w:t>
            </w:r>
          </w:p>
        </w:tc>
        <w:tc>
          <w:tcPr>
            <w:tcW w:w="40" w:type="dxa"/>
            <w:vAlign w:val="bottom"/>
          </w:tcPr>
          <w:p>
            <w:pPr>
              <w:spacing w:after="0"/>
              <w:rPr>
                <w:sz w:val="17"/>
                <w:szCs w:val="17"/>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60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w w:val="87"/>
              </w:rPr>
              <w:t>Item 1.</w:t>
            </w:r>
          </w:p>
        </w:tc>
        <w:tc>
          <w:tcPr>
            <w:tcW w:w="600" w:type="dxa"/>
            <w:vAlign w:val="bottom"/>
            <w:gridSpan w:val="2"/>
          </w:tcPr>
          <w:p>
            <w:pPr>
              <w:spacing w:after="0"/>
              <w:rPr>
                <w:sz w:val="24"/>
                <w:szCs w:val="24"/>
                <w:color w:val="auto"/>
              </w:rPr>
            </w:pPr>
          </w:p>
        </w:tc>
        <w:tc>
          <w:tcPr>
            <w:tcW w:w="716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60" w:type="dxa"/>
            <w:vAlign w:val="bottom"/>
            <w:gridSpan w:val="17"/>
          </w:tcPr>
          <w:p>
            <w:pPr>
              <w:spacing w:after="0"/>
              <w:rPr>
                <w:sz w:val="20"/>
                <w:szCs w:val="20"/>
                <w:color w:val="auto"/>
              </w:rPr>
            </w:pPr>
            <w:r>
              <w:rPr>
                <w:rFonts w:ascii="Arial" w:cs="Arial" w:eastAsia="Arial" w:hAnsi="Arial"/>
                <w:sz w:val="18"/>
                <w:szCs w:val="18"/>
                <w:color w:val="auto"/>
              </w:rPr>
              <w:t>Condensed Consolidated Statements of Operations - Unaudited for the</w:t>
            </w: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4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18"/>
                <w:szCs w:val="18"/>
                <w:color w:val="auto"/>
                <w:w w:val="86"/>
              </w:rPr>
              <w:t>Three months ended August 31, 2008 and 2007</w:t>
            </w:r>
          </w:p>
        </w:tc>
        <w:tc>
          <w:tcPr>
            <w:tcW w:w="1600" w:type="dxa"/>
            <w:vAlign w:val="bottom"/>
            <w:tcBorders>
              <w:top w:val="single" w:sz="8" w:color="auto"/>
            </w:tcBorders>
            <w:gridSpan w:val="8"/>
          </w:tcPr>
          <w:p>
            <w:pPr>
              <w:spacing w:after="0"/>
              <w:rPr>
                <w:sz w:val="19"/>
                <w:szCs w:val="19"/>
                <w:color w:val="auto"/>
              </w:rPr>
            </w:pPr>
          </w:p>
        </w:tc>
        <w:tc>
          <w:tcPr>
            <w:tcW w:w="2220" w:type="dxa"/>
            <w:vAlign w:val="bottom"/>
          </w:tcPr>
          <w:p>
            <w:pPr>
              <w:spacing w:after="0"/>
              <w:rPr>
                <w:sz w:val="19"/>
                <w:szCs w:val="19"/>
                <w:color w:val="auto"/>
              </w:rPr>
            </w:pPr>
          </w:p>
        </w:tc>
        <w:tc>
          <w:tcPr>
            <w:tcW w:w="2560" w:type="dxa"/>
            <w:vAlign w:val="bottom"/>
            <w:gridSpan w:val="2"/>
          </w:tcPr>
          <w:p>
            <w:pPr>
              <w:jc w:val="center"/>
              <w:ind w:left="2112"/>
              <w:spacing w:after="0"/>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19"/>
                <w:szCs w:val="19"/>
                <w:color w:val="auto"/>
              </w:rPr>
            </w:pPr>
          </w:p>
        </w:tc>
      </w:tr>
      <w:tr>
        <w:trPr>
          <w:trHeight w:val="466"/>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86"/>
              </w:rPr>
              <w:t>Condensed Consolidated Balance Sheets – August 31, 2008 and</w:t>
            </w:r>
          </w:p>
        </w:tc>
        <w:tc>
          <w:tcPr>
            <w:tcW w:w="2660" w:type="dxa"/>
            <w:vAlign w:val="bottom"/>
            <w:gridSpan w:val="4"/>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8"/>
              </w:rPr>
              <w:t>2007 - Unaudited; and May 31, 2008</w:t>
            </w:r>
          </w:p>
        </w:tc>
        <w:tc>
          <w:tcPr>
            <w:tcW w:w="4560" w:type="dxa"/>
            <w:vAlign w:val="bottom"/>
            <w:gridSpan w:val="11"/>
          </w:tcPr>
          <w:p>
            <w:pPr>
              <w:spacing w:after="0"/>
              <w:rPr>
                <w:sz w:val="19"/>
                <w:szCs w:val="19"/>
                <w:color w:val="auto"/>
              </w:rPr>
            </w:pPr>
          </w:p>
        </w:tc>
        <w:tc>
          <w:tcPr>
            <w:tcW w:w="2560" w:type="dxa"/>
            <w:vAlign w:val="bottom"/>
            <w:gridSpan w:val="2"/>
          </w:tcPr>
          <w:p>
            <w:pPr>
              <w:jc w:val="center"/>
              <w:ind w:left="211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19"/>
                <w:szCs w:val="19"/>
                <w:color w:val="auto"/>
              </w:rPr>
            </w:pPr>
          </w:p>
        </w:tc>
      </w:tr>
      <w:tr>
        <w:trPr>
          <w:trHeight w:val="466"/>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4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87"/>
              </w:rPr>
              <w:t>Consolidated Statements of Cash Flows - Unaudited for the Three</w:t>
            </w:r>
          </w:p>
        </w:tc>
        <w:tc>
          <w:tcPr>
            <w:tcW w:w="2520" w:type="dxa"/>
            <w:vAlign w:val="bottom"/>
            <w:gridSpan w:val="3"/>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6"/>
              </w:rPr>
              <w:t>months ended August 31, 2008 and 2007</w:t>
            </w:r>
          </w:p>
        </w:tc>
        <w:tc>
          <w:tcPr>
            <w:tcW w:w="4280" w:type="dxa"/>
            <w:vAlign w:val="bottom"/>
            <w:gridSpan w:val="10"/>
          </w:tcPr>
          <w:p>
            <w:pPr>
              <w:spacing w:after="0"/>
              <w:rPr>
                <w:sz w:val="19"/>
                <w:szCs w:val="19"/>
                <w:color w:val="auto"/>
              </w:rPr>
            </w:pPr>
          </w:p>
        </w:tc>
        <w:tc>
          <w:tcPr>
            <w:tcW w:w="2560" w:type="dxa"/>
            <w:vAlign w:val="bottom"/>
            <w:gridSpan w:val="2"/>
          </w:tcPr>
          <w:p>
            <w:pPr>
              <w:jc w:val="center"/>
              <w:ind w:left="2112"/>
              <w:spacing w:after="0"/>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19"/>
                <w:szCs w:val="19"/>
                <w:color w:val="auto"/>
              </w:rPr>
            </w:pPr>
          </w:p>
        </w:tc>
      </w:tr>
      <w:tr>
        <w:trPr>
          <w:trHeight w:val="466"/>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60" w:type="dxa"/>
            <w:vAlign w:val="bottom"/>
            <w:gridSpan w:val="17"/>
          </w:tcPr>
          <w:p>
            <w:pPr>
              <w:spacing w:after="0"/>
              <w:rPr>
                <w:sz w:val="20"/>
                <w:szCs w:val="20"/>
                <w:color w:val="auto"/>
              </w:rPr>
            </w:pPr>
            <w:r>
              <w:rPr>
                <w:rFonts w:ascii="Arial" w:cs="Arial" w:eastAsia="Arial" w:hAnsi="Arial"/>
                <w:sz w:val="18"/>
                <w:szCs w:val="18"/>
                <w:color w:val="auto"/>
              </w:rPr>
              <w:t>Notes to Condensed Consolidated Financial Statements - Unaudited</w:t>
            </w:r>
          </w:p>
        </w:tc>
        <w:tc>
          <w:tcPr>
            <w:tcW w:w="2560" w:type="dxa"/>
            <w:vAlign w:val="bottom"/>
            <w:gridSpan w:val="2"/>
          </w:tcPr>
          <w:p>
            <w:pPr>
              <w:jc w:val="center"/>
              <w:ind w:left="2112"/>
              <w:spacing w:after="0"/>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24"/>
                <w:szCs w:val="24"/>
                <w:color w:val="auto"/>
              </w:rPr>
            </w:pPr>
          </w:p>
        </w:tc>
      </w:tr>
      <w:tr>
        <w:trPr>
          <w:trHeight w:val="466"/>
        </w:trPr>
        <w:tc>
          <w:tcPr>
            <w:tcW w:w="60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Item 2.</w:t>
            </w:r>
          </w:p>
        </w:tc>
        <w:tc>
          <w:tcPr>
            <w:tcW w:w="600" w:type="dxa"/>
            <w:vAlign w:val="bottom"/>
            <w:gridSpan w:val="2"/>
          </w:tcPr>
          <w:p>
            <w:pPr>
              <w:spacing w:after="0"/>
              <w:rPr>
                <w:sz w:val="24"/>
                <w:szCs w:val="24"/>
                <w:color w:val="auto"/>
              </w:rPr>
            </w:pPr>
          </w:p>
        </w:tc>
        <w:tc>
          <w:tcPr>
            <w:tcW w:w="444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18"/>
                <w:szCs w:val="18"/>
                <w:color w:val="auto"/>
                <w:w w:val="89"/>
              </w:rPr>
              <w:t>Management’s Discussion and Analysis of Financial Condition</w:t>
            </w:r>
          </w:p>
        </w:tc>
        <w:tc>
          <w:tcPr>
            <w:tcW w:w="320" w:type="dxa"/>
            <w:vAlign w:val="bottom"/>
            <w:tcBorders>
              <w:top w:val="single" w:sz="8" w:color="auto"/>
            </w:tcBorders>
            <w:gridSpan w:val="3"/>
          </w:tcPr>
          <w:p>
            <w:pPr>
              <w:spacing w:after="0"/>
              <w:rPr>
                <w:sz w:val="24"/>
                <w:szCs w:val="24"/>
                <w:color w:val="auto"/>
              </w:rPr>
            </w:pPr>
          </w:p>
        </w:tc>
        <w:tc>
          <w:tcPr>
            <w:tcW w:w="2400" w:type="dxa"/>
            <w:vAlign w:val="bottom"/>
            <w:gridSpan w:val="2"/>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6"/>
              </w:rPr>
              <w:t>and Results of Operations</w:t>
            </w:r>
          </w:p>
        </w:tc>
        <w:tc>
          <w:tcPr>
            <w:tcW w:w="5340" w:type="dxa"/>
            <w:vAlign w:val="bottom"/>
            <w:gridSpan w:val="12"/>
          </w:tcPr>
          <w:p>
            <w:pPr>
              <w:spacing w:after="0"/>
              <w:rPr>
                <w:sz w:val="19"/>
                <w:szCs w:val="19"/>
                <w:color w:val="auto"/>
              </w:rPr>
            </w:pPr>
          </w:p>
        </w:tc>
        <w:tc>
          <w:tcPr>
            <w:tcW w:w="2560" w:type="dxa"/>
            <w:vAlign w:val="bottom"/>
            <w:gridSpan w:val="2"/>
          </w:tcPr>
          <w:p>
            <w:pPr>
              <w:jc w:val="center"/>
              <w:ind w:left="2092"/>
              <w:spacing w:after="0"/>
              <w:rPr>
                <w:sz w:val="20"/>
                <w:szCs w:val="20"/>
                <w:color w:val="auto"/>
              </w:rPr>
            </w:pPr>
            <w:r>
              <w:rPr>
                <w:rFonts w:ascii="Arial" w:cs="Arial" w:eastAsia="Arial" w:hAnsi="Arial"/>
                <w:sz w:val="18"/>
                <w:szCs w:val="18"/>
                <w:color w:val="auto"/>
                <w:w w:val="89"/>
              </w:rPr>
              <w:t>19</w:t>
            </w:r>
          </w:p>
        </w:tc>
        <w:tc>
          <w:tcPr>
            <w:tcW w:w="40" w:type="dxa"/>
            <w:vAlign w:val="bottom"/>
          </w:tcPr>
          <w:p>
            <w:pPr>
              <w:spacing w:after="0"/>
              <w:rPr>
                <w:sz w:val="19"/>
                <w:szCs w:val="19"/>
                <w:color w:val="auto"/>
              </w:rPr>
            </w:pPr>
          </w:p>
        </w:tc>
      </w:tr>
      <w:tr>
        <w:trPr>
          <w:trHeight w:val="466"/>
        </w:trPr>
        <w:tc>
          <w:tcPr>
            <w:tcW w:w="600" w:type="dxa"/>
            <w:vAlign w:val="bottom"/>
          </w:tcPr>
          <w:p>
            <w:pPr>
              <w:spacing w:after="0"/>
              <w:rPr>
                <w:sz w:val="24"/>
                <w:szCs w:val="24"/>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Item 3.</w:t>
            </w:r>
          </w:p>
        </w:tc>
        <w:tc>
          <w:tcPr>
            <w:tcW w:w="580" w:type="dxa"/>
            <w:vAlign w:val="bottom"/>
          </w:tcPr>
          <w:p>
            <w:pPr>
              <w:spacing w:after="0"/>
              <w:rPr>
                <w:sz w:val="24"/>
                <w:szCs w:val="24"/>
                <w:color w:val="auto"/>
              </w:rPr>
            </w:pPr>
          </w:p>
        </w:tc>
        <w:tc>
          <w:tcPr>
            <w:tcW w:w="420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89"/>
              </w:rPr>
              <w:t>Quantitative and Qualitative Disclosures about Market Risk</w:t>
            </w:r>
          </w:p>
        </w:tc>
        <w:tc>
          <w:tcPr>
            <w:tcW w:w="2960" w:type="dxa"/>
            <w:vAlign w:val="bottom"/>
            <w:gridSpan w:val="7"/>
          </w:tcPr>
          <w:p>
            <w:pPr>
              <w:spacing w:after="0"/>
              <w:rPr>
                <w:sz w:val="24"/>
                <w:szCs w:val="24"/>
                <w:color w:val="auto"/>
              </w:rPr>
            </w:pPr>
          </w:p>
        </w:tc>
        <w:tc>
          <w:tcPr>
            <w:tcW w:w="2560" w:type="dxa"/>
            <w:vAlign w:val="bottom"/>
            <w:gridSpan w:val="2"/>
          </w:tcPr>
          <w:p>
            <w:pPr>
              <w:jc w:val="center"/>
              <w:ind w:left="2092"/>
              <w:spacing w:after="0"/>
              <w:rPr>
                <w:sz w:val="20"/>
                <w:szCs w:val="20"/>
                <w:color w:val="auto"/>
              </w:rPr>
            </w:pPr>
            <w:r>
              <w:rPr>
                <w:rFonts w:ascii="Arial" w:cs="Arial" w:eastAsia="Arial" w:hAnsi="Arial"/>
                <w:sz w:val="18"/>
                <w:szCs w:val="18"/>
                <w:color w:val="auto"/>
                <w:w w:val="89"/>
              </w:rPr>
              <w:t>26</w:t>
            </w:r>
          </w:p>
        </w:tc>
        <w:tc>
          <w:tcPr>
            <w:tcW w:w="40" w:type="dxa"/>
            <w:vAlign w:val="bottom"/>
          </w:tcPr>
          <w:p>
            <w:pPr>
              <w:spacing w:after="0"/>
              <w:rPr>
                <w:sz w:val="24"/>
                <w:szCs w:val="24"/>
                <w:color w:val="auto"/>
              </w:rPr>
            </w:pPr>
          </w:p>
        </w:tc>
      </w:tr>
      <w:tr>
        <w:trPr>
          <w:trHeight w:val="466"/>
        </w:trPr>
        <w:tc>
          <w:tcPr>
            <w:tcW w:w="600" w:type="dxa"/>
            <w:vAlign w:val="bottom"/>
          </w:tcPr>
          <w:p>
            <w:pPr>
              <w:spacing w:after="0"/>
              <w:rPr>
                <w:sz w:val="24"/>
                <w:szCs w:val="24"/>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w w:val="90"/>
              </w:rPr>
              <w:t>Item 4.</w:t>
            </w:r>
          </w:p>
        </w:tc>
        <w:tc>
          <w:tcPr>
            <w:tcW w:w="580" w:type="dxa"/>
            <w:vAlign w:val="bottom"/>
          </w:tcPr>
          <w:p>
            <w:pPr>
              <w:spacing w:after="0"/>
              <w:rPr>
                <w:sz w:val="24"/>
                <w:szCs w:val="24"/>
                <w:color w:val="auto"/>
              </w:rPr>
            </w:pPr>
          </w:p>
        </w:tc>
        <w:tc>
          <w:tcPr>
            <w:tcW w:w="7160" w:type="dxa"/>
            <w:vAlign w:val="bottom"/>
            <w:gridSpan w:val="17"/>
          </w:tcPr>
          <w:p>
            <w:pPr>
              <w:spacing w:after="0"/>
              <w:rPr>
                <w:sz w:val="20"/>
                <w:szCs w:val="20"/>
                <w:color w:val="auto"/>
              </w:rPr>
            </w:pPr>
            <w:r>
              <w:rPr>
                <w:rFonts w:ascii="Arial" w:cs="Arial" w:eastAsia="Arial" w:hAnsi="Arial"/>
                <w:sz w:val="18"/>
                <w:szCs w:val="18"/>
                <w:color w:val="auto"/>
              </w:rPr>
              <w:t>Controls and Procedures</w:t>
            </w:r>
          </w:p>
        </w:tc>
        <w:tc>
          <w:tcPr>
            <w:tcW w:w="2560" w:type="dxa"/>
            <w:vAlign w:val="bottom"/>
            <w:gridSpan w:val="2"/>
          </w:tcPr>
          <w:p>
            <w:pPr>
              <w:jc w:val="center"/>
              <w:ind w:left="2092"/>
              <w:spacing w:after="0"/>
              <w:rPr>
                <w:sz w:val="20"/>
                <w:szCs w:val="20"/>
                <w:color w:val="auto"/>
              </w:rPr>
            </w:pPr>
            <w:r>
              <w:rPr>
                <w:rFonts w:ascii="Arial" w:cs="Arial" w:eastAsia="Arial" w:hAnsi="Arial"/>
                <w:sz w:val="18"/>
                <w:szCs w:val="18"/>
                <w:color w:val="auto"/>
                <w:w w:val="89"/>
              </w:rPr>
              <w:t>27</w:t>
            </w:r>
          </w:p>
        </w:tc>
        <w:tc>
          <w:tcPr>
            <w:tcW w:w="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tcBorders>
              <w:left w:val="single" w:sz="8" w:color="auto"/>
            </w:tcBorders>
            <w:gridSpan w:val="2"/>
            <w:shd w:val="clear" w:color="auto" w:fill="000000"/>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8860" w:type="dxa"/>
            <w:vAlign w:val="bottom"/>
            <w:gridSpan w:val="22"/>
          </w:tcPr>
          <w:p>
            <w:pPr>
              <w:spacing w:after="0"/>
              <w:rPr>
                <w:sz w:val="20"/>
                <w:szCs w:val="20"/>
                <w:color w:val="auto"/>
              </w:rPr>
            </w:pPr>
            <w:r>
              <w:rPr>
                <w:rFonts w:ascii="Arial" w:cs="Arial" w:eastAsia="Arial" w:hAnsi="Arial"/>
                <w:sz w:val="18"/>
                <w:szCs w:val="18"/>
                <w:b w:val="1"/>
                <w:bCs w:val="1"/>
                <w:color w:val="auto"/>
              </w:rPr>
              <w:t>Part II – Other Information</w:t>
            </w: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600" w:type="dxa"/>
            <w:vAlign w:val="bottom"/>
          </w:tcPr>
          <w:p>
            <w:pPr>
              <w:spacing w:after="0"/>
              <w:rPr>
                <w:sz w:val="24"/>
                <w:szCs w:val="24"/>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Item 2.</w:t>
            </w:r>
          </w:p>
        </w:tc>
        <w:tc>
          <w:tcPr>
            <w:tcW w:w="580" w:type="dxa"/>
            <w:vAlign w:val="bottom"/>
          </w:tcPr>
          <w:p>
            <w:pPr>
              <w:spacing w:after="0"/>
              <w:rPr>
                <w:sz w:val="24"/>
                <w:szCs w:val="24"/>
                <w:color w:val="auto"/>
              </w:rPr>
            </w:pPr>
          </w:p>
        </w:tc>
        <w:tc>
          <w:tcPr>
            <w:tcW w:w="424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86"/>
              </w:rPr>
              <w:t>Unregistered Sales of Equity Securities and Use of Proceeds</w:t>
            </w:r>
          </w:p>
        </w:tc>
        <w:tc>
          <w:tcPr>
            <w:tcW w:w="2920" w:type="dxa"/>
            <w:vAlign w:val="bottom"/>
            <w:gridSpan w:val="6"/>
          </w:tcPr>
          <w:p>
            <w:pPr>
              <w:spacing w:after="0"/>
              <w:rPr>
                <w:sz w:val="24"/>
                <w:szCs w:val="24"/>
                <w:color w:val="auto"/>
              </w:rPr>
            </w:pPr>
          </w:p>
        </w:tc>
        <w:tc>
          <w:tcPr>
            <w:tcW w:w="2560" w:type="dxa"/>
            <w:vAlign w:val="bottom"/>
            <w:gridSpan w:val="2"/>
          </w:tcPr>
          <w:p>
            <w:pPr>
              <w:jc w:val="center"/>
              <w:ind w:left="2092"/>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24"/>
                <w:szCs w:val="24"/>
                <w:color w:val="auto"/>
              </w:rPr>
            </w:pPr>
          </w:p>
        </w:tc>
      </w:tr>
      <w:tr>
        <w:trPr>
          <w:trHeight w:val="466"/>
        </w:trPr>
        <w:tc>
          <w:tcPr>
            <w:tcW w:w="600" w:type="dxa"/>
            <w:vAlign w:val="bottom"/>
          </w:tcPr>
          <w:p>
            <w:pPr>
              <w:spacing w:after="0"/>
              <w:rPr>
                <w:sz w:val="24"/>
                <w:szCs w:val="24"/>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w w:val="90"/>
              </w:rPr>
              <w:t>Item 4.</w:t>
            </w:r>
          </w:p>
        </w:tc>
        <w:tc>
          <w:tcPr>
            <w:tcW w:w="580" w:type="dxa"/>
            <w:vAlign w:val="bottom"/>
          </w:tcPr>
          <w:p>
            <w:pPr>
              <w:spacing w:after="0"/>
              <w:rPr>
                <w:sz w:val="24"/>
                <w:szCs w:val="24"/>
                <w:color w:val="auto"/>
              </w:rPr>
            </w:pPr>
          </w:p>
        </w:tc>
        <w:tc>
          <w:tcPr>
            <w:tcW w:w="7160" w:type="dxa"/>
            <w:vAlign w:val="bottom"/>
            <w:gridSpan w:val="17"/>
          </w:tcPr>
          <w:p>
            <w:pPr>
              <w:spacing w:after="0"/>
              <w:rPr>
                <w:sz w:val="20"/>
                <w:szCs w:val="20"/>
                <w:color w:val="auto"/>
              </w:rPr>
            </w:pPr>
            <w:r>
              <w:rPr>
                <w:rFonts w:ascii="Arial" w:cs="Arial" w:eastAsia="Arial" w:hAnsi="Arial"/>
                <w:sz w:val="18"/>
                <w:szCs w:val="18"/>
                <w:color w:val="auto"/>
              </w:rPr>
              <w:t>Submission of Matters to a Vote of Security Holders</w:t>
            </w:r>
          </w:p>
        </w:tc>
        <w:tc>
          <w:tcPr>
            <w:tcW w:w="2560" w:type="dxa"/>
            <w:vAlign w:val="bottom"/>
            <w:gridSpan w:val="2"/>
          </w:tcPr>
          <w:p>
            <w:pPr>
              <w:jc w:val="center"/>
              <w:ind w:left="2092"/>
              <w:spacing w:after="0"/>
              <w:rPr>
                <w:sz w:val="20"/>
                <w:szCs w:val="20"/>
                <w:color w:val="auto"/>
              </w:rPr>
            </w:pPr>
            <w:r>
              <w:rPr>
                <w:rFonts w:ascii="Arial" w:cs="Arial" w:eastAsia="Arial" w:hAnsi="Arial"/>
                <w:sz w:val="18"/>
                <w:szCs w:val="18"/>
                <w:color w:val="auto"/>
                <w:w w:val="89"/>
              </w:rPr>
              <w:t>29</w:t>
            </w:r>
          </w:p>
        </w:tc>
        <w:tc>
          <w:tcPr>
            <w:tcW w:w="40" w:type="dxa"/>
            <w:vAlign w:val="bottom"/>
          </w:tcPr>
          <w:p>
            <w:pPr>
              <w:spacing w:after="0"/>
              <w:rPr>
                <w:sz w:val="24"/>
                <w:szCs w:val="24"/>
                <w:color w:val="auto"/>
              </w:rPr>
            </w:pPr>
          </w:p>
        </w:tc>
      </w:tr>
      <w:tr>
        <w:trPr>
          <w:trHeight w:val="466"/>
        </w:trPr>
        <w:tc>
          <w:tcPr>
            <w:tcW w:w="600" w:type="dxa"/>
            <w:vAlign w:val="bottom"/>
          </w:tcPr>
          <w:p>
            <w:pPr>
              <w:spacing w:after="0"/>
              <w:rPr>
                <w:sz w:val="24"/>
                <w:szCs w:val="24"/>
                <w:color w:val="auto"/>
              </w:rPr>
            </w:pP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Item 6.</w:t>
            </w:r>
          </w:p>
        </w:tc>
        <w:tc>
          <w:tcPr>
            <w:tcW w:w="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Exhibits</w:t>
            </w:r>
          </w:p>
        </w:tc>
        <w:tc>
          <w:tcPr>
            <w:tcW w:w="3500" w:type="dxa"/>
            <w:vAlign w:val="bottom"/>
            <w:gridSpan w:val="8"/>
          </w:tcPr>
          <w:p>
            <w:pPr>
              <w:spacing w:after="0"/>
              <w:rPr>
                <w:sz w:val="24"/>
                <w:szCs w:val="24"/>
                <w:color w:val="auto"/>
              </w:rPr>
            </w:pPr>
          </w:p>
        </w:tc>
        <w:tc>
          <w:tcPr>
            <w:tcW w:w="2560" w:type="dxa"/>
            <w:vAlign w:val="bottom"/>
            <w:gridSpan w:val="2"/>
          </w:tcPr>
          <w:p>
            <w:pPr>
              <w:jc w:val="center"/>
              <w:ind w:left="2092"/>
              <w:spacing w:after="0"/>
              <w:rPr>
                <w:sz w:val="20"/>
                <w:szCs w:val="20"/>
                <w:color w:val="auto"/>
              </w:rPr>
            </w:pPr>
            <w:r>
              <w:rPr>
                <w:rFonts w:ascii="Arial" w:cs="Arial" w:eastAsia="Arial" w:hAnsi="Arial"/>
                <w:sz w:val="18"/>
                <w:szCs w:val="18"/>
                <w:color w:val="auto"/>
                <w:w w:val="89"/>
              </w:rPr>
              <w:t>30</w:t>
            </w:r>
          </w:p>
        </w:tc>
        <w:tc>
          <w:tcPr>
            <w:tcW w:w="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700" w:type="dxa"/>
            <w:vAlign w:val="bottom"/>
            <w:gridSpan w:val="5"/>
          </w:tcPr>
          <w:p>
            <w:pPr>
              <w:spacing w:after="0"/>
              <w:rPr>
                <w:sz w:val="20"/>
                <w:szCs w:val="20"/>
                <w:color w:val="auto"/>
              </w:rPr>
            </w:pPr>
            <w:r>
              <w:rPr>
                <w:rFonts w:ascii="Arial" w:cs="Arial" w:eastAsia="Arial" w:hAnsi="Arial"/>
                <w:sz w:val="18"/>
                <w:szCs w:val="18"/>
                <w:b w:val="1"/>
                <w:bCs w:val="1"/>
                <w:color w:val="auto"/>
              </w:rPr>
              <w:t>Signatures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60" w:type="dxa"/>
            <w:vAlign w:val="bottom"/>
            <w:gridSpan w:val="2"/>
          </w:tcPr>
          <w:p>
            <w:pPr>
              <w:jc w:val="center"/>
              <w:ind w:left="2092"/>
              <w:spacing w:after="0"/>
              <w:rPr>
                <w:sz w:val="20"/>
                <w:szCs w:val="20"/>
                <w:color w:val="auto"/>
              </w:rPr>
            </w:pPr>
            <w:r>
              <w:rPr>
                <w:rFonts w:ascii="Arial" w:cs="Arial" w:eastAsia="Arial" w:hAnsi="Arial"/>
                <w:sz w:val="18"/>
                <w:szCs w:val="18"/>
                <w:color w:val="auto"/>
                <w:w w:val="89"/>
              </w:rPr>
              <w:t>31</w:t>
            </w:r>
          </w:p>
        </w:tc>
        <w:tc>
          <w:tcPr>
            <w:tcW w:w="40" w:type="dxa"/>
            <w:vAlign w:val="bottom"/>
          </w:tcPr>
          <w:p>
            <w:pPr>
              <w:spacing w:after="0"/>
              <w:rPr>
                <w:sz w:val="24"/>
                <w:szCs w:val="24"/>
                <w:color w:val="auto"/>
              </w:rPr>
            </w:pPr>
          </w:p>
        </w:tc>
      </w:tr>
      <w:tr>
        <w:trPr>
          <w:trHeight w:val="139"/>
        </w:trPr>
        <w:tc>
          <w:tcPr>
            <w:tcW w:w="600" w:type="dxa"/>
            <w:vAlign w:val="bottom"/>
            <w:tcBorders>
              <w:top w:val="single" w:sz="8" w:color="auto"/>
              <w:bottom w:val="single" w:sz="8" w:color="808080"/>
            </w:tcBorders>
          </w:tcPr>
          <w:p>
            <w:pPr>
              <w:spacing w:after="0"/>
              <w:rPr>
                <w:sz w:val="12"/>
                <w:szCs w:val="12"/>
                <w:color w:val="auto"/>
              </w:rPr>
            </w:pPr>
          </w:p>
        </w:tc>
        <w:tc>
          <w:tcPr>
            <w:tcW w:w="200" w:type="dxa"/>
            <w:vAlign w:val="bottom"/>
            <w:tcBorders>
              <w:top w:val="single" w:sz="8" w:color="auto"/>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220" w:type="dxa"/>
            <w:vAlign w:val="bottom"/>
            <w:tcBorders>
              <w:bottom w:val="single" w:sz="8" w:color="808080"/>
            </w:tcBorders>
          </w:tcPr>
          <w:p>
            <w:pPr>
              <w:spacing w:after="0"/>
              <w:rPr>
                <w:sz w:val="12"/>
                <w:szCs w:val="12"/>
                <w:color w:val="auto"/>
              </w:rPr>
            </w:pPr>
          </w:p>
        </w:tc>
        <w:tc>
          <w:tcPr>
            <w:tcW w:w="220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r>
      <w:tr>
        <w:trPr>
          <w:trHeight w:val="115"/>
        </w:trPr>
        <w:tc>
          <w:tcPr>
            <w:tcW w:w="6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453"/>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00" w:type="dxa"/>
            <w:vAlign w:val="bottom"/>
            <w:tcBorders>
              <w:lef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220" w:type="dxa"/>
            <w:vAlign w:val="bottom"/>
            <w:shd w:val="clear" w:color="auto" w:fill="808080"/>
          </w:tcPr>
          <w:p>
            <w:pPr>
              <w:spacing w:after="0"/>
              <w:rPr>
                <w:sz w:val="5"/>
                <w:szCs w:val="5"/>
                <w:color w:val="auto"/>
              </w:rPr>
            </w:pPr>
          </w:p>
        </w:tc>
        <w:tc>
          <w:tcPr>
            <w:tcW w:w="22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-426085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-426085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-340360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-340360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287"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2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9040"/>
        <w:spacing w:after="0"/>
        <w:rPr>
          <w:sz w:val="20"/>
          <w:szCs w:val="20"/>
          <w:color w:val="auto"/>
        </w:rPr>
      </w:pPr>
      <w:r>
        <w:rPr>
          <w:rFonts w:ascii="Arial" w:cs="Arial" w:eastAsia="Arial" w:hAnsi="Arial"/>
          <w:sz w:val="15"/>
          <w:szCs w:val="15"/>
          <w:b w:val="1"/>
          <w:bCs w:val="1"/>
          <w:i w:val="1"/>
          <w:i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2008</w:t>
            </w:r>
          </w:p>
        </w:tc>
        <w:tc>
          <w:tcPr>
            <w:tcW w:w="4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rPr>
              <w:t>2007</w:t>
            </w:r>
          </w:p>
        </w:tc>
      </w:tr>
      <w:tr>
        <w:trPr>
          <w:trHeight w:val="120"/>
        </w:trPr>
        <w:tc>
          <w:tcPr>
            <w:tcW w:w="678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r>
        <w:trPr>
          <w:trHeight w:val="589"/>
        </w:trPr>
        <w:tc>
          <w:tcPr>
            <w:tcW w:w="67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4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285.0</w:t>
            </w:r>
          </w:p>
        </w:tc>
        <w:tc>
          <w:tcPr>
            <w:tcW w:w="4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531.3</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248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149.0</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298.8</w:t>
            </w: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248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182.9</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Bad debt expense</w:t>
            </w:r>
          </w:p>
        </w:tc>
        <w:tc>
          <w:tcPr>
            <w:tcW w:w="248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48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16.2</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110"/>
        </w:trPr>
        <w:tc>
          <w:tcPr>
            <w:tcW w:w="678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586"/>
        </w:trPr>
        <w:tc>
          <w:tcPr>
            <w:tcW w:w="678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2480" w:type="dxa"/>
            <w:vAlign w:val="bottom"/>
          </w:tcPr>
          <w:p>
            <w:pPr>
              <w:spacing w:after="0"/>
              <w:rPr>
                <w:sz w:val="24"/>
                <w:szCs w:val="24"/>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349.9</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515.9</w:t>
            </w:r>
          </w:p>
        </w:tc>
      </w:tr>
      <w:tr>
        <w:trPr>
          <w:trHeight w:val="486"/>
        </w:trPr>
        <w:tc>
          <w:tcPr>
            <w:tcW w:w="6780" w:type="dxa"/>
            <w:vAlign w:val="bottom"/>
          </w:tcPr>
          <w:p>
            <w:pPr>
              <w:spacing w:after="0"/>
              <w:rPr>
                <w:sz w:val="20"/>
                <w:szCs w:val="20"/>
                <w:color w:val="auto"/>
              </w:rPr>
            </w:pPr>
            <w:r>
              <w:rPr>
                <w:rFonts w:ascii="Arial" w:cs="Arial" w:eastAsia="Arial" w:hAnsi="Arial"/>
                <w:sz w:val="18"/>
                <w:szCs w:val="18"/>
                <w:b w:val="1"/>
                <w:bCs w:val="1"/>
                <w:color w:val="auto"/>
              </w:rPr>
              <w:t>Operating (loss) income</w:t>
            </w:r>
          </w:p>
        </w:tc>
        <w:tc>
          <w:tcPr>
            <w:tcW w:w="248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(64.9</w:t>
            </w: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15.4</w:t>
            </w:r>
          </w:p>
        </w:tc>
      </w:tr>
      <w:tr>
        <w:trPr>
          <w:trHeight w:val="486"/>
        </w:trPr>
        <w:tc>
          <w:tcPr>
            <w:tcW w:w="6780" w:type="dxa"/>
            <w:vAlign w:val="bottom"/>
          </w:tcPr>
          <w:p>
            <w:pPr>
              <w:spacing w:after="0"/>
              <w:rPr>
                <w:sz w:val="20"/>
                <w:szCs w:val="20"/>
                <w:color w:val="auto"/>
              </w:rPr>
            </w:pPr>
            <w:r>
              <w:rPr>
                <w:rFonts w:ascii="Arial" w:cs="Arial" w:eastAsia="Arial" w:hAnsi="Arial"/>
                <w:sz w:val="18"/>
                <w:szCs w:val="18"/>
                <w:color w:val="auto"/>
              </w:rPr>
              <w:t>Interest expense, net</w:t>
            </w:r>
          </w:p>
        </w:tc>
        <w:tc>
          <w:tcPr>
            <w:tcW w:w="2480" w:type="dxa"/>
            <w:vAlign w:val="bottom"/>
          </w:tcPr>
          <w:p>
            <w:pPr>
              <w:spacing w:after="0"/>
              <w:rPr>
                <w:sz w:val="24"/>
                <w:szCs w:val="24"/>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110"/>
        </w:trPr>
        <w:tc>
          <w:tcPr>
            <w:tcW w:w="678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586"/>
        </w:trPr>
        <w:tc>
          <w:tcPr>
            <w:tcW w:w="6780" w:type="dxa"/>
            <w:vAlign w:val="bottom"/>
          </w:tcPr>
          <w:p>
            <w:pPr>
              <w:spacing w:after="0"/>
              <w:rPr>
                <w:sz w:val="20"/>
                <w:szCs w:val="20"/>
                <w:color w:val="auto"/>
              </w:rPr>
            </w:pPr>
            <w:r>
              <w:rPr>
                <w:rFonts w:ascii="Arial" w:cs="Arial" w:eastAsia="Arial" w:hAnsi="Arial"/>
                <w:sz w:val="18"/>
                <w:szCs w:val="18"/>
                <w:color w:val="auto"/>
              </w:rPr>
              <w:t>(Loss) earnings from continuing operations before income taxes</w:t>
            </w:r>
          </w:p>
        </w:tc>
        <w:tc>
          <w:tcPr>
            <w:tcW w:w="248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(70.7)</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48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(26.0)</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10"/>
        </w:trPr>
        <w:tc>
          <w:tcPr>
            <w:tcW w:w="678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586"/>
        </w:trPr>
        <w:tc>
          <w:tcPr>
            <w:tcW w:w="678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248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(44.7)</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48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34"/>
        </w:trPr>
        <w:tc>
          <w:tcPr>
            <w:tcW w:w="678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r>
      <w:tr>
        <w:trPr>
          <w:trHeight w:val="589"/>
        </w:trPr>
        <w:tc>
          <w:tcPr>
            <w:tcW w:w="67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4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(49.1</w:t>
            </w:r>
            <w:r>
              <w:rPr>
                <w:rFonts w:ascii="Arial" w:cs="Arial" w:eastAsia="Arial" w:hAnsi="Arial"/>
                <w:sz w:val="18"/>
                <w:szCs w:val="18"/>
                <w:color w:val="auto"/>
              </w:rPr>
              <w:t>)</w:t>
            </w:r>
          </w:p>
        </w:tc>
        <w:tc>
          <w:tcPr>
            <w:tcW w:w="4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w:t>
            </w:r>
            <w:r>
              <w:rPr>
                <w:rFonts w:ascii="Arial" w:cs="Arial" w:eastAsia="Arial" w:hAnsi="Arial"/>
                <w:sz w:val="18"/>
                <w:szCs w:val="18"/>
                <w:color w:val="auto"/>
              </w:rPr>
              <w:t>)</w:t>
            </w:r>
          </w:p>
        </w:tc>
      </w:tr>
      <w:tr>
        <w:trPr>
          <w:trHeight w:val="134"/>
        </w:trPr>
        <w:tc>
          <w:tcPr>
            <w:tcW w:w="678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r>
      <w:tr>
        <w:trPr>
          <w:trHeight w:val="832"/>
        </w:trPr>
        <w:tc>
          <w:tcPr>
            <w:tcW w:w="6780" w:type="dxa"/>
            <w:vAlign w:val="bottom"/>
          </w:tcPr>
          <w:p>
            <w:pPr>
              <w:spacing w:after="0"/>
              <w:rPr>
                <w:sz w:val="20"/>
                <w:szCs w:val="20"/>
                <w:color w:val="auto"/>
              </w:rPr>
            </w:pPr>
            <w:r>
              <w:rPr>
                <w:rFonts w:ascii="Arial" w:cs="Arial" w:eastAsia="Arial" w:hAnsi="Arial"/>
                <w:sz w:val="18"/>
                <w:szCs w:val="18"/>
                <w:b w:val="1"/>
                <w:bCs w:val="1"/>
                <w:color w:val="auto"/>
              </w:rPr>
              <w:t>Basic and diluted (loss) earnings per Share of Class A and</w:t>
            </w:r>
          </w:p>
        </w:tc>
        <w:tc>
          <w:tcPr>
            <w:tcW w:w="2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6780" w:type="dxa"/>
            <w:vAlign w:val="bottom"/>
          </w:tcPr>
          <w:p>
            <w:pPr>
              <w:ind w:left="280"/>
              <w:spacing w:after="0"/>
              <w:rPr>
                <w:sz w:val="20"/>
                <w:szCs w:val="20"/>
                <w:color w:val="auto"/>
              </w:rPr>
            </w:pPr>
            <w:r>
              <w:rPr>
                <w:rFonts w:ascii="Arial" w:cs="Arial" w:eastAsia="Arial" w:hAnsi="Arial"/>
                <w:sz w:val="18"/>
                <w:szCs w:val="18"/>
                <w:b w:val="1"/>
                <w:bCs w:val="1"/>
                <w:color w:val="auto"/>
              </w:rPr>
              <w:t>Common Stock:</w:t>
            </w:r>
          </w:p>
        </w:tc>
        <w:tc>
          <w:tcPr>
            <w:tcW w:w="2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6780" w:type="dxa"/>
            <w:vAlign w:val="bottom"/>
          </w:tcPr>
          <w:p>
            <w:pPr>
              <w:ind w:left="380"/>
              <w:spacing w:after="0"/>
              <w:rPr>
                <w:sz w:val="20"/>
                <w:szCs w:val="20"/>
                <w:color w:val="auto"/>
              </w:rPr>
            </w:pPr>
            <w:r>
              <w:rPr>
                <w:rFonts w:ascii="Arial" w:cs="Arial" w:eastAsia="Arial" w:hAnsi="Arial"/>
                <w:sz w:val="18"/>
                <w:szCs w:val="18"/>
                <w:color w:val="auto"/>
              </w:rPr>
              <w:t>Basic:</w:t>
            </w:r>
          </w:p>
        </w:tc>
        <w:tc>
          <w:tcPr>
            <w:tcW w:w="2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6780" w:type="dxa"/>
            <w:vAlign w:val="bottom"/>
          </w:tcPr>
          <w:p>
            <w:pPr>
              <w:ind w:left="500"/>
              <w:spacing w:after="0"/>
              <w:rPr>
                <w:sz w:val="20"/>
                <w:szCs w:val="20"/>
                <w:color w:val="auto"/>
              </w:rPr>
            </w:pPr>
            <w:r>
              <w:rPr>
                <w:rFonts w:ascii="Arial" w:cs="Arial" w:eastAsia="Arial" w:hAnsi="Arial"/>
                <w:sz w:val="18"/>
                <w:szCs w:val="18"/>
                <w:color w:val="auto"/>
              </w:rPr>
              <w:t>(Loss) earnings from continuing operations</w:t>
            </w:r>
          </w:p>
        </w:tc>
        <w:tc>
          <w:tcPr>
            <w:tcW w:w="2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(1.18)</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43"/>
        </w:trPr>
        <w:tc>
          <w:tcPr>
            <w:tcW w:w="6780" w:type="dxa"/>
            <w:vAlign w:val="bottom"/>
          </w:tcPr>
          <w:p>
            <w:pPr>
              <w:ind w:left="500"/>
              <w:spacing w:after="0"/>
              <w:rPr>
                <w:sz w:val="20"/>
                <w:szCs w:val="20"/>
                <w:color w:val="auto"/>
              </w:rPr>
            </w:pPr>
            <w:r>
              <w:rPr>
                <w:rFonts w:ascii="Arial" w:cs="Arial" w:eastAsia="Arial" w:hAnsi="Arial"/>
                <w:sz w:val="18"/>
                <w:szCs w:val="18"/>
                <w:color w:val="auto"/>
              </w:rPr>
              <w:t>Loss from discontinued operations, net of tax</w:t>
            </w:r>
          </w:p>
        </w:tc>
        <w:tc>
          <w:tcPr>
            <w:tcW w:w="2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(0.12)</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43"/>
        </w:trPr>
        <w:tc>
          <w:tcPr>
            <w:tcW w:w="6780" w:type="dxa"/>
            <w:vAlign w:val="bottom"/>
          </w:tcPr>
          <w:p>
            <w:pPr>
              <w:ind w:left="500"/>
              <w:spacing w:after="0"/>
              <w:rPr>
                <w:sz w:val="20"/>
                <w:szCs w:val="20"/>
                <w:color w:val="auto"/>
              </w:rPr>
            </w:pPr>
            <w:r>
              <w:rPr>
                <w:rFonts w:ascii="Arial" w:cs="Arial" w:eastAsia="Arial" w:hAnsi="Arial"/>
                <w:sz w:val="18"/>
                <w:szCs w:val="18"/>
                <w:color w:val="auto"/>
              </w:rPr>
              <w:t>Net loss</w:t>
            </w:r>
          </w:p>
        </w:tc>
        <w:tc>
          <w:tcPr>
            <w:tcW w:w="2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(1.30)</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43"/>
        </w:trPr>
        <w:tc>
          <w:tcPr>
            <w:tcW w:w="67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6780" w:type="dxa"/>
            <w:vAlign w:val="bottom"/>
          </w:tcPr>
          <w:p>
            <w:pPr>
              <w:ind w:left="500"/>
              <w:spacing w:after="0"/>
              <w:rPr>
                <w:sz w:val="20"/>
                <w:szCs w:val="20"/>
                <w:color w:val="auto"/>
              </w:rPr>
            </w:pPr>
            <w:r>
              <w:rPr>
                <w:rFonts w:ascii="Arial" w:cs="Arial" w:eastAsia="Arial" w:hAnsi="Arial"/>
                <w:sz w:val="18"/>
                <w:szCs w:val="18"/>
                <w:color w:val="auto"/>
              </w:rPr>
              <w:t>(Loss) earnings from continuing operations</w:t>
            </w:r>
          </w:p>
        </w:tc>
        <w:tc>
          <w:tcPr>
            <w:tcW w:w="2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(1.18)</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43"/>
        </w:trPr>
        <w:tc>
          <w:tcPr>
            <w:tcW w:w="6780" w:type="dxa"/>
            <w:vAlign w:val="bottom"/>
          </w:tcPr>
          <w:p>
            <w:pPr>
              <w:ind w:left="500"/>
              <w:spacing w:after="0"/>
              <w:rPr>
                <w:sz w:val="20"/>
                <w:szCs w:val="20"/>
                <w:color w:val="auto"/>
              </w:rPr>
            </w:pPr>
            <w:r>
              <w:rPr>
                <w:rFonts w:ascii="Arial" w:cs="Arial" w:eastAsia="Arial" w:hAnsi="Arial"/>
                <w:sz w:val="18"/>
                <w:szCs w:val="18"/>
                <w:color w:val="auto"/>
              </w:rPr>
              <w:t>Loss from discontinued operations, net of tax</w:t>
            </w:r>
          </w:p>
        </w:tc>
        <w:tc>
          <w:tcPr>
            <w:tcW w:w="2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(0.12)</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43"/>
        </w:trPr>
        <w:tc>
          <w:tcPr>
            <w:tcW w:w="6780" w:type="dxa"/>
            <w:vAlign w:val="bottom"/>
          </w:tcPr>
          <w:p>
            <w:pPr>
              <w:ind w:left="500"/>
              <w:spacing w:after="0"/>
              <w:rPr>
                <w:sz w:val="20"/>
                <w:szCs w:val="20"/>
                <w:color w:val="auto"/>
              </w:rPr>
            </w:pPr>
            <w:r>
              <w:rPr>
                <w:rFonts w:ascii="Arial" w:cs="Arial" w:eastAsia="Arial" w:hAnsi="Arial"/>
                <w:sz w:val="18"/>
                <w:szCs w:val="18"/>
                <w:color w:val="auto"/>
              </w:rPr>
              <w:t>Net loss</w:t>
            </w:r>
          </w:p>
        </w:tc>
        <w:tc>
          <w:tcPr>
            <w:tcW w:w="2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(1.30)</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486"/>
        </w:trPr>
        <w:tc>
          <w:tcPr>
            <w:tcW w:w="678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0.075</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134"/>
        </w:trPr>
        <w:tc>
          <w:tcPr>
            <w:tcW w:w="678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r>
      <w:tr>
        <w:trPr>
          <w:trHeight w:val="346"/>
        </w:trPr>
        <w:tc>
          <w:tcPr>
            <w:tcW w:w="678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2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-6562725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-6562725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-3044825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-3044825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-2573020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-2573020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-248920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b w:val="1"/>
          <w:bCs w:val="1"/>
          <w:color w:val="auto"/>
        </w:rPr>
        <w:t>SCHOLASTIC CORPORATION</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tcPr>
          <w:p>
            <w:pPr>
              <w:spacing w:after="0"/>
              <w:rPr>
                <w:sz w:val="19"/>
                <w:szCs w:val="19"/>
                <w:color w:val="auto"/>
              </w:rPr>
            </w:pPr>
          </w:p>
        </w:tc>
        <w:tc>
          <w:tcPr>
            <w:tcW w:w="2460" w:type="dxa"/>
            <w:vAlign w:val="bottom"/>
            <w:gridSpan w:val="2"/>
          </w:tcPr>
          <w:p>
            <w:pPr>
              <w:ind w:left="1060"/>
              <w:spacing w:after="0"/>
              <w:rPr>
                <w:sz w:val="20"/>
                <w:szCs w:val="20"/>
                <w:color w:val="auto"/>
              </w:rPr>
            </w:pPr>
            <w:r>
              <w:rPr>
                <w:rFonts w:ascii="Arial" w:cs="Arial" w:eastAsia="Arial" w:hAnsi="Arial"/>
                <w:sz w:val="18"/>
                <w:szCs w:val="18"/>
                <w:b w:val="1"/>
                <w:bCs w:val="1"/>
                <w:color w:val="auto"/>
              </w:rPr>
              <w:t>August 31, 2008</w:t>
            </w: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31, 2008</w:t>
            </w: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w w:val="90"/>
              </w:rPr>
              <w:t>August 31, 2007</w:t>
            </w:r>
          </w:p>
        </w:tc>
      </w:tr>
      <w:tr>
        <w:trPr>
          <w:trHeight w:val="243"/>
        </w:trPr>
        <w:tc>
          <w:tcPr>
            <w:tcW w:w="6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b w:val="1"/>
                <w:bCs w:val="1"/>
                <w:color w:val="auto"/>
                <w:w w:val="95"/>
              </w:rPr>
              <w:t>(Restated)</w:t>
            </w:r>
          </w:p>
        </w:tc>
      </w:tr>
      <w:tr>
        <w:trPr>
          <w:trHeight w:val="134"/>
        </w:trPr>
        <w:tc>
          <w:tcPr>
            <w:tcW w:w="62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r>
      <w:tr>
        <w:trPr>
          <w:trHeight w:val="346"/>
        </w:trPr>
        <w:tc>
          <w:tcPr>
            <w:tcW w:w="6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right"/>
              <w:ind w:right="272"/>
              <w:spacing w:after="0"/>
              <w:rPr>
                <w:sz w:val="20"/>
                <w:szCs w:val="20"/>
                <w:color w:val="auto"/>
              </w:rPr>
            </w:pPr>
            <w:r>
              <w:rPr>
                <w:rFonts w:ascii="Arial" w:cs="Arial" w:eastAsia="Arial" w:hAnsi="Arial"/>
                <w:sz w:val="18"/>
                <w:szCs w:val="18"/>
                <w:i w:val="1"/>
                <w:iCs w:val="1"/>
                <w:color w:val="auto"/>
                <w:w w:val="93"/>
              </w:rPr>
              <w:t>(Unaudited)</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i w:val="1"/>
                <w:iCs w:val="1"/>
                <w:color w:val="auto"/>
                <w:w w:val="93"/>
              </w:rPr>
              <w:t>(Unaudited)</w:t>
            </w:r>
          </w:p>
        </w:tc>
      </w:tr>
      <w:tr>
        <w:trPr>
          <w:trHeight w:val="243"/>
        </w:trPr>
        <w:tc>
          <w:tcPr>
            <w:tcW w:w="62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62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Current Assets:</w:t>
            </w: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200" w:type="dxa"/>
            <w:vAlign w:val="bottom"/>
          </w:tcPr>
          <w:p>
            <w:pPr>
              <w:ind w:left="10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31.7</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120.0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196.5</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220.1</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431.4</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482.6</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370.2</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480.7</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Deferred promotion costs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129.1</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116.9</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93.1</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71.0</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54.2</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Current assets of discontinued operations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29.6</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224.7</w:t>
            </w:r>
          </w:p>
        </w:tc>
      </w:tr>
      <w:tr>
        <w:trPr>
          <w:trHeight w:val="110"/>
        </w:trPr>
        <w:tc>
          <w:tcPr>
            <w:tcW w:w="6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586"/>
        </w:trPr>
        <w:tc>
          <w:tcPr>
            <w:tcW w:w="6200" w:type="dxa"/>
            <w:vAlign w:val="bottom"/>
          </w:tcPr>
          <w:p>
            <w:pPr>
              <w:ind w:left="380"/>
              <w:spacing w:after="0"/>
              <w:rPr>
                <w:sz w:val="20"/>
                <w:szCs w:val="20"/>
                <w:color w:val="auto"/>
              </w:rPr>
            </w:pPr>
            <w:r>
              <w:rPr>
                <w:rFonts w:ascii="Arial" w:cs="Arial" w:eastAsia="Arial" w:hAnsi="Arial"/>
                <w:sz w:val="18"/>
                <w:szCs w:val="18"/>
                <w:i w:val="1"/>
                <w:iCs w:val="1"/>
                <w:color w:val="auto"/>
              </w:rPr>
              <w:t>Total current assets</w:t>
            </w:r>
          </w:p>
        </w:tc>
        <w:tc>
          <w:tcPr>
            <w:tcW w:w="120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954.9</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918.0</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1,350.3</w:t>
            </w:r>
          </w:p>
        </w:tc>
      </w:tr>
      <w:tr>
        <w:trPr>
          <w:trHeight w:val="486"/>
        </w:trPr>
        <w:tc>
          <w:tcPr>
            <w:tcW w:w="6200" w:type="dxa"/>
            <w:vAlign w:val="bottom"/>
          </w:tcPr>
          <w:p>
            <w:pPr>
              <w:ind w:left="280"/>
              <w:spacing w:after="0"/>
              <w:rPr>
                <w:sz w:val="20"/>
                <w:szCs w:val="20"/>
                <w:color w:val="auto"/>
              </w:rPr>
            </w:pPr>
            <w:r>
              <w:rPr>
                <w:rFonts w:ascii="Arial" w:cs="Arial" w:eastAsia="Arial" w:hAnsi="Arial"/>
                <w:sz w:val="18"/>
                <w:szCs w:val="18"/>
                <w:color w:val="auto"/>
              </w:rPr>
              <w:t>Property, plant and equipment, net</w:t>
            </w:r>
          </w:p>
        </w:tc>
        <w:tc>
          <w:tcPr>
            <w:tcW w:w="120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349.4</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358.6</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356.8</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Prepublication costs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111.3</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110.6</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Royalty advances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48.3</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Production costs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170.4</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172.3</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Other intangibles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47.3</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Other assets and deferred charges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118.8</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97.8</w:t>
            </w:r>
          </w:p>
        </w:tc>
      </w:tr>
      <w:tr>
        <w:trPr>
          <w:trHeight w:val="110"/>
        </w:trPr>
        <w:tc>
          <w:tcPr>
            <w:tcW w:w="6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586"/>
        </w:trPr>
        <w:tc>
          <w:tcPr>
            <w:tcW w:w="62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00" w:type="dxa"/>
            <w:vAlign w:val="bottom"/>
          </w:tcPr>
          <w:p>
            <w:pPr>
              <w:ind w:left="106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2"/>
              <w:spacing w:after="0"/>
              <w:rPr>
                <w:sz w:val="20"/>
                <w:szCs w:val="20"/>
                <w:color w:val="auto"/>
              </w:rPr>
            </w:pPr>
            <w:r>
              <w:rPr>
                <w:rFonts w:ascii="Arial" w:cs="Arial" w:eastAsia="Arial" w:hAnsi="Arial"/>
                <w:sz w:val="18"/>
                <w:szCs w:val="18"/>
                <w:b w:val="1"/>
                <w:bCs w:val="1"/>
                <w:color w:val="auto"/>
              </w:rPr>
              <w:t>1,805.7</w:t>
            </w:r>
          </w:p>
        </w:tc>
        <w:tc>
          <w:tcPr>
            <w:tcW w:w="42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1,761.6</w:t>
            </w:r>
          </w:p>
        </w:tc>
        <w:tc>
          <w:tcPr>
            <w:tcW w:w="260" w:type="dxa"/>
            <w:vAlign w:val="bottom"/>
          </w:tcPr>
          <w:p>
            <w:pPr>
              <w:ind w:left="14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2,179.9</w:t>
            </w:r>
          </w:p>
        </w:tc>
      </w:tr>
      <w:tr>
        <w:trPr>
          <w:trHeight w:val="134"/>
        </w:trPr>
        <w:tc>
          <w:tcPr>
            <w:tcW w:w="62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r>
      <w:tr>
        <w:trPr>
          <w:trHeight w:val="589"/>
        </w:trPr>
        <w:tc>
          <w:tcPr>
            <w:tcW w:w="62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62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Current Liabilities:</w:t>
            </w: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Lines of credit, short-term debt and current portion of long-term debt</w:t>
            </w:r>
          </w:p>
        </w:tc>
        <w:tc>
          <w:tcPr>
            <w:tcW w:w="1200" w:type="dxa"/>
            <w:vAlign w:val="bottom"/>
          </w:tcPr>
          <w:p>
            <w:pPr>
              <w:ind w:left="10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105.8</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54.6</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Capital lease obligations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135.3</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109.7</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162.8</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Accrued royalties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53.4</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46.2</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145.5</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46.6</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Other accrued expenses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150.9</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173.6</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Current liabilities of discontinued operations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16.1</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110"/>
        </w:trPr>
        <w:tc>
          <w:tcPr>
            <w:tcW w:w="6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586"/>
        </w:trPr>
        <w:tc>
          <w:tcPr>
            <w:tcW w:w="6200" w:type="dxa"/>
            <w:vAlign w:val="bottom"/>
          </w:tcPr>
          <w:p>
            <w:pPr>
              <w:ind w:left="380"/>
              <w:spacing w:after="0"/>
              <w:rPr>
                <w:sz w:val="20"/>
                <w:szCs w:val="20"/>
                <w:color w:val="auto"/>
              </w:rPr>
            </w:pPr>
            <w:r>
              <w:rPr>
                <w:rFonts w:ascii="Arial" w:cs="Arial" w:eastAsia="Arial" w:hAnsi="Arial"/>
                <w:sz w:val="18"/>
                <w:szCs w:val="18"/>
                <w:i w:val="1"/>
                <w:iCs w:val="1"/>
                <w:color w:val="auto"/>
              </w:rPr>
              <w:t>Total current liabilities</w:t>
            </w:r>
          </w:p>
        </w:tc>
        <w:tc>
          <w:tcPr>
            <w:tcW w:w="120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512.8</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441.7</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608.8</w:t>
            </w:r>
          </w:p>
        </w:tc>
      </w:tr>
      <w:tr>
        <w:trPr>
          <w:trHeight w:val="486"/>
        </w:trPr>
        <w:tc>
          <w:tcPr>
            <w:tcW w:w="62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Noncurrent Liabilities:</w:t>
            </w: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Long-term debt</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324.4</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295.1</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516.4</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Capital lease obligations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56.1</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Other noncurrent liabilities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111.1</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95.0</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130.9</w:t>
            </w:r>
          </w:p>
        </w:tc>
      </w:tr>
      <w:tr>
        <w:trPr>
          <w:trHeight w:val="110"/>
        </w:trPr>
        <w:tc>
          <w:tcPr>
            <w:tcW w:w="6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586"/>
        </w:trPr>
        <w:tc>
          <w:tcPr>
            <w:tcW w:w="6200" w:type="dxa"/>
            <w:vAlign w:val="bottom"/>
          </w:tcPr>
          <w:p>
            <w:pPr>
              <w:ind w:left="380"/>
              <w:spacing w:after="0"/>
              <w:rPr>
                <w:sz w:val="20"/>
                <w:szCs w:val="20"/>
                <w:color w:val="auto"/>
              </w:rPr>
            </w:pPr>
            <w:r>
              <w:rPr>
                <w:rFonts w:ascii="Arial" w:cs="Arial" w:eastAsia="Arial" w:hAnsi="Arial"/>
                <w:sz w:val="18"/>
                <w:szCs w:val="18"/>
                <w:i w:val="1"/>
                <w:iCs w:val="1"/>
                <w:color w:val="auto"/>
              </w:rPr>
              <w:t>Total noncurrent liabilities</w:t>
            </w:r>
          </w:p>
        </w:tc>
        <w:tc>
          <w:tcPr>
            <w:tcW w:w="120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491.6</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446.8</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706.6</w:t>
            </w:r>
          </w:p>
        </w:tc>
      </w:tr>
      <w:tr>
        <w:trPr>
          <w:trHeight w:val="486"/>
        </w:trPr>
        <w:tc>
          <w:tcPr>
            <w:tcW w:w="620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120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620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Preferred Stock, $1.00 par value</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Class A Stock, $.01 par value</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Common Stock, $.01 par value</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542.3</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539.1</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500.9</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20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(46.0)</w:t>
            </w:r>
          </w:p>
        </w:tc>
        <w:tc>
          <w:tcPr>
            <w:tcW w:w="4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2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536.3</w:t>
            </w:r>
          </w:p>
        </w:tc>
        <w:tc>
          <w:tcPr>
            <w:tcW w:w="42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588.3</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602.6</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Treasury stock at cost</w:t>
            </w:r>
          </w:p>
        </w:tc>
        <w:tc>
          <w:tcPr>
            <w:tcW w:w="120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(231.7)</w:t>
            </w:r>
          </w:p>
        </w:tc>
        <w:tc>
          <w:tcPr>
            <w:tcW w:w="4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(220.0)</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110"/>
        </w:trPr>
        <w:tc>
          <w:tcPr>
            <w:tcW w:w="6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586"/>
        </w:trPr>
        <w:tc>
          <w:tcPr>
            <w:tcW w:w="6200" w:type="dxa"/>
            <w:vAlign w:val="bottom"/>
          </w:tcPr>
          <w:p>
            <w:pPr>
              <w:ind w:left="380"/>
              <w:spacing w:after="0"/>
              <w:rPr>
                <w:sz w:val="20"/>
                <w:szCs w:val="20"/>
                <w:color w:val="auto"/>
              </w:rPr>
            </w:pPr>
            <w:r>
              <w:rPr>
                <w:rFonts w:ascii="Arial" w:cs="Arial" w:eastAsia="Arial" w:hAnsi="Arial"/>
                <w:sz w:val="18"/>
                <w:szCs w:val="18"/>
                <w:i w:val="1"/>
                <w:iCs w:val="1"/>
                <w:color w:val="auto"/>
              </w:rPr>
              <w:t>Total stockholders’ equity</w:t>
            </w:r>
          </w:p>
        </w:tc>
        <w:tc>
          <w:tcPr>
            <w:tcW w:w="120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801.3</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873.1</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864.5</w:t>
            </w:r>
          </w:p>
        </w:tc>
      </w:tr>
      <w:tr>
        <w:trPr>
          <w:trHeight w:val="110"/>
        </w:trPr>
        <w:tc>
          <w:tcPr>
            <w:tcW w:w="6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-9400540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-9400540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-5549900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-5549900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52" w:right="239" w:bottom="0" w:gutter="0" w:footer="0" w:header="0"/>
        </w:sectPr>
      </w:pPr>
    </w:p>
    <w:bookmarkStart w:id="4" w:name="page5"/>
    <w:bookmarkEnd w:id="4"/>
    <w:p>
      <w:pPr>
        <w:spacing w:after="0"/>
        <w:tabs>
          <w:tab w:leader="none" w:pos="7240" w:val="left"/>
          <w:tab w:leader="none" w:pos="7920" w:val="left"/>
          <w:tab w:leader="none" w:pos="8780" w:val="left"/>
          <w:tab w:leader="none" w:pos="9260" w:val="left"/>
          <w:tab w:leader="none" w:pos="10140" w:val="left"/>
          <w:tab w:leader="none" w:pos="10800" w:val="left"/>
        </w:tabs>
        <w:rPr>
          <w:sz w:val="20"/>
          <w:szCs w:val="20"/>
          <w:color w:val="auto"/>
        </w:rPr>
      </w:pPr>
      <w:r>
        <w:rPr>
          <w:rFonts w:ascii="Arial" w:cs="Arial" w:eastAsia="Arial" w:hAnsi="Arial"/>
          <w:sz w:val="18"/>
          <w:szCs w:val="18"/>
          <w:b w:val="1"/>
          <w:bCs w:val="1"/>
          <w:color w:val="auto"/>
        </w:rPr>
        <w:t>Total liabilities and stockholders’ equity</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1,805.7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1,761.6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2,179.9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SCHOLASTIC CORPORATION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9040"/>
        <w:spacing w:after="0"/>
        <w:rPr>
          <w:sz w:val="20"/>
          <w:szCs w:val="20"/>
          <w:color w:val="auto"/>
        </w:rPr>
      </w:pPr>
      <w:r>
        <w:rPr>
          <w:rFonts w:ascii="Arial" w:cs="Arial" w:eastAsia="Arial" w:hAnsi="Arial"/>
          <w:sz w:val="15"/>
          <w:szCs w:val="15"/>
          <w:b w:val="1"/>
          <w:bCs w:val="1"/>
          <w:i w:val="1"/>
          <w:i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80" w:type="dxa"/>
            <w:vAlign w:val="bottom"/>
          </w:tcPr>
          <w:p>
            <w:pPr>
              <w:jc w:val="right"/>
              <w:ind w:right="412"/>
              <w:spacing w:after="0"/>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19"/>
                <w:szCs w:val="19"/>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2007</w:t>
            </w:r>
          </w:p>
        </w:tc>
      </w:tr>
      <w:tr>
        <w:trPr>
          <w:trHeight w:val="134"/>
        </w:trPr>
        <w:tc>
          <w:tcPr>
            <w:tcW w:w="736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r>
      <w:tr>
        <w:trPr>
          <w:trHeight w:val="589"/>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(49.1)</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Loss from discontinued operations, net of tax</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10"/>
        </w:trPr>
        <w:tc>
          <w:tcPr>
            <w:tcW w:w="73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43"/>
        </w:trPr>
        <w:tc>
          <w:tcPr>
            <w:tcW w:w="7360" w:type="dxa"/>
            <w:vAlign w:val="bottom"/>
          </w:tcPr>
          <w:p>
            <w:pPr>
              <w:ind w:left="180"/>
              <w:spacing w:after="0"/>
              <w:rPr>
                <w:sz w:val="20"/>
                <w:szCs w:val="20"/>
                <w:color w:val="auto"/>
              </w:rPr>
            </w:pPr>
            <w:r>
              <w:rPr>
                <w:rFonts w:ascii="Arial" w:cs="Arial" w:eastAsia="Arial" w:hAnsi="Arial"/>
                <w:sz w:val="18"/>
                <w:szCs w:val="18"/>
                <w:color w:val="auto"/>
              </w:rPr>
              <w:t>(Loss) earnings from continuing operations</w:t>
            </w:r>
          </w:p>
        </w:tc>
        <w:tc>
          <w:tcPr>
            <w:tcW w:w="18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(44.7)</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Adjustments to reconcile earnings from continuing operations to net cash used in</w:t>
            </w:r>
          </w:p>
        </w:tc>
        <w:tc>
          <w:tcPr>
            <w:tcW w:w="1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operating activities of continuing operations:</w:t>
            </w:r>
          </w:p>
        </w:tc>
        <w:tc>
          <w:tcPr>
            <w:tcW w:w="1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Provision for losses on accounts receivable and other reserves</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Amortization of prepublication and production costs</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1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73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16.5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43"/>
        </w:trPr>
        <w:tc>
          <w:tcPr>
            <w:tcW w:w="73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(126.2)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(115.3)</w:t>
            </w:r>
          </w:p>
        </w:tc>
      </w:tr>
      <w:tr>
        <w:trPr>
          <w:trHeight w:val="243"/>
        </w:trPr>
        <w:tc>
          <w:tcPr>
            <w:tcW w:w="73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7360" w:type="dxa"/>
            <w:vAlign w:val="bottom"/>
          </w:tcPr>
          <w:p>
            <w:pPr>
              <w:ind w:left="500"/>
              <w:spacing w:after="0"/>
              <w:rPr>
                <w:sz w:val="20"/>
                <w:szCs w:val="20"/>
                <w:color w:val="auto"/>
              </w:rPr>
            </w:pPr>
            <w:r>
              <w:rPr>
                <w:rFonts w:ascii="Arial" w:cs="Arial" w:eastAsia="Arial" w:hAnsi="Arial"/>
                <w:sz w:val="18"/>
                <w:szCs w:val="18"/>
                <w:color w:val="auto"/>
              </w:rPr>
              <w:t>Deferred promotion costs</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7360" w:type="dxa"/>
            <w:vAlign w:val="bottom"/>
          </w:tcPr>
          <w:p>
            <w:pPr>
              <w:ind w:left="500"/>
              <w:spacing w:after="0"/>
              <w:rPr>
                <w:sz w:val="20"/>
                <w:szCs w:val="20"/>
                <w:color w:val="auto"/>
              </w:rPr>
            </w:pPr>
            <w:r>
              <w:rPr>
                <w:rFonts w:ascii="Arial" w:cs="Arial" w:eastAsia="Arial" w:hAnsi="Arial"/>
                <w:sz w:val="18"/>
                <w:szCs w:val="18"/>
                <w:color w:val="auto"/>
              </w:rPr>
              <w:t>Royalty advances</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360" w:type="dxa"/>
            <w:vAlign w:val="bottom"/>
          </w:tcPr>
          <w:p>
            <w:pPr>
              <w:ind w:left="500"/>
              <w:spacing w:after="0"/>
              <w:rPr>
                <w:sz w:val="20"/>
                <w:szCs w:val="20"/>
                <w:color w:val="auto"/>
              </w:rPr>
            </w:pPr>
            <w:r>
              <w:rPr>
                <w:rFonts w:ascii="Arial" w:cs="Arial" w:eastAsia="Arial" w:hAnsi="Arial"/>
                <w:sz w:val="18"/>
                <w:szCs w:val="18"/>
                <w:color w:val="auto"/>
              </w:rPr>
              <w:t>Accounts payable and other accrued expenses</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43"/>
        </w:trPr>
        <w:tc>
          <w:tcPr>
            <w:tcW w:w="7360" w:type="dxa"/>
            <w:vAlign w:val="bottom"/>
          </w:tcPr>
          <w:p>
            <w:pPr>
              <w:ind w:left="500"/>
              <w:spacing w:after="0"/>
              <w:rPr>
                <w:sz w:val="20"/>
                <w:szCs w:val="20"/>
                <w:color w:val="auto"/>
              </w:rPr>
            </w:pPr>
            <w:r>
              <w:rPr>
                <w:rFonts w:ascii="Arial" w:cs="Arial" w:eastAsia="Arial" w:hAnsi="Arial"/>
                <w:sz w:val="18"/>
                <w:szCs w:val="18"/>
                <w:color w:val="auto"/>
              </w:rPr>
              <w:t>Accrued royalties</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43"/>
        </w:trPr>
        <w:tc>
          <w:tcPr>
            <w:tcW w:w="736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110"/>
        </w:trPr>
        <w:tc>
          <w:tcPr>
            <w:tcW w:w="73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43"/>
        </w:trPr>
        <w:tc>
          <w:tcPr>
            <w:tcW w:w="7360" w:type="dxa"/>
            <w:vAlign w:val="bottom"/>
          </w:tcPr>
          <w:p>
            <w:pPr>
              <w:ind w:left="60"/>
              <w:spacing w:after="0"/>
              <w:rPr>
                <w:sz w:val="20"/>
                <w:szCs w:val="20"/>
                <w:color w:val="auto"/>
              </w:rPr>
            </w:pPr>
            <w:r>
              <w:rPr>
                <w:rFonts w:ascii="Arial" w:cs="Arial" w:eastAsia="Arial" w:hAnsi="Arial"/>
                <w:sz w:val="18"/>
                <w:szCs w:val="18"/>
                <w:color w:val="auto"/>
              </w:rPr>
              <w:t>Total adjustments</w:t>
            </w:r>
          </w:p>
        </w:tc>
        <w:tc>
          <w:tcPr>
            <w:tcW w:w="18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(92.8)</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110"/>
        </w:trPr>
        <w:tc>
          <w:tcPr>
            <w:tcW w:w="73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43"/>
        </w:trPr>
        <w:tc>
          <w:tcPr>
            <w:tcW w:w="7360" w:type="dxa"/>
            <w:vAlign w:val="bottom"/>
          </w:tcPr>
          <w:p>
            <w:pPr>
              <w:ind w:left="60"/>
              <w:spacing w:after="0"/>
              <w:rPr>
                <w:sz w:val="20"/>
                <w:szCs w:val="20"/>
                <w:color w:val="auto"/>
              </w:rPr>
            </w:pPr>
            <w:r>
              <w:rPr>
                <w:rFonts w:ascii="Arial" w:cs="Arial" w:eastAsia="Arial" w:hAnsi="Arial"/>
                <w:sz w:val="18"/>
                <w:szCs w:val="18"/>
                <w:color w:val="auto"/>
              </w:rPr>
              <w:t>Net cash used in operating activities of continuing operations</w:t>
            </w:r>
          </w:p>
        </w:tc>
        <w:tc>
          <w:tcPr>
            <w:tcW w:w="18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(137.5)</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Net cash used in operating activities of discontinued operations</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110"/>
        </w:trPr>
        <w:tc>
          <w:tcPr>
            <w:tcW w:w="73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43"/>
        </w:trPr>
        <w:tc>
          <w:tcPr>
            <w:tcW w:w="7360" w:type="dxa"/>
            <w:vAlign w:val="bottom"/>
          </w:tcPr>
          <w:p>
            <w:pPr>
              <w:ind w:left="60"/>
              <w:spacing w:after="0"/>
              <w:rPr>
                <w:sz w:val="20"/>
                <w:szCs w:val="20"/>
                <w:color w:val="auto"/>
              </w:rPr>
            </w:pPr>
            <w:r>
              <w:rPr>
                <w:rFonts w:ascii="Arial" w:cs="Arial" w:eastAsia="Arial" w:hAnsi="Arial"/>
                <w:sz w:val="18"/>
                <w:szCs w:val="18"/>
                <w:color w:val="auto"/>
              </w:rPr>
              <w:t>Net cash used in operating activities</w:t>
            </w:r>
          </w:p>
        </w:tc>
        <w:tc>
          <w:tcPr>
            <w:tcW w:w="18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(140.6)</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(108.2)</w:t>
            </w:r>
          </w:p>
        </w:tc>
      </w:tr>
      <w:tr>
        <w:trPr>
          <w:trHeight w:val="24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Prepublication expenditures</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Additions to property, plant and equipment</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Proceeds from sale of business</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Production expenditures</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73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43"/>
        </w:trPr>
        <w:tc>
          <w:tcPr>
            <w:tcW w:w="7360" w:type="dxa"/>
            <w:vAlign w:val="bottom"/>
          </w:tcPr>
          <w:p>
            <w:pPr>
              <w:ind w:left="60"/>
              <w:spacing w:after="0"/>
              <w:rPr>
                <w:sz w:val="20"/>
                <w:szCs w:val="20"/>
                <w:color w:val="auto"/>
              </w:rPr>
            </w:pPr>
            <w:r>
              <w:rPr>
                <w:rFonts w:ascii="Arial" w:cs="Arial" w:eastAsia="Arial" w:hAnsi="Arial"/>
                <w:sz w:val="18"/>
                <w:szCs w:val="18"/>
                <w:color w:val="auto"/>
              </w:rPr>
              <w:t>Net cash used in investing activities of continuing operations</w:t>
            </w:r>
          </w:p>
        </w:tc>
        <w:tc>
          <w:tcPr>
            <w:tcW w:w="18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(18.0)</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Net cash used in investing activities of discontinued operations</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73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43"/>
        </w:trPr>
        <w:tc>
          <w:tcPr>
            <w:tcW w:w="736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8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(18.4)</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1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Borrowings under Term Loan and Revolving Loan</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Repayment of Term Loan</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Net (repayment)/borrowings under lines of credit</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51.2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Reacquisition of Common Stock</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Proceeds pursuant to stock-based compensation plans</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10"/>
        </w:trPr>
        <w:tc>
          <w:tcPr>
            <w:tcW w:w="73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43"/>
        </w:trPr>
        <w:tc>
          <w:tcPr>
            <w:tcW w:w="7360" w:type="dxa"/>
            <w:vAlign w:val="bottom"/>
          </w:tcPr>
          <w:p>
            <w:pPr>
              <w:ind w:left="60"/>
              <w:spacing w:after="0"/>
              <w:rPr>
                <w:sz w:val="20"/>
                <w:szCs w:val="20"/>
                <w:color w:val="auto"/>
              </w:rPr>
            </w:pPr>
            <w:r>
              <w:rPr>
                <w:rFonts w:ascii="Arial" w:cs="Arial" w:eastAsia="Arial" w:hAnsi="Arial"/>
                <w:sz w:val="18"/>
                <w:szCs w:val="18"/>
                <w:color w:val="auto"/>
              </w:rPr>
              <w:t>Net cash provided by financing activities of continuing operations</w:t>
            </w:r>
          </w:p>
        </w:tc>
        <w:tc>
          <w:tcPr>
            <w:tcW w:w="182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68.4</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Net cash provided by financing activities of discontinued operations</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73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43"/>
        </w:trPr>
        <w:tc>
          <w:tcPr>
            <w:tcW w:w="7360" w:type="dxa"/>
            <w:vAlign w:val="bottom"/>
          </w:tcPr>
          <w:p>
            <w:pPr>
              <w:ind w:left="60"/>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68.4</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Effect of exchange rate changes on cash and cash equivalents</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110"/>
        </w:trPr>
        <w:tc>
          <w:tcPr>
            <w:tcW w:w="73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43"/>
        </w:trPr>
        <w:tc>
          <w:tcPr>
            <w:tcW w:w="7360" w:type="dxa"/>
            <w:vAlign w:val="bottom"/>
          </w:tcPr>
          <w:p>
            <w:pPr>
              <w:ind w:left="60"/>
              <w:spacing w:after="0"/>
              <w:rPr>
                <w:sz w:val="20"/>
                <w:szCs w:val="20"/>
                <w:color w:val="auto"/>
              </w:rPr>
            </w:pPr>
            <w:r>
              <w:rPr>
                <w:rFonts w:ascii="Arial" w:cs="Arial" w:eastAsia="Arial" w:hAnsi="Arial"/>
                <w:sz w:val="18"/>
                <w:szCs w:val="18"/>
                <w:color w:val="auto"/>
              </w:rPr>
              <w:t>Net (decrease) increase in cash and cash equivalents</w:t>
            </w:r>
          </w:p>
        </w:tc>
        <w:tc>
          <w:tcPr>
            <w:tcW w:w="18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(88.7)</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7360" w:type="dxa"/>
            <w:vAlign w:val="bottom"/>
          </w:tcPr>
          <w:p>
            <w:pPr>
              <w:ind w:left="60"/>
              <w:spacing w:after="0"/>
              <w:rPr>
                <w:sz w:val="20"/>
                <w:szCs w:val="20"/>
                <w:color w:val="auto"/>
              </w:rPr>
            </w:pPr>
            <w:r>
              <w:rPr>
                <w:rFonts w:ascii="Arial" w:cs="Arial" w:eastAsia="Arial" w:hAnsi="Arial"/>
                <w:sz w:val="18"/>
                <w:szCs w:val="18"/>
                <w:color w:val="auto"/>
              </w:rPr>
              <w:t>Cash and cash equivalents at beginning of period, including cash of discontinued</w:t>
            </w:r>
          </w:p>
        </w:tc>
        <w:tc>
          <w:tcPr>
            <w:tcW w:w="1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operations of $0.4 and $1.2, 2008 and 2007, respectively</w:t>
            </w:r>
          </w:p>
        </w:tc>
        <w:tc>
          <w:tcPr>
            <w:tcW w:w="18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120.4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-8816340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-8816340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at end of period, including cash of discontinued</w:t>
      </w:r>
    </w:p>
    <w:p>
      <w:pPr>
        <w:sectPr>
          <w:pgSz w:w="11900" w:h="16838" w:orient="portrait"/>
          <w:cols w:equalWidth="0" w:num="1">
            <w:col w:w="11420"/>
          </w:cols>
          <w:pgMar w:left="240" w:top="152" w:right="239" w:bottom="0" w:gutter="0" w:footer="0" w:header="0"/>
        </w:sectPr>
      </w:pPr>
    </w:p>
    <w:bookmarkStart w:id="6" w:name="page7"/>
    <w:bookmarkEnd w:id="6"/>
    <w:p>
      <w:pPr>
        <w:ind w:left="180"/>
        <w:spacing w:after="0"/>
        <w:tabs>
          <w:tab w:leader="none" w:pos="8940" w:val="left"/>
          <w:tab w:leader="none" w:pos="9600" w:val="left"/>
          <w:tab w:leader="none" w:pos="10300" w:val="left"/>
          <w:tab w:leader="none" w:pos="11020" w:val="left"/>
        </w:tabs>
        <w:rPr>
          <w:sz w:val="20"/>
          <w:szCs w:val="20"/>
          <w:color w:val="auto"/>
        </w:rPr>
      </w:pPr>
      <w:r>
        <w:rPr>
          <w:rFonts w:ascii="Arial" w:cs="Arial" w:eastAsia="Arial" w:hAnsi="Arial"/>
          <w:sz w:val="18"/>
          <w:szCs w:val="18"/>
          <w:b w:val="1"/>
          <w:bCs w:val="1"/>
          <w:i w:val="1"/>
          <w:iCs w:val="1"/>
          <w:color w:val="auto"/>
        </w:rPr>
        <w:t>operations of $0.0 and $3.5, 2008 and 2007, respectively</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31.7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accompanying condensed consolidated financial statements consist of the accounts of Scholastic Corporation (the “Corporation”) and all wholly-owned and majority-owned subsidiaries (collectively, “Scholastic” or the “Company”). These financial statements have not been audited but reflect those adjustments consisting of normal recurring items that management considers necessary for a fair presentation of financial position, results of operations and cash flows. These financial statements should be read in conjunction with the consolidated financial statements and related notes in the Annual Report on Form 10-K for the fiscal year ended May 31, 2008.</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more fully described in Note 3, “Discontinued Operations,” during the three months ended August 31, 2008, the Company completed the sale of its domestic direct-to-home continuity business (the “DTH business”). The Company expects to complete the sale of the international portion of its direct-to-home continuity businesses located in the United Kingdom and Canada (“DTH International”), as well as a warehousing and distribution facility located in Maumelle, Arkansas (the “Maumelle Facility”) before the end of the calendar year. As previously announced, during the fourth quarter of fiscal 2008, due to the impending sale of the DTH business, it was also determined that the Scholastic school-based continuities business (the “SC business”) would not have an adequate infrastructure and, as a result, the SC business was shut down effective May 31, 2008. The DTH business, DTH International, the Maumelle Facility, and the SC business are hereinafter referred to collectively as the “Former Continuities Business.”</w:t>
      </w:r>
    </w:p>
    <w:p>
      <w:pPr>
        <w:spacing w:after="0" w:line="17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remaining assets and liabilities associated with the Former Continuities Business are presented on the Company’s Condensed Consolidated Balance Sheets as “Current assets of discontinued operations” and “Current liabilities of discontinued operations” as of August 31, 2008. The results of operations of the Former Continuities Business for the three months ended August 31, 2008 and 2007 are included in the Condensed Consolidated Statements of Operations as “Loss from discontinued operations, net of tax.” The cash flows of the Former Continuities Business are also presented separately in the Company’s Consolidated Statements of Cash Flows for the three months ended August 31, 2008. All corresponding prior year periods presented in the Company’s Condensed Consolidated Financial Statements and accompanying notes have been reclassified to reflect the discontinued operations presentation.</w:t>
      </w:r>
    </w:p>
    <w:p>
      <w:pPr>
        <w:spacing w:after="0" w:line="17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Company’s business is closely correlated to the school year. Consequently, the results of operations for the three months ended August 31, 2008 and 2007 are not necessarily indicative of the results expected for the full year. The Company typically records a loss in its fiscal first quarter, when most schools are not in session. Due to the seasonal fluctuations that occur, the August 31, 2007 Condensed Consolidated Balance Sheet is included for comparative purposes.</w:t>
      </w:r>
    </w:p>
    <w:p>
      <w:pPr>
        <w:spacing w:after="0" w:line="16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gross margin rates used to determine inventory values during interim periods; amortization periods; pension and other post-retirement obligations; tax obligations; recoverability of inventories, deferred promotion costs, deferred income taxes and tax reserves, prepublication costs, royalty advances, and the fair value of goodwill and other intangibles.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to the reclassification to reflect the discontinued operations presentation, certain prior year amounts have been reclassified to conform to the current year. Royalty advances, which were previously reported within “Cash flows used in investing activities” in the Company’s Consolidated Statements of Cash Flows, are now presented as a component of “Changes in assets and liabilities” within “Cash flows used in operating activities.” The prior year reclassifications to the Statements of Cash Flows resulted in a $9.1 decrease in “Net cash used in operating activities” for the three months ended August 31,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reflected: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60" w:type="dxa"/>
            <w:vAlign w:val="bottom"/>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31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Royalty advances expensed</w:t>
            </w:r>
          </w:p>
        </w:tc>
        <w:tc>
          <w:tcPr>
            <w:tcW w:w="3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9.7</w:t>
            </w:r>
          </w:p>
        </w:tc>
      </w:tr>
      <w:tr>
        <w:trPr>
          <w:trHeight w:val="243"/>
        </w:trPr>
        <w:tc>
          <w:tcPr>
            <w:tcW w:w="74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180" w:type="dxa"/>
            <w:vAlign w:val="bottom"/>
          </w:tcPr>
          <w:p>
            <w:pPr>
              <w:spacing w:after="0"/>
              <w:rPr>
                <w:sz w:val="21"/>
                <w:szCs w:val="21"/>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9.7</w:t>
            </w:r>
          </w:p>
        </w:tc>
      </w:tr>
      <w:tr>
        <w:trPr>
          <w:trHeight w:val="120"/>
        </w:trPr>
        <w:tc>
          <w:tcPr>
            <w:tcW w:w="746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589"/>
        </w:trPr>
        <w:tc>
          <w:tcPr>
            <w:tcW w:w="74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3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Royalty advances</w:t>
            </w:r>
          </w:p>
        </w:tc>
        <w:tc>
          <w:tcPr>
            <w:tcW w:w="318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(9.1)</w:t>
            </w:r>
          </w:p>
        </w:tc>
      </w:tr>
      <w:tr>
        <w:trPr>
          <w:trHeight w:val="243"/>
        </w:trPr>
        <w:tc>
          <w:tcPr>
            <w:tcW w:w="7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(9.1)</w:t>
            </w:r>
          </w:p>
        </w:tc>
      </w:tr>
      <w:tr>
        <w:trPr>
          <w:trHeight w:val="729"/>
        </w:trPr>
        <w:tc>
          <w:tcPr>
            <w:tcW w:w="7460" w:type="dxa"/>
            <w:vAlign w:val="bottom"/>
          </w:tcPr>
          <w:p>
            <w:pPr>
              <w:spacing w:after="0"/>
              <w:rPr>
                <w:sz w:val="20"/>
                <w:szCs w:val="20"/>
                <w:color w:val="auto"/>
              </w:rPr>
            </w:pPr>
            <w:r>
              <w:rPr>
                <w:rFonts w:ascii="Arial" w:cs="Arial" w:eastAsia="Arial" w:hAnsi="Arial"/>
                <w:sz w:val="18"/>
                <w:szCs w:val="18"/>
                <w:color w:val="auto"/>
              </w:rPr>
              <w:t>Revised to reflect the reclassification of royalty advances:</w:t>
            </w:r>
          </w:p>
        </w:tc>
        <w:tc>
          <w:tcPr>
            <w:tcW w:w="3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20"/>
        </w:trPr>
        <w:tc>
          <w:tcPr>
            <w:tcW w:w="746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832"/>
        </w:trPr>
        <w:tc>
          <w:tcPr>
            <w:tcW w:w="7460" w:type="dxa"/>
            <w:vAlign w:val="bottom"/>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3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1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7460" w:type="dxa"/>
            <w:vAlign w:val="bottom"/>
          </w:tcPr>
          <w:p>
            <w:pPr>
              <w:ind w:left="500"/>
              <w:spacing w:after="0"/>
              <w:rPr>
                <w:sz w:val="20"/>
                <w:szCs w:val="20"/>
                <w:color w:val="auto"/>
              </w:rPr>
            </w:pPr>
            <w:r>
              <w:rPr>
                <w:rFonts w:ascii="Arial" w:cs="Arial" w:eastAsia="Arial" w:hAnsi="Arial"/>
                <w:sz w:val="18"/>
                <w:szCs w:val="18"/>
                <w:color w:val="auto"/>
              </w:rPr>
              <w:t>Royalty advances</w:t>
            </w:r>
          </w:p>
        </w:tc>
        <w:tc>
          <w:tcPr>
            <w:tcW w:w="3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0.6</w:t>
            </w:r>
          </w:p>
        </w:tc>
      </w:tr>
      <w:tr>
        <w:trPr>
          <w:trHeight w:val="120"/>
        </w:trPr>
        <w:tc>
          <w:tcPr>
            <w:tcW w:w="746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589"/>
        </w:trPr>
        <w:tc>
          <w:tcPr>
            <w:tcW w:w="7460" w:type="dxa"/>
            <w:vAlign w:val="bottom"/>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18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0.6</w:t>
            </w:r>
          </w:p>
        </w:tc>
      </w:tr>
      <w:tr>
        <w:trPr>
          <w:trHeight w:val="120"/>
        </w:trPr>
        <w:tc>
          <w:tcPr>
            <w:tcW w:w="746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589"/>
        </w:trPr>
        <w:tc>
          <w:tcPr>
            <w:tcW w:w="74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0.6</w:t>
            </w:r>
          </w:p>
        </w:tc>
      </w:tr>
      <w:tr>
        <w:trPr>
          <w:trHeight w:val="120"/>
        </w:trPr>
        <w:tc>
          <w:tcPr>
            <w:tcW w:w="746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-3101340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-3101340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-1866900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-940435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-940435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-477520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corresponding subtotals of cash provided by operations and cash used in investing activities have been adjusted to reflect the change in the classification of royalty advances.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September 2006, FASB issued SFAS No. 157, “Fair Value Measurements” (“SFAS 157”). SFAS 157 defines fair value, establishes a framework for measuring fair value under generally accepted accounting principles, and expands disclosures about fair value measurements. SFAS 157 emphasizes that fair value is a market-based measurement, not an entity-specific measurement, and states that a fair value measurement should be determined based on the assumptions that market participants would use in pricing the asset or liability. In February 2008, the FASB issued FASB Staff Position (“FSP”) No. FAS 157-1, “Application of FASB Statement No. 157 to FASB Statement No. 13 and Other Accounting Pronouncements That Address Fair Value Measurements for Purposes of Lease Classification or Measurement under Statement 13” and FSP No. FAS 157-2, “Effective Date of FASB Statement No. 157.” Collectively, these Staff Positions allow a one-year deferral of adoption of SFAS 157 for nonfinancial assets and liabilities that are recognized or disclosed at fair value in the financial statements on a non-recurring basis and amend SFAS 157 to exclude FASB Statement No. 13 and its related interpretive accounting pronouncements that address leasing transactions.</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adopted SFAS 157 beginning June 1, 2008, except for nonfinancial assets and liabilities measured at fair value on a non-recurring basis, which will be effective for the Company June 1, 2009. The impact of the adoption on June 1, 2008 was not material to the Company’s condensed consolidated financial statements. The Company is currently evaluating the impact that the adoption of the deferred portion of SFAS 157 will have on its consolidated financial position, results of operations and cash flows.</w:t>
      </w:r>
    </w:p>
    <w:p>
      <w:pPr>
        <w:spacing w:after="0" w:line="19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SFAS 157 establishes a three-level hierarchy for fair value measurements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Company’s assets and liabilities measured at fair value on a recurring basis subject to the presentation requirements of SFAS 157 at August 31, 2008 consisted of cash and cash equivalents and foreign currency forward contracts, neither of which were material as of the reporting date. Cash and cash equivalents are comprised of bank deposits and short-term investments, such as money market funds, the fair value of which is based on quoted market prices, a Level 1 fair value measure. The fair values of foreign currency forward contracts, used by the Company to manage foreign exchange impact to the financial statements, are based on quotations from financial institutions, a Level 2 fair value measure.</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to provide companies with an option to report selected financial assets and liabilities at fair value. The objective of SFAS 159 is to reduce both the complexity in accounting for financial instruments and the volatility in earnings caused by measuring related assets and liabilities differently. SFAS 159 was effective for the Company beginning June 1, 2008. The Company has not elected to measure any financial assets and financial liabilities at fair value which were not previously required to be measured at fair value. Therefore, the adoption of this standard has had no impact on the Company’s consolidated financial position, results of operations and cash flows.</w:t>
      </w:r>
    </w:p>
    <w:p>
      <w:pPr>
        <w:spacing w:after="0" w:line="1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2007, the FASB issued SFAS No. 141 (revised), “Business Combinations” (“SFAS 141R”). SFAS 141R establishes principles and requirements for how an acquiror accounts for business combinations. SFAS 141R includes guidance for the recognition and measurement of the identifiable assets acquired, the liabilities assumed, and any noncontrolling or minority interest in the acquiree. It also provides guidance for the measurement of goodwill, the recognition of contingent consideration, the accounting for pre-acquisition gain and loss contingencies and acquisition-related transaction costs, and the recognition of changes in the acquiror’s income tax valuation allowance. SFAS 141R applies prospectively and is effective for business combinations made by the Company beginning June 1, 2009.</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an amendment of ARB No. 51” (“SFAS 160”). SFAS 160 amends Accounting Research Bulletin No. 51, “Consolidated Financial Statements,” to establish accounting and reporting standards for any noncontrolling interest in a subsidiary and for the deconsolidation of a subsidiary. SFAS 160 clarifies that a noncontrolling interest in a subsidiary should be reported as a component of equity in the consolidated financial statements and requires disclosure, on the face of the consolidated statement of operations, of the amounts of consolidated net income attributable to the parent and to the noncontrolled interest. SFAS 160 is effective for the Company beginning June 1, 2009 and is to be applied prospectively, except for the presentation and disclosure requirements, which upon adoption will be applied retrospectively for all periods presented. The Company is currently evaluating the impact, if any, that SFAS 160 will have on its consolidated financial position, results of operations and cash flows.</w:t>
      </w:r>
    </w:p>
    <w:p>
      <w:pPr>
        <w:spacing w:after="0" w:line="1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2008, the FASB issued FSP No. FAS 142-3, “Determination of the Useful Life of Intangible Assets” (“FAS 142-3”). FAS 142-3 amends the factors that should be considered in developing renewal or extension assumptions used to determine the useful life of a recognized intangible asset under FASB Statement No. 142, “Goodwill and Other Intangible Assets.” FAS 142-3 is effective for fiscal years beginning after December 15, 2008 and early adoption is prohibited. The Company is currently evaluating the impact, if any, that FAS 142-3 will have on its consolidated financial position, results of operations and cash flows.</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June 2008, the FASB issued FSP No. EITF 03-6-1, “Determining Whether Instruments Granted in Share-Based Payment Transactions Are Participating Securities” (“FSP 03-6-1”), which classifies unvested share-based payment awards that contain nonforfeitable rights to dividends or dividend equivalents as participating securities and requires them to be included in the computation of earnings per share pursuant to the two-class method described in SFAS No. 128, “Earnings per Share.” FSP 03-6-1 is effective for financial statements issued for fiscal years beginning after December 15, 2008, and interim periods within those years. It requires all prior period earnings per share data presented to be adjusted retrospectively. The Company is currently evaluating the effect, if any, that the adoption of FSP 03-6-1 will have on its consolidated financial position, results of operations and cash flows.</w:t>
      </w:r>
    </w:p>
    <w:p>
      <w:pPr>
        <w:spacing w:after="0" w:line="17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September 2008, the FASB issued FSP No. 133-1 and FIN 45-4, “Disclosures about Credit Derivatives and Certain Guarantees: An Amendment of FASB Statement No. 133 and FASB Interpretation No. 45; and Clarification of the Effective Date of FASB Statement No. 161” (“FSP 133-1”). FSP 133-1 requires more</w:t>
      </w:r>
    </w:p>
    <w:p>
      <w:pPr>
        <w:sectPr>
          <w:pgSz w:w="11900" w:h="16838" w:orient="portrait"/>
          <w:cols w:equalWidth="0" w:num="1">
            <w:col w:w="11400"/>
          </w:cols>
          <w:pgMar w:left="240" w:top="125" w:right="259" w:bottom="0" w:gutter="0" w:footer="0" w:header="0"/>
        </w:sectPr>
      </w:pPr>
    </w:p>
    <w:bookmarkStart w:id="10" w:name="page11"/>
    <w:bookmarkEnd w:id="10"/>
    <w:p>
      <w:pPr>
        <w:spacing w:after="0" w:line="291" w:lineRule="auto"/>
        <w:rPr>
          <w:sz w:val="20"/>
          <w:szCs w:val="20"/>
          <w:color w:val="auto"/>
        </w:rPr>
      </w:pPr>
      <w:r>
        <w:rPr>
          <w:rFonts w:ascii="Arial" w:cs="Arial" w:eastAsia="Arial" w:hAnsi="Arial"/>
          <w:sz w:val="16"/>
          <w:szCs w:val="16"/>
          <w:color w:val="auto"/>
        </w:rPr>
        <w:t>extensive disclosure regarding potential adverse effects of changes in credit risk on the financial position, financial performance, and cash flows of sellers of credit derivatives. FSP 133-1 also amends FASB Interpretation No. 45, “Guarantor’s Accounting and Disclosure Requirements for Guarantees, Including Indirect Guarantees of Indebtedness to Others,” to require additional disclosure about the current status of the payment or performance risk of a guarantee. FSP 133-1 also clarifies the effective date of FASB Statement No. 161, “Disclosures about Derivative Instruments and Hedging Activities,” by stating that the disclosures required should be provided for any reporting period (annual or quarterly interim) beginning after November 15, 2008. The Company is currently evaluating the effect, if any, that the adoption of FSP 133-1 will have on its consolidated financial position, results of operations and cash flows.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w:t>
      </w:r>
    </w:p>
    <w:p>
      <w:pPr>
        <w:spacing w:after="0" w:line="23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In previous filings, the Company treated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(“CBPD”) operating segment as a single reporting unit, which included the DTH business. The Company had determined that the components of this segment had similar economic characteristics, and accordingly, the Company annually assessed goodwill for impairment at the CBPD operating segment level, resulting in no impairment of goodwill until the Company decided to divest certain of its Direct to Home businesses in December 2007. These divestitures include the DTH business, which consists of the domestic portion of the Company’s Direct to Home business located in the United States, DTH International, which includes the Company’s Direct to Home continuity businesses located in the United Kingdom and Canada, and the Maumelle Facility. As more fully described in Note 3, “Discontinued Operations,” the Company completed the sale of the DTH business during the three months ended August 31, 2008. The Company, in connection with the decision to divest these businesses, determined that they should be accounted for as discontinued operations. Accordingly, the Company allocated $4.3 of goodwill to the DTH business based upon the relative fair values of the DTH business compared to the total CBPD segment. The Company assessed the recoverable value of the discontinued DTH business, and then concluded that the $4.3 of goodwill was fully impaired and recognized this impairment in the third quarter of 2008.</w:t>
      </w:r>
    </w:p>
    <w:p>
      <w:pPr>
        <w:spacing w:after="0" w:line="1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Subsequently, the Company reassessed its accounting regarding goodwill impairment and concluded that the DTH business did not have sufficiently similar economic characteristics compared to the other components of the CBPD segment in the current period or in historical periods. For purposes of goodwill testing, the DTH business had incorrectly been aggregated with the CBPD segment since 2001. Accordingly, the Company determined the DTH business should have been treated as a reporting unit and goodwill attributable to the DTH business should have been assessed at the Direct to Home reporting unit level (the “DTH reporting unit” which consists of the domestic Direct to Home portion of the DTH business).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determined that goodwill historically attributable to the DTH reporting unit was $92.4 after consideration of the original source of the goodwill within the CBPD segment and other factors. The Company then reapplied the historical annual impairment testing for the goodwill attributed to the DTH reporting unit for prior periods, utilizing internally developed forecasts of the domestic portion of the DTH business available at the time the test would have been performed. Based upon these analyses, the Company determined that the carrying value of the DTH reporting unit exceeded the fair value of the DTH reporting unit in 2005. The decline in profitability of the DTH business had been previously publicly disclosed by the Company and was primarily a result of the federal Do Not Call legislation, which negatively impacted the business’ marketing programs. Accordingly, the Company determined that all $92.4 of goodwill ($61.0 after recognition of deferred tax benefits) attributable to the DTH reporting unit was impaired as of May 31, 2005.</w:t>
      </w:r>
    </w:p>
    <w:p>
      <w:pPr>
        <w:spacing w:after="0" w:line="17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discussed in the Company’s Form 10-K for the fiscal year ended May 31, 2008 and filed July 30, 2008, the Company has restated its previously filed consolidated financial statements and selected financial data for the years ended May 31, 2007, 2006 and 2005 and its previously issued quarterly consolidated financial statements for the three month period ended August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presentations as of August 31, 2007 are restated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2240"/>
        <w:spacing w:after="0"/>
        <w:rPr>
          <w:sz w:val="20"/>
          <w:szCs w:val="20"/>
          <w:color w:val="auto"/>
        </w:rPr>
      </w:pPr>
      <w:r>
        <w:rPr>
          <w:rFonts w:ascii="Arial" w:cs="Arial" w:eastAsia="Arial" w:hAnsi="Arial"/>
          <w:sz w:val="14"/>
          <w:szCs w:val="14"/>
          <w:b w:val="1"/>
          <w:bCs w:val="1"/>
          <w:color w:val="auto"/>
        </w:rPr>
        <w:t>As</w:t>
      </w:r>
    </w:p>
    <w:p>
      <w:pPr>
        <w:spacing w:after="0" w:line="82" w:lineRule="exact"/>
        <w:rPr>
          <w:sz w:val="20"/>
          <w:szCs w:val="20"/>
          <w:color w:val="auto"/>
        </w:rPr>
      </w:pPr>
    </w:p>
    <w:p>
      <w:pPr>
        <w:jc w:val="right"/>
        <w:ind w:right="2240"/>
        <w:spacing w:after="0"/>
        <w:rPr>
          <w:sz w:val="20"/>
          <w:szCs w:val="20"/>
          <w:color w:val="auto"/>
        </w:rPr>
      </w:pPr>
      <w:r>
        <w:rPr>
          <w:rFonts w:ascii="Arial" w:cs="Arial" w:eastAsia="Arial" w:hAnsi="Arial"/>
          <w:sz w:val="14"/>
          <w:szCs w:val="14"/>
          <w:b w:val="1"/>
          <w:bCs w:val="1"/>
          <w:color w:val="auto"/>
        </w:rPr>
        <w:t>Previously</w:t>
      </w:r>
    </w:p>
    <w:p>
      <w:pPr>
        <w:spacing w:after="0" w:line="82" w:lineRule="exact"/>
        <w:rPr>
          <w:sz w:val="20"/>
          <w:szCs w:val="20"/>
          <w:color w:val="auto"/>
        </w:rPr>
      </w:pPr>
    </w:p>
    <w:p>
      <w:pPr>
        <w:ind w:left="8620"/>
        <w:spacing w:after="0"/>
        <w:tabs>
          <w:tab w:leader="none" w:pos="9480" w:val="left"/>
          <w:tab w:leader="none" w:pos="10620" w:val="left"/>
        </w:tabs>
        <w:rPr>
          <w:sz w:val="20"/>
          <w:szCs w:val="20"/>
          <w:color w:val="auto"/>
        </w:rPr>
      </w:pPr>
      <w:r>
        <w:rPr>
          <w:rFonts w:ascii="Arial" w:cs="Arial" w:eastAsia="Arial" w:hAnsi="Arial"/>
          <w:sz w:val="14"/>
          <w:szCs w:val="14"/>
          <w:b w:val="1"/>
          <w:bCs w:val="1"/>
          <w:color w:val="auto"/>
        </w:rPr>
        <w:t>Reported</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2"/>
          <w:szCs w:val="12"/>
          <w:b w:val="1"/>
          <w:bCs w:val="1"/>
          <w:color w:val="auto"/>
        </w:rPr>
        <w:t>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Goodwill </w:t>
      </w:r>
      <w:r>
        <w:rPr>
          <w:rFonts w:ascii="Arial" w:cs="Arial" w:eastAsia="Arial" w:hAnsi="Arial"/>
          <w:sz w:val="27"/>
          <w:szCs w:val="27"/>
          <w:color w:val="auto"/>
          <w:vertAlign w:val="superscript"/>
        </w:rPr>
        <w:t>(1)</w:t>
      </w:r>
    </w:p>
    <w:p>
      <w:pPr>
        <w:ind w:left="180"/>
        <w:spacing w:after="0"/>
        <w:rPr>
          <w:sz w:val="20"/>
          <w:szCs w:val="20"/>
          <w:color w:val="auto"/>
        </w:rPr>
      </w:pPr>
      <w:r>
        <w:rPr>
          <w:rFonts w:ascii="Arial" w:cs="Arial" w:eastAsia="Arial" w:hAnsi="Arial"/>
          <w:sz w:val="11"/>
          <w:szCs w:val="11"/>
          <w:color w:val="auto"/>
        </w:rPr>
        <w:t xml:space="preserve">Other assets and deferred charges (including deferred income taxes) </w:t>
      </w:r>
      <w:r>
        <w:rPr>
          <w:rFonts w:ascii="Arial" w:cs="Arial" w:eastAsia="Arial" w:hAnsi="Arial"/>
          <w:sz w:val="21"/>
          <w:szCs w:val="21"/>
          <w:color w:val="auto"/>
          <w:vertAlign w:val="superscript"/>
        </w:rPr>
        <w:t>(2)</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264.9</w:t>
            </w:r>
          </w:p>
        </w:tc>
        <w:tc>
          <w:tcPr>
            <w:tcW w:w="4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(92.4)</w:t>
            </w: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172.5</w:t>
            </w:r>
          </w:p>
        </w:tc>
      </w:tr>
      <w:tr>
        <w:trPr>
          <w:trHeight w:val="257"/>
        </w:trPr>
        <w:tc>
          <w:tcPr>
            <w:tcW w:w="22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66.0</w:t>
            </w:r>
          </w:p>
        </w:tc>
        <w:tc>
          <w:tcPr>
            <w:tcW w:w="440" w:type="dxa"/>
            <w:vAlign w:val="bottom"/>
          </w:tcPr>
          <w:p>
            <w:pPr>
              <w:spacing w:after="0"/>
              <w:rPr>
                <w:sz w:val="22"/>
                <w:szCs w:val="22"/>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31.8</w:t>
            </w:r>
          </w:p>
        </w:tc>
        <w:tc>
          <w:tcPr>
            <w:tcW w:w="3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97.8</w:t>
            </w:r>
          </w:p>
        </w:tc>
      </w:tr>
      <w:tr>
        <w:trPr>
          <w:trHeight w:val="243"/>
        </w:trPr>
        <w:tc>
          <w:tcPr>
            <w:tcW w:w="22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663.6</w:t>
            </w:r>
          </w:p>
        </w:tc>
        <w:tc>
          <w:tcPr>
            <w:tcW w:w="44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(61.0)</w:t>
            </w:r>
          </w:p>
        </w:tc>
        <w:tc>
          <w:tcPr>
            <w:tcW w:w="3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602.6</w:t>
            </w:r>
          </w:p>
        </w:tc>
      </w:tr>
    </w:tbl>
    <w:p>
      <w:pPr>
        <w:spacing w:after="0" w:line="200" w:lineRule="exact"/>
        <w:rPr>
          <w:sz w:val="20"/>
          <w:szCs w:val="20"/>
          <w:color w:val="auto"/>
        </w:rPr>
      </w:pPr>
    </w:p>
    <w:p>
      <w:pPr>
        <w:sectPr>
          <w:pgSz w:w="11900" w:h="16838" w:orient="portrait"/>
          <w:cols w:equalWidth="0" w:num="2">
            <w:col w:w="7760" w:space="720"/>
            <w:col w:w="2920"/>
          </w:cols>
          <w:pgMar w:left="240" w:top="125" w:right="259" w:bottom="1440" w:gutter="0" w:footer="0" w:header="0"/>
          <w:type w:val="continuous"/>
        </w:sectPr>
      </w:pPr>
    </w:p>
    <w:p>
      <w:pPr>
        <w:spacing w:after="0" w:line="251" w:lineRule="exact"/>
        <w:rPr>
          <w:sz w:val="20"/>
          <w:szCs w:val="20"/>
          <w:color w:val="auto"/>
        </w:rPr>
      </w:pPr>
    </w:p>
    <w:p>
      <w:pPr>
        <w:ind w:left="440" w:hanging="432"/>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Goodwill amounts above relate to discontinued operations, including the impact of the impairment, and the related deferred tax balances.</w:t>
      </w:r>
    </w:p>
    <w:p>
      <w:pPr>
        <w:spacing w:after="0" w:line="275" w:lineRule="exact"/>
        <w:rPr>
          <w:rFonts w:ascii="Arial" w:cs="Arial" w:eastAsia="Arial" w:hAnsi="Arial"/>
          <w:sz w:val="16"/>
          <w:szCs w:val="16"/>
          <w:color w:val="auto"/>
        </w:rPr>
      </w:pPr>
    </w:p>
    <w:p>
      <w:pPr>
        <w:ind w:left="440" w:right="220" w:hanging="432"/>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Includes a reclassification of installment receivables of $0.9 in the “As Previously Reported” and “Restated” amounts in order to conform to the current period presentation in the Condensed Consolidated Balance Sheets.</w:t>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three months ended August 31, 2008, the Company completed the sale of the DTH business and recognized a gain of $10.5. The Company expects to complete the sale of DTH International, as well as the Maumelle Facility before the end of the calendar year. During the three months ended August 31, 2008, the Company recognized impairment and other charges related to the United Kingdom direct-to-home operations of $5.0. During the three months ended May 31, 2008, the Company ceased operations of its SC business. The Company determined that absent the DTH business, there would be insufficient infrastructure to successfully support the SC business. In accordance with SFAS No. 144, “Accounting for the Impairment or Disposal of Long-Lived Assets” (“SFAS 144”), the results of operations for the Former Continuities Business are presented in the Company’s Condensed Consolidated Financial Statements as discontinued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52" w:lineRule="exact"/>
        <w:rPr>
          <w:sz w:val="20"/>
          <w:szCs w:val="20"/>
          <w:color w:val="auto"/>
        </w:rPr>
      </w:pPr>
    </w:p>
    <w:p>
      <w:pPr>
        <w:ind w:left="9040"/>
        <w:spacing w:after="0"/>
        <w:rPr>
          <w:sz w:val="20"/>
          <w:szCs w:val="20"/>
          <w:color w:val="auto"/>
        </w:rPr>
      </w:pPr>
      <w:r>
        <w:rPr>
          <w:rFonts w:ascii="Arial" w:cs="Arial" w:eastAsia="Arial" w:hAnsi="Arial"/>
          <w:sz w:val="15"/>
          <w:szCs w:val="15"/>
          <w:b w:val="1"/>
          <w:bCs w:val="1"/>
          <w:i w:val="1"/>
          <w:i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40" w:type="dxa"/>
            <w:vAlign w:val="bottom"/>
          </w:tcPr>
          <w:p>
            <w:pPr>
              <w:spacing w:after="0"/>
              <w:rPr>
                <w:sz w:val="19"/>
                <w:szCs w:val="19"/>
                <w:color w:val="auto"/>
              </w:rPr>
            </w:pPr>
          </w:p>
        </w:tc>
      </w:tr>
      <w:tr>
        <w:trPr>
          <w:trHeight w:val="120"/>
        </w:trPr>
        <w:tc>
          <w:tcPr>
            <w:tcW w:w="4520" w:type="dxa"/>
            <w:vAlign w:val="bottom"/>
            <w:tcBorders>
              <w:bottom w:val="single" w:sz="8" w:color="808080"/>
            </w:tcBorders>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589"/>
        </w:trPr>
        <w:tc>
          <w:tcPr>
            <w:tcW w:w="4520" w:type="dxa"/>
            <w:vAlign w:val="bottom"/>
          </w:tcPr>
          <w:p>
            <w:pPr>
              <w:spacing w:after="0"/>
              <w:rPr>
                <w:sz w:val="20"/>
                <w:szCs w:val="20"/>
                <w:color w:val="auto"/>
              </w:rPr>
            </w:pPr>
            <w:r>
              <w:rPr>
                <w:rFonts w:ascii="Arial" w:cs="Arial" w:eastAsia="Arial" w:hAnsi="Arial"/>
                <w:sz w:val="18"/>
                <w:szCs w:val="18"/>
                <w:color w:val="auto"/>
              </w:rPr>
              <w:t>Revenues</w:t>
            </w:r>
          </w:p>
        </w:tc>
        <w:tc>
          <w:tcPr>
            <w:tcW w:w="4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34.6</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55.6</w:t>
            </w:r>
          </w:p>
        </w:tc>
        <w:tc>
          <w:tcPr>
            <w:tcW w:w="4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Gain on sale</w:t>
            </w:r>
          </w:p>
        </w:tc>
        <w:tc>
          <w:tcPr>
            <w:tcW w:w="4640" w:type="dxa"/>
            <w:vAlign w:val="bottom"/>
          </w:tcPr>
          <w:p>
            <w:pPr>
              <w:spacing w:after="0"/>
              <w:rPr>
                <w:sz w:val="21"/>
                <w:szCs w:val="21"/>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Non-cash impairment and other charges</w:t>
            </w:r>
          </w:p>
        </w:tc>
        <w:tc>
          <w:tcPr>
            <w:tcW w:w="464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64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64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r>
      <w:tr>
        <w:trPr>
          <w:trHeight w:val="486"/>
        </w:trPr>
        <w:tc>
          <w:tcPr>
            <w:tcW w:w="452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46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b w:val="1"/>
                <w:bCs w:val="1"/>
                <w:color w:val="auto"/>
              </w:rPr>
              <w:t>(4.4)</w:t>
            </w:r>
          </w:p>
        </w:tc>
        <w:tc>
          <w:tcPr>
            <w:tcW w:w="4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40" w:type="dxa"/>
            <w:vAlign w:val="bottom"/>
          </w:tcPr>
          <w:p>
            <w:pPr>
              <w:spacing w:after="0"/>
              <w:rPr>
                <w:sz w:val="24"/>
                <w:szCs w:val="24"/>
                <w:color w:val="auto"/>
              </w:rPr>
            </w:pPr>
          </w:p>
        </w:tc>
      </w:tr>
      <w:tr>
        <w:trPr>
          <w:trHeight w:val="120"/>
        </w:trPr>
        <w:tc>
          <w:tcPr>
            <w:tcW w:w="4520" w:type="dxa"/>
            <w:vAlign w:val="bottom"/>
            <w:tcBorders>
              <w:bottom w:val="single" w:sz="8" w:color="808080"/>
            </w:tcBorders>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778"/>
        </w:trPr>
        <w:tc>
          <w:tcPr>
            <w:tcW w:w="4520" w:type="dxa"/>
            <w:vAlign w:val="bottom"/>
          </w:tcPr>
          <w:p>
            <w:pPr>
              <w:spacing w:after="0"/>
              <w:rPr>
                <w:sz w:val="24"/>
                <w:szCs w:val="24"/>
                <w:color w:val="auto"/>
              </w:rPr>
            </w:pPr>
          </w:p>
        </w:tc>
        <w:tc>
          <w:tcPr>
            <w:tcW w:w="4640" w:type="dxa"/>
            <w:vAlign w:val="bottom"/>
          </w:tcPr>
          <w:p>
            <w:pPr>
              <w:jc w:val="right"/>
              <w:ind w:right="3312"/>
              <w:spacing w:after="0"/>
              <w:rPr>
                <w:sz w:val="20"/>
                <w:szCs w:val="20"/>
                <w:color w:val="auto"/>
              </w:rPr>
            </w:pPr>
            <w:r>
              <w:rPr>
                <w:rFonts w:ascii="Arial" w:cs="Arial" w:eastAsia="Arial" w:hAnsi="Arial"/>
                <w:sz w:val="18"/>
                <w:szCs w:val="18"/>
                <w:color w:val="auto"/>
              </w:rPr>
              <w:t>8</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45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1"/>
        </w:trPr>
        <w:tc>
          <w:tcPr>
            <w:tcW w:w="4520" w:type="dxa"/>
            <w:vAlign w:val="bottom"/>
            <w:shd w:val="clear" w:color="auto" w:fill="808080"/>
          </w:tcPr>
          <w:p>
            <w:pPr>
              <w:spacing w:after="0"/>
              <w:rPr>
                <w:sz w:val="5"/>
                <w:szCs w:val="5"/>
                <w:color w:val="auto"/>
              </w:rPr>
            </w:pPr>
          </w:p>
        </w:tc>
        <w:tc>
          <w:tcPr>
            <w:tcW w:w="46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-2072640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-683260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-683260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4320" w:type="dxa"/>
            <w:vAlign w:val="bottom"/>
            <w:gridSpan w:val="2"/>
          </w:tcPr>
          <w:p>
            <w:pPr>
              <w:ind w:left="3000"/>
              <w:spacing w:after="0"/>
              <w:rPr>
                <w:sz w:val="20"/>
                <w:szCs w:val="20"/>
                <w:color w:val="auto"/>
              </w:rPr>
            </w:pPr>
            <w:r>
              <w:rPr>
                <w:rFonts w:ascii="Arial" w:cs="Arial" w:eastAsia="Arial" w:hAnsi="Arial"/>
                <w:sz w:val="18"/>
                <w:szCs w:val="18"/>
                <w:b w:val="1"/>
                <w:bCs w:val="1"/>
                <w:i w:val="1"/>
                <w:iCs w:val="1"/>
                <w:color w:val="auto"/>
                <w:w w:val="94"/>
              </w:rPr>
              <w:t>August 31, 2008</w:t>
            </w: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i w:val="1"/>
                <w:iCs w:val="1"/>
                <w:color w:val="auto"/>
                <w:w w:val="99"/>
              </w:rPr>
              <w:t>May 31, 2008</w:t>
            </w: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i w:val="1"/>
                <w:iCs w:val="1"/>
                <w:color w:val="auto"/>
                <w:w w:val="84"/>
              </w:rPr>
              <w:t>August 31, 2007</w:t>
            </w:r>
          </w:p>
        </w:tc>
        <w:tc>
          <w:tcPr>
            <w:tcW w:w="40" w:type="dxa"/>
            <w:vAlign w:val="bottom"/>
          </w:tcPr>
          <w:p>
            <w:pPr>
              <w:spacing w:after="0"/>
              <w:rPr>
                <w:sz w:val="19"/>
                <w:szCs w:val="19"/>
                <w:color w:val="auto"/>
              </w:rPr>
            </w:pPr>
          </w:p>
        </w:tc>
      </w:tr>
      <w:tr>
        <w:trPr>
          <w:trHeight w:val="134"/>
        </w:trPr>
        <w:tc>
          <w:tcPr>
            <w:tcW w:w="45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r>
        <w:trPr>
          <w:trHeight w:val="346"/>
        </w:trPr>
        <w:tc>
          <w:tcPr>
            <w:tcW w:w="4520" w:type="dxa"/>
            <w:vAlign w:val="bottom"/>
          </w:tcPr>
          <w:p>
            <w:pPr>
              <w:ind w:left="60"/>
              <w:spacing w:after="0"/>
              <w:rPr>
                <w:sz w:val="20"/>
                <w:szCs w:val="20"/>
                <w:color w:val="auto"/>
              </w:rPr>
            </w:pPr>
            <w:r>
              <w:rPr>
                <w:rFonts w:ascii="Arial" w:cs="Arial" w:eastAsia="Arial" w:hAnsi="Arial"/>
                <w:sz w:val="18"/>
                <w:szCs w:val="18"/>
                <w:color w:val="auto"/>
              </w:rPr>
              <w:t>Accounts receivable, net</w:t>
            </w:r>
          </w:p>
        </w:tc>
        <w:tc>
          <w:tcPr>
            <w:tcW w:w="332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color w:val="auto"/>
              </w:rPr>
              <w:t>20.3</w:t>
            </w:r>
          </w:p>
        </w:tc>
        <w:tc>
          <w:tcPr>
            <w:tcW w:w="380" w:type="dxa"/>
            <w:vAlign w:val="bottom"/>
          </w:tcPr>
          <w:p>
            <w:pPr>
              <w:spacing w:after="0"/>
              <w:rPr>
                <w:sz w:val="24"/>
                <w:szCs w:val="24"/>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rPr>
              <w:t>15.8</w:t>
            </w:r>
          </w:p>
        </w:tc>
        <w:tc>
          <w:tcPr>
            <w:tcW w:w="40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59.9</w:t>
            </w:r>
          </w:p>
        </w:tc>
        <w:tc>
          <w:tcPr>
            <w:tcW w:w="40" w:type="dxa"/>
            <w:vAlign w:val="bottom"/>
          </w:tcPr>
          <w:p>
            <w:pPr>
              <w:spacing w:after="0"/>
              <w:rPr>
                <w:sz w:val="24"/>
                <w:szCs w:val="24"/>
                <w:color w:val="auto"/>
              </w:rPr>
            </w:pPr>
          </w:p>
        </w:tc>
      </w:tr>
      <w:tr>
        <w:trPr>
          <w:trHeight w:val="243"/>
        </w:trPr>
        <w:tc>
          <w:tcPr>
            <w:tcW w:w="4520" w:type="dxa"/>
            <w:vAlign w:val="bottom"/>
          </w:tcPr>
          <w:p>
            <w:pPr>
              <w:ind w:left="60"/>
              <w:spacing w:after="0"/>
              <w:rPr>
                <w:sz w:val="20"/>
                <w:szCs w:val="20"/>
                <w:color w:val="auto"/>
              </w:rPr>
            </w:pPr>
            <w:r>
              <w:rPr>
                <w:rFonts w:ascii="Arial" w:cs="Arial" w:eastAsia="Arial" w:hAnsi="Arial"/>
                <w:sz w:val="18"/>
                <w:szCs w:val="18"/>
                <w:color w:val="auto"/>
              </w:rPr>
              <w:t>Inventories, net</w:t>
            </w:r>
          </w:p>
        </w:tc>
        <w:tc>
          <w:tcPr>
            <w:tcW w:w="3320" w:type="dxa"/>
            <w:vAlign w:val="bottom"/>
          </w:tcPr>
          <w:p>
            <w:pPr>
              <w:spacing w:after="0"/>
              <w:rPr>
                <w:sz w:val="21"/>
                <w:szCs w:val="21"/>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1"/>
                <w:szCs w:val="21"/>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50.5</w:t>
            </w:r>
          </w:p>
        </w:tc>
        <w:tc>
          <w:tcPr>
            <w:tcW w:w="40" w:type="dxa"/>
            <w:vAlign w:val="bottom"/>
          </w:tcPr>
          <w:p>
            <w:pPr>
              <w:spacing w:after="0"/>
              <w:rPr>
                <w:sz w:val="21"/>
                <w:szCs w:val="21"/>
                <w:color w:val="auto"/>
              </w:rPr>
            </w:pPr>
          </w:p>
        </w:tc>
      </w:tr>
      <w:tr>
        <w:trPr>
          <w:trHeight w:val="243"/>
        </w:trPr>
        <w:tc>
          <w:tcPr>
            <w:tcW w:w="4520" w:type="dxa"/>
            <w:vAlign w:val="bottom"/>
          </w:tcPr>
          <w:p>
            <w:pPr>
              <w:ind w:left="60"/>
              <w:spacing w:after="0"/>
              <w:rPr>
                <w:sz w:val="20"/>
                <w:szCs w:val="20"/>
                <w:color w:val="auto"/>
              </w:rPr>
            </w:pPr>
            <w:r>
              <w:rPr>
                <w:rFonts w:ascii="Arial" w:cs="Arial" w:eastAsia="Arial" w:hAnsi="Arial"/>
                <w:sz w:val="18"/>
                <w:szCs w:val="18"/>
                <w:color w:val="auto"/>
              </w:rPr>
              <w:t>Deferred promotion costs</w:t>
            </w:r>
          </w:p>
        </w:tc>
        <w:tc>
          <w:tcPr>
            <w:tcW w:w="3320" w:type="dxa"/>
            <w:vAlign w:val="bottom"/>
          </w:tcPr>
          <w:p>
            <w:pPr>
              <w:spacing w:after="0"/>
              <w:rPr>
                <w:sz w:val="21"/>
                <w:szCs w:val="21"/>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42.7</w:t>
            </w:r>
          </w:p>
        </w:tc>
        <w:tc>
          <w:tcPr>
            <w:tcW w:w="40" w:type="dxa"/>
            <w:vAlign w:val="bottom"/>
          </w:tcPr>
          <w:p>
            <w:pPr>
              <w:spacing w:after="0"/>
              <w:rPr>
                <w:sz w:val="21"/>
                <w:szCs w:val="21"/>
                <w:color w:val="auto"/>
              </w:rPr>
            </w:pPr>
          </w:p>
        </w:tc>
      </w:tr>
      <w:tr>
        <w:trPr>
          <w:trHeight w:val="243"/>
        </w:trPr>
        <w:tc>
          <w:tcPr>
            <w:tcW w:w="4520" w:type="dxa"/>
            <w:vAlign w:val="bottom"/>
          </w:tcPr>
          <w:p>
            <w:pPr>
              <w:ind w:left="60"/>
              <w:spacing w:after="0"/>
              <w:rPr>
                <w:sz w:val="20"/>
                <w:szCs w:val="20"/>
                <w:color w:val="auto"/>
              </w:rPr>
            </w:pPr>
            <w:r>
              <w:rPr>
                <w:rFonts w:ascii="Arial" w:cs="Arial" w:eastAsia="Arial" w:hAnsi="Arial"/>
                <w:sz w:val="18"/>
                <w:szCs w:val="18"/>
                <w:color w:val="auto"/>
              </w:rPr>
              <w:t>Other assets</w:t>
            </w:r>
          </w:p>
        </w:tc>
        <w:tc>
          <w:tcPr>
            <w:tcW w:w="3320" w:type="dxa"/>
            <w:vAlign w:val="bottom"/>
          </w:tcPr>
          <w:p>
            <w:pPr>
              <w:spacing w:after="0"/>
              <w:rPr>
                <w:sz w:val="21"/>
                <w:szCs w:val="21"/>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21"/>
                <w:szCs w:val="21"/>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1"/>
                <w:szCs w:val="21"/>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71.6</w:t>
            </w:r>
          </w:p>
        </w:tc>
        <w:tc>
          <w:tcPr>
            <w:tcW w:w="40" w:type="dxa"/>
            <w:vAlign w:val="bottom"/>
          </w:tcPr>
          <w:p>
            <w:pPr>
              <w:spacing w:after="0"/>
              <w:rPr>
                <w:sz w:val="21"/>
                <w:szCs w:val="21"/>
                <w:color w:val="auto"/>
              </w:rPr>
            </w:pPr>
          </w:p>
        </w:tc>
      </w:tr>
      <w:tr>
        <w:trPr>
          <w:trHeight w:val="120"/>
        </w:trPr>
        <w:tc>
          <w:tcPr>
            <w:tcW w:w="452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589"/>
        </w:trPr>
        <w:tc>
          <w:tcPr>
            <w:tcW w:w="4520" w:type="dxa"/>
            <w:vAlign w:val="bottom"/>
          </w:tcPr>
          <w:p>
            <w:pPr>
              <w:spacing w:after="0"/>
              <w:rPr>
                <w:sz w:val="20"/>
                <w:szCs w:val="20"/>
                <w:color w:val="auto"/>
              </w:rPr>
            </w:pPr>
            <w:r>
              <w:rPr>
                <w:rFonts w:ascii="Arial" w:cs="Arial" w:eastAsia="Arial" w:hAnsi="Arial"/>
                <w:sz w:val="18"/>
                <w:szCs w:val="18"/>
                <w:b w:val="1"/>
                <w:bCs w:val="1"/>
                <w:color w:val="auto"/>
              </w:rPr>
              <w:t>Current assets of discontinued operations</w:t>
            </w:r>
          </w:p>
        </w:tc>
        <w:tc>
          <w:tcPr>
            <w:tcW w:w="3320" w:type="dxa"/>
            <w:vAlign w:val="bottom"/>
          </w:tcPr>
          <w:p>
            <w:pPr>
              <w:ind w:left="30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29.6</w:t>
            </w:r>
          </w:p>
        </w:tc>
        <w:tc>
          <w:tcPr>
            <w:tcW w:w="3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color w:val="auto"/>
              </w:rPr>
              <w:t>30.7</w:t>
            </w:r>
          </w:p>
        </w:tc>
        <w:tc>
          <w:tcPr>
            <w:tcW w:w="40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224.7</w:t>
            </w:r>
          </w:p>
        </w:tc>
        <w:tc>
          <w:tcPr>
            <w:tcW w:w="40" w:type="dxa"/>
            <w:vAlign w:val="bottom"/>
          </w:tcPr>
          <w:p>
            <w:pPr>
              <w:spacing w:after="0"/>
              <w:rPr>
                <w:sz w:val="24"/>
                <w:szCs w:val="24"/>
                <w:color w:val="auto"/>
              </w:rPr>
            </w:pPr>
          </w:p>
        </w:tc>
      </w:tr>
      <w:tr>
        <w:trPr>
          <w:trHeight w:val="120"/>
        </w:trPr>
        <w:tc>
          <w:tcPr>
            <w:tcW w:w="452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832"/>
        </w:trPr>
        <w:tc>
          <w:tcPr>
            <w:tcW w:w="45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32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24"/>
                <w:szCs w:val="24"/>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320" w:type="dxa"/>
            <w:vAlign w:val="bottom"/>
          </w:tcPr>
          <w:p>
            <w:pPr>
              <w:spacing w:after="0"/>
              <w:rPr>
                <w:sz w:val="21"/>
                <w:szCs w:val="21"/>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1"/>
                <w:szCs w:val="21"/>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21"/>
                <w:szCs w:val="21"/>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1"/>
                <w:szCs w:val="21"/>
                <w:color w:val="auto"/>
              </w:rPr>
            </w:pPr>
          </w:p>
        </w:tc>
      </w:tr>
      <w:tr>
        <w:trPr>
          <w:trHeight w:val="120"/>
        </w:trPr>
        <w:tc>
          <w:tcPr>
            <w:tcW w:w="452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589"/>
        </w:trPr>
        <w:tc>
          <w:tcPr>
            <w:tcW w:w="4520" w:type="dxa"/>
            <w:vAlign w:val="bottom"/>
          </w:tcPr>
          <w:p>
            <w:pPr>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3320" w:type="dxa"/>
            <w:vAlign w:val="bottom"/>
          </w:tcPr>
          <w:p>
            <w:pPr>
              <w:ind w:left="30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16.1</w:t>
            </w:r>
          </w:p>
        </w:tc>
        <w:tc>
          <w:tcPr>
            <w:tcW w:w="3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color w:val="auto"/>
              </w:rPr>
              <w:t>16.5</w:t>
            </w:r>
          </w:p>
        </w:tc>
        <w:tc>
          <w:tcPr>
            <w:tcW w:w="40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26.7</w:t>
            </w:r>
          </w:p>
        </w:tc>
        <w:tc>
          <w:tcPr>
            <w:tcW w:w="40" w:type="dxa"/>
            <w:vAlign w:val="bottom"/>
          </w:tcPr>
          <w:p>
            <w:pPr>
              <w:spacing w:after="0"/>
              <w:rPr>
                <w:sz w:val="24"/>
                <w:szCs w:val="24"/>
                <w:color w:val="auto"/>
              </w:rPr>
            </w:pPr>
          </w:p>
        </w:tc>
      </w:tr>
      <w:tr>
        <w:trPr>
          <w:trHeight w:val="120"/>
        </w:trPr>
        <w:tc>
          <w:tcPr>
            <w:tcW w:w="452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778"/>
        </w:trPr>
        <w:tc>
          <w:tcPr>
            <w:tcW w:w="4520" w:type="dxa"/>
            <w:vAlign w:val="bottom"/>
          </w:tcPr>
          <w:p>
            <w:pPr>
              <w:spacing w:after="0"/>
              <w:rPr>
                <w:sz w:val="24"/>
                <w:szCs w:val="24"/>
                <w:color w:val="auto"/>
              </w:rPr>
            </w:pPr>
          </w:p>
        </w:tc>
        <w:tc>
          <w:tcPr>
            <w:tcW w:w="3320" w:type="dxa"/>
            <w:vAlign w:val="bottom"/>
          </w:tcPr>
          <w:p>
            <w:pPr>
              <w:jc w:val="right"/>
              <w:ind w:right="1992"/>
              <w:spacing w:after="0"/>
              <w:rPr>
                <w:sz w:val="20"/>
                <w:szCs w:val="20"/>
                <w:color w:val="auto"/>
              </w:rPr>
            </w:pPr>
            <w:r>
              <w:rPr>
                <w:rFonts w:ascii="Arial" w:cs="Arial" w:eastAsia="Arial" w:hAnsi="Arial"/>
                <w:sz w:val="18"/>
                <w:szCs w:val="18"/>
                <w:color w:val="auto"/>
              </w:rPr>
              <w:t>9</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45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1"/>
        </w:trPr>
        <w:tc>
          <w:tcPr>
            <w:tcW w:w="452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-3168015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-3168015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-2381250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-1918335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-1918335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-1146175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-1146175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-683260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-683260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23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Educational Publishing; Media, Licensing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Advertising </w:t>
      </w:r>
      <w:r>
        <w:rPr>
          <w:rFonts w:ascii="Arial" w:cs="Arial" w:eastAsia="Arial" w:hAnsi="Arial"/>
          <w:sz w:val="18"/>
          <w:szCs w:val="18"/>
          <w:color w:val="auto"/>
        </w:rPr>
        <w:t>(which collectively represent the Company’s domestic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International</w:t>
      </w:r>
      <w:r>
        <w:rPr>
          <w:rFonts w:ascii="Arial" w:cs="Arial" w:eastAsia="Arial" w:hAnsi="Arial"/>
          <w:sz w:val="18"/>
          <w:szCs w:val="18"/>
          <w:color w:val="auto"/>
        </w:rPr>
        <w:t>. This classification reflects the nature of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consistent with the method by which the Company’s chief operating decision-maker assesses operating performance and allocates resources. Revenues and operating margin related to a segment’s products sold or services rendered through another segment’s distribution channel are reallocated to the segment originating the products or services.</w:t>
      </w:r>
    </w:p>
    <w:p>
      <w:pPr>
        <w:spacing w:after="0" w:line="197" w:lineRule="exact"/>
        <w:rPr>
          <w:sz w:val="20"/>
          <w:szCs w:val="20"/>
          <w:color w:val="auto"/>
        </w:rPr>
      </w:pPr>
    </w:p>
    <w:p>
      <w:pPr>
        <w:ind w:right="120" w:firstLine="8"/>
        <w:spacing w:after="0" w:line="268"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includes the publication and distribution of children’s books in the United States through school-based book clubs</w:t>
      </w:r>
      <w:r>
        <w:rPr>
          <w:rFonts w:ascii="Arial" w:cs="Arial" w:eastAsia="Arial" w:hAnsi="Arial"/>
          <w:sz w:val="18"/>
          <w:szCs w:val="18"/>
          <w:i w:val="1"/>
          <w:iCs w:val="1"/>
          <w:color w:val="auto"/>
        </w:rPr>
        <w:t xml:space="preserve"> </w:t>
      </w:r>
      <w:r>
        <w:rPr>
          <w:rFonts w:ascii="Arial" w:cs="Arial" w:eastAsia="Arial" w:hAnsi="Arial"/>
          <w:sz w:val="18"/>
          <w:szCs w:val="18"/>
          <w:color w:val="auto"/>
        </w:rPr>
        <w:t>and book fairs, and the trade channel.</w:t>
      </w:r>
    </w:p>
    <w:p>
      <w:pPr>
        <w:spacing w:after="0" w:line="185" w:lineRule="exact"/>
        <w:rPr>
          <w:rFonts w:ascii="Arial" w:cs="Arial" w:eastAsia="Arial" w:hAnsi="Arial"/>
          <w:sz w:val="18"/>
          <w:szCs w:val="18"/>
          <w:color w:val="auto"/>
        </w:rPr>
      </w:pPr>
    </w:p>
    <w:p>
      <w:pPr>
        <w:ind w:right="140" w:firstLine="8"/>
        <w:spacing w:after="0" w:line="370" w:lineRule="auto"/>
        <w:tabs>
          <w:tab w:leader="none" w:pos="105"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 xml:space="preserve">Educational Publishing </w:t>
      </w:r>
      <w:r>
        <w:rPr>
          <w:rFonts w:ascii="Arial" w:cs="Arial" w:eastAsia="Arial" w:hAnsi="Arial"/>
          <w:sz w:val="15"/>
          <w:szCs w:val="15"/>
          <w:color w:val="auto"/>
        </w:rPr>
        <w:t>includes the production and/or publication and distribution to schools and libraries of educational technology products, curriculum</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materials, children’s books, classroom magazines and print and on-line reference and non-fiction products for grades pre-kindergarten to 12 in the United States.</w:t>
      </w:r>
    </w:p>
    <w:p>
      <w:pPr>
        <w:spacing w:after="0" w:line="116" w:lineRule="exact"/>
        <w:rPr>
          <w:rFonts w:ascii="Arial" w:cs="Arial" w:eastAsia="Arial" w:hAnsi="Arial"/>
          <w:sz w:val="15"/>
          <w:szCs w:val="15"/>
          <w:color w:val="auto"/>
        </w:rPr>
      </w:pPr>
    </w:p>
    <w:p>
      <w:pPr>
        <w:ind w:right="60" w:firstLine="8"/>
        <w:spacing w:after="0" w:line="259"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includes the production and/or distribution of media and electronic products and programs (including children’s television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videos, DVDs, software, feature films, interactive and audio products, promotional activities and non-book merchandise), and advertising revenue, including sponsorship programs.</w:t>
      </w:r>
    </w:p>
    <w:p>
      <w:pPr>
        <w:spacing w:after="0" w:line="194" w:lineRule="exact"/>
        <w:rPr>
          <w:rFonts w:ascii="Arial" w:cs="Arial" w:eastAsia="Arial" w:hAnsi="Arial"/>
          <w:sz w:val="18"/>
          <w:szCs w:val="18"/>
          <w:color w:val="auto"/>
        </w:rPr>
      </w:pPr>
    </w:p>
    <w:p>
      <w:pPr>
        <w:ind w:right="380" w:firstLine="8"/>
        <w:spacing w:after="0" w:line="268"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export and foreign rights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information for the Company’s segments for the periods indicated and reflect the Company’s continuing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20" w:type="dxa"/>
            <w:vAlign w:val="bottom"/>
          </w:tcPr>
          <w:p>
            <w:pPr>
              <w:spacing w:after="0"/>
              <w:rPr>
                <w:sz w:val="15"/>
                <w:szCs w:val="15"/>
                <w:color w:val="auto"/>
              </w:rPr>
            </w:pPr>
          </w:p>
        </w:tc>
        <w:tc>
          <w:tcPr>
            <w:tcW w:w="2140" w:type="dxa"/>
            <w:vAlign w:val="bottom"/>
            <w:gridSpan w:val="2"/>
          </w:tcPr>
          <w:p>
            <w:pPr>
              <w:ind w:left="1020"/>
              <w:spacing w:after="0"/>
              <w:rPr>
                <w:sz w:val="20"/>
                <w:szCs w:val="20"/>
                <w:color w:val="auto"/>
              </w:rPr>
            </w:pPr>
            <w:r>
              <w:rPr>
                <w:rFonts w:ascii="Arial" w:cs="Arial" w:eastAsia="Arial" w:hAnsi="Arial"/>
                <w:sz w:val="14"/>
                <w:szCs w:val="14"/>
                <w:b w:val="1"/>
                <w:bCs w:val="1"/>
                <w:color w:val="auto"/>
              </w:rPr>
              <w:t>Children’s Book</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Media,</w:t>
            </w: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1"/>
        </w:trPr>
        <w:tc>
          <w:tcPr>
            <w:tcW w:w="2920" w:type="dxa"/>
            <w:vAlign w:val="bottom"/>
          </w:tcPr>
          <w:p>
            <w:pPr>
              <w:spacing w:after="0"/>
              <w:rPr>
                <w:sz w:val="20"/>
                <w:szCs w:val="20"/>
                <w:color w:val="auto"/>
              </w:rPr>
            </w:pPr>
          </w:p>
        </w:tc>
        <w:tc>
          <w:tcPr>
            <w:tcW w:w="21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Publishing and</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Educational</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Licensing and</w:t>
            </w: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272"/>
              <w:spacing w:after="0"/>
              <w:rPr>
                <w:sz w:val="20"/>
                <w:szCs w:val="20"/>
                <w:color w:val="auto"/>
              </w:rPr>
            </w:pPr>
            <w:r>
              <w:rPr>
                <w:rFonts w:ascii="Arial" w:cs="Arial" w:eastAsia="Arial" w:hAnsi="Arial"/>
                <w:sz w:val="14"/>
                <w:szCs w:val="14"/>
                <w:b w:val="1"/>
                <w:bCs w:val="1"/>
                <w:color w:val="auto"/>
                <w:w w:val="95"/>
              </w:rPr>
              <w:t>Total</w:t>
            </w: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61"/>
        </w:trPr>
        <w:tc>
          <w:tcPr>
            <w:tcW w:w="292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gridSpan w:val="2"/>
          </w:tcPr>
          <w:p>
            <w:pPr>
              <w:jc w:val="right"/>
              <w:ind w:right="152"/>
              <w:spacing w:after="0"/>
              <w:rPr>
                <w:sz w:val="20"/>
                <w:szCs w:val="20"/>
                <w:color w:val="auto"/>
              </w:rPr>
            </w:pPr>
            <w:r>
              <w:rPr>
                <w:rFonts w:ascii="Arial" w:cs="Arial" w:eastAsia="Arial" w:hAnsi="Arial"/>
                <w:sz w:val="14"/>
                <w:szCs w:val="14"/>
                <w:b w:val="1"/>
                <w:bCs w:val="1"/>
                <w:color w:val="auto"/>
              </w:rPr>
              <w:t>Distribution</w:t>
            </w:r>
            <w:r>
              <w:rPr>
                <w:rFonts w:ascii="Arial" w:cs="Arial" w:eastAsia="Arial" w:hAnsi="Arial"/>
                <w:sz w:val="27"/>
                <w:szCs w:val="27"/>
                <w:b w:val="1"/>
                <w:bCs w:val="1"/>
                <w:color w:val="auto"/>
                <w:vertAlign w:val="superscript"/>
              </w:rPr>
              <w:t>(1)</w:t>
            </w:r>
          </w:p>
        </w:tc>
        <w:tc>
          <w:tcPr>
            <w:tcW w:w="980" w:type="dxa"/>
            <w:vAlign w:val="bottom"/>
            <w:tcBorders>
              <w:bottom w:val="single" w:sz="8" w:color="808080"/>
            </w:tcBorders>
            <w:gridSpan w:val="2"/>
          </w:tcPr>
          <w:p>
            <w:pPr>
              <w:jc w:val="right"/>
              <w:ind w:right="112"/>
              <w:spacing w:after="0"/>
              <w:rPr>
                <w:sz w:val="20"/>
                <w:szCs w:val="20"/>
                <w:color w:val="auto"/>
              </w:rPr>
            </w:pPr>
            <w:r>
              <w:rPr>
                <w:rFonts w:ascii="Arial" w:cs="Arial" w:eastAsia="Arial" w:hAnsi="Arial"/>
                <w:sz w:val="14"/>
                <w:szCs w:val="14"/>
                <w:b w:val="1"/>
                <w:bCs w:val="1"/>
                <w:color w:val="auto"/>
              </w:rPr>
              <w:t>Publishing</w:t>
            </w:r>
          </w:p>
        </w:tc>
        <w:tc>
          <w:tcPr>
            <w:tcW w:w="1120" w:type="dxa"/>
            <w:vAlign w:val="bottom"/>
            <w:tcBorders>
              <w:bottom w:val="single" w:sz="8" w:color="808080"/>
            </w:tcBorders>
            <w:gridSpan w:val="2"/>
          </w:tcPr>
          <w:p>
            <w:pPr>
              <w:jc w:val="right"/>
              <w:ind w:right="172"/>
              <w:spacing w:after="0"/>
              <w:rPr>
                <w:sz w:val="20"/>
                <w:szCs w:val="20"/>
                <w:color w:val="auto"/>
              </w:rPr>
            </w:pPr>
            <w:r>
              <w:rPr>
                <w:rFonts w:ascii="Arial" w:cs="Arial" w:eastAsia="Arial" w:hAnsi="Arial"/>
                <w:sz w:val="14"/>
                <w:szCs w:val="14"/>
                <w:b w:val="1"/>
                <w:bCs w:val="1"/>
                <w:color w:val="auto"/>
              </w:rPr>
              <w:t>Advertising</w:t>
            </w:r>
          </w:p>
        </w:tc>
        <w:tc>
          <w:tcPr>
            <w:tcW w:w="1280" w:type="dxa"/>
            <w:vAlign w:val="bottom"/>
            <w:tcBorders>
              <w:bottom w:val="single" w:sz="8" w:color="808080"/>
            </w:tcBorders>
            <w:gridSpan w:val="2"/>
          </w:tcPr>
          <w:p>
            <w:pPr>
              <w:jc w:val="right"/>
              <w:ind w:right="172"/>
              <w:spacing w:after="0"/>
              <w:rPr>
                <w:sz w:val="20"/>
                <w:szCs w:val="20"/>
                <w:color w:val="auto"/>
              </w:rPr>
            </w:pPr>
            <w:r>
              <w:rPr>
                <w:rFonts w:ascii="Arial" w:cs="Arial" w:eastAsia="Arial" w:hAnsi="Arial"/>
                <w:sz w:val="14"/>
                <w:szCs w:val="14"/>
                <w:b w:val="1"/>
                <w:bCs w:val="1"/>
                <w:color w:val="auto"/>
                <w:w w:val="93"/>
              </w:rPr>
              <w:t>Overhead</w:t>
            </w:r>
            <w:r>
              <w:rPr>
                <w:rFonts w:ascii="Arial" w:cs="Arial" w:eastAsia="Arial" w:hAnsi="Arial"/>
                <w:sz w:val="27"/>
                <w:szCs w:val="27"/>
                <w:b w:val="1"/>
                <w:bCs w:val="1"/>
                <w:color w:val="auto"/>
                <w:w w:val="93"/>
                <w:vertAlign w:val="superscript"/>
              </w:rPr>
              <w:t>(1)(2)</w:t>
            </w:r>
          </w:p>
        </w:tc>
        <w:tc>
          <w:tcPr>
            <w:tcW w:w="940" w:type="dxa"/>
            <w:vAlign w:val="bottom"/>
            <w:tcBorders>
              <w:bottom w:val="single" w:sz="8" w:color="808080"/>
            </w:tcBorders>
            <w:gridSpan w:val="2"/>
          </w:tcPr>
          <w:p>
            <w:pPr>
              <w:jc w:val="right"/>
              <w:ind w:right="152"/>
              <w:spacing w:after="0"/>
              <w:rPr>
                <w:sz w:val="20"/>
                <w:szCs w:val="20"/>
                <w:color w:val="auto"/>
              </w:rPr>
            </w:pPr>
            <w:r>
              <w:rPr>
                <w:rFonts w:ascii="Arial" w:cs="Arial" w:eastAsia="Arial" w:hAnsi="Arial"/>
                <w:sz w:val="14"/>
                <w:szCs w:val="14"/>
                <w:b w:val="1"/>
                <w:bCs w:val="1"/>
                <w:color w:val="auto"/>
              </w:rPr>
              <w:t>Domestic</w:t>
            </w:r>
          </w:p>
        </w:tc>
        <w:tc>
          <w:tcPr>
            <w:tcW w:w="1260" w:type="dxa"/>
            <w:vAlign w:val="bottom"/>
            <w:tcBorders>
              <w:bottom w:val="single" w:sz="8" w:color="808080"/>
            </w:tcBorders>
            <w:gridSpan w:val="2"/>
          </w:tcPr>
          <w:p>
            <w:pPr>
              <w:jc w:val="right"/>
              <w:ind w:right="92"/>
              <w:spacing w:after="0"/>
              <w:rPr>
                <w:sz w:val="20"/>
                <w:szCs w:val="20"/>
                <w:color w:val="auto"/>
              </w:rPr>
            </w:pPr>
            <w:r>
              <w:rPr>
                <w:rFonts w:ascii="Arial" w:cs="Arial" w:eastAsia="Arial" w:hAnsi="Arial"/>
                <w:sz w:val="14"/>
                <w:szCs w:val="14"/>
                <w:b w:val="1"/>
                <w:bCs w:val="1"/>
                <w:color w:val="auto"/>
              </w:rPr>
              <w:t>International</w:t>
            </w:r>
            <w:r>
              <w:rPr>
                <w:rFonts w:ascii="Arial" w:cs="Arial" w:eastAsia="Arial" w:hAnsi="Arial"/>
                <w:sz w:val="27"/>
                <w:szCs w:val="27"/>
                <w:b w:val="1"/>
                <w:bCs w:val="1"/>
                <w:color w:val="auto"/>
                <w:vertAlign w:val="superscript"/>
              </w:rPr>
              <w:t>(1)</w:t>
            </w:r>
          </w:p>
        </w:tc>
        <w:tc>
          <w:tcPr>
            <w:tcW w:w="2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jc w:val="right"/>
              <w:ind w:right="92"/>
              <w:spacing w:after="0"/>
              <w:rPr>
                <w:sz w:val="20"/>
                <w:szCs w:val="20"/>
                <w:color w:val="auto"/>
              </w:rPr>
            </w:pPr>
            <w:r>
              <w:rPr>
                <w:rFonts w:ascii="Arial" w:cs="Arial" w:eastAsia="Arial" w:hAnsi="Arial"/>
                <w:sz w:val="14"/>
                <w:szCs w:val="14"/>
                <w:b w:val="1"/>
                <w:bCs w:val="1"/>
                <w:color w:val="auto"/>
              </w:rPr>
              <w:t>Total</w:t>
            </w:r>
          </w:p>
        </w:tc>
      </w:tr>
      <w:tr>
        <w:trPr>
          <w:trHeight w:val="361"/>
        </w:trPr>
        <w:tc>
          <w:tcPr>
            <w:tcW w:w="292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3"/>
        </w:trPr>
        <w:tc>
          <w:tcPr>
            <w:tcW w:w="2920" w:type="dxa"/>
            <w:vAlign w:val="bottom"/>
          </w:tcPr>
          <w:p>
            <w:pPr>
              <w:spacing w:after="0"/>
              <w:rPr>
                <w:sz w:val="20"/>
                <w:szCs w:val="20"/>
                <w:color w:val="auto"/>
              </w:rPr>
            </w:pPr>
            <w:r>
              <w:rPr>
                <w:rFonts w:ascii="Arial" w:cs="Arial" w:eastAsia="Arial" w:hAnsi="Arial"/>
                <w:sz w:val="14"/>
                <w:szCs w:val="14"/>
                <w:b w:val="1"/>
                <w:bCs w:val="1"/>
                <w:color w:val="auto"/>
              </w:rPr>
              <w:t>August 31, 2008</w:t>
            </w:r>
          </w:p>
        </w:tc>
        <w:tc>
          <w:tcPr>
            <w:tcW w:w="1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105"/>
        </w:trPr>
        <w:tc>
          <w:tcPr>
            <w:tcW w:w="29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604"/>
        </w:trPr>
        <w:tc>
          <w:tcPr>
            <w:tcW w:w="2920" w:type="dxa"/>
            <w:vAlign w:val="bottom"/>
          </w:tcPr>
          <w:p>
            <w:pPr>
              <w:ind w:left="60"/>
              <w:spacing w:after="0"/>
              <w:rPr>
                <w:sz w:val="20"/>
                <w:szCs w:val="20"/>
                <w:color w:val="auto"/>
              </w:rPr>
            </w:pPr>
            <w:r>
              <w:rPr>
                <w:rFonts w:ascii="Arial" w:cs="Arial" w:eastAsia="Arial" w:hAnsi="Arial"/>
                <w:sz w:val="14"/>
                <w:szCs w:val="14"/>
                <w:color w:val="auto"/>
              </w:rPr>
              <w:t>Revenues</w:t>
            </w:r>
          </w:p>
        </w:tc>
        <w:tc>
          <w:tcPr>
            <w:tcW w:w="1380" w:type="dxa"/>
            <w:vAlign w:val="bottom"/>
          </w:tcPr>
          <w:p>
            <w:pPr>
              <w:ind w:left="10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61.0</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116.4</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19.5</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196.9</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88.1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285.0</w:t>
            </w:r>
          </w:p>
        </w:tc>
      </w:tr>
      <w:tr>
        <w:trPr>
          <w:trHeight w:val="219"/>
        </w:trPr>
        <w:tc>
          <w:tcPr>
            <w:tcW w:w="2920" w:type="dxa"/>
            <w:vAlign w:val="bottom"/>
          </w:tcPr>
          <w:p>
            <w:pPr>
              <w:ind w:left="60"/>
              <w:spacing w:after="0"/>
              <w:rPr>
                <w:sz w:val="20"/>
                <w:szCs w:val="20"/>
                <w:color w:val="auto"/>
              </w:rPr>
            </w:pPr>
            <w:r>
              <w:rPr>
                <w:rFonts w:ascii="Arial" w:cs="Arial" w:eastAsia="Arial" w:hAnsi="Arial"/>
                <w:sz w:val="14"/>
                <w:szCs w:val="14"/>
                <w:color w:val="auto"/>
              </w:rPr>
              <w:t>Bad debt expense (income)</w:t>
            </w:r>
          </w:p>
        </w:tc>
        <w:tc>
          <w:tcPr>
            <w:tcW w:w="138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(0.1)</w:t>
            </w:r>
          </w:p>
        </w:tc>
        <w:tc>
          <w:tcPr>
            <w:tcW w:w="34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0.5</w:t>
            </w:r>
          </w:p>
        </w:tc>
        <w:tc>
          <w:tcPr>
            <w:tcW w:w="28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4"/>
                <w:szCs w:val="14"/>
                <w:color w:val="auto"/>
              </w:rPr>
              <w:t>(0.1)</w:t>
            </w:r>
          </w:p>
        </w:tc>
        <w:tc>
          <w:tcPr>
            <w:tcW w:w="66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0.0</w:t>
            </w:r>
          </w:p>
        </w:tc>
        <w:tc>
          <w:tcPr>
            <w:tcW w:w="26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0.3</w:t>
            </w:r>
          </w:p>
        </w:tc>
        <w:tc>
          <w:tcPr>
            <w:tcW w:w="68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57"/>
        </w:trPr>
        <w:tc>
          <w:tcPr>
            <w:tcW w:w="2920" w:type="dxa"/>
            <w:vAlign w:val="bottom"/>
          </w:tcPr>
          <w:p>
            <w:pPr>
              <w:ind w:left="60"/>
              <w:spacing w:after="0" w:line="257"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27"/>
                <w:szCs w:val="27"/>
                <w:color w:val="auto"/>
                <w:vertAlign w:val="superscript"/>
              </w:rPr>
              <w:t>(3)</w:t>
            </w:r>
          </w:p>
        </w:tc>
        <w:tc>
          <w:tcPr>
            <w:tcW w:w="1380" w:type="dxa"/>
            <w:vAlign w:val="bottom"/>
          </w:tcPr>
          <w:p>
            <w:pPr>
              <w:spacing w:after="0"/>
              <w:rPr>
                <w:sz w:val="22"/>
                <w:szCs w:val="22"/>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6.3</w:t>
            </w:r>
          </w:p>
        </w:tc>
        <w:tc>
          <w:tcPr>
            <w:tcW w:w="340" w:type="dxa"/>
            <w:vAlign w:val="bottom"/>
          </w:tcPr>
          <w:p>
            <w:pPr>
              <w:spacing w:after="0"/>
              <w:rPr>
                <w:sz w:val="22"/>
                <w:szCs w:val="22"/>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22"/>
                <w:szCs w:val="22"/>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0.3</w:t>
            </w:r>
          </w:p>
        </w:tc>
        <w:tc>
          <w:tcPr>
            <w:tcW w:w="660" w:type="dxa"/>
            <w:vAlign w:val="bottom"/>
          </w:tcPr>
          <w:p>
            <w:pPr>
              <w:spacing w:after="0"/>
              <w:rPr>
                <w:sz w:val="22"/>
                <w:szCs w:val="22"/>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6.4</w:t>
            </w:r>
          </w:p>
        </w:tc>
        <w:tc>
          <w:tcPr>
            <w:tcW w:w="260" w:type="dxa"/>
            <w:vAlign w:val="bottom"/>
          </w:tcPr>
          <w:p>
            <w:pPr>
              <w:spacing w:after="0"/>
              <w:rPr>
                <w:sz w:val="22"/>
                <w:szCs w:val="22"/>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14.3</w:t>
            </w:r>
          </w:p>
        </w:tc>
        <w:tc>
          <w:tcPr>
            <w:tcW w:w="680" w:type="dxa"/>
            <w:vAlign w:val="bottom"/>
          </w:tcPr>
          <w:p>
            <w:pPr>
              <w:spacing w:after="0"/>
              <w:rPr>
                <w:sz w:val="22"/>
                <w:szCs w:val="22"/>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324"/>
        </w:trPr>
        <w:tc>
          <w:tcPr>
            <w:tcW w:w="2920" w:type="dxa"/>
            <w:vAlign w:val="bottom"/>
          </w:tcPr>
          <w:p>
            <w:pPr>
              <w:ind w:left="60"/>
              <w:spacing w:after="0"/>
              <w:rPr>
                <w:sz w:val="20"/>
                <w:szCs w:val="20"/>
                <w:color w:val="auto"/>
              </w:rPr>
            </w:pPr>
            <w:r>
              <w:rPr>
                <w:rFonts w:ascii="Arial" w:cs="Arial" w:eastAsia="Arial" w:hAnsi="Arial"/>
                <w:sz w:val="14"/>
                <w:szCs w:val="14"/>
                <w:color w:val="auto"/>
              </w:rPr>
              <w:t>Amortization</w:t>
            </w:r>
            <w:r>
              <w:rPr>
                <w:rFonts w:ascii="Arial" w:cs="Arial" w:eastAsia="Arial" w:hAnsi="Arial"/>
                <w:sz w:val="27"/>
                <w:szCs w:val="27"/>
                <w:color w:val="auto"/>
                <w:vertAlign w:val="superscript"/>
              </w:rPr>
              <w:t>(4)</w:t>
            </w:r>
          </w:p>
        </w:tc>
        <w:tc>
          <w:tcPr>
            <w:tcW w:w="1380" w:type="dxa"/>
            <w:vAlign w:val="bottom"/>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2.6</w:t>
            </w:r>
          </w:p>
        </w:tc>
        <w:tc>
          <w:tcPr>
            <w:tcW w:w="34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5.3</w:t>
            </w:r>
          </w:p>
        </w:tc>
        <w:tc>
          <w:tcPr>
            <w:tcW w:w="280" w:type="dxa"/>
            <w:vAlign w:val="bottom"/>
          </w:tcPr>
          <w:p>
            <w:pPr>
              <w:spacing w:after="0"/>
              <w:rPr>
                <w:sz w:val="24"/>
                <w:szCs w:val="2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1.5</w:t>
            </w:r>
          </w:p>
        </w:tc>
        <w:tc>
          <w:tcPr>
            <w:tcW w:w="660" w:type="dxa"/>
            <w:vAlign w:val="bottom"/>
          </w:tcPr>
          <w:p>
            <w:pPr>
              <w:spacing w:after="0"/>
              <w:rPr>
                <w:sz w:val="24"/>
                <w:szCs w:val="2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0.0</w:t>
            </w:r>
          </w:p>
        </w:tc>
        <w:tc>
          <w:tcPr>
            <w:tcW w:w="260" w:type="dxa"/>
            <w:vAlign w:val="bottom"/>
          </w:tcPr>
          <w:p>
            <w:pPr>
              <w:spacing w:after="0"/>
              <w:rPr>
                <w:sz w:val="24"/>
                <w:szCs w:val="24"/>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9.4</w:t>
            </w:r>
          </w:p>
        </w:tc>
        <w:tc>
          <w:tcPr>
            <w:tcW w:w="680" w:type="dxa"/>
            <w:vAlign w:val="bottom"/>
          </w:tcPr>
          <w:p>
            <w:pPr>
              <w:spacing w:after="0"/>
              <w:rPr>
                <w:sz w:val="24"/>
                <w:szCs w:val="2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0.6</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99"/>
        </w:trPr>
        <w:tc>
          <w:tcPr>
            <w:tcW w:w="2920" w:type="dxa"/>
            <w:vAlign w:val="bottom"/>
          </w:tcPr>
          <w:p>
            <w:pPr>
              <w:ind w:left="60"/>
              <w:spacing w:after="0"/>
              <w:rPr>
                <w:sz w:val="20"/>
                <w:szCs w:val="20"/>
                <w:color w:val="auto"/>
              </w:rPr>
            </w:pPr>
            <w:r>
              <w:rPr>
                <w:rFonts w:ascii="Arial" w:cs="Arial" w:eastAsia="Arial" w:hAnsi="Arial"/>
                <w:sz w:val="14"/>
                <w:szCs w:val="14"/>
                <w:color w:val="auto"/>
              </w:rPr>
              <w:t>Royalty advances expensed</w:t>
            </w:r>
          </w:p>
        </w:tc>
        <w:tc>
          <w:tcPr>
            <w:tcW w:w="1380" w:type="dxa"/>
            <w:vAlign w:val="bottom"/>
          </w:tcPr>
          <w:p>
            <w:pPr>
              <w:spacing w:after="0"/>
              <w:rPr>
                <w:sz w:val="17"/>
                <w:szCs w:val="17"/>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4.6</w:t>
            </w:r>
          </w:p>
        </w:tc>
        <w:tc>
          <w:tcPr>
            <w:tcW w:w="340" w:type="dxa"/>
            <w:vAlign w:val="bottom"/>
          </w:tcPr>
          <w:p>
            <w:pPr>
              <w:spacing w:after="0"/>
              <w:rPr>
                <w:sz w:val="17"/>
                <w:szCs w:val="17"/>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0.3</w:t>
            </w:r>
          </w:p>
        </w:tc>
        <w:tc>
          <w:tcPr>
            <w:tcW w:w="280" w:type="dxa"/>
            <w:vAlign w:val="bottom"/>
          </w:tcPr>
          <w:p>
            <w:pPr>
              <w:spacing w:after="0"/>
              <w:rPr>
                <w:sz w:val="17"/>
                <w:szCs w:val="17"/>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0.1</w:t>
            </w:r>
          </w:p>
        </w:tc>
        <w:tc>
          <w:tcPr>
            <w:tcW w:w="660" w:type="dxa"/>
            <w:vAlign w:val="bottom"/>
          </w:tcPr>
          <w:p>
            <w:pPr>
              <w:spacing w:after="0"/>
              <w:rPr>
                <w:sz w:val="17"/>
                <w:szCs w:val="17"/>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0.0</w:t>
            </w:r>
          </w:p>
        </w:tc>
        <w:tc>
          <w:tcPr>
            <w:tcW w:w="260" w:type="dxa"/>
            <w:vAlign w:val="bottom"/>
          </w:tcPr>
          <w:p>
            <w:pPr>
              <w:spacing w:after="0"/>
              <w:rPr>
                <w:sz w:val="17"/>
                <w:szCs w:val="17"/>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5.0</w:t>
            </w:r>
          </w:p>
        </w:tc>
        <w:tc>
          <w:tcPr>
            <w:tcW w:w="68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43"/>
        </w:trPr>
        <w:tc>
          <w:tcPr>
            <w:tcW w:w="2920" w:type="dxa"/>
            <w:vAlign w:val="bottom"/>
          </w:tcPr>
          <w:p>
            <w:pPr>
              <w:ind w:left="60"/>
              <w:spacing w:after="0"/>
              <w:rPr>
                <w:sz w:val="20"/>
                <w:szCs w:val="20"/>
                <w:color w:val="auto"/>
              </w:rPr>
            </w:pPr>
            <w:r>
              <w:rPr>
                <w:rFonts w:ascii="Arial" w:cs="Arial" w:eastAsia="Arial" w:hAnsi="Arial"/>
                <w:sz w:val="14"/>
                <w:szCs w:val="14"/>
                <w:color w:val="auto"/>
              </w:rPr>
              <w:t>Operating (loss) income</w:t>
            </w:r>
          </w:p>
        </w:tc>
        <w:tc>
          <w:tcPr>
            <w:tcW w:w="138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(55.9)</w:t>
            </w:r>
          </w:p>
        </w:tc>
        <w:tc>
          <w:tcPr>
            <w:tcW w:w="340" w:type="dxa"/>
            <w:vAlign w:val="bottom"/>
          </w:tcPr>
          <w:p>
            <w:pPr>
              <w:spacing w:after="0"/>
              <w:rPr>
                <w:sz w:val="21"/>
                <w:szCs w:val="21"/>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21.0</w:t>
            </w:r>
          </w:p>
        </w:tc>
        <w:tc>
          <w:tcPr>
            <w:tcW w:w="280" w:type="dxa"/>
            <w:vAlign w:val="bottom"/>
          </w:tcPr>
          <w:p>
            <w:pPr>
              <w:spacing w:after="0"/>
              <w:rPr>
                <w:sz w:val="21"/>
                <w:szCs w:val="21"/>
                <w:color w:val="auto"/>
              </w:rPr>
            </w:pPr>
          </w:p>
        </w:tc>
        <w:tc>
          <w:tcPr>
            <w:tcW w:w="840" w:type="dxa"/>
            <w:vAlign w:val="bottom"/>
          </w:tcPr>
          <w:p>
            <w:pPr>
              <w:jc w:val="right"/>
              <w:ind w:right="132"/>
              <w:spacing w:after="0"/>
              <w:rPr>
                <w:sz w:val="20"/>
                <w:szCs w:val="20"/>
                <w:color w:val="auto"/>
              </w:rPr>
            </w:pPr>
            <w:r>
              <w:rPr>
                <w:rFonts w:ascii="Arial" w:cs="Arial" w:eastAsia="Arial" w:hAnsi="Arial"/>
                <w:sz w:val="14"/>
                <w:szCs w:val="14"/>
                <w:color w:val="auto"/>
              </w:rPr>
              <w:t>(4.6)</w:t>
            </w:r>
          </w:p>
        </w:tc>
        <w:tc>
          <w:tcPr>
            <w:tcW w:w="660" w:type="dxa"/>
            <w:vAlign w:val="bottom"/>
          </w:tcPr>
          <w:p>
            <w:pPr>
              <w:spacing w:after="0"/>
              <w:rPr>
                <w:sz w:val="21"/>
                <w:szCs w:val="21"/>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(21.2)</w:t>
            </w:r>
          </w:p>
        </w:tc>
        <w:tc>
          <w:tcPr>
            <w:tcW w:w="260" w:type="dxa"/>
            <w:vAlign w:val="bottom"/>
          </w:tcPr>
          <w:p>
            <w:pPr>
              <w:spacing w:after="0"/>
              <w:rPr>
                <w:sz w:val="21"/>
                <w:szCs w:val="21"/>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(60.7)</w:t>
            </w:r>
          </w:p>
        </w:tc>
        <w:tc>
          <w:tcPr>
            <w:tcW w:w="68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(4.2)</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(64.9)</w:t>
            </w:r>
          </w:p>
        </w:tc>
      </w:tr>
      <w:tr>
        <w:trPr>
          <w:trHeight w:val="243"/>
        </w:trPr>
        <w:tc>
          <w:tcPr>
            <w:tcW w:w="2920" w:type="dxa"/>
            <w:vAlign w:val="bottom"/>
          </w:tcPr>
          <w:p>
            <w:pPr>
              <w:ind w:left="60"/>
              <w:spacing w:after="0"/>
              <w:rPr>
                <w:sz w:val="20"/>
                <w:szCs w:val="20"/>
                <w:color w:val="auto"/>
              </w:rPr>
            </w:pPr>
            <w:r>
              <w:rPr>
                <w:rFonts w:ascii="Arial" w:cs="Arial" w:eastAsia="Arial" w:hAnsi="Arial"/>
                <w:sz w:val="14"/>
                <w:szCs w:val="14"/>
                <w:color w:val="auto"/>
              </w:rPr>
              <w:t>Segment Assets</w:t>
            </w:r>
          </w:p>
        </w:tc>
        <w:tc>
          <w:tcPr>
            <w:tcW w:w="138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542.2</w:t>
            </w:r>
          </w:p>
        </w:tc>
        <w:tc>
          <w:tcPr>
            <w:tcW w:w="340" w:type="dxa"/>
            <w:vAlign w:val="bottom"/>
          </w:tcPr>
          <w:p>
            <w:pPr>
              <w:spacing w:after="0"/>
              <w:rPr>
                <w:sz w:val="21"/>
                <w:szCs w:val="21"/>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365.0</w:t>
            </w:r>
          </w:p>
        </w:tc>
        <w:tc>
          <w:tcPr>
            <w:tcW w:w="280" w:type="dxa"/>
            <w:vAlign w:val="bottom"/>
          </w:tcPr>
          <w:p>
            <w:pPr>
              <w:spacing w:after="0"/>
              <w:rPr>
                <w:sz w:val="21"/>
                <w:szCs w:val="21"/>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71.1</w:t>
            </w:r>
          </w:p>
        </w:tc>
        <w:tc>
          <w:tcPr>
            <w:tcW w:w="660" w:type="dxa"/>
            <w:vAlign w:val="bottom"/>
          </w:tcPr>
          <w:p>
            <w:pPr>
              <w:spacing w:after="0"/>
              <w:rPr>
                <w:sz w:val="21"/>
                <w:szCs w:val="21"/>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480.3</w:t>
            </w:r>
          </w:p>
        </w:tc>
        <w:tc>
          <w:tcPr>
            <w:tcW w:w="260" w:type="dxa"/>
            <w:vAlign w:val="bottom"/>
          </w:tcPr>
          <w:p>
            <w:pPr>
              <w:spacing w:after="0"/>
              <w:rPr>
                <w:sz w:val="21"/>
                <w:szCs w:val="21"/>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w w:val="98"/>
              </w:rPr>
              <w:t>1,458.6</w:t>
            </w:r>
          </w:p>
        </w:tc>
        <w:tc>
          <w:tcPr>
            <w:tcW w:w="680" w:type="dxa"/>
            <w:vAlign w:val="bottom"/>
          </w:tcPr>
          <w:p>
            <w:pPr>
              <w:spacing w:after="0"/>
              <w:rPr>
                <w:sz w:val="21"/>
                <w:szCs w:val="21"/>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317.5</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1,776.1</w:t>
            </w:r>
          </w:p>
        </w:tc>
      </w:tr>
      <w:tr>
        <w:trPr>
          <w:trHeight w:val="243"/>
        </w:trPr>
        <w:tc>
          <w:tcPr>
            <w:tcW w:w="2920" w:type="dxa"/>
            <w:vAlign w:val="bottom"/>
          </w:tcPr>
          <w:p>
            <w:pPr>
              <w:ind w:left="60"/>
              <w:spacing w:after="0"/>
              <w:rPr>
                <w:sz w:val="20"/>
                <w:szCs w:val="20"/>
                <w:color w:val="auto"/>
              </w:rPr>
            </w:pPr>
            <w:r>
              <w:rPr>
                <w:rFonts w:ascii="Arial" w:cs="Arial" w:eastAsia="Arial" w:hAnsi="Arial"/>
                <w:sz w:val="14"/>
                <w:szCs w:val="14"/>
                <w:color w:val="auto"/>
              </w:rPr>
              <w:t>Goodwill</w:t>
            </w:r>
          </w:p>
        </w:tc>
        <w:tc>
          <w:tcPr>
            <w:tcW w:w="138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38.2</w:t>
            </w:r>
          </w:p>
        </w:tc>
        <w:tc>
          <w:tcPr>
            <w:tcW w:w="340" w:type="dxa"/>
            <w:vAlign w:val="bottom"/>
          </w:tcPr>
          <w:p>
            <w:pPr>
              <w:spacing w:after="0"/>
              <w:rPr>
                <w:sz w:val="21"/>
                <w:szCs w:val="21"/>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93.0</w:t>
            </w:r>
          </w:p>
        </w:tc>
        <w:tc>
          <w:tcPr>
            <w:tcW w:w="280" w:type="dxa"/>
            <w:vAlign w:val="bottom"/>
          </w:tcPr>
          <w:p>
            <w:pPr>
              <w:spacing w:after="0"/>
              <w:rPr>
                <w:sz w:val="21"/>
                <w:szCs w:val="21"/>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9.8</w:t>
            </w:r>
          </w:p>
        </w:tc>
        <w:tc>
          <w:tcPr>
            <w:tcW w:w="660" w:type="dxa"/>
            <w:vAlign w:val="bottom"/>
          </w:tcPr>
          <w:p>
            <w:pPr>
              <w:spacing w:after="0"/>
              <w:rPr>
                <w:sz w:val="21"/>
                <w:szCs w:val="21"/>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0.0</w:t>
            </w:r>
          </w:p>
        </w:tc>
        <w:tc>
          <w:tcPr>
            <w:tcW w:w="260" w:type="dxa"/>
            <w:vAlign w:val="bottom"/>
          </w:tcPr>
          <w:p>
            <w:pPr>
              <w:spacing w:after="0"/>
              <w:rPr>
                <w:sz w:val="21"/>
                <w:szCs w:val="21"/>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141.0</w:t>
            </w:r>
          </w:p>
        </w:tc>
        <w:tc>
          <w:tcPr>
            <w:tcW w:w="680" w:type="dxa"/>
            <w:vAlign w:val="bottom"/>
          </w:tcPr>
          <w:p>
            <w:pPr>
              <w:spacing w:after="0"/>
              <w:rPr>
                <w:sz w:val="21"/>
                <w:szCs w:val="21"/>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29.4</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170.4</w:t>
            </w:r>
          </w:p>
        </w:tc>
      </w:tr>
      <w:tr>
        <w:trPr>
          <w:trHeight w:val="219"/>
        </w:trPr>
        <w:tc>
          <w:tcPr>
            <w:tcW w:w="2920" w:type="dxa"/>
            <w:vAlign w:val="bottom"/>
          </w:tcPr>
          <w:p>
            <w:pPr>
              <w:ind w:left="60"/>
              <w:spacing w:after="0"/>
              <w:rPr>
                <w:sz w:val="20"/>
                <w:szCs w:val="20"/>
                <w:color w:val="auto"/>
              </w:rPr>
            </w:pPr>
            <w:r>
              <w:rPr>
                <w:rFonts w:ascii="Arial" w:cs="Arial" w:eastAsia="Arial" w:hAnsi="Arial"/>
                <w:sz w:val="14"/>
                <w:szCs w:val="14"/>
                <w:color w:val="auto"/>
              </w:rPr>
              <w:t>Expenditures for long-lived assets</w:t>
            </w:r>
          </w:p>
        </w:tc>
        <w:tc>
          <w:tcPr>
            <w:tcW w:w="138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10.7</w:t>
            </w:r>
          </w:p>
        </w:tc>
        <w:tc>
          <w:tcPr>
            <w:tcW w:w="34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5.6</w:t>
            </w:r>
          </w:p>
        </w:tc>
        <w:tc>
          <w:tcPr>
            <w:tcW w:w="280" w:type="dxa"/>
            <w:vAlign w:val="bottom"/>
          </w:tcPr>
          <w:p>
            <w:pPr>
              <w:spacing w:after="0"/>
              <w:rPr>
                <w:sz w:val="19"/>
                <w:szCs w:val="19"/>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3.5</w:t>
            </w:r>
          </w:p>
        </w:tc>
        <w:tc>
          <w:tcPr>
            <w:tcW w:w="66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5.5</w:t>
            </w:r>
          </w:p>
        </w:tc>
        <w:tc>
          <w:tcPr>
            <w:tcW w:w="26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25.3</w:t>
            </w:r>
          </w:p>
        </w:tc>
        <w:tc>
          <w:tcPr>
            <w:tcW w:w="68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353"/>
        </w:trPr>
        <w:tc>
          <w:tcPr>
            <w:tcW w:w="2920" w:type="dxa"/>
            <w:vAlign w:val="bottom"/>
          </w:tcPr>
          <w:p>
            <w:pPr>
              <w:ind w:left="60"/>
              <w:spacing w:after="0"/>
              <w:rPr>
                <w:sz w:val="20"/>
                <w:szCs w:val="20"/>
                <w:color w:val="auto"/>
              </w:rPr>
            </w:pPr>
            <w:r>
              <w:rPr>
                <w:rFonts w:ascii="Arial" w:cs="Arial" w:eastAsia="Arial" w:hAnsi="Arial"/>
                <w:sz w:val="14"/>
                <w:szCs w:val="14"/>
                <w:color w:val="auto"/>
              </w:rPr>
              <w:t>Long-lived Assets</w:t>
            </w:r>
            <w:r>
              <w:rPr>
                <w:rFonts w:ascii="Arial" w:cs="Arial" w:eastAsia="Arial" w:hAnsi="Arial"/>
                <w:sz w:val="27"/>
                <w:szCs w:val="27"/>
                <w:color w:val="auto"/>
                <w:vertAlign w:val="superscript"/>
              </w:rPr>
              <w:t>(5)</w:t>
            </w:r>
          </w:p>
        </w:tc>
        <w:tc>
          <w:tcPr>
            <w:tcW w:w="1380" w:type="dxa"/>
            <w:vAlign w:val="bottom"/>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176.5</w:t>
            </w:r>
          </w:p>
        </w:tc>
        <w:tc>
          <w:tcPr>
            <w:tcW w:w="34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206.6</w:t>
            </w:r>
          </w:p>
        </w:tc>
        <w:tc>
          <w:tcPr>
            <w:tcW w:w="280" w:type="dxa"/>
            <w:vAlign w:val="bottom"/>
          </w:tcPr>
          <w:p>
            <w:pPr>
              <w:spacing w:after="0"/>
              <w:rPr>
                <w:sz w:val="24"/>
                <w:szCs w:val="2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30.5</w:t>
            </w:r>
          </w:p>
        </w:tc>
        <w:tc>
          <w:tcPr>
            <w:tcW w:w="660" w:type="dxa"/>
            <w:vAlign w:val="bottom"/>
          </w:tcPr>
          <w:p>
            <w:pPr>
              <w:spacing w:after="0"/>
              <w:rPr>
                <w:sz w:val="24"/>
                <w:szCs w:val="2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246.5</w:t>
            </w:r>
          </w:p>
        </w:tc>
        <w:tc>
          <w:tcPr>
            <w:tcW w:w="260" w:type="dxa"/>
            <w:vAlign w:val="bottom"/>
          </w:tcPr>
          <w:p>
            <w:pPr>
              <w:spacing w:after="0"/>
              <w:rPr>
                <w:sz w:val="24"/>
                <w:szCs w:val="24"/>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660.1</w:t>
            </w:r>
          </w:p>
        </w:tc>
        <w:tc>
          <w:tcPr>
            <w:tcW w:w="680" w:type="dxa"/>
            <w:vAlign w:val="bottom"/>
          </w:tcPr>
          <w:p>
            <w:pPr>
              <w:spacing w:after="0"/>
              <w:rPr>
                <w:sz w:val="24"/>
                <w:szCs w:val="2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110.8</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770.9</w:t>
            </w:r>
          </w:p>
        </w:tc>
      </w:tr>
      <w:tr>
        <w:trPr>
          <w:trHeight w:val="276"/>
        </w:trPr>
        <w:tc>
          <w:tcPr>
            <w:tcW w:w="2920" w:type="dxa"/>
            <w:vAlign w:val="bottom"/>
            <w:tcBorders>
              <w:bottom w:val="single" w:sz="8" w:color="808080"/>
            </w:tcBorders>
          </w:tcPr>
          <w:p>
            <w:pPr>
              <w:spacing w:after="0"/>
              <w:rPr>
                <w:sz w:val="23"/>
                <w:szCs w:val="23"/>
                <w:color w:val="auto"/>
              </w:rPr>
            </w:pPr>
          </w:p>
        </w:tc>
        <w:tc>
          <w:tcPr>
            <w:tcW w:w="138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58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520" w:type="dxa"/>
            <w:vAlign w:val="bottom"/>
            <w:tcBorders>
              <w:bottom w:val="single" w:sz="8" w:color="808080"/>
            </w:tcBorders>
          </w:tcPr>
          <w:p>
            <w:pPr>
              <w:spacing w:after="0"/>
              <w:rPr>
                <w:sz w:val="23"/>
                <w:szCs w:val="23"/>
                <w:color w:val="auto"/>
              </w:rPr>
            </w:pPr>
          </w:p>
        </w:tc>
      </w:tr>
      <w:tr>
        <w:trPr>
          <w:trHeight w:val="361"/>
        </w:trPr>
        <w:tc>
          <w:tcPr>
            <w:tcW w:w="292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3"/>
        </w:trPr>
        <w:tc>
          <w:tcPr>
            <w:tcW w:w="2920" w:type="dxa"/>
            <w:vAlign w:val="bottom"/>
          </w:tcPr>
          <w:p>
            <w:pPr>
              <w:spacing w:after="0"/>
              <w:rPr>
                <w:sz w:val="20"/>
                <w:szCs w:val="20"/>
                <w:color w:val="auto"/>
              </w:rPr>
            </w:pPr>
            <w:r>
              <w:rPr>
                <w:rFonts w:ascii="Arial" w:cs="Arial" w:eastAsia="Arial" w:hAnsi="Arial"/>
                <w:sz w:val="14"/>
                <w:szCs w:val="14"/>
                <w:b w:val="1"/>
                <w:bCs w:val="1"/>
                <w:color w:val="auto"/>
              </w:rPr>
              <w:t>August 31, 2007</w:t>
            </w:r>
          </w:p>
        </w:tc>
        <w:tc>
          <w:tcPr>
            <w:tcW w:w="1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105"/>
        </w:trPr>
        <w:tc>
          <w:tcPr>
            <w:tcW w:w="29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604"/>
        </w:trPr>
        <w:tc>
          <w:tcPr>
            <w:tcW w:w="2920" w:type="dxa"/>
            <w:vAlign w:val="bottom"/>
          </w:tcPr>
          <w:p>
            <w:pPr>
              <w:ind w:left="60"/>
              <w:spacing w:after="0"/>
              <w:rPr>
                <w:sz w:val="20"/>
                <w:szCs w:val="20"/>
                <w:color w:val="auto"/>
              </w:rPr>
            </w:pPr>
            <w:r>
              <w:rPr>
                <w:rFonts w:ascii="Arial" w:cs="Arial" w:eastAsia="Arial" w:hAnsi="Arial"/>
                <w:sz w:val="14"/>
                <w:szCs w:val="14"/>
                <w:color w:val="auto"/>
              </w:rPr>
              <w:t>Revenues</w:t>
            </w:r>
          </w:p>
        </w:tc>
        <w:tc>
          <w:tcPr>
            <w:tcW w:w="1380" w:type="dxa"/>
            <w:vAlign w:val="bottom"/>
          </w:tcPr>
          <w:p>
            <w:pPr>
              <w:ind w:left="10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296.8</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127.8</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16.4</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441.0</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90.3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531.3</w:t>
            </w:r>
          </w:p>
        </w:tc>
      </w:tr>
      <w:tr>
        <w:trPr>
          <w:trHeight w:val="219"/>
        </w:trPr>
        <w:tc>
          <w:tcPr>
            <w:tcW w:w="2920" w:type="dxa"/>
            <w:vAlign w:val="bottom"/>
          </w:tcPr>
          <w:p>
            <w:pPr>
              <w:ind w:left="60"/>
              <w:spacing w:after="0"/>
              <w:rPr>
                <w:sz w:val="20"/>
                <w:szCs w:val="20"/>
                <w:color w:val="auto"/>
              </w:rPr>
            </w:pPr>
            <w:r>
              <w:rPr>
                <w:rFonts w:ascii="Arial" w:cs="Arial" w:eastAsia="Arial" w:hAnsi="Arial"/>
                <w:sz w:val="14"/>
                <w:szCs w:val="14"/>
                <w:color w:val="auto"/>
              </w:rPr>
              <w:t>Bad debt</w:t>
            </w:r>
          </w:p>
        </w:tc>
        <w:tc>
          <w:tcPr>
            <w:tcW w:w="138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0.1</w:t>
            </w:r>
          </w:p>
        </w:tc>
        <w:tc>
          <w:tcPr>
            <w:tcW w:w="34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0.0</w:t>
            </w:r>
          </w:p>
        </w:tc>
        <w:tc>
          <w:tcPr>
            <w:tcW w:w="280" w:type="dxa"/>
            <w:vAlign w:val="bottom"/>
          </w:tcPr>
          <w:p>
            <w:pPr>
              <w:spacing w:after="0"/>
              <w:rPr>
                <w:sz w:val="19"/>
                <w:szCs w:val="19"/>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0.4</w:t>
            </w:r>
          </w:p>
        </w:tc>
        <w:tc>
          <w:tcPr>
            <w:tcW w:w="66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0.0</w:t>
            </w:r>
          </w:p>
        </w:tc>
        <w:tc>
          <w:tcPr>
            <w:tcW w:w="26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0.5</w:t>
            </w:r>
          </w:p>
        </w:tc>
        <w:tc>
          <w:tcPr>
            <w:tcW w:w="68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57"/>
        </w:trPr>
        <w:tc>
          <w:tcPr>
            <w:tcW w:w="2920" w:type="dxa"/>
            <w:vAlign w:val="bottom"/>
          </w:tcPr>
          <w:p>
            <w:pPr>
              <w:ind w:left="60"/>
              <w:spacing w:after="0" w:line="257"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27"/>
                <w:szCs w:val="27"/>
                <w:color w:val="auto"/>
                <w:vertAlign w:val="superscript"/>
              </w:rPr>
              <w:t>(3)</w:t>
            </w:r>
          </w:p>
        </w:tc>
        <w:tc>
          <w:tcPr>
            <w:tcW w:w="1380" w:type="dxa"/>
            <w:vAlign w:val="bottom"/>
          </w:tcPr>
          <w:p>
            <w:pPr>
              <w:spacing w:after="0"/>
              <w:rPr>
                <w:sz w:val="22"/>
                <w:szCs w:val="22"/>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4.4</w:t>
            </w:r>
          </w:p>
        </w:tc>
        <w:tc>
          <w:tcPr>
            <w:tcW w:w="340" w:type="dxa"/>
            <w:vAlign w:val="bottom"/>
          </w:tcPr>
          <w:p>
            <w:pPr>
              <w:spacing w:after="0"/>
              <w:rPr>
                <w:sz w:val="22"/>
                <w:szCs w:val="22"/>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22"/>
                <w:szCs w:val="22"/>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0.3</w:t>
            </w:r>
          </w:p>
        </w:tc>
        <w:tc>
          <w:tcPr>
            <w:tcW w:w="660" w:type="dxa"/>
            <w:vAlign w:val="bottom"/>
          </w:tcPr>
          <w:p>
            <w:pPr>
              <w:spacing w:after="0"/>
              <w:rPr>
                <w:sz w:val="22"/>
                <w:szCs w:val="22"/>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8.3</w:t>
            </w:r>
          </w:p>
        </w:tc>
        <w:tc>
          <w:tcPr>
            <w:tcW w:w="260" w:type="dxa"/>
            <w:vAlign w:val="bottom"/>
          </w:tcPr>
          <w:p>
            <w:pPr>
              <w:spacing w:after="0"/>
              <w:rPr>
                <w:sz w:val="22"/>
                <w:szCs w:val="22"/>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14.0</w:t>
            </w:r>
          </w:p>
        </w:tc>
        <w:tc>
          <w:tcPr>
            <w:tcW w:w="680" w:type="dxa"/>
            <w:vAlign w:val="bottom"/>
          </w:tcPr>
          <w:p>
            <w:pPr>
              <w:spacing w:after="0"/>
              <w:rPr>
                <w:sz w:val="22"/>
                <w:szCs w:val="22"/>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324"/>
        </w:trPr>
        <w:tc>
          <w:tcPr>
            <w:tcW w:w="2920" w:type="dxa"/>
            <w:vAlign w:val="bottom"/>
          </w:tcPr>
          <w:p>
            <w:pPr>
              <w:ind w:left="60"/>
              <w:spacing w:after="0"/>
              <w:rPr>
                <w:sz w:val="20"/>
                <w:szCs w:val="20"/>
                <w:color w:val="auto"/>
              </w:rPr>
            </w:pPr>
            <w:r>
              <w:rPr>
                <w:rFonts w:ascii="Arial" w:cs="Arial" w:eastAsia="Arial" w:hAnsi="Arial"/>
                <w:sz w:val="14"/>
                <w:szCs w:val="14"/>
                <w:color w:val="auto"/>
              </w:rPr>
              <w:t>Amortization</w:t>
            </w:r>
            <w:r>
              <w:rPr>
                <w:rFonts w:ascii="Arial" w:cs="Arial" w:eastAsia="Arial" w:hAnsi="Arial"/>
                <w:sz w:val="27"/>
                <w:szCs w:val="27"/>
                <w:color w:val="auto"/>
                <w:vertAlign w:val="superscript"/>
              </w:rPr>
              <w:t>(4)</w:t>
            </w:r>
          </w:p>
        </w:tc>
        <w:tc>
          <w:tcPr>
            <w:tcW w:w="1380" w:type="dxa"/>
            <w:vAlign w:val="bottom"/>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4.1</w:t>
            </w:r>
          </w:p>
        </w:tc>
        <w:tc>
          <w:tcPr>
            <w:tcW w:w="34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6.4</w:t>
            </w:r>
          </w:p>
        </w:tc>
        <w:tc>
          <w:tcPr>
            <w:tcW w:w="280" w:type="dxa"/>
            <w:vAlign w:val="bottom"/>
          </w:tcPr>
          <w:p>
            <w:pPr>
              <w:spacing w:after="0"/>
              <w:rPr>
                <w:sz w:val="24"/>
                <w:szCs w:val="2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1.5</w:t>
            </w:r>
          </w:p>
        </w:tc>
        <w:tc>
          <w:tcPr>
            <w:tcW w:w="660" w:type="dxa"/>
            <w:vAlign w:val="bottom"/>
          </w:tcPr>
          <w:p>
            <w:pPr>
              <w:spacing w:after="0"/>
              <w:rPr>
                <w:sz w:val="24"/>
                <w:szCs w:val="2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0.0</w:t>
            </w:r>
          </w:p>
        </w:tc>
        <w:tc>
          <w:tcPr>
            <w:tcW w:w="260" w:type="dxa"/>
            <w:vAlign w:val="bottom"/>
          </w:tcPr>
          <w:p>
            <w:pPr>
              <w:spacing w:after="0"/>
              <w:rPr>
                <w:sz w:val="24"/>
                <w:szCs w:val="24"/>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12.0</w:t>
            </w:r>
          </w:p>
        </w:tc>
        <w:tc>
          <w:tcPr>
            <w:tcW w:w="680" w:type="dxa"/>
            <w:vAlign w:val="bottom"/>
          </w:tcPr>
          <w:p>
            <w:pPr>
              <w:spacing w:after="0"/>
              <w:rPr>
                <w:sz w:val="24"/>
                <w:szCs w:val="2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0.5</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99"/>
        </w:trPr>
        <w:tc>
          <w:tcPr>
            <w:tcW w:w="2920" w:type="dxa"/>
            <w:vAlign w:val="bottom"/>
          </w:tcPr>
          <w:p>
            <w:pPr>
              <w:ind w:left="60"/>
              <w:spacing w:after="0"/>
              <w:rPr>
                <w:sz w:val="20"/>
                <w:szCs w:val="20"/>
                <w:color w:val="auto"/>
              </w:rPr>
            </w:pPr>
            <w:r>
              <w:rPr>
                <w:rFonts w:ascii="Arial" w:cs="Arial" w:eastAsia="Arial" w:hAnsi="Arial"/>
                <w:sz w:val="14"/>
                <w:szCs w:val="14"/>
                <w:color w:val="auto"/>
              </w:rPr>
              <w:t>Royalty advances expensed</w:t>
            </w:r>
          </w:p>
        </w:tc>
        <w:tc>
          <w:tcPr>
            <w:tcW w:w="1380" w:type="dxa"/>
            <w:vAlign w:val="bottom"/>
          </w:tcPr>
          <w:p>
            <w:pPr>
              <w:spacing w:after="0"/>
              <w:rPr>
                <w:sz w:val="17"/>
                <w:szCs w:val="17"/>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9.3</w:t>
            </w:r>
          </w:p>
        </w:tc>
        <w:tc>
          <w:tcPr>
            <w:tcW w:w="340" w:type="dxa"/>
            <w:vAlign w:val="bottom"/>
          </w:tcPr>
          <w:p>
            <w:pPr>
              <w:spacing w:after="0"/>
              <w:rPr>
                <w:sz w:val="17"/>
                <w:szCs w:val="17"/>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0.5</w:t>
            </w:r>
          </w:p>
        </w:tc>
        <w:tc>
          <w:tcPr>
            <w:tcW w:w="280" w:type="dxa"/>
            <w:vAlign w:val="bottom"/>
          </w:tcPr>
          <w:p>
            <w:pPr>
              <w:spacing w:after="0"/>
              <w:rPr>
                <w:sz w:val="17"/>
                <w:szCs w:val="17"/>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0.1</w:t>
            </w:r>
          </w:p>
        </w:tc>
        <w:tc>
          <w:tcPr>
            <w:tcW w:w="660" w:type="dxa"/>
            <w:vAlign w:val="bottom"/>
          </w:tcPr>
          <w:p>
            <w:pPr>
              <w:spacing w:after="0"/>
              <w:rPr>
                <w:sz w:val="17"/>
                <w:szCs w:val="17"/>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0.0</w:t>
            </w:r>
          </w:p>
        </w:tc>
        <w:tc>
          <w:tcPr>
            <w:tcW w:w="260" w:type="dxa"/>
            <w:vAlign w:val="bottom"/>
          </w:tcPr>
          <w:p>
            <w:pPr>
              <w:spacing w:after="0"/>
              <w:rPr>
                <w:sz w:val="17"/>
                <w:szCs w:val="17"/>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9.9</w:t>
            </w:r>
          </w:p>
        </w:tc>
        <w:tc>
          <w:tcPr>
            <w:tcW w:w="68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43"/>
        </w:trPr>
        <w:tc>
          <w:tcPr>
            <w:tcW w:w="2920" w:type="dxa"/>
            <w:vAlign w:val="bottom"/>
          </w:tcPr>
          <w:p>
            <w:pPr>
              <w:ind w:left="60"/>
              <w:spacing w:after="0"/>
              <w:rPr>
                <w:sz w:val="20"/>
                <w:szCs w:val="20"/>
                <w:color w:val="auto"/>
              </w:rPr>
            </w:pPr>
            <w:r>
              <w:rPr>
                <w:rFonts w:ascii="Arial" w:cs="Arial" w:eastAsia="Arial" w:hAnsi="Arial"/>
                <w:sz w:val="14"/>
                <w:szCs w:val="14"/>
                <w:color w:val="auto"/>
              </w:rPr>
              <w:t>Operating (loss) income</w:t>
            </w:r>
          </w:p>
        </w:tc>
        <w:tc>
          <w:tcPr>
            <w:tcW w:w="138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12.6</w:t>
            </w:r>
          </w:p>
        </w:tc>
        <w:tc>
          <w:tcPr>
            <w:tcW w:w="340" w:type="dxa"/>
            <w:vAlign w:val="bottom"/>
          </w:tcPr>
          <w:p>
            <w:pPr>
              <w:spacing w:after="0"/>
              <w:rPr>
                <w:sz w:val="21"/>
                <w:szCs w:val="21"/>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30.4</w:t>
            </w:r>
          </w:p>
        </w:tc>
        <w:tc>
          <w:tcPr>
            <w:tcW w:w="280" w:type="dxa"/>
            <w:vAlign w:val="bottom"/>
          </w:tcPr>
          <w:p>
            <w:pPr>
              <w:spacing w:after="0"/>
              <w:rPr>
                <w:sz w:val="21"/>
                <w:szCs w:val="21"/>
                <w:color w:val="auto"/>
              </w:rPr>
            </w:pPr>
          </w:p>
        </w:tc>
        <w:tc>
          <w:tcPr>
            <w:tcW w:w="840" w:type="dxa"/>
            <w:vAlign w:val="bottom"/>
          </w:tcPr>
          <w:p>
            <w:pPr>
              <w:jc w:val="right"/>
              <w:ind w:right="132"/>
              <w:spacing w:after="0"/>
              <w:rPr>
                <w:sz w:val="20"/>
                <w:szCs w:val="20"/>
                <w:color w:val="auto"/>
              </w:rPr>
            </w:pPr>
            <w:r>
              <w:rPr>
                <w:rFonts w:ascii="Arial" w:cs="Arial" w:eastAsia="Arial" w:hAnsi="Arial"/>
                <w:sz w:val="14"/>
                <w:szCs w:val="14"/>
                <w:color w:val="auto"/>
              </w:rPr>
              <w:t>(5.4)</w:t>
            </w:r>
          </w:p>
        </w:tc>
        <w:tc>
          <w:tcPr>
            <w:tcW w:w="660" w:type="dxa"/>
            <w:vAlign w:val="bottom"/>
          </w:tcPr>
          <w:p>
            <w:pPr>
              <w:spacing w:after="0"/>
              <w:rPr>
                <w:sz w:val="21"/>
                <w:szCs w:val="21"/>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(20.6)</w:t>
            </w:r>
          </w:p>
        </w:tc>
        <w:tc>
          <w:tcPr>
            <w:tcW w:w="260" w:type="dxa"/>
            <w:vAlign w:val="bottom"/>
          </w:tcPr>
          <w:p>
            <w:pPr>
              <w:spacing w:after="0"/>
              <w:rPr>
                <w:sz w:val="21"/>
                <w:szCs w:val="21"/>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17.0</w:t>
            </w:r>
          </w:p>
        </w:tc>
        <w:tc>
          <w:tcPr>
            <w:tcW w:w="68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43"/>
        </w:trPr>
        <w:tc>
          <w:tcPr>
            <w:tcW w:w="2920" w:type="dxa"/>
            <w:vAlign w:val="bottom"/>
          </w:tcPr>
          <w:p>
            <w:pPr>
              <w:ind w:left="60"/>
              <w:spacing w:after="0"/>
              <w:rPr>
                <w:sz w:val="20"/>
                <w:szCs w:val="20"/>
                <w:color w:val="auto"/>
              </w:rPr>
            </w:pPr>
            <w:r>
              <w:rPr>
                <w:rFonts w:ascii="Arial" w:cs="Arial" w:eastAsia="Arial" w:hAnsi="Arial"/>
                <w:sz w:val="14"/>
                <w:szCs w:val="14"/>
                <w:color w:val="auto"/>
              </w:rPr>
              <w:t>Segment Assets</w:t>
            </w:r>
          </w:p>
        </w:tc>
        <w:tc>
          <w:tcPr>
            <w:tcW w:w="138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771.8</w:t>
            </w:r>
          </w:p>
        </w:tc>
        <w:tc>
          <w:tcPr>
            <w:tcW w:w="340" w:type="dxa"/>
            <w:vAlign w:val="bottom"/>
          </w:tcPr>
          <w:p>
            <w:pPr>
              <w:spacing w:after="0"/>
              <w:rPr>
                <w:sz w:val="21"/>
                <w:szCs w:val="21"/>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364.5</w:t>
            </w:r>
          </w:p>
        </w:tc>
        <w:tc>
          <w:tcPr>
            <w:tcW w:w="280" w:type="dxa"/>
            <w:vAlign w:val="bottom"/>
          </w:tcPr>
          <w:p>
            <w:pPr>
              <w:spacing w:after="0"/>
              <w:rPr>
                <w:sz w:val="21"/>
                <w:szCs w:val="21"/>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67.5</w:t>
            </w:r>
          </w:p>
        </w:tc>
        <w:tc>
          <w:tcPr>
            <w:tcW w:w="660" w:type="dxa"/>
            <w:vAlign w:val="bottom"/>
          </w:tcPr>
          <w:p>
            <w:pPr>
              <w:spacing w:after="0"/>
              <w:rPr>
                <w:sz w:val="21"/>
                <w:szCs w:val="21"/>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428.1</w:t>
            </w:r>
          </w:p>
        </w:tc>
        <w:tc>
          <w:tcPr>
            <w:tcW w:w="260" w:type="dxa"/>
            <w:vAlign w:val="bottom"/>
          </w:tcPr>
          <w:p>
            <w:pPr>
              <w:spacing w:after="0"/>
              <w:rPr>
                <w:sz w:val="21"/>
                <w:szCs w:val="21"/>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w w:val="98"/>
              </w:rPr>
              <w:t>1,631.9</w:t>
            </w:r>
          </w:p>
        </w:tc>
        <w:tc>
          <w:tcPr>
            <w:tcW w:w="680" w:type="dxa"/>
            <w:vAlign w:val="bottom"/>
          </w:tcPr>
          <w:p>
            <w:pPr>
              <w:spacing w:after="0"/>
              <w:rPr>
                <w:sz w:val="21"/>
                <w:szCs w:val="21"/>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323.3</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1,955.2</w:t>
            </w:r>
          </w:p>
        </w:tc>
      </w:tr>
      <w:tr>
        <w:trPr>
          <w:trHeight w:val="243"/>
        </w:trPr>
        <w:tc>
          <w:tcPr>
            <w:tcW w:w="2920" w:type="dxa"/>
            <w:vAlign w:val="bottom"/>
          </w:tcPr>
          <w:p>
            <w:pPr>
              <w:ind w:left="60"/>
              <w:spacing w:after="0"/>
              <w:rPr>
                <w:sz w:val="20"/>
                <w:szCs w:val="20"/>
                <w:color w:val="auto"/>
              </w:rPr>
            </w:pPr>
            <w:r>
              <w:rPr>
                <w:rFonts w:ascii="Arial" w:cs="Arial" w:eastAsia="Arial" w:hAnsi="Arial"/>
                <w:sz w:val="14"/>
                <w:szCs w:val="14"/>
                <w:color w:val="auto"/>
              </w:rPr>
              <w:t>Goodwill</w:t>
            </w:r>
          </w:p>
        </w:tc>
        <w:tc>
          <w:tcPr>
            <w:tcW w:w="138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38.2</w:t>
            </w:r>
          </w:p>
        </w:tc>
        <w:tc>
          <w:tcPr>
            <w:tcW w:w="340" w:type="dxa"/>
            <w:vAlign w:val="bottom"/>
          </w:tcPr>
          <w:p>
            <w:pPr>
              <w:spacing w:after="0"/>
              <w:rPr>
                <w:sz w:val="21"/>
                <w:szCs w:val="21"/>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92.8</w:t>
            </w:r>
          </w:p>
        </w:tc>
        <w:tc>
          <w:tcPr>
            <w:tcW w:w="280" w:type="dxa"/>
            <w:vAlign w:val="bottom"/>
          </w:tcPr>
          <w:p>
            <w:pPr>
              <w:spacing w:after="0"/>
              <w:rPr>
                <w:sz w:val="21"/>
                <w:szCs w:val="21"/>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9.8</w:t>
            </w:r>
          </w:p>
        </w:tc>
        <w:tc>
          <w:tcPr>
            <w:tcW w:w="660" w:type="dxa"/>
            <w:vAlign w:val="bottom"/>
          </w:tcPr>
          <w:p>
            <w:pPr>
              <w:spacing w:after="0"/>
              <w:rPr>
                <w:sz w:val="21"/>
                <w:szCs w:val="21"/>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0.0</w:t>
            </w:r>
          </w:p>
        </w:tc>
        <w:tc>
          <w:tcPr>
            <w:tcW w:w="260" w:type="dxa"/>
            <w:vAlign w:val="bottom"/>
          </w:tcPr>
          <w:p>
            <w:pPr>
              <w:spacing w:after="0"/>
              <w:rPr>
                <w:sz w:val="21"/>
                <w:szCs w:val="21"/>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140.8</w:t>
            </w:r>
          </w:p>
        </w:tc>
        <w:tc>
          <w:tcPr>
            <w:tcW w:w="680" w:type="dxa"/>
            <w:vAlign w:val="bottom"/>
          </w:tcPr>
          <w:p>
            <w:pPr>
              <w:spacing w:after="0"/>
              <w:rPr>
                <w:sz w:val="21"/>
                <w:szCs w:val="21"/>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31.7</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172.5</w:t>
            </w:r>
          </w:p>
        </w:tc>
      </w:tr>
      <w:tr>
        <w:trPr>
          <w:trHeight w:val="219"/>
        </w:trPr>
        <w:tc>
          <w:tcPr>
            <w:tcW w:w="2920" w:type="dxa"/>
            <w:vAlign w:val="bottom"/>
          </w:tcPr>
          <w:p>
            <w:pPr>
              <w:ind w:left="60"/>
              <w:spacing w:after="0"/>
              <w:rPr>
                <w:sz w:val="20"/>
                <w:szCs w:val="20"/>
                <w:color w:val="auto"/>
              </w:rPr>
            </w:pPr>
            <w:r>
              <w:rPr>
                <w:rFonts w:ascii="Arial" w:cs="Arial" w:eastAsia="Arial" w:hAnsi="Arial"/>
                <w:sz w:val="14"/>
                <w:szCs w:val="14"/>
                <w:color w:val="auto"/>
              </w:rPr>
              <w:t>Expenditures for long-lived assets</w:t>
            </w:r>
          </w:p>
        </w:tc>
        <w:tc>
          <w:tcPr>
            <w:tcW w:w="138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14.9</w:t>
            </w:r>
          </w:p>
        </w:tc>
        <w:tc>
          <w:tcPr>
            <w:tcW w:w="34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4.9</w:t>
            </w:r>
          </w:p>
        </w:tc>
        <w:tc>
          <w:tcPr>
            <w:tcW w:w="280" w:type="dxa"/>
            <w:vAlign w:val="bottom"/>
          </w:tcPr>
          <w:p>
            <w:pPr>
              <w:spacing w:after="0"/>
              <w:rPr>
                <w:sz w:val="19"/>
                <w:szCs w:val="19"/>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1.5</w:t>
            </w:r>
          </w:p>
        </w:tc>
        <w:tc>
          <w:tcPr>
            <w:tcW w:w="66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4.6</w:t>
            </w:r>
          </w:p>
        </w:tc>
        <w:tc>
          <w:tcPr>
            <w:tcW w:w="26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25.9</w:t>
            </w:r>
          </w:p>
        </w:tc>
        <w:tc>
          <w:tcPr>
            <w:tcW w:w="68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3.6</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353"/>
        </w:trPr>
        <w:tc>
          <w:tcPr>
            <w:tcW w:w="2920" w:type="dxa"/>
            <w:vAlign w:val="bottom"/>
          </w:tcPr>
          <w:p>
            <w:pPr>
              <w:ind w:left="60"/>
              <w:spacing w:after="0"/>
              <w:rPr>
                <w:sz w:val="20"/>
                <w:szCs w:val="20"/>
                <w:color w:val="auto"/>
              </w:rPr>
            </w:pPr>
            <w:r>
              <w:rPr>
                <w:rFonts w:ascii="Arial" w:cs="Arial" w:eastAsia="Arial" w:hAnsi="Arial"/>
                <w:sz w:val="14"/>
                <w:szCs w:val="14"/>
                <w:color w:val="auto"/>
              </w:rPr>
              <w:t>Long-lived Assets</w:t>
            </w:r>
            <w:r>
              <w:rPr>
                <w:rFonts w:ascii="Arial" w:cs="Arial" w:eastAsia="Arial" w:hAnsi="Arial"/>
                <w:sz w:val="27"/>
                <w:szCs w:val="27"/>
                <w:color w:val="auto"/>
                <w:vertAlign w:val="superscript"/>
              </w:rPr>
              <w:t>(5)</w:t>
            </w:r>
          </w:p>
        </w:tc>
        <w:tc>
          <w:tcPr>
            <w:tcW w:w="1380" w:type="dxa"/>
            <w:vAlign w:val="bottom"/>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170.3</w:t>
            </w:r>
          </w:p>
        </w:tc>
        <w:tc>
          <w:tcPr>
            <w:tcW w:w="34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210.3</w:t>
            </w:r>
          </w:p>
        </w:tc>
        <w:tc>
          <w:tcPr>
            <w:tcW w:w="280" w:type="dxa"/>
            <w:vAlign w:val="bottom"/>
          </w:tcPr>
          <w:p>
            <w:pPr>
              <w:spacing w:after="0"/>
              <w:rPr>
                <w:sz w:val="24"/>
                <w:szCs w:val="2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28.3</w:t>
            </w:r>
          </w:p>
        </w:tc>
        <w:tc>
          <w:tcPr>
            <w:tcW w:w="660" w:type="dxa"/>
            <w:vAlign w:val="bottom"/>
          </w:tcPr>
          <w:p>
            <w:pPr>
              <w:spacing w:after="0"/>
              <w:rPr>
                <w:sz w:val="24"/>
                <w:szCs w:val="2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248.4</w:t>
            </w:r>
          </w:p>
        </w:tc>
        <w:tc>
          <w:tcPr>
            <w:tcW w:w="260" w:type="dxa"/>
            <w:vAlign w:val="bottom"/>
          </w:tcPr>
          <w:p>
            <w:pPr>
              <w:spacing w:after="0"/>
              <w:rPr>
                <w:sz w:val="24"/>
                <w:szCs w:val="24"/>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color w:val="auto"/>
              </w:rPr>
              <w:t>657.3</w:t>
            </w:r>
          </w:p>
        </w:tc>
        <w:tc>
          <w:tcPr>
            <w:tcW w:w="680" w:type="dxa"/>
            <w:vAlign w:val="bottom"/>
          </w:tcPr>
          <w:p>
            <w:pPr>
              <w:spacing w:after="0"/>
              <w:rPr>
                <w:sz w:val="24"/>
                <w:szCs w:val="2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113.6</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770.9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-4817745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-4817745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-4354195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-4354195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-2322195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-2322195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-1858645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-1858645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9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9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40" w:right="60" w:hanging="432"/>
        <w:spacing w:after="0" w:line="298"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As discussed in Note 3, “Discontinued Operations,” the DTH business, consisting of the domestic portion of the direct-to-home business, and the SC business, which were formerly included in the Children’s Book Publishing and Distribution segment, DTH International, located in the United Kingdom and Canada, which was formerly included in the International segment, and the Maumelle Facility, which was formerly included in Overhead (with the exception of certain charges allocated to the Company’s segments), were reclassified as discontinued operations and, as such, are not reflected in this table.</w:t>
      </w:r>
    </w:p>
    <w:p>
      <w:pPr>
        <w:spacing w:after="0" w:line="193" w:lineRule="exact"/>
        <w:rPr>
          <w:rFonts w:ascii="Arial" w:cs="Arial" w:eastAsia="Arial" w:hAnsi="Arial"/>
          <w:sz w:val="16"/>
          <w:szCs w:val="16"/>
          <w:color w:val="auto"/>
        </w:rPr>
      </w:pPr>
    </w:p>
    <w:p>
      <w:pPr>
        <w:ind w:left="440" w:right="140" w:hanging="432"/>
        <w:spacing w:after="0" w:line="306"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an industrial/office building complex in Connecticut.</w:t>
      </w:r>
    </w:p>
    <w:p>
      <w:pPr>
        <w:spacing w:after="0" w:line="187" w:lineRule="exact"/>
        <w:rPr>
          <w:rFonts w:ascii="Arial" w:cs="Arial" w:eastAsia="Arial" w:hAnsi="Arial"/>
          <w:sz w:val="16"/>
          <w:szCs w:val="16"/>
          <w:color w:val="auto"/>
        </w:rPr>
      </w:pPr>
    </w:p>
    <w:p>
      <w:pPr>
        <w:ind w:left="440" w:hanging="432"/>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Includes depreciation of property, plant and equipment and amortization of intangible assets, but excludes amortization of promotion costs.</w:t>
      </w:r>
    </w:p>
    <w:p>
      <w:pPr>
        <w:spacing w:after="0" w:line="275" w:lineRule="exact"/>
        <w:rPr>
          <w:rFonts w:ascii="Arial" w:cs="Arial" w:eastAsia="Arial" w:hAnsi="Arial"/>
          <w:sz w:val="16"/>
          <w:szCs w:val="16"/>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costs and production costs</w:t>
      </w:r>
      <w:r>
        <w:rPr>
          <w:rFonts w:ascii="Arial" w:cs="Arial" w:eastAsia="Arial" w:hAnsi="Arial"/>
          <w:sz w:val="18"/>
          <w:szCs w:val="18"/>
          <w:color w:val="auto"/>
        </w:rPr>
        <w:t>,</w:t>
      </w:r>
      <w:r>
        <w:rPr>
          <w:rFonts w:ascii="Arial" w:cs="Arial" w:eastAsia="Arial" w:hAnsi="Arial"/>
          <w:sz w:val="18"/>
          <w:szCs w:val="18"/>
          <w:i w:val="1"/>
          <w:iCs w:val="1"/>
          <w:color w:val="auto"/>
        </w:rPr>
        <w:t xml:space="preserve"> but excludes amortization of promotion costs.</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Includes property, plant and equipment, prepublication costs, goodwill, other intangibles, royalty advances, production costs and long-term investments.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tcPr>
          <w:p>
            <w:pPr>
              <w:spacing w:after="0"/>
              <w:rPr>
                <w:sz w:val="19"/>
                <w:szCs w:val="19"/>
                <w:color w:val="auto"/>
              </w:rPr>
            </w:pPr>
          </w:p>
        </w:tc>
        <w:tc>
          <w:tcPr>
            <w:tcW w:w="3440" w:type="dxa"/>
            <w:vAlign w:val="bottom"/>
            <w:gridSpan w:val="2"/>
          </w:tcPr>
          <w:p>
            <w:pPr>
              <w:jc w:val="right"/>
              <w:ind w:right="52"/>
              <w:spacing w:after="0"/>
              <w:rPr>
                <w:sz w:val="20"/>
                <w:szCs w:val="20"/>
                <w:color w:val="auto"/>
              </w:rPr>
            </w:pPr>
            <w:r>
              <w:rPr>
                <w:rFonts w:ascii="Arial" w:cs="Arial" w:eastAsia="Arial" w:hAnsi="Arial"/>
                <w:sz w:val="18"/>
                <w:szCs w:val="18"/>
                <w:b w:val="1"/>
                <w:bCs w:val="1"/>
                <w:i w:val="1"/>
                <w:iCs w:val="1"/>
                <w:color w:val="auto"/>
              </w:rPr>
              <w:t>August 31, 2008</w:t>
            </w: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i w:val="1"/>
                <w:iCs w:val="1"/>
                <w:color w:val="auto"/>
                <w:w w:val="99"/>
              </w:rPr>
              <w:t>May 31, 2008</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94"/>
              </w:rPr>
              <w:t>August 31, 2007</w:t>
            </w:r>
          </w:p>
        </w:tc>
        <w:tc>
          <w:tcPr>
            <w:tcW w:w="40" w:type="dxa"/>
            <w:vAlign w:val="bottom"/>
          </w:tcPr>
          <w:p>
            <w:pPr>
              <w:spacing w:after="0"/>
              <w:rPr>
                <w:sz w:val="19"/>
                <w:szCs w:val="19"/>
                <w:color w:val="auto"/>
              </w:rPr>
            </w:pPr>
          </w:p>
        </w:tc>
      </w:tr>
      <w:tr>
        <w:trPr>
          <w:trHeight w:val="134"/>
        </w:trPr>
        <w:tc>
          <w:tcPr>
            <w:tcW w:w="540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r>
        <w:trPr>
          <w:trHeight w:val="832"/>
        </w:trPr>
        <w:tc>
          <w:tcPr>
            <w:tcW w:w="5400" w:type="dxa"/>
            <w:vAlign w:val="bottom"/>
          </w:tcPr>
          <w:p>
            <w:pPr>
              <w:spacing w:after="0"/>
              <w:rPr>
                <w:sz w:val="20"/>
                <w:szCs w:val="20"/>
                <w:color w:val="auto"/>
              </w:rPr>
            </w:pPr>
            <w:r>
              <w:rPr>
                <w:rFonts w:ascii="Arial" w:cs="Arial" w:eastAsia="Arial" w:hAnsi="Arial"/>
                <w:sz w:val="18"/>
                <w:szCs w:val="18"/>
                <w:color w:val="auto"/>
              </w:rPr>
              <w:t>Lines of Credit</w:t>
            </w:r>
          </w:p>
        </w:tc>
        <w:tc>
          <w:tcPr>
            <w:tcW w:w="2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63.0</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11.8</w:t>
            </w:r>
          </w:p>
        </w:tc>
        <w:tc>
          <w:tcPr>
            <w:tcW w:w="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24"/>
                <w:szCs w:val="24"/>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Loan Agreement:</w:t>
            </w:r>
          </w:p>
        </w:tc>
        <w:tc>
          <w:tcPr>
            <w:tcW w:w="2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400" w:type="dxa"/>
            <w:vAlign w:val="bottom"/>
          </w:tcPr>
          <w:p>
            <w:pPr>
              <w:ind w:left="60"/>
              <w:spacing w:after="0"/>
              <w:rPr>
                <w:sz w:val="20"/>
                <w:szCs w:val="20"/>
                <w:color w:val="auto"/>
              </w:rPr>
            </w:pPr>
            <w:r>
              <w:rPr>
                <w:rFonts w:ascii="Arial" w:cs="Arial" w:eastAsia="Arial" w:hAnsi="Arial"/>
                <w:sz w:val="18"/>
                <w:szCs w:val="18"/>
                <w:color w:val="auto"/>
              </w:rPr>
              <w:t>Revolving Loan</w:t>
            </w:r>
          </w:p>
        </w:tc>
        <w:tc>
          <w:tcPr>
            <w:tcW w:w="250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40.0</w:t>
            </w:r>
          </w:p>
        </w:tc>
        <w:tc>
          <w:tcPr>
            <w:tcW w:w="420" w:type="dxa"/>
            <w:vAlign w:val="bottom"/>
          </w:tcPr>
          <w:p>
            <w:pPr>
              <w:spacing w:after="0"/>
              <w:rPr>
                <w:sz w:val="21"/>
                <w:szCs w:val="21"/>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175.0</w:t>
            </w:r>
          </w:p>
        </w:tc>
        <w:tc>
          <w:tcPr>
            <w:tcW w:w="40" w:type="dxa"/>
            <w:vAlign w:val="bottom"/>
          </w:tcPr>
          <w:p>
            <w:pPr>
              <w:spacing w:after="0"/>
              <w:rPr>
                <w:sz w:val="21"/>
                <w:szCs w:val="21"/>
                <w:color w:val="auto"/>
              </w:rPr>
            </w:pPr>
          </w:p>
        </w:tc>
      </w:tr>
      <w:tr>
        <w:trPr>
          <w:trHeight w:val="243"/>
        </w:trPr>
        <w:tc>
          <w:tcPr>
            <w:tcW w:w="5400" w:type="dxa"/>
            <w:vAlign w:val="bottom"/>
          </w:tcPr>
          <w:p>
            <w:pPr>
              <w:ind w:left="60"/>
              <w:spacing w:after="0"/>
              <w:rPr>
                <w:sz w:val="20"/>
                <w:szCs w:val="20"/>
                <w:color w:val="auto"/>
              </w:rPr>
            </w:pPr>
            <w:r>
              <w:rPr>
                <w:rFonts w:ascii="Arial" w:cs="Arial" w:eastAsia="Arial" w:hAnsi="Arial"/>
                <w:sz w:val="18"/>
                <w:szCs w:val="18"/>
                <w:color w:val="auto"/>
              </w:rPr>
              <w:t>Term Loan</w:t>
            </w:r>
          </w:p>
        </w:tc>
        <w:tc>
          <w:tcPr>
            <w:tcW w:w="250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167.9</w:t>
            </w:r>
          </w:p>
        </w:tc>
        <w:tc>
          <w:tcPr>
            <w:tcW w:w="420" w:type="dxa"/>
            <w:vAlign w:val="bottom"/>
          </w:tcPr>
          <w:p>
            <w:pPr>
              <w:spacing w:after="0"/>
              <w:rPr>
                <w:sz w:val="21"/>
                <w:szCs w:val="21"/>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178.6</w:t>
            </w:r>
          </w:p>
        </w:tc>
        <w:tc>
          <w:tcPr>
            <w:tcW w:w="5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21"/>
                <w:szCs w:val="2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250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159.3</w:t>
            </w:r>
          </w:p>
        </w:tc>
        <w:tc>
          <w:tcPr>
            <w:tcW w:w="420" w:type="dxa"/>
            <w:vAlign w:val="bottom"/>
          </w:tcPr>
          <w:p>
            <w:pPr>
              <w:spacing w:after="0"/>
              <w:rPr>
                <w:sz w:val="21"/>
                <w:szCs w:val="21"/>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159.3</w:t>
            </w:r>
          </w:p>
        </w:tc>
        <w:tc>
          <w:tcPr>
            <w:tcW w:w="5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173.5</w:t>
            </w:r>
          </w:p>
        </w:tc>
        <w:tc>
          <w:tcPr>
            <w:tcW w:w="40" w:type="dxa"/>
            <w:vAlign w:val="bottom"/>
          </w:tcPr>
          <w:p>
            <w:pPr>
              <w:spacing w:after="0"/>
              <w:rPr>
                <w:sz w:val="21"/>
                <w:szCs w:val="21"/>
                <w:color w:val="auto"/>
              </w:rPr>
            </w:pPr>
          </w:p>
        </w:tc>
      </w:tr>
      <w:tr>
        <w:trPr>
          <w:trHeight w:val="110"/>
        </w:trPr>
        <w:tc>
          <w:tcPr>
            <w:tcW w:w="540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829"/>
        </w:trPr>
        <w:tc>
          <w:tcPr>
            <w:tcW w:w="5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Total debt</w:t>
            </w:r>
          </w:p>
        </w:tc>
        <w:tc>
          <w:tcPr>
            <w:tcW w:w="250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430.2</w:t>
            </w:r>
          </w:p>
        </w:tc>
        <w:tc>
          <w:tcPr>
            <w:tcW w:w="420" w:type="dxa"/>
            <w:vAlign w:val="bottom"/>
          </w:tcPr>
          <w:p>
            <w:pPr>
              <w:spacing w:after="0"/>
              <w:rPr>
                <w:sz w:val="24"/>
                <w:szCs w:val="24"/>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b w:val="1"/>
                <w:bCs w:val="1"/>
                <w:color w:val="auto"/>
              </w:rPr>
              <w:t>349.7</w:t>
            </w:r>
          </w:p>
        </w:tc>
        <w:tc>
          <w:tcPr>
            <w:tcW w:w="54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589.5</w:t>
            </w:r>
          </w:p>
        </w:tc>
        <w:tc>
          <w:tcPr>
            <w:tcW w:w="40" w:type="dxa"/>
            <w:vAlign w:val="bottom"/>
          </w:tcPr>
          <w:p>
            <w:pPr>
              <w:spacing w:after="0"/>
              <w:rPr>
                <w:sz w:val="24"/>
                <w:szCs w:val="24"/>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w w:val="93"/>
              </w:rPr>
              <w:t>Less lines of credit, short-term debt and current portion of long-term debt</w:t>
            </w:r>
          </w:p>
        </w:tc>
        <w:tc>
          <w:tcPr>
            <w:tcW w:w="25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(105.8)</w:t>
            </w:r>
          </w:p>
        </w:tc>
        <w:tc>
          <w:tcPr>
            <w:tcW w:w="420" w:type="dxa"/>
            <w:vAlign w:val="bottom"/>
          </w:tcPr>
          <w:p>
            <w:pPr>
              <w:spacing w:after="0"/>
              <w:rPr>
                <w:sz w:val="21"/>
                <w:szCs w:val="21"/>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(54.6)</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(73.1)</w:t>
            </w:r>
          </w:p>
        </w:tc>
        <w:tc>
          <w:tcPr>
            <w:tcW w:w="40" w:type="dxa"/>
            <w:vAlign w:val="bottom"/>
          </w:tcPr>
          <w:p>
            <w:pPr>
              <w:spacing w:after="0"/>
              <w:rPr>
                <w:sz w:val="21"/>
                <w:szCs w:val="21"/>
                <w:color w:val="auto"/>
              </w:rPr>
            </w:pPr>
          </w:p>
        </w:tc>
      </w:tr>
      <w:tr>
        <w:trPr>
          <w:trHeight w:val="353"/>
        </w:trPr>
        <w:tc>
          <w:tcPr>
            <w:tcW w:w="54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r>
      <w:tr>
        <w:trPr>
          <w:trHeight w:val="343"/>
        </w:trPr>
        <w:tc>
          <w:tcPr>
            <w:tcW w:w="540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250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324.4</w:t>
            </w:r>
          </w:p>
        </w:tc>
        <w:tc>
          <w:tcPr>
            <w:tcW w:w="42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52"/>
              <w:spacing w:after="0"/>
              <w:rPr>
                <w:sz w:val="20"/>
                <w:szCs w:val="20"/>
                <w:color w:val="auto"/>
              </w:rPr>
            </w:pPr>
            <w:r>
              <w:rPr>
                <w:rFonts w:ascii="Arial" w:cs="Arial" w:eastAsia="Arial" w:hAnsi="Arial"/>
                <w:sz w:val="18"/>
                <w:szCs w:val="18"/>
                <w:b w:val="1"/>
                <w:bCs w:val="1"/>
                <w:color w:val="auto"/>
              </w:rPr>
              <w:t>295.1</w:t>
            </w:r>
          </w:p>
        </w:tc>
        <w:tc>
          <w:tcPr>
            <w:tcW w:w="54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516.4</w:t>
            </w:r>
          </w:p>
        </w:tc>
        <w:tc>
          <w:tcPr>
            <w:tcW w:w="40" w:type="dxa"/>
            <w:vAlign w:val="bottom"/>
          </w:tcPr>
          <w:p>
            <w:pPr>
              <w:spacing w:after="0"/>
              <w:rPr>
                <w:sz w:val="24"/>
                <w:szCs w:val="24"/>
                <w:color w:val="auto"/>
              </w:rPr>
            </w:pPr>
          </w:p>
        </w:tc>
      </w:tr>
      <w:tr>
        <w:trPr>
          <w:trHeight w:val="134"/>
        </w:trPr>
        <w:tc>
          <w:tcPr>
            <w:tcW w:w="540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r>
        <w:trPr>
          <w:trHeight w:val="778"/>
        </w:trPr>
        <w:tc>
          <w:tcPr>
            <w:tcW w:w="5400" w:type="dxa"/>
            <w:vAlign w:val="bottom"/>
          </w:tcPr>
          <w:p>
            <w:pPr>
              <w:spacing w:after="0"/>
              <w:rPr>
                <w:sz w:val="24"/>
                <w:szCs w:val="24"/>
                <w:color w:val="auto"/>
              </w:rPr>
            </w:pPr>
          </w:p>
        </w:tc>
        <w:tc>
          <w:tcPr>
            <w:tcW w:w="2500" w:type="dxa"/>
            <w:vAlign w:val="bottom"/>
          </w:tcPr>
          <w:p>
            <w:pPr>
              <w:jc w:val="right"/>
              <w:ind w:right="2012"/>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5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1"/>
        </w:trPr>
        <w:tc>
          <w:tcPr>
            <w:tcW w:w="5400" w:type="dxa"/>
            <w:vAlign w:val="bottom"/>
            <w:shd w:val="clear" w:color="auto" w:fill="808080"/>
          </w:tcPr>
          <w:p>
            <w:pPr>
              <w:spacing w:after="0"/>
              <w:rPr>
                <w:sz w:val="5"/>
                <w:szCs w:val="5"/>
                <w:color w:val="auto"/>
              </w:rPr>
            </w:pPr>
          </w:p>
        </w:tc>
        <w:tc>
          <w:tcPr>
            <w:tcW w:w="25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-3159125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-3159125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-697865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-697865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Company’s debt obligations as of August 31, 2008 for the remainder of fiscal 2009 and thereafter: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Nine-month period ending May 31:</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2009</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Fiscal years ending May 31:</w:t>
            </w:r>
          </w:p>
        </w:tc>
        <w:tc>
          <w:tcPr>
            <w:tcW w:w="23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2010</w:t>
            </w:r>
          </w:p>
        </w:tc>
        <w:tc>
          <w:tcPr>
            <w:tcW w:w="2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2011</w:t>
            </w:r>
          </w:p>
        </w:tc>
        <w:tc>
          <w:tcPr>
            <w:tcW w:w="2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2012</w:t>
            </w:r>
          </w:p>
        </w:tc>
        <w:tc>
          <w:tcPr>
            <w:tcW w:w="2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2013</w:t>
            </w:r>
          </w:p>
        </w:tc>
        <w:tc>
          <w:tcPr>
            <w:tcW w:w="2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206.7</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Thereafter</w:t>
            </w:r>
          </w:p>
        </w:tc>
        <w:tc>
          <w:tcPr>
            <w:tcW w:w="2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110"/>
        </w:trPr>
        <w:tc>
          <w:tcPr>
            <w:tcW w:w="466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586"/>
        </w:trPr>
        <w:tc>
          <w:tcPr>
            <w:tcW w:w="466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430.2</w:t>
            </w:r>
          </w:p>
        </w:tc>
      </w:tr>
      <w:tr>
        <w:trPr>
          <w:trHeight w:val="134"/>
        </w:trPr>
        <w:tc>
          <w:tcPr>
            <w:tcW w:w="466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On June 1, 2007, Scholastic Corporation and Scholastic Inc. (each, a “Borrower” and together, the “Borrowers”) elected to replace the Company’s then-existing credit facilities with a new $525.0 credit facility with certain banks (the “Loan Agreement”), consisting of a $325.0 revolving credit component (the “Revolving Loan”) and a $200.0 amortizing term loan component (the “Term Loan”). The Loan Agreement is a contractually committed unsecured credit facility that is scheduled to expire on June 1, 2012. The $325.0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The $200.0 Term Loan component was established in order to fund the reacquisition by the Corporation of shares of its Common Stock pursuant to an Accelerated Share Repurchase Agreement and was fully drawn on June 28, 2007 in connection with that transaction. The Term Loan, which may be prepaid at any time without penalty, requires quarterly principal payments of $10.7, with the first payment on December 31, 2007, and a final payment of $7.4 due on June 1, 2012. 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 (b) the prevailing Federal Funds rate plus 0.500% or (2) an adjusted LIBOR rate plus an applicable margin, ranging from 0.500% to 1.250% based on the Company’s prevailing consolidated debt to total capital ratio. As of August 31, 2008, the applicable margin of the Term Loan was 0.875% and the applicable margin on the Revolving Loan was 0.700% . The Loan Agreement also provides for the payment of a facility fee ranging from 0.125% to 0.250% per annum on the Revolving Loan only, which at August 31, 2008 was 0.175% . As of August 31, 2008, the Term Loan had an outstanding balance of $167.9, at a weighted average interest rate of 3.300% . As of August 31, 2007, the Term Loan had an outstanding balance of $200.0 at a weighted average interest rate of 6.300% . The Revolving Loan has an outstanding balance of $40.0 as of August 31, 2008 at a weighted average interest rate of 3.200% . As of August 31, 2007, $175.0 was outstanding under the Revolving Loan at a weighted average interest rate of</w:t>
      </w:r>
    </w:p>
    <w:p>
      <w:pPr>
        <w:spacing w:after="0" w:line="18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6.200% .. The Loan Agreement contains certain covenants, including interest coverage and leverage ratio tests and certain limitations on the amount of dividends and other distributions, and at August 31, 2008 the Company was in compliance with these covenants.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5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 In fiscal year 2008, the Company repurchased $14.5 of the 5% Notes on the open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fourth quarter of fiscal 2008, the Company renewed unsecured money market bid rate credit lines totaling $50.0 that were originally entered into during the fourth quarter of fiscal 2007. There was an outstanding balance under these credit lines of $37.8 and $5.7 at August 31, 2008 and August 31, 2007, respectively. All loans made under these credit lines are at the sole discretion of the lender and at an interest rate and term, not to exceed 364 days, agreed to at the time each loan is made. The weighted average interest rate for all money market bid rate loans outstanding on August 31, 2008 and August 31, 2007 were 2.900% and 6.100%, respectively. These credit lines are typically available for loans up to 364 days and may be renewed, if requested by the Company, at the sole option of the lender.</w:t>
      </w:r>
    </w:p>
    <w:p>
      <w:pPr>
        <w:spacing w:after="0" w:line="19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of August 31, 2008, the Company had various local currency credit lines, with maximum available borrowings in amounts equivalent to $61.1,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$25.2 at August 31, 2008 at a weighted average interest rate of 5.900%, as compared to the equivalent of $35.3 at August 31, 2007 at a weighted average of 6.600% .</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Loss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comprehensive loss for the periods indicated:</w:t>
      </w:r>
    </w:p>
    <w:p>
      <w:pPr>
        <w:spacing w:after="0" w:line="252" w:lineRule="exact"/>
        <w:rPr>
          <w:sz w:val="20"/>
          <w:szCs w:val="20"/>
          <w:color w:val="auto"/>
        </w:rPr>
      </w:pPr>
    </w:p>
    <w:p>
      <w:pPr>
        <w:jc w:val="center"/>
        <w:ind w:left="9640"/>
        <w:spacing w:after="0"/>
        <w:rPr>
          <w:sz w:val="20"/>
          <w:szCs w:val="20"/>
          <w:color w:val="auto"/>
        </w:rPr>
      </w:pPr>
      <w:r>
        <w:rPr>
          <w:rFonts w:ascii="Arial" w:cs="Arial" w:eastAsia="Arial" w:hAnsi="Arial"/>
          <w:sz w:val="18"/>
          <w:szCs w:val="18"/>
          <w:b w:val="1"/>
          <w:bCs w:val="1"/>
          <w:i w:val="1"/>
          <w:iCs w:val="1"/>
          <w:color w:val="auto"/>
        </w:rPr>
        <w:t>Three months ended</w:t>
      </w:r>
    </w:p>
    <w:p>
      <w:pPr>
        <w:spacing w:after="0" w:line="36" w:lineRule="exact"/>
        <w:rPr>
          <w:sz w:val="20"/>
          <w:szCs w:val="20"/>
          <w:color w:val="auto"/>
        </w:rPr>
      </w:pPr>
    </w:p>
    <w:p>
      <w:pPr>
        <w:jc w:val="center"/>
        <w:ind w:left="9640"/>
        <w:spacing w:after="0"/>
        <w:rPr>
          <w:sz w:val="20"/>
          <w:szCs w:val="20"/>
          <w:color w:val="auto"/>
        </w:rPr>
      </w:pPr>
      <w:r>
        <w:rPr>
          <w:rFonts w:ascii="Arial" w:cs="Arial" w:eastAsia="Arial" w:hAnsi="Arial"/>
          <w:sz w:val="18"/>
          <w:szCs w:val="18"/>
          <w:b w:val="1"/>
          <w:bCs w:val="1"/>
          <w:i w:val="1"/>
          <w:iCs w:val="1"/>
          <w:color w:val="auto"/>
        </w:rPr>
        <w:t>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2008</w:t>
            </w:r>
          </w:p>
        </w:tc>
        <w:tc>
          <w:tcPr>
            <w:tcW w:w="28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2007</w:t>
            </w:r>
          </w:p>
        </w:tc>
        <w:tc>
          <w:tcPr>
            <w:tcW w:w="40" w:type="dxa"/>
            <w:vAlign w:val="bottom"/>
          </w:tcPr>
          <w:p>
            <w:pPr>
              <w:spacing w:after="0"/>
              <w:rPr>
                <w:sz w:val="19"/>
                <w:szCs w:val="19"/>
                <w:color w:val="auto"/>
              </w:rPr>
            </w:pPr>
          </w:p>
        </w:tc>
      </w:tr>
      <w:tr>
        <w:trPr>
          <w:trHeight w:val="134"/>
        </w:trPr>
        <w:tc>
          <w:tcPr>
            <w:tcW w:w="496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r>
        <w:trPr>
          <w:trHeight w:val="346"/>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48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Other comprehensive loss -</w:t>
            </w:r>
          </w:p>
        </w:tc>
        <w:tc>
          <w:tcPr>
            <w:tcW w:w="4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84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Retirement plans and post-retirement healthcare, net of tax</w:t>
            </w:r>
          </w:p>
        </w:tc>
        <w:tc>
          <w:tcPr>
            <w:tcW w:w="484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1"/>
                <w:szCs w:val="21"/>
                <w:color w:val="auto"/>
              </w:rPr>
            </w:pPr>
          </w:p>
        </w:tc>
      </w:tr>
      <w:tr>
        <w:trPr>
          <w:trHeight w:val="110"/>
        </w:trPr>
        <w:tc>
          <w:tcPr>
            <w:tcW w:w="4960" w:type="dxa"/>
            <w:vAlign w:val="bottom"/>
            <w:tcBorders>
              <w:bottom w:val="single" w:sz="8" w:color="808080"/>
            </w:tcBorders>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43"/>
        </w:trPr>
        <w:tc>
          <w:tcPr>
            <w:tcW w:w="49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rPr>
              <w:t>(60.4)</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40" w:type="dxa"/>
            <w:vAlign w:val="bottom"/>
          </w:tcPr>
          <w:p>
            <w:pPr>
              <w:spacing w:after="0"/>
              <w:rPr>
                <w:sz w:val="24"/>
                <w:szCs w:val="24"/>
                <w:color w:val="auto"/>
              </w:rPr>
            </w:pPr>
          </w:p>
        </w:tc>
      </w:tr>
      <w:tr>
        <w:trPr>
          <w:trHeight w:val="134"/>
        </w:trPr>
        <w:tc>
          <w:tcPr>
            <w:tcW w:w="496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r>
        <w:trPr>
          <w:trHeight w:val="778"/>
        </w:trPr>
        <w:tc>
          <w:tcPr>
            <w:tcW w:w="4960" w:type="dxa"/>
            <w:vAlign w:val="bottom"/>
          </w:tcPr>
          <w:p>
            <w:pPr>
              <w:spacing w:after="0"/>
              <w:rPr>
                <w:sz w:val="24"/>
                <w:szCs w:val="24"/>
                <w:color w:val="auto"/>
              </w:rPr>
            </w:pPr>
          </w:p>
        </w:tc>
        <w:tc>
          <w:tcPr>
            <w:tcW w:w="4840" w:type="dxa"/>
            <w:vAlign w:val="bottom"/>
          </w:tcPr>
          <w:p>
            <w:pPr>
              <w:jc w:val="right"/>
              <w:ind w:right="3912"/>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49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1"/>
        </w:trPr>
        <w:tc>
          <w:tcPr>
            <w:tcW w:w="4960" w:type="dxa"/>
            <w:vAlign w:val="bottom"/>
            <w:shd w:val="clear" w:color="auto" w:fill="808080"/>
          </w:tcPr>
          <w:p>
            <w:pPr>
              <w:spacing w:after="0"/>
              <w:rPr>
                <w:sz w:val="5"/>
                <w:szCs w:val="5"/>
                <w:color w:val="auto"/>
              </w:rPr>
            </w:pPr>
          </w:p>
        </w:tc>
        <w:tc>
          <w:tcPr>
            <w:tcW w:w="48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-1778635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-1778635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-697865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-697865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23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Basic earnings (loss) per share is computed by dividing net earnings (loss) by the weighted average Shares of Class A Stock and Common Stock outstanding during the period. Diluted earnings (loss) per share is calculated to give effect to potentially dilutive options to purchase Class A and Common Stock and restricted stock units granted pursuant to the Company’s stock-based compensation plans that were outstanding during the period. In accordance with SFAS No. 128, “Earnings Per Share,” in a period in which the Company reports a discontinued operation, income (loss) from continuing operations is used as the “control number” in determining whether potentially dilutive common shares are dilutive or antidilutive. The Company calculates per share figures prior to rounding in millions. The following table summarizes the reconciliation of the numerators and denominators for the basic and diluted earnings (loss) per share computation for the periods indicated:</w:t>
      </w:r>
    </w:p>
    <w:p>
      <w:pPr>
        <w:spacing w:after="0" w:line="199" w:lineRule="exact"/>
        <w:rPr>
          <w:sz w:val="20"/>
          <w:szCs w:val="20"/>
          <w:color w:val="auto"/>
        </w:rPr>
      </w:pPr>
    </w:p>
    <w:p>
      <w:pPr>
        <w:ind w:left="9120"/>
        <w:spacing w:after="0"/>
        <w:rPr>
          <w:sz w:val="20"/>
          <w:szCs w:val="20"/>
          <w:color w:val="auto"/>
        </w:rPr>
      </w:pPr>
      <w:r>
        <w:rPr>
          <w:rFonts w:ascii="Arial" w:cs="Arial" w:eastAsia="Arial" w:hAnsi="Arial"/>
          <w:sz w:val="15"/>
          <w:szCs w:val="15"/>
          <w:b w:val="1"/>
          <w:bCs w:val="1"/>
          <w:i w:val="1"/>
          <w:i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2007</w:t>
            </w:r>
          </w:p>
        </w:tc>
      </w:tr>
      <w:tr>
        <w:trPr>
          <w:trHeight w:val="134"/>
        </w:trPr>
        <w:tc>
          <w:tcPr>
            <w:tcW w:w="722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r>
      <w:tr>
        <w:trPr>
          <w:trHeight w:val="346"/>
        </w:trPr>
        <w:tc>
          <w:tcPr>
            <w:tcW w:w="722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(44.7)</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72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7220" w:type="dxa"/>
            <w:vAlign w:val="bottom"/>
          </w:tcPr>
          <w:p>
            <w:pPr>
              <w:spacing w:after="0"/>
              <w:rPr>
                <w:sz w:val="20"/>
                <w:szCs w:val="20"/>
                <w:color w:val="auto"/>
              </w:rPr>
            </w:pPr>
            <w:r>
              <w:rPr>
                <w:rFonts w:ascii="Arial" w:cs="Arial" w:eastAsia="Arial" w:hAnsi="Arial"/>
                <w:sz w:val="18"/>
                <w:szCs w:val="18"/>
                <w:color w:val="auto"/>
              </w:rPr>
              <w:t>Net loss</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(49.1)</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220" w:type="dxa"/>
            <w:vAlign w:val="bottom"/>
          </w:tcPr>
          <w:p>
            <w:pPr>
              <w:spacing w:after="0"/>
              <w:rPr>
                <w:sz w:val="20"/>
                <w:szCs w:val="20"/>
                <w:color w:val="auto"/>
              </w:rPr>
            </w:pPr>
            <w:r>
              <w:rPr>
                <w:rFonts w:ascii="Arial" w:cs="Arial" w:eastAsia="Arial" w:hAnsi="Arial"/>
                <w:sz w:val="18"/>
                <w:szCs w:val="18"/>
                <w:color w:val="auto"/>
              </w:rPr>
              <w:t>Weighted average Shares of Class A Stock and Common Stock outstanding</w:t>
            </w:r>
          </w:p>
        </w:tc>
        <w:tc>
          <w:tcPr>
            <w:tcW w:w="2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7220" w:type="dxa"/>
            <w:vAlign w:val="bottom"/>
          </w:tcPr>
          <w:p>
            <w:pPr>
              <w:ind w:left="60"/>
              <w:spacing w:after="0"/>
              <w:rPr>
                <w:sz w:val="20"/>
                <w:szCs w:val="20"/>
                <w:color w:val="auto"/>
              </w:rPr>
            </w:pPr>
            <w:r>
              <w:rPr>
                <w:rFonts w:ascii="Arial" w:cs="Arial" w:eastAsia="Arial" w:hAnsi="Arial"/>
                <w:sz w:val="18"/>
                <w:szCs w:val="18"/>
                <w:color w:val="auto"/>
              </w:rPr>
              <w:t>for basic earnings per share (in millions)</w:t>
            </w:r>
          </w:p>
        </w:tc>
        <w:tc>
          <w:tcPr>
            <w:tcW w:w="2100" w:type="dxa"/>
            <w:vAlign w:val="bottom"/>
          </w:tcPr>
          <w:p>
            <w:pPr>
              <w:spacing w:after="0"/>
              <w:rPr>
                <w:sz w:val="21"/>
                <w:szCs w:val="21"/>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37.9</w:t>
            </w:r>
          </w:p>
        </w:tc>
        <w:tc>
          <w:tcPr>
            <w:tcW w:w="3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39.7</w:t>
            </w:r>
          </w:p>
        </w:tc>
      </w:tr>
      <w:tr>
        <w:trPr>
          <w:trHeight w:val="243"/>
        </w:trPr>
        <w:tc>
          <w:tcPr>
            <w:tcW w:w="7220" w:type="dxa"/>
            <w:vAlign w:val="bottom"/>
          </w:tcPr>
          <w:p>
            <w:pPr>
              <w:spacing w:after="0"/>
              <w:rPr>
                <w:sz w:val="20"/>
                <w:szCs w:val="20"/>
                <w:color w:val="auto"/>
              </w:rPr>
            </w:pPr>
            <w:r>
              <w:rPr>
                <w:rFonts w:ascii="Arial" w:cs="Arial" w:eastAsia="Arial" w:hAnsi="Arial"/>
                <w:sz w:val="18"/>
                <w:szCs w:val="18"/>
                <w:color w:val="auto"/>
              </w:rPr>
              <w:t>Dilutive effect of Class A Stock and Common Stock potentially issuable</w:t>
            </w:r>
          </w:p>
        </w:tc>
        <w:tc>
          <w:tcPr>
            <w:tcW w:w="2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7220" w:type="dxa"/>
            <w:vAlign w:val="bottom"/>
          </w:tcPr>
          <w:p>
            <w:pPr>
              <w:ind w:left="60"/>
              <w:spacing w:after="0"/>
              <w:rPr>
                <w:sz w:val="20"/>
                <w:szCs w:val="20"/>
                <w:color w:val="auto"/>
              </w:rPr>
            </w:pPr>
            <w:r>
              <w:rPr>
                <w:rFonts w:ascii="Arial" w:cs="Arial" w:eastAsia="Arial" w:hAnsi="Arial"/>
                <w:sz w:val="18"/>
                <w:szCs w:val="18"/>
                <w:color w:val="auto"/>
              </w:rPr>
              <w:t>pursuant to stock-based compensation plans (in millions)</w:t>
            </w:r>
          </w:p>
        </w:tc>
        <w:tc>
          <w:tcPr>
            <w:tcW w:w="2100" w:type="dxa"/>
            <w:vAlign w:val="bottom"/>
          </w:tcPr>
          <w:p>
            <w:pPr>
              <w:spacing w:after="0"/>
              <w:rPr>
                <w:sz w:val="21"/>
                <w:szCs w:val="21"/>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43"/>
        </w:trPr>
        <w:tc>
          <w:tcPr>
            <w:tcW w:w="7220" w:type="dxa"/>
            <w:vAlign w:val="bottom"/>
          </w:tcPr>
          <w:p>
            <w:pPr>
              <w:spacing w:after="0"/>
              <w:rPr>
                <w:sz w:val="20"/>
                <w:szCs w:val="20"/>
                <w:color w:val="auto"/>
              </w:rPr>
            </w:pPr>
            <w:r>
              <w:rPr>
                <w:rFonts w:ascii="Arial" w:cs="Arial" w:eastAsia="Arial" w:hAnsi="Arial"/>
                <w:sz w:val="18"/>
                <w:szCs w:val="18"/>
                <w:color w:val="auto"/>
              </w:rPr>
              <w:t>Adjusted weighted average Shares of Class A Stock and Common Stock</w:t>
            </w:r>
          </w:p>
        </w:tc>
        <w:tc>
          <w:tcPr>
            <w:tcW w:w="2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7220" w:type="dxa"/>
            <w:vAlign w:val="bottom"/>
          </w:tcPr>
          <w:p>
            <w:pPr>
              <w:ind w:left="60"/>
              <w:spacing w:after="0"/>
              <w:rPr>
                <w:sz w:val="20"/>
                <w:szCs w:val="20"/>
                <w:color w:val="auto"/>
              </w:rPr>
            </w:pPr>
            <w:r>
              <w:rPr>
                <w:rFonts w:ascii="Arial" w:cs="Arial" w:eastAsia="Arial" w:hAnsi="Arial"/>
                <w:sz w:val="18"/>
                <w:szCs w:val="18"/>
                <w:color w:val="auto"/>
              </w:rPr>
              <w:t>outstanding for diluted earnings per share (in millions)</w:t>
            </w:r>
          </w:p>
        </w:tc>
        <w:tc>
          <w:tcPr>
            <w:tcW w:w="2100" w:type="dxa"/>
            <w:vAlign w:val="bottom"/>
          </w:tcPr>
          <w:p>
            <w:pPr>
              <w:spacing w:after="0"/>
              <w:rPr>
                <w:sz w:val="21"/>
                <w:szCs w:val="21"/>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40.3</w:t>
            </w:r>
          </w:p>
        </w:tc>
      </w:tr>
      <w:tr>
        <w:trPr>
          <w:trHeight w:val="486"/>
        </w:trPr>
        <w:tc>
          <w:tcPr>
            <w:tcW w:w="7220" w:type="dxa"/>
            <w:vAlign w:val="bottom"/>
          </w:tcPr>
          <w:p>
            <w:pPr>
              <w:spacing w:after="0"/>
              <w:rPr>
                <w:sz w:val="20"/>
                <w:szCs w:val="20"/>
                <w:color w:val="auto"/>
              </w:rPr>
            </w:pPr>
            <w:r>
              <w:rPr>
                <w:rFonts w:ascii="Arial" w:cs="Arial" w:eastAsia="Arial" w:hAnsi="Arial"/>
                <w:sz w:val="18"/>
                <w:szCs w:val="18"/>
                <w:b w:val="1"/>
                <w:bCs w:val="1"/>
                <w:color w:val="auto"/>
              </w:rPr>
              <w:t>(Loss) earnings per share of Class A Stock and Common Stock:</w:t>
            </w:r>
          </w:p>
        </w:tc>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7220" w:type="dxa"/>
            <w:vAlign w:val="bottom"/>
          </w:tcPr>
          <w:p>
            <w:pPr>
              <w:ind w:left="60"/>
              <w:spacing w:after="0"/>
              <w:rPr>
                <w:sz w:val="20"/>
                <w:szCs w:val="20"/>
                <w:color w:val="auto"/>
              </w:rPr>
            </w:pPr>
            <w:r>
              <w:rPr>
                <w:rFonts w:ascii="Arial" w:cs="Arial" w:eastAsia="Arial" w:hAnsi="Arial"/>
                <w:sz w:val="18"/>
                <w:szCs w:val="18"/>
                <w:b w:val="1"/>
                <w:bCs w:val="1"/>
                <w:color w:val="auto"/>
              </w:rPr>
              <w:t>Basic (loss) earnings per share:</w:t>
            </w:r>
          </w:p>
        </w:tc>
        <w:tc>
          <w:tcPr>
            <w:tcW w:w="2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7220" w:type="dxa"/>
            <w:vAlign w:val="bottom"/>
          </w:tcPr>
          <w:p>
            <w:pPr>
              <w:ind w:left="280"/>
              <w:spacing w:after="0"/>
              <w:rPr>
                <w:sz w:val="20"/>
                <w:szCs w:val="20"/>
                <w:color w:val="auto"/>
              </w:rPr>
            </w:pPr>
            <w:r>
              <w:rPr>
                <w:rFonts w:ascii="Arial" w:cs="Arial" w:eastAsia="Arial" w:hAnsi="Arial"/>
                <w:sz w:val="18"/>
                <w:szCs w:val="18"/>
                <w:color w:val="auto"/>
              </w:rPr>
              <w:t>(Loss) earnings from continuing operations</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(1.18)</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0.08</w:t>
            </w:r>
          </w:p>
        </w:tc>
      </w:tr>
      <w:tr>
        <w:trPr>
          <w:trHeight w:val="243"/>
        </w:trPr>
        <w:tc>
          <w:tcPr>
            <w:tcW w:w="7220" w:type="dxa"/>
            <w:vAlign w:val="bottom"/>
          </w:tcPr>
          <w:p>
            <w:pPr>
              <w:ind w:left="280"/>
              <w:spacing w:after="0"/>
              <w:rPr>
                <w:sz w:val="20"/>
                <w:szCs w:val="20"/>
                <w:color w:val="auto"/>
              </w:rPr>
            </w:pPr>
            <w:r>
              <w:rPr>
                <w:rFonts w:ascii="Arial" w:cs="Arial" w:eastAsia="Arial" w:hAnsi="Arial"/>
                <w:sz w:val="18"/>
                <w:szCs w:val="18"/>
                <w:color w:val="auto"/>
              </w:rPr>
              <w:t>Loss from discontinued operations</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(0.12)</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43"/>
        </w:trPr>
        <w:tc>
          <w:tcPr>
            <w:tcW w:w="72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(1.30)</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486"/>
        </w:trPr>
        <w:tc>
          <w:tcPr>
            <w:tcW w:w="7220" w:type="dxa"/>
            <w:vAlign w:val="bottom"/>
          </w:tcPr>
          <w:p>
            <w:pPr>
              <w:spacing w:after="0"/>
              <w:rPr>
                <w:sz w:val="20"/>
                <w:szCs w:val="20"/>
                <w:color w:val="auto"/>
              </w:rPr>
            </w:pPr>
            <w:r>
              <w:rPr>
                <w:rFonts w:ascii="Arial" w:cs="Arial" w:eastAsia="Arial" w:hAnsi="Arial"/>
                <w:sz w:val="18"/>
                <w:szCs w:val="18"/>
                <w:b w:val="1"/>
                <w:bCs w:val="1"/>
                <w:color w:val="auto"/>
              </w:rPr>
              <w:t>Diluted (loss) earnings per share:</w:t>
            </w:r>
          </w:p>
        </w:tc>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7220" w:type="dxa"/>
            <w:vAlign w:val="bottom"/>
          </w:tcPr>
          <w:p>
            <w:pPr>
              <w:ind w:left="280"/>
              <w:spacing w:after="0"/>
              <w:rPr>
                <w:sz w:val="20"/>
                <w:szCs w:val="20"/>
                <w:color w:val="auto"/>
              </w:rPr>
            </w:pPr>
            <w:r>
              <w:rPr>
                <w:rFonts w:ascii="Arial" w:cs="Arial" w:eastAsia="Arial" w:hAnsi="Arial"/>
                <w:sz w:val="18"/>
                <w:szCs w:val="18"/>
                <w:color w:val="auto"/>
              </w:rPr>
              <w:t>(Loss) earnings from continuing operations</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(1.18)</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0.08</w:t>
            </w:r>
          </w:p>
        </w:tc>
      </w:tr>
      <w:tr>
        <w:trPr>
          <w:trHeight w:val="243"/>
        </w:trPr>
        <w:tc>
          <w:tcPr>
            <w:tcW w:w="7220" w:type="dxa"/>
            <w:vAlign w:val="bottom"/>
          </w:tcPr>
          <w:p>
            <w:pPr>
              <w:ind w:left="280"/>
              <w:spacing w:after="0"/>
              <w:rPr>
                <w:sz w:val="20"/>
                <w:szCs w:val="20"/>
                <w:color w:val="auto"/>
              </w:rPr>
            </w:pPr>
            <w:r>
              <w:rPr>
                <w:rFonts w:ascii="Arial" w:cs="Arial" w:eastAsia="Arial" w:hAnsi="Arial"/>
                <w:sz w:val="18"/>
                <w:szCs w:val="18"/>
                <w:color w:val="auto"/>
              </w:rPr>
              <w:t>Loss from discontinued operations</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(0.12)</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43"/>
        </w:trPr>
        <w:tc>
          <w:tcPr>
            <w:tcW w:w="72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(1.30)</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-3181985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-3181985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0" w:lineRule="exact"/>
        <w:rPr>
          <w:sz w:val="20"/>
          <w:szCs w:val="20"/>
          <w:color w:val="auto"/>
        </w:rPr>
      </w:pPr>
    </w:p>
    <w:p>
      <w:pPr>
        <w:ind w:left="320" w:right="420" w:hanging="312"/>
        <w:spacing w:after="0" w:line="268"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three months ended August 31, 2008, the Company experienced a loss from continuing operations, and therefore did not reflect any dilutive share impact.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are reviewed for impairment annually or more frequently if impairment indicators arise.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19"/>
                <w:szCs w:val="19"/>
                <w:color w:val="auto"/>
              </w:rPr>
            </w:pPr>
          </w:p>
        </w:tc>
        <w:tc>
          <w:tcPr>
            <w:tcW w:w="3860" w:type="dxa"/>
            <w:vAlign w:val="bottom"/>
            <w:gridSpan w:val="2"/>
          </w:tcPr>
          <w:p>
            <w:pPr>
              <w:ind w:left="2240"/>
              <w:spacing w:after="0"/>
              <w:rPr>
                <w:sz w:val="20"/>
                <w:szCs w:val="20"/>
                <w:color w:val="auto"/>
              </w:rPr>
            </w:pPr>
            <w:r>
              <w:rPr>
                <w:rFonts w:ascii="Arial" w:cs="Arial" w:eastAsia="Arial" w:hAnsi="Arial"/>
                <w:sz w:val="18"/>
                <w:szCs w:val="18"/>
                <w:b w:val="1"/>
                <w:bCs w:val="1"/>
                <w:i w:val="1"/>
                <w:iCs w:val="1"/>
                <w:color w:val="auto"/>
                <w:w w:val="90"/>
              </w:rPr>
              <w:t>Three months ended</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89"/>
              </w:rPr>
              <w:t>Twelve months ended</w:t>
            </w:r>
          </w:p>
        </w:tc>
        <w:tc>
          <w:tcPr>
            <w:tcW w:w="1760" w:type="dxa"/>
            <w:vAlign w:val="bottom"/>
            <w:gridSpan w:val="3"/>
          </w:tcPr>
          <w:p>
            <w:pPr>
              <w:jc w:val="center"/>
              <w:ind w:left="192"/>
              <w:spacing w:after="0"/>
              <w:rPr>
                <w:sz w:val="20"/>
                <w:szCs w:val="20"/>
                <w:color w:val="auto"/>
              </w:rPr>
            </w:pPr>
            <w:r>
              <w:rPr>
                <w:rFonts w:ascii="Arial" w:cs="Arial" w:eastAsia="Arial" w:hAnsi="Arial"/>
                <w:sz w:val="18"/>
                <w:szCs w:val="18"/>
                <w:b w:val="1"/>
                <w:bCs w:val="1"/>
                <w:i w:val="1"/>
                <w:iCs w:val="1"/>
                <w:color w:val="auto"/>
                <w:w w:val="83"/>
              </w:rPr>
              <w:t>Three months ended</w:t>
            </w:r>
          </w:p>
        </w:tc>
      </w:tr>
      <w:tr>
        <w:trPr>
          <w:trHeight w:val="243"/>
        </w:trPr>
        <w:tc>
          <w:tcPr>
            <w:tcW w:w="41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5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August 31, 2008</w:t>
            </w:r>
          </w:p>
        </w:tc>
        <w:tc>
          <w:tcPr>
            <w:tcW w:w="1700" w:type="dxa"/>
            <w:vAlign w:val="bottom"/>
            <w:gridSpan w:val="2"/>
          </w:tcPr>
          <w:p>
            <w:pPr>
              <w:jc w:val="right"/>
              <w:ind w:right="192"/>
              <w:spacing w:after="0"/>
              <w:rPr>
                <w:sz w:val="20"/>
                <w:szCs w:val="20"/>
                <w:color w:val="auto"/>
              </w:rPr>
            </w:pPr>
            <w:r>
              <w:rPr>
                <w:rFonts w:ascii="Arial" w:cs="Arial" w:eastAsia="Arial" w:hAnsi="Arial"/>
                <w:sz w:val="18"/>
                <w:szCs w:val="18"/>
                <w:b w:val="1"/>
                <w:bCs w:val="1"/>
                <w:i w:val="1"/>
                <w:iCs w:val="1"/>
                <w:color w:val="auto"/>
              </w:rPr>
              <w:t>May 31, 2008</w:t>
            </w:r>
          </w:p>
        </w:tc>
        <w:tc>
          <w:tcPr>
            <w:tcW w:w="420" w:type="dxa"/>
            <w:vAlign w:val="bottom"/>
          </w:tcPr>
          <w:p>
            <w:pPr>
              <w:spacing w:after="0"/>
              <w:rPr>
                <w:sz w:val="21"/>
                <w:szCs w:val="21"/>
                <w:color w:val="auto"/>
              </w:rPr>
            </w:pPr>
          </w:p>
        </w:tc>
        <w:tc>
          <w:tcPr>
            <w:tcW w:w="1340" w:type="dxa"/>
            <w:vAlign w:val="bottom"/>
            <w:gridSpan w:val="2"/>
          </w:tcPr>
          <w:p>
            <w:pPr>
              <w:jc w:val="center"/>
              <w:ind w:right="72"/>
              <w:spacing w:after="0"/>
              <w:rPr>
                <w:sz w:val="20"/>
                <w:szCs w:val="20"/>
                <w:color w:val="auto"/>
              </w:rPr>
            </w:pPr>
            <w:r>
              <w:rPr>
                <w:rFonts w:ascii="Arial" w:cs="Arial" w:eastAsia="Arial" w:hAnsi="Arial"/>
                <w:sz w:val="18"/>
                <w:szCs w:val="18"/>
                <w:b w:val="1"/>
                <w:bCs w:val="1"/>
                <w:i w:val="1"/>
                <w:iCs w:val="1"/>
                <w:color w:val="auto"/>
                <w:w w:val="86"/>
              </w:rPr>
              <w:t>August 31, 2007</w:t>
            </w:r>
          </w:p>
        </w:tc>
      </w:tr>
      <w:tr>
        <w:trPr>
          <w:trHeight w:val="243"/>
        </w:trPr>
        <w:tc>
          <w:tcPr>
            <w:tcW w:w="41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gridSpan w:val="2"/>
          </w:tcPr>
          <w:p>
            <w:pPr>
              <w:jc w:val="center"/>
              <w:ind w:right="52"/>
              <w:spacing w:after="0"/>
              <w:rPr>
                <w:sz w:val="20"/>
                <w:szCs w:val="20"/>
                <w:color w:val="auto"/>
              </w:rPr>
            </w:pPr>
            <w:r>
              <w:rPr>
                <w:rFonts w:ascii="Arial" w:cs="Arial" w:eastAsia="Arial" w:hAnsi="Arial"/>
                <w:sz w:val="18"/>
                <w:szCs w:val="18"/>
                <w:b w:val="1"/>
                <w:bCs w:val="1"/>
                <w:i w:val="1"/>
                <w:iCs w:val="1"/>
                <w:color w:val="auto"/>
                <w:w w:val="81"/>
              </w:rPr>
              <w:t>(Restated)</w:t>
            </w:r>
          </w:p>
        </w:tc>
      </w:tr>
      <w:tr>
        <w:trPr>
          <w:trHeight w:val="134"/>
        </w:trPr>
        <w:tc>
          <w:tcPr>
            <w:tcW w:w="410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r>
      <w:tr>
        <w:trPr>
          <w:trHeight w:val="832"/>
        </w:trPr>
        <w:tc>
          <w:tcPr>
            <w:tcW w:w="4100" w:type="dxa"/>
            <w:vAlign w:val="bottom"/>
          </w:tcPr>
          <w:p>
            <w:pPr>
              <w:spacing w:after="0"/>
              <w:rPr>
                <w:sz w:val="20"/>
                <w:szCs w:val="20"/>
                <w:color w:val="auto"/>
              </w:rPr>
            </w:pPr>
            <w:r>
              <w:rPr>
                <w:rFonts w:ascii="Arial" w:cs="Arial" w:eastAsia="Arial" w:hAnsi="Arial"/>
                <w:sz w:val="18"/>
                <w:szCs w:val="18"/>
                <w:color w:val="auto"/>
              </w:rPr>
              <w:t>Beginning balance</w:t>
            </w:r>
          </w:p>
        </w:tc>
        <w:tc>
          <w:tcPr>
            <w:tcW w:w="2360" w:type="dxa"/>
            <w:vAlign w:val="bottom"/>
          </w:tcPr>
          <w:p>
            <w:pPr>
              <w:ind w:left="224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92"/>
              <w:spacing w:after="0"/>
              <w:rPr>
                <w:sz w:val="20"/>
                <w:szCs w:val="20"/>
                <w:color w:val="auto"/>
              </w:rPr>
            </w:pPr>
            <w:r>
              <w:rPr>
                <w:rFonts w:ascii="Arial" w:cs="Arial" w:eastAsia="Arial" w:hAnsi="Arial"/>
                <w:sz w:val="18"/>
                <w:szCs w:val="18"/>
                <w:color w:val="auto"/>
              </w:rPr>
              <w:t>172.3</w:t>
            </w:r>
          </w:p>
        </w:tc>
        <w:tc>
          <w:tcPr>
            <w:tcW w:w="88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173.5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173.5</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360" w:type="dxa"/>
            <w:vAlign w:val="bottom"/>
          </w:tcPr>
          <w:p>
            <w:pPr>
              <w:spacing w:after="0"/>
              <w:rPr>
                <w:sz w:val="21"/>
                <w:szCs w:val="21"/>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8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10"/>
        </w:trPr>
        <w:tc>
          <w:tcPr>
            <w:tcW w:w="410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586"/>
        </w:trPr>
        <w:tc>
          <w:tcPr>
            <w:tcW w:w="4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ind w:left="224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ind w:right="192"/>
              <w:spacing w:after="0"/>
              <w:rPr>
                <w:sz w:val="20"/>
                <w:szCs w:val="20"/>
                <w:color w:val="auto"/>
              </w:rPr>
            </w:pPr>
            <w:r>
              <w:rPr>
                <w:rFonts w:ascii="Arial" w:cs="Arial" w:eastAsia="Arial" w:hAnsi="Arial"/>
                <w:sz w:val="18"/>
                <w:szCs w:val="18"/>
                <w:b w:val="1"/>
                <w:bCs w:val="1"/>
                <w:color w:val="auto"/>
              </w:rPr>
              <w:t>170.4</w:t>
            </w:r>
          </w:p>
        </w:tc>
        <w:tc>
          <w:tcPr>
            <w:tcW w:w="88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b w:val="1"/>
                <w:bCs w:val="1"/>
                <w:color w:val="auto"/>
              </w:rPr>
              <w:t>172.3</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172.5</w:t>
            </w:r>
          </w:p>
        </w:tc>
      </w:tr>
      <w:tr>
        <w:trPr>
          <w:trHeight w:val="134"/>
        </w:trPr>
        <w:tc>
          <w:tcPr>
            <w:tcW w:w="7960" w:type="dxa"/>
            <w:vAlign w:val="bottom"/>
            <w:tcBorders>
              <w:bottom w:val="single" w:sz="8" w:color="808080"/>
            </w:tcBorders>
            <w:gridSpan w:val="3"/>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r>
      <w:tr>
        <w:trPr>
          <w:trHeight w:val="778"/>
        </w:trPr>
        <w:tc>
          <w:tcPr>
            <w:tcW w:w="7960" w:type="dxa"/>
            <w:vAlign w:val="bottom"/>
            <w:gridSpan w:val="3"/>
          </w:tcPr>
          <w:p>
            <w:pPr>
              <w:spacing w:after="0"/>
              <w:rPr>
                <w:sz w:val="20"/>
                <w:szCs w:val="20"/>
                <w:color w:val="auto"/>
              </w:rPr>
            </w:pPr>
            <w:r>
              <w:rPr>
                <w:rFonts w:ascii="Arial" w:cs="Arial" w:eastAsia="Arial" w:hAnsi="Arial"/>
                <w:sz w:val="18"/>
                <w:szCs w:val="18"/>
                <w:color w:val="auto"/>
              </w:rPr>
              <w:t>The following table summarizes Other intangibles subject to amortization at the dates indicated:</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2"/>
        </w:trPr>
        <w:tc>
          <w:tcPr>
            <w:tcW w:w="4100" w:type="dxa"/>
            <w:vAlign w:val="bottom"/>
            <w:tcBorders>
              <w:bottom w:val="single" w:sz="8" w:color="808080"/>
            </w:tcBorders>
          </w:tcPr>
          <w:p>
            <w:pPr>
              <w:spacing w:after="0"/>
              <w:rPr>
                <w:sz w:val="21"/>
                <w:szCs w:val="21"/>
                <w:color w:val="auto"/>
              </w:rPr>
            </w:pPr>
          </w:p>
        </w:tc>
        <w:tc>
          <w:tcPr>
            <w:tcW w:w="2360" w:type="dxa"/>
            <w:vAlign w:val="bottom"/>
            <w:tcBorders>
              <w:bottom w:val="single" w:sz="8" w:color="808080"/>
            </w:tcBorders>
          </w:tcPr>
          <w:p>
            <w:pPr>
              <w:spacing w:after="0"/>
              <w:rPr>
                <w:sz w:val="21"/>
                <w:szCs w:val="21"/>
                <w:color w:val="auto"/>
              </w:rPr>
            </w:pPr>
          </w:p>
        </w:tc>
        <w:tc>
          <w:tcPr>
            <w:tcW w:w="2380" w:type="dxa"/>
            <w:vAlign w:val="bottom"/>
            <w:tcBorders>
              <w:bottom w:val="single" w:sz="8" w:color="808080"/>
            </w:tcBorders>
            <w:gridSpan w:val="2"/>
          </w:tcPr>
          <w:p>
            <w:pPr>
              <w:spacing w:after="0"/>
              <w:rPr>
                <w:sz w:val="21"/>
                <w:szCs w:val="21"/>
                <w:color w:val="auto"/>
              </w:rPr>
            </w:pPr>
          </w:p>
        </w:tc>
        <w:tc>
          <w:tcPr>
            <w:tcW w:w="1240" w:type="dxa"/>
            <w:vAlign w:val="bottom"/>
            <w:tcBorders>
              <w:bottom w:val="single" w:sz="8" w:color="808080"/>
            </w:tcBorders>
            <w:gridSpan w:val="2"/>
          </w:tcPr>
          <w:p>
            <w:pPr>
              <w:spacing w:after="0"/>
              <w:rPr>
                <w:sz w:val="21"/>
                <w:szCs w:val="21"/>
                <w:color w:val="auto"/>
              </w:rPr>
            </w:pPr>
          </w:p>
        </w:tc>
        <w:tc>
          <w:tcPr>
            <w:tcW w:w="1340" w:type="dxa"/>
            <w:vAlign w:val="bottom"/>
            <w:tcBorders>
              <w:bottom w:val="single" w:sz="8" w:color="808080"/>
            </w:tcBorders>
            <w:gridSpan w:val="2"/>
          </w:tcPr>
          <w:p>
            <w:pPr>
              <w:spacing w:after="0"/>
              <w:rPr>
                <w:sz w:val="21"/>
                <w:szCs w:val="21"/>
                <w:color w:val="auto"/>
              </w:rPr>
            </w:pPr>
          </w:p>
        </w:tc>
      </w:tr>
      <w:tr>
        <w:trPr>
          <w:trHeight w:val="346"/>
        </w:trPr>
        <w:tc>
          <w:tcPr>
            <w:tcW w:w="4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80" w:type="dxa"/>
            <w:vAlign w:val="bottom"/>
            <w:gridSpan w:val="2"/>
          </w:tcPr>
          <w:p>
            <w:pPr>
              <w:ind w:left="1060"/>
              <w:spacing w:after="0"/>
              <w:rPr>
                <w:sz w:val="20"/>
                <w:szCs w:val="20"/>
                <w:color w:val="auto"/>
              </w:rPr>
            </w:pPr>
            <w:r>
              <w:rPr>
                <w:rFonts w:ascii="Arial" w:cs="Arial" w:eastAsia="Arial" w:hAnsi="Arial"/>
                <w:sz w:val="18"/>
                <w:szCs w:val="18"/>
                <w:b w:val="1"/>
                <w:bCs w:val="1"/>
                <w:i w:val="1"/>
                <w:iCs w:val="1"/>
                <w:color w:val="auto"/>
                <w:w w:val="94"/>
              </w:rPr>
              <w:t>August 31, 2008</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i w:val="1"/>
                <w:iCs w:val="1"/>
                <w:color w:val="auto"/>
                <w:w w:val="98"/>
              </w:rPr>
              <w:t>May 31, 2008</w:t>
            </w: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w w:val="84"/>
              </w:rPr>
              <w:t>August 31, 2007</w:t>
            </w:r>
          </w:p>
        </w:tc>
      </w:tr>
      <w:tr>
        <w:trPr>
          <w:trHeight w:val="134"/>
        </w:trPr>
        <w:tc>
          <w:tcPr>
            <w:tcW w:w="410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r>
      <w:tr>
        <w:trPr>
          <w:trHeight w:val="346"/>
        </w:trPr>
        <w:tc>
          <w:tcPr>
            <w:tcW w:w="4100" w:type="dxa"/>
            <w:vAlign w:val="bottom"/>
          </w:tcPr>
          <w:p>
            <w:pPr>
              <w:spacing w:after="0"/>
              <w:rPr>
                <w:sz w:val="20"/>
                <w:szCs w:val="20"/>
                <w:color w:val="auto"/>
              </w:rPr>
            </w:pPr>
            <w:r>
              <w:rPr>
                <w:rFonts w:ascii="Arial" w:cs="Arial" w:eastAsia="Arial" w:hAnsi="Arial"/>
                <w:sz w:val="18"/>
                <w:szCs w:val="18"/>
                <w:color w:val="auto"/>
              </w:rPr>
              <w:t>Customer lists</w:t>
            </w:r>
          </w:p>
        </w:tc>
        <w:tc>
          <w:tcPr>
            <w:tcW w:w="2360" w:type="dxa"/>
            <w:vAlign w:val="bottom"/>
          </w:tcPr>
          <w:p>
            <w:pPr>
              <w:spacing w:after="0"/>
              <w:rPr>
                <w:sz w:val="24"/>
                <w:szCs w:val="24"/>
                <w:color w:val="auto"/>
              </w:rPr>
            </w:pPr>
          </w:p>
        </w:tc>
        <w:tc>
          <w:tcPr>
            <w:tcW w:w="1500" w:type="dxa"/>
            <w:vAlign w:val="bottom"/>
          </w:tcPr>
          <w:p>
            <w:pPr>
              <w:ind w:left="10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820" w:type="dxa"/>
            <w:vAlign w:val="bottom"/>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w w:val="79"/>
              </w:rPr>
              <w:t>3.2</w:t>
            </w:r>
          </w:p>
        </w:tc>
        <w:tc>
          <w:tcPr>
            <w:tcW w:w="54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ind w:right="52"/>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10"/>
        </w:trPr>
        <w:tc>
          <w:tcPr>
            <w:tcW w:w="410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343"/>
        </w:trPr>
        <w:tc>
          <w:tcPr>
            <w:tcW w:w="4100" w:type="dxa"/>
            <w:vAlign w:val="bottom"/>
          </w:tcPr>
          <w:p>
            <w:pPr>
              <w:ind w:left="180"/>
              <w:spacing w:after="0"/>
              <w:rPr>
                <w:sz w:val="20"/>
                <w:szCs w:val="20"/>
                <w:color w:val="auto"/>
              </w:rPr>
            </w:pPr>
            <w:r>
              <w:rPr>
                <w:rFonts w:ascii="Arial" w:cs="Arial" w:eastAsia="Arial" w:hAnsi="Arial"/>
                <w:sz w:val="18"/>
                <w:szCs w:val="18"/>
                <w:color w:val="auto"/>
              </w:rPr>
              <w:t>Net customer lists</w:t>
            </w: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820" w:type="dxa"/>
            <w:vAlign w:val="bottom"/>
          </w:tcPr>
          <w:p>
            <w:pPr>
              <w:spacing w:after="0"/>
              <w:rPr>
                <w:sz w:val="24"/>
                <w:szCs w:val="24"/>
                <w:color w:val="auto"/>
              </w:rPr>
            </w:pPr>
          </w:p>
        </w:tc>
        <w:tc>
          <w:tcPr>
            <w:tcW w:w="420" w:type="dxa"/>
            <w:vAlign w:val="bottom"/>
          </w:tcPr>
          <w:p>
            <w:pPr>
              <w:jc w:val="right"/>
              <w:ind w:right="112"/>
              <w:spacing w:after="0"/>
              <w:rPr>
                <w:sz w:val="20"/>
                <w:szCs w:val="20"/>
                <w:color w:val="auto"/>
              </w:rPr>
            </w:pPr>
            <w:r>
              <w:rPr>
                <w:rFonts w:ascii="Arial" w:cs="Arial" w:eastAsia="Arial" w:hAnsi="Arial"/>
                <w:sz w:val="18"/>
                <w:szCs w:val="18"/>
                <w:color w:val="auto"/>
                <w:w w:val="79"/>
              </w:rPr>
              <w:t>0.2</w:t>
            </w:r>
          </w:p>
        </w:tc>
        <w:tc>
          <w:tcPr>
            <w:tcW w:w="5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110"/>
        </w:trPr>
        <w:tc>
          <w:tcPr>
            <w:tcW w:w="410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343"/>
        </w:trPr>
        <w:tc>
          <w:tcPr>
            <w:tcW w:w="4100" w:type="dxa"/>
            <w:vAlign w:val="bottom"/>
          </w:tcPr>
          <w:p>
            <w:pPr>
              <w:spacing w:after="0"/>
              <w:rPr>
                <w:sz w:val="20"/>
                <w:szCs w:val="20"/>
                <w:color w:val="auto"/>
              </w:rPr>
            </w:pPr>
            <w:r>
              <w:rPr>
                <w:rFonts w:ascii="Arial" w:cs="Arial" w:eastAsia="Arial" w:hAnsi="Arial"/>
                <w:sz w:val="18"/>
                <w:szCs w:val="18"/>
                <w:color w:val="auto"/>
              </w:rPr>
              <w:t>Other intangibles</w:t>
            </w: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8.7</w:t>
            </w:r>
          </w:p>
        </w:tc>
        <w:tc>
          <w:tcPr>
            <w:tcW w:w="820" w:type="dxa"/>
            <w:vAlign w:val="bottom"/>
          </w:tcPr>
          <w:p>
            <w:pPr>
              <w:spacing w:after="0"/>
              <w:rPr>
                <w:sz w:val="24"/>
                <w:szCs w:val="24"/>
                <w:color w:val="auto"/>
              </w:rPr>
            </w:pPr>
          </w:p>
        </w:tc>
        <w:tc>
          <w:tcPr>
            <w:tcW w:w="420" w:type="dxa"/>
            <w:vAlign w:val="bottom"/>
          </w:tcPr>
          <w:p>
            <w:pPr>
              <w:jc w:val="right"/>
              <w:ind w:right="112"/>
              <w:spacing w:after="0"/>
              <w:rPr>
                <w:sz w:val="20"/>
                <w:szCs w:val="20"/>
                <w:color w:val="auto"/>
              </w:rPr>
            </w:pPr>
            <w:r>
              <w:rPr>
                <w:rFonts w:ascii="Arial" w:cs="Arial" w:eastAsia="Arial" w:hAnsi="Arial"/>
                <w:sz w:val="18"/>
                <w:szCs w:val="18"/>
                <w:color w:val="auto"/>
                <w:w w:val="79"/>
              </w:rPr>
              <w:t>8.7</w:t>
            </w:r>
          </w:p>
        </w:tc>
        <w:tc>
          <w:tcPr>
            <w:tcW w:w="5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(5.6)</w:t>
            </w:r>
          </w:p>
        </w:tc>
        <w:tc>
          <w:tcPr>
            <w:tcW w:w="1240" w:type="dxa"/>
            <w:vAlign w:val="bottom"/>
            <w:gridSpan w:val="2"/>
          </w:tcPr>
          <w:p>
            <w:pPr>
              <w:jc w:val="right"/>
              <w:ind w:right="52"/>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10"/>
        </w:trPr>
        <w:tc>
          <w:tcPr>
            <w:tcW w:w="410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343"/>
        </w:trPr>
        <w:tc>
          <w:tcPr>
            <w:tcW w:w="4100" w:type="dxa"/>
            <w:vAlign w:val="bottom"/>
          </w:tcPr>
          <w:p>
            <w:pPr>
              <w:ind w:left="180"/>
              <w:spacing w:after="0"/>
              <w:rPr>
                <w:sz w:val="20"/>
                <w:szCs w:val="20"/>
                <w:color w:val="auto"/>
              </w:rPr>
            </w:pPr>
            <w:r>
              <w:rPr>
                <w:rFonts w:ascii="Arial" w:cs="Arial" w:eastAsia="Arial" w:hAnsi="Arial"/>
                <w:sz w:val="18"/>
                <w:szCs w:val="18"/>
                <w:color w:val="auto"/>
              </w:rPr>
              <w:t>Net other intangibles</w:t>
            </w: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820" w:type="dxa"/>
            <w:vAlign w:val="bottom"/>
          </w:tcPr>
          <w:p>
            <w:pPr>
              <w:spacing w:after="0"/>
              <w:rPr>
                <w:sz w:val="24"/>
                <w:szCs w:val="24"/>
                <w:color w:val="auto"/>
              </w:rPr>
            </w:pPr>
          </w:p>
        </w:tc>
        <w:tc>
          <w:tcPr>
            <w:tcW w:w="420" w:type="dxa"/>
            <w:vAlign w:val="bottom"/>
          </w:tcPr>
          <w:p>
            <w:pPr>
              <w:jc w:val="right"/>
              <w:ind w:right="112"/>
              <w:spacing w:after="0"/>
              <w:rPr>
                <w:sz w:val="20"/>
                <w:szCs w:val="20"/>
                <w:color w:val="auto"/>
              </w:rPr>
            </w:pPr>
            <w:r>
              <w:rPr>
                <w:rFonts w:ascii="Arial" w:cs="Arial" w:eastAsia="Arial" w:hAnsi="Arial"/>
                <w:sz w:val="18"/>
                <w:szCs w:val="18"/>
                <w:color w:val="auto"/>
                <w:w w:val="79"/>
              </w:rPr>
              <w:t>3.3</w:t>
            </w:r>
          </w:p>
        </w:tc>
        <w:tc>
          <w:tcPr>
            <w:tcW w:w="5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110"/>
        </w:trPr>
        <w:tc>
          <w:tcPr>
            <w:tcW w:w="410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343"/>
        </w:trPr>
        <w:tc>
          <w:tcPr>
            <w:tcW w:w="4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spacing w:after="0"/>
              <w:rPr>
                <w:sz w:val="24"/>
                <w:szCs w:val="24"/>
                <w:color w:val="auto"/>
              </w:rPr>
            </w:pPr>
          </w:p>
        </w:tc>
        <w:tc>
          <w:tcPr>
            <w:tcW w:w="1500" w:type="dxa"/>
            <w:vAlign w:val="bottom"/>
          </w:tcPr>
          <w:p>
            <w:pPr>
              <w:ind w:left="10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b w:val="1"/>
                <w:bCs w:val="1"/>
                <w:color w:val="auto"/>
              </w:rPr>
              <w:t>3.3</w:t>
            </w:r>
          </w:p>
        </w:tc>
        <w:tc>
          <w:tcPr>
            <w:tcW w:w="82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112"/>
              <w:spacing w:after="0"/>
              <w:rPr>
                <w:sz w:val="20"/>
                <w:szCs w:val="20"/>
                <w:color w:val="auto"/>
              </w:rPr>
            </w:pPr>
            <w:r>
              <w:rPr>
                <w:rFonts w:ascii="Arial" w:cs="Arial" w:eastAsia="Arial" w:hAnsi="Arial"/>
                <w:sz w:val="18"/>
                <w:szCs w:val="18"/>
                <w:b w:val="1"/>
                <w:bCs w:val="1"/>
                <w:color w:val="auto"/>
                <w:w w:val="79"/>
              </w:rPr>
              <w:t>3.5</w:t>
            </w:r>
          </w:p>
        </w:tc>
        <w:tc>
          <w:tcPr>
            <w:tcW w:w="54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1.3</w:t>
            </w:r>
          </w:p>
        </w:tc>
      </w:tr>
      <w:tr>
        <w:trPr>
          <w:trHeight w:val="134"/>
        </w:trPr>
        <w:tc>
          <w:tcPr>
            <w:tcW w:w="410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-4068445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-4068445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-2833370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-2833370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-2172970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-2172970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-1856105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-1856105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During the fourth quarter of fiscal 2008 the Company reviewed its intangible assets with indefinite lives and determined that certain intangible assets not previously subject to amortization should begin being amortized as of that fiscal period. Accordingly, approximately $4.6 of Other intangibles reported as not subject to amortization as of August 31, 2007 are reported as Other intangibles subject to amortization as of August 31, 2008 and May 31, 2008. This reclassification was based on the Company’s analysis of the cash flows related to these assets.</w:t>
      </w:r>
    </w:p>
    <w:p>
      <w:pPr>
        <w:spacing w:after="0" w:line="167"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Amortization expense for Other intangibles totaled $0.2 and $0.1 for the three month periods ended August 31, 2008 and 2007, respectively, and $2.5 for the twelve months ended May 31, 2008. Amortization expense for these assets is currently estimated to total $0.6 for the fiscal years ending May 31, 2009 through 2011 and $0.5 for the fiscal years ending May 31, 2012 and 2013. Intangible assets with definite lives consist principally of customer lists and covenants not to compete. Intangible assets with definite lives are amortized over their estimated useful lives. There were no impairments in the current period.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80" w:type="dxa"/>
            <w:vAlign w:val="bottom"/>
          </w:tcPr>
          <w:p>
            <w:pPr>
              <w:spacing w:after="0"/>
              <w:rPr>
                <w:sz w:val="19"/>
                <w:szCs w:val="19"/>
                <w:color w:val="auto"/>
              </w:rPr>
            </w:pPr>
          </w:p>
        </w:tc>
        <w:tc>
          <w:tcPr>
            <w:tcW w:w="3660" w:type="dxa"/>
            <w:vAlign w:val="bottom"/>
            <w:gridSpan w:val="2"/>
          </w:tcPr>
          <w:p>
            <w:pPr>
              <w:ind w:left="2260"/>
              <w:spacing w:after="0"/>
              <w:rPr>
                <w:sz w:val="20"/>
                <w:szCs w:val="20"/>
                <w:color w:val="auto"/>
              </w:rPr>
            </w:pPr>
            <w:r>
              <w:rPr>
                <w:rFonts w:ascii="Arial" w:cs="Arial" w:eastAsia="Arial" w:hAnsi="Arial"/>
                <w:sz w:val="18"/>
                <w:szCs w:val="18"/>
                <w:b w:val="1"/>
                <w:bCs w:val="1"/>
                <w:i w:val="1"/>
                <w:iCs w:val="1"/>
                <w:color w:val="auto"/>
              </w:rPr>
              <w:t>August 31, 2008</w:t>
            </w:r>
          </w:p>
        </w:tc>
        <w:tc>
          <w:tcPr>
            <w:tcW w:w="154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May 31, 2008</w:t>
            </w:r>
          </w:p>
        </w:tc>
        <w:tc>
          <w:tcPr>
            <w:tcW w:w="154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w w:val="91"/>
              </w:rPr>
              <w:t>August 31, 2007</w:t>
            </w:r>
          </w:p>
        </w:tc>
      </w:tr>
      <w:tr>
        <w:trPr>
          <w:trHeight w:val="120"/>
        </w:trPr>
        <w:tc>
          <w:tcPr>
            <w:tcW w:w="468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r>
      <w:tr>
        <w:trPr>
          <w:trHeight w:val="346"/>
        </w:trPr>
        <w:tc>
          <w:tcPr>
            <w:tcW w:w="4680" w:type="dxa"/>
            <w:vAlign w:val="bottom"/>
          </w:tcPr>
          <w:p>
            <w:pPr>
              <w:spacing w:after="0"/>
              <w:rPr>
                <w:sz w:val="20"/>
                <w:szCs w:val="20"/>
                <w:color w:val="auto"/>
              </w:rPr>
            </w:pPr>
            <w:r>
              <w:rPr>
                <w:rFonts w:ascii="Arial" w:cs="Arial" w:eastAsia="Arial" w:hAnsi="Arial"/>
                <w:sz w:val="18"/>
                <w:szCs w:val="18"/>
                <w:color w:val="auto"/>
              </w:rPr>
              <w:t>Net carrying value by major class:</w:t>
            </w:r>
          </w:p>
        </w:tc>
        <w:tc>
          <w:tcPr>
            <w:tcW w:w="2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Titles</w:t>
            </w:r>
          </w:p>
        </w:tc>
        <w:tc>
          <w:tcPr>
            <w:tcW w:w="2580" w:type="dxa"/>
            <w:vAlign w:val="bottom"/>
          </w:tcPr>
          <w:p>
            <w:pPr>
              <w:ind w:left="2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52"/>
              <w:spacing w:after="0"/>
              <w:rPr>
                <w:sz w:val="20"/>
                <w:szCs w:val="20"/>
                <w:color w:val="auto"/>
              </w:rPr>
            </w:pPr>
            <w:r>
              <w:rPr>
                <w:rFonts w:ascii="Arial" w:cs="Arial" w:eastAsia="Arial" w:hAnsi="Arial"/>
                <w:sz w:val="18"/>
                <w:szCs w:val="18"/>
                <w:color w:val="auto"/>
              </w:rPr>
              <w:t>28.7</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2"/>
              <w:spacing w:after="0"/>
              <w:rPr>
                <w:sz w:val="20"/>
                <w:szCs w:val="20"/>
                <w:color w:val="auto"/>
              </w:rPr>
            </w:pPr>
            <w:r>
              <w:rPr>
                <w:rFonts w:ascii="Arial" w:cs="Arial" w:eastAsia="Arial" w:hAnsi="Arial"/>
                <w:sz w:val="18"/>
                <w:szCs w:val="18"/>
                <w:color w:val="auto"/>
              </w:rPr>
              <w:t>28.7</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31.0</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Trademarks and Other</w:t>
            </w:r>
          </w:p>
        </w:tc>
        <w:tc>
          <w:tcPr>
            <w:tcW w:w="2580" w:type="dxa"/>
            <w:vAlign w:val="bottom"/>
          </w:tcPr>
          <w:p>
            <w:pPr>
              <w:spacing w:after="0"/>
              <w:rPr>
                <w:sz w:val="21"/>
                <w:szCs w:val="21"/>
                <w:color w:val="auto"/>
              </w:rPr>
            </w:pPr>
          </w:p>
        </w:tc>
        <w:tc>
          <w:tcPr>
            <w:tcW w:w="1080" w:type="dxa"/>
            <w:vAlign w:val="bottom"/>
          </w:tcPr>
          <w:p>
            <w:pPr>
              <w:jc w:val="right"/>
              <w:ind w:right="452"/>
              <w:spacing w:after="0"/>
              <w:rPr>
                <w:sz w:val="20"/>
                <w:szCs w:val="20"/>
                <w:color w:val="auto"/>
              </w:rPr>
            </w:pPr>
            <w:r>
              <w:rPr>
                <w:rFonts w:ascii="Arial" w:cs="Arial" w:eastAsia="Arial" w:hAnsi="Arial"/>
                <w:sz w:val="18"/>
                <w:szCs w:val="18"/>
                <w:color w:val="auto"/>
              </w:rPr>
              <w:t>15.3</w:t>
            </w:r>
          </w:p>
        </w:tc>
        <w:tc>
          <w:tcPr>
            <w:tcW w:w="540" w:type="dxa"/>
            <w:vAlign w:val="bottom"/>
          </w:tcPr>
          <w:p>
            <w:pPr>
              <w:spacing w:after="0"/>
              <w:rPr>
                <w:sz w:val="21"/>
                <w:szCs w:val="21"/>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color w:val="auto"/>
              </w:rPr>
              <w:t>15.3</w:t>
            </w:r>
          </w:p>
        </w:tc>
        <w:tc>
          <w:tcPr>
            <w:tcW w:w="580" w:type="dxa"/>
            <w:vAlign w:val="bottom"/>
          </w:tcPr>
          <w:p>
            <w:pPr>
              <w:spacing w:after="0"/>
              <w:rPr>
                <w:sz w:val="21"/>
                <w:szCs w:val="21"/>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17.5</w:t>
            </w:r>
          </w:p>
        </w:tc>
      </w:tr>
      <w:tr>
        <w:trPr>
          <w:trHeight w:val="110"/>
        </w:trPr>
        <w:tc>
          <w:tcPr>
            <w:tcW w:w="468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-621030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tabs>
          <w:tab w:leader="none" w:pos="6920" w:val="left"/>
          <w:tab w:leader="none" w:pos="7480" w:val="left"/>
          <w:tab w:leader="none" w:pos="8560" w:val="left"/>
          <w:tab w:leader="none" w:pos="9060" w:val="left"/>
          <w:tab w:leader="none" w:pos="10120" w:val="left"/>
          <w:tab w:leader="none" w:pos="1066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44.0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44.0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Other Post-Retirement Benefits</w:t>
      </w:r>
    </w:p>
    <w:p>
      <w:pPr>
        <w:spacing w:after="0" w:line="23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following table sets forth components of the net periodic benefit costs under the Company’s cash balance retirement plan for its United States employees meeting certain eligibility requirements (the “U. S. Pension Plan”), the defined benefit pension plan of Scholastic Ltd., an indirect subsidiary of Scholastic Corporation located in the United Kingdom (the “U. K. Pension Plan”), the defined benefit pension plan of Grolier Ltd., an indirect subsidiary of Scholastic Corporation located in Canada (the “Canadian Pension Plan” and together with the U. S. Pension Plan and the U. K. Pension Plan, the “Pension Plans”), and the post-retirement benefits provided by the Company to its retired United States-based employees, consisting of certain healthcare and life insurance benefits, including participants associated with both continuing operations and discontinued operations,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80" w:type="dxa"/>
            <w:vAlign w:val="bottom"/>
            <w:gridSpan w:val="2"/>
          </w:tcPr>
          <w:p>
            <w:pPr>
              <w:jc w:val="center"/>
              <w:ind w:left="7052"/>
              <w:spacing w:after="0"/>
              <w:rPr>
                <w:sz w:val="20"/>
                <w:szCs w:val="20"/>
                <w:color w:val="auto"/>
              </w:rPr>
            </w:pPr>
            <w:r>
              <w:rPr>
                <w:rFonts w:ascii="Arial" w:cs="Arial" w:eastAsia="Arial" w:hAnsi="Arial"/>
                <w:sz w:val="18"/>
                <w:szCs w:val="18"/>
                <w:b w:val="1"/>
                <w:bCs w:val="1"/>
                <w:color w:val="auto"/>
                <w:w w:val="84"/>
              </w:rPr>
              <w:t>Pension Plans</w:t>
            </w:r>
          </w:p>
        </w:tc>
        <w:tc>
          <w:tcPr>
            <w:tcW w:w="22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7"/>
              </w:rPr>
              <w:t>Post-Retirement Benefits</w:t>
            </w:r>
          </w:p>
        </w:tc>
      </w:tr>
      <w:tr>
        <w:trPr>
          <w:trHeight w:val="243"/>
        </w:trPr>
        <w:tc>
          <w:tcPr>
            <w:tcW w:w="9180" w:type="dxa"/>
            <w:vAlign w:val="bottom"/>
            <w:gridSpan w:val="2"/>
          </w:tcPr>
          <w:p>
            <w:pPr>
              <w:jc w:val="center"/>
              <w:ind w:left="705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2240" w:type="dxa"/>
            <w:vAlign w:val="bottom"/>
            <w:gridSpan w:val="2"/>
          </w:tcPr>
          <w:p>
            <w:pPr>
              <w:jc w:val="center"/>
              <w:ind w:left="72"/>
              <w:spacing w:after="0"/>
              <w:rPr>
                <w:sz w:val="20"/>
                <w:szCs w:val="20"/>
                <w:color w:val="auto"/>
              </w:rPr>
            </w:pPr>
            <w:r>
              <w:rPr>
                <w:rFonts w:ascii="Arial" w:cs="Arial" w:eastAsia="Arial" w:hAnsi="Arial"/>
                <w:sz w:val="18"/>
                <w:szCs w:val="18"/>
                <w:b w:val="1"/>
                <w:bCs w:val="1"/>
                <w:i w:val="1"/>
                <w:iCs w:val="1"/>
                <w:color w:val="auto"/>
                <w:w w:val="83"/>
              </w:rPr>
              <w:t>Three months ended</w:t>
            </w:r>
          </w:p>
        </w:tc>
      </w:tr>
      <w:tr>
        <w:trPr>
          <w:trHeight w:val="243"/>
        </w:trPr>
        <w:tc>
          <w:tcPr>
            <w:tcW w:w="9180" w:type="dxa"/>
            <w:vAlign w:val="bottom"/>
            <w:gridSpan w:val="2"/>
          </w:tcPr>
          <w:p>
            <w:pPr>
              <w:jc w:val="center"/>
              <w:ind w:left="7072"/>
              <w:spacing w:after="0"/>
              <w:rPr>
                <w:sz w:val="20"/>
                <w:szCs w:val="20"/>
                <w:color w:val="auto"/>
              </w:rPr>
            </w:pPr>
            <w:r>
              <w:rPr>
                <w:rFonts w:ascii="Arial" w:cs="Arial" w:eastAsia="Arial" w:hAnsi="Arial"/>
                <w:sz w:val="18"/>
                <w:szCs w:val="18"/>
                <w:b w:val="1"/>
                <w:bCs w:val="1"/>
                <w:i w:val="1"/>
                <w:iCs w:val="1"/>
                <w:color w:val="auto"/>
                <w:w w:val="84"/>
              </w:rPr>
              <w:t>August 31,</w:t>
            </w:r>
          </w:p>
        </w:tc>
        <w:tc>
          <w:tcPr>
            <w:tcW w:w="780" w:type="dxa"/>
            <w:vAlign w:val="bottom"/>
          </w:tcPr>
          <w:p>
            <w:pPr>
              <w:spacing w:after="0"/>
              <w:rPr>
                <w:sz w:val="21"/>
                <w:szCs w:val="21"/>
                <w:color w:val="auto"/>
              </w:rPr>
            </w:pPr>
          </w:p>
        </w:tc>
        <w:tc>
          <w:tcPr>
            <w:tcW w:w="1460" w:type="dxa"/>
            <w:vAlign w:val="bottom"/>
          </w:tcPr>
          <w:p>
            <w:pPr>
              <w:jc w:val="center"/>
              <w:ind w:right="552"/>
              <w:spacing w:after="0"/>
              <w:rPr>
                <w:sz w:val="20"/>
                <w:szCs w:val="20"/>
                <w:color w:val="auto"/>
              </w:rPr>
            </w:pPr>
            <w:r>
              <w:rPr>
                <w:rFonts w:ascii="Arial" w:cs="Arial" w:eastAsia="Arial" w:hAnsi="Arial"/>
                <w:sz w:val="18"/>
                <w:szCs w:val="18"/>
                <w:b w:val="1"/>
                <w:bCs w:val="1"/>
                <w:i w:val="1"/>
                <w:iCs w:val="1"/>
                <w:color w:val="auto"/>
                <w:w w:val="84"/>
              </w:rPr>
              <w:t>August 31,</w:t>
            </w:r>
          </w:p>
        </w:tc>
      </w:tr>
      <w:tr>
        <w:trPr>
          <w:trHeight w:val="120"/>
        </w:trPr>
        <w:tc>
          <w:tcPr>
            <w:tcW w:w="8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r>
        <w:trPr>
          <w:trHeight w:val="589"/>
        </w:trPr>
        <w:tc>
          <w:tcPr>
            <w:tcW w:w="8160" w:type="dxa"/>
            <w:vAlign w:val="bottom"/>
          </w:tcPr>
          <w:p>
            <w:pPr>
              <w:jc w:val="right"/>
              <w:ind w:right="232"/>
              <w:spacing w:after="0"/>
              <w:rPr>
                <w:sz w:val="20"/>
                <w:szCs w:val="20"/>
                <w:color w:val="auto"/>
              </w:rPr>
            </w:pPr>
            <w:r>
              <w:rPr>
                <w:rFonts w:ascii="Arial" w:cs="Arial" w:eastAsia="Arial" w:hAnsi="Arial"/>
                <w:sz w:val="18"/>
                <w:szCs w:val="18"/>
                <w:b w:val="1"/>
                <w:bCs w:val="1"/>
                <w:i w:val="1"/>
                <w:iCs w:val="1"/>
                <w:color w:val="auto"/>
              </w:rPr>
              <w:t>2008</w:t>
            </w: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rPr>
              <w:t>2007</w:t>
            </w:r>
          </w:p>
        </w:tc>
        <w:tc>
          <w:tcPr>
            <w:tcW w:w="7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2008</w:t>
            </w:r>
          </w:p>
        </w:tc>
        <w:tc>
          <w:tcPr>
            <w:tcW w:w="146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rPr>
              <w:t>2007</w:t>
            </w:r>
          </w:p>
        </w:tc>
      </w:tr>
      <w:tr>
        <w:trPr>
          <w:trHeight w:val="120"/>
        </w:trPr>
        <w:tc>
          <w:tcPr>
            <w:tcW w:w="8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-477520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-14605</wp:posOffset>
            </wp:positionV>
            <wp:extent cx="215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-14605</wp:posOffset>
            </wp:positionV>
            <wp:extent cx="215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780" w:type="dxa"/>
            <w:vAlign w:val="bottom"/>
          </w:tcPr>
          <w:p>
            <w:pPr>
              <w:jc w:val="right"/>
              <w:ind w:right="132"/>
              <w:spacing w:after="0"/>
              <w:rPr>
                <w:sz w:val="20"/>
                <w:szCs w:val="20"/>
                <w:color w:val="auto"/>
              </w:rPr>
            </w:pPr>
            <w:r>
              <w:rPr>
                <w:rFonts w:ascii="Arial" w:cs="Arial" w:eastAsia="Arial" w:hAnsi="Arial"/>
                <w:sz w:val="18"/>
                <w:szCs w:val="18"/>
                <w:color w:val="auto"/>
              </w:rPr>
              <w:t>$   2.1</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0.1</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780" w:type="dxa"/>
            <w:vAlign w:val="bottom"/>
          </w:tcPr>
          <w:p>
            <w:pPr>
              <w:jc w:val="right"/>
              <w:ind w:right="132"/>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1"/>
                <w:szCs w:val="21"/>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1"/>
                <w:szCs w:val="21"/>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0.5</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Expected return on assets</w:t>
            </w:r>
          </w:p>
        </w:tc>
        <w:tc>
          <w:tcPr>
            <w:tcW w:w="278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1"/>
                <w:szCs w:val="21"/>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21"/>
                <w:szCs w:val="21"/>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Net amortization of prior service (credit)/cost</w:t>
            </w:r>
          </w:p>
        </w:tc>
        <w:tc>
          <w:tcPr>
            <w:tcW w:w="278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21"/>
                <w:szCs w:val="21"/>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21"/>
                <w:szCs w:val="21"/>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Amortization of loss</w:t>
            </w:r>
          </w:p>
        </w:tc>
        <w:tc>
          <w:tcPr>
            <w:tcW w:w="278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21"/>
                <w:szCs w:val="21"/>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21"/>
                <w:szCs w:val="21"/>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0.3</w:t>
            </w:r>
          </w:p>
        </w:tc>
      </w:tr>
      <w:tr>
        <w:trPr>
          <w:trHeight w:val="110"/>
        </w:trPr>
        <w:tc>
          <w:tcPr>
            <w:tcW w:w="534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320" w:val="left"/>
          <w:tab w:leader="none" w:pos="7660" w:val="left"/>
          <w:tab w:leader="none" w:pos="8280" w:val="left"/>
          <w:tab w:leader="none" w:pos="8680" w:val="left"/>
          <w:tab w:leader="none" w:pos="9300" w:val="left"/>
          <w:tab w:leader="none" w:pos="9840" w:val="left"/>
          <w:tab w:leader="none" w:pos="10460" w:val="left"/>
          <w:tab w:leader="none" w:pos="11040" w:val="left"/>
        </w:tabs>
        <w:rPr>
          <w:sz w:val="20"/>
          <w:szCs w:val="20"/>
          <w:color w:val="auto"/>
        </w:rPr>
      </w:pPr>
      <w:r>
        <w:rPr>
          <w:rFonts w:ascii="Arial" w:cs="Arial" w:eastAsia="Arial" w:hAnsi="Arial"/>
          <w:sz w:val="18"/>
          <w:szCs w:val="18"/>
          <w:b w:val="1"/>
          <w:bCs w:val="1"/>
          <w:color w:val="auto"/>
        </w:rPr>
        <w:t>Net periodic benefit cost</w:t>
      </w:r>
      <w:r>
        <w:rPr>
          <w:sz w:val="20"/>
          <w:szCs w:val="20"/>
          <w:color w:val="auto"/>
        </w:rPr>
        <w:tab/>
      </w:r>
      <w:r>
        <w:rPr>
          <w:rFonts w:ascii="Arial" w:cs="Arial" w:eastAsia="Arial" w:hAnsi="Arial"/>
          <w:sz w:val="18"/>
          <w:szCs w:val="18"/>
          <w:b w:val="1"/>
          <w:bCs w:val="1"/>
          <w:color w:val="auto"/>
        </w:rPr>
        <w:t>$</w:t>
        <w:tab/>
        <w:t>2.3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0.6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Company’s funding practice with respect to the Pension Plans is to contribute on an annual basis at least the minimum amounts required by applicable laws. These contributions are intended to provide for future benefits earned to date and those expected to be earned in the future. For the three months ended August 31, 2008, the Company contributed $3.8, $0.2 and $0.1 to the U. S. Pension Plan, the U. K. Pension Plan and the Canadian Pension Plan, respectively. The Company expects, based on actuarial calculations, to contribute cash of approximately $18.2 in the aggregate to the Pension Plans in the fiscal year ending May 31, 2009.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stock-based compensation for the periods indicated:</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color w:val="auto"/>
        </w:rPr>
        <w:t>Three months ended</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color w:val="auto"/>
        </w:rPr>
        <w:t>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435229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880"/>
        <w:spacing w:after="0"/>
        <w:tabs>
          <w:tab w:leader="none" w:pos="6220" w:val="left"/>
        </w:tabs>
        <w:rPr>
          <w:sz w:val="20"/>
          <w:szCs w:val="20"/>
          <w:color w:val="auto"/>
        </w:rPr>
      </w:pPr>
      <w:r>
        <w:rPr>
          <w:rFonts w:ascii="Arial" w:cs="Arial" w:eastAsia="Arial" w:hAnsi="Arial"/>
          <w:sz w:val="18"/>
          <w:szCs w:val="18"/>
          <w:b w:val="1"/>
          <w:bCs w:val="1"/>
          <w:color w:val="auto"/>
        </w:rPr>
        <w:t>2008</w:t>
      </w:r>
      <w:r>
        <w:rPr>
          <w:sz w:val="20"/>
          <w:szCs w:val="20"/>
          <w:color w:val="auto"/>
        </w:rPr>
        <w:tab/>
      </w:r>
      <w:r>
        <w:rPr>
          <w:rFonts w:ascii="Arial" w:cs="Arial" w:eastAsia="Arial" w:hAnsi="Arial"/>
          <w:sz w:val="18"/>
          <w:szCs w:val="18"/>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435229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Stock option expense</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6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0.9</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1140" w:type="dxa"/>
            <w:vAlign w:val="bottom"/>
          </w:tcPr>
          <w:p>
            <w:pPr>
              <w:spacing w:after="0"/>
              <w:rPr>
                <w:sz w:val="21"/>
                <w:szCs w:val="21"/>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0.6</w:t>
            </w:r>
          </w:p>
        </w:tc>
        <w:tc>
          <w:tcPr>
            <w:tcW w:w="60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0.3</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Employee stock purchase plan expense</w:t>
            </w:r>
          </w:p>
        </w:tc>
        <w:tc>
          <w:tcPr>
            <w:tcW w:w="1140" w:type="dxa"/>
            <w:vAlign w:val="bottom"/>
          </w:tcPr>
          <w:p>
            <w:pPr>
              <w:spacing w:after="0"/>
              <w:rPr>
                <w:sz w:val="21"/>
                <w:szCs w:val="21"/>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0.1</w:t>
            </w:r>
          </w:p>
        </w:tc>
      </w:tr>
      <w:tr>
        <w:trPr>
          <w:trHeight w:val="110"/>
        </w:trPr>
        <w:tc>
          <w:tcPr>
            <w:tcW w:w="36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460" w:val="left"/>
          <w:tab w:leader="none" w:pos="4920" w:val="left"/>
          <w:tab w:leader="none" w:pos="5520" w:val="left"/>
          <w:tab w:leader="none" w:pos="6260" w:val="left"/>
        </w:tabs>
        <w:rPr>
          <w:sz w:val="20"/>
          <w:szCs w:val="20"/>
          <w:color w:val="auto"/>
        </w:rPr>
      </w:pPr>
      <w:r>
        <w:rPr>
          <w:rFonts w:ascii="Arial" w:cs="Arial" w:eastAsia="Arial" w:hAnsi="Arial"/>
          <w:sz w:val="18"/>
          <w:szCs w:val="18"/>
          <w:b w:val="1"/>
          <w:bCs w:val="1"/>
          <w:color w:val="auto"/>
        </w:rPr>
        <w:t>Total stock-based compensation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435229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three month periods ended August 31, 2008 and 2007, shares of Common Stock issued by the Corporation pursuant to its stock-based compensation plans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Stock</w:t>
      </w:r>
    </w:p>
    <w:p>
      <w:pPr>
        <w:spacing w:after="0" w:line="23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On May 28, 2008, the Corporation announced that its Board of Directors had authorized a new program to repurchase up to $20.0 of Common Stock as conditions allow, on the open market or through negotiated private transactions. During the three months ended August 31, 2008, the Corporation repurchased approximately 0.4 million shares on the open market for approximately $11.7 at an average cost of $27.52 per share. See Part II, “Other Information, Item 2, Unregistered Sales of Equity Securities and Use of Proceeds.”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calculates its interim income tax provision in accordance with Accounting Principles Board Opinion No. 28, “Interim Financial Reporting,” and FASB Interpretation No. 18, “Accounting for Income Taxes in Interim Periods” (“FIN 18”). In calculating the provision for income taxes on an interim basis, the Company uses an estimate of the annual effective tax rate based upon the facts and circumstances known and applies that rate to its ordinary quarterly earnings or losses. The Company’s effective tax rate is based on expected income and statutory tax rates and factors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7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provision for income taxes with respect to continuing operations resulted in an effective tax rate of 36.8% for the three months ended August 31, 2008, and a tax benefit of $26.0. The Company anticipates a full fiscal year tax rate of approximately 40.0% for the current fiscal year exclusive of expected discrete items. The income tax benefit recognized by the Company in the current quarter is a result of the pretax losses recognized by the Company in the current quarter. The Company experiences seasonality in its earnings, traditionally recognizing significant pretax losses in the first quarter, and pretax income for the remainder of the year. Accordingly, the Company recognizes income tax benefits in the first quarter, which will be offset by tax expense in succeeding quarters. These benefits are presented on the Condensed Consolidated Balance Sheets as a reduction to Other accrued expenses.</w:t>
      </w:r>
    </w:p>
    <w:p>
      <w:pPr>
        <w:spacing w:after="0" w:line="17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the current period, the Company completed the sale of the DTH business (see Note 3, “Discontinued Operations”). In Fiscal Year 2008, the Company recognized significant pretax losses and deferred tax benefits associated with this transaction. The Company expects to realize the majority of these deferred tax assets in the current fiscal year, reducing the Company’s domestic taxable income to levels significantly below the expected pretax income levels. Accordingly, the Company expects reduced federal and state tax payments in the current fiscal year as a result of the realization of these deferred tax assets, and expects a significant reduction in deferred tax assets at the end of the current fiscal year.</w:t>
      </w:r>
    </w:p>
    <w:p>
      <w:pPr>
        <w:sectPr>
          <w:pgSz w:w="11900" w:h="16838" w:orient="portrait"/>
          <w:cols w:equalWidth="0" w:num="1">
            <w:col w:w="11420"/>
          </w:cols>
          <w:pgMar w:left="240" w:top="125" w:right="239" w:bottom="1089"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089"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3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recognizes tax benefits of uncertain tax positions in accordance with FASB Interpretation No. 48, “Accounting for Uncertainty in Income Taxes” (“FIN 48”). The Company does not currently anticipate a material change to its unrecognized tax benefits within twelve months of August 31, 2008; however, actual developments can change these expectations, including settlement of audits.</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believes it is no longer subject to an income tax assessment by the United States Internal Revenue Service (“IRS”) for the years ended on or before May 31, 2003 due to the expiration of the statute of limitations. The Company has been selected for audit by the IRS for its fiscal years ended May 2004, 2005 and 2006. The Company’s principal operations are located in New York City. The Company is also currently under audit by both New York State and New York City for fiscal years ended May 2002, 2003 and 2004. It is possible that federal, state and foreign tax examinations will be settled during the next twelve months. If any of these tax examinations are concluded within that period, the Company will make any necessary adjustments to its unrecognized tax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On September 24, 2008, the Company announced that the Board had declared a quarterly dividend of $0.075 per share to be paid on December 15, 2008 to shareholders of record of the Corporation’s Common Stock and Class A Stock on October 31, 2008.</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During the three months ended August 31, 2008, Scholastic Corporation completed the sale of its U.S. direct-to-home continuities business under its previously announced agreement with Sandvik AS. The Company expects to complete the sale of its direct-to-home continuity businesses located in the United Kingdom and Canada and the Maumelle Facility by the end of the calendar year. The Company views this as an important move for long-term profitability, as it allows the Company to focus its efforts to grow sales to parents and families through our school channels.</w:t>
      </w:r>
    </w:p>
    <w:p>
      <w:pPr>
        <w:spacing w:after="0" w:line="16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The Company’s first quarter is generally its smallest revenue period as most schools are not in session, resulting in a seasonal loss. The net loss in the quarter ended August 31, 2008 was $49.1 million, which included a loss from discontinued operations, net of tax, of $4.4 million, compared to a $2.8 million net loss in the quarter ended August 31, 2007, which included a loss from discontinued operations, net of tax, of $6.1 million. The net loss in the prior fiscal quarter was significantly lower due to the benefit of the July 2007 release of </w:t>
      </w:r>
      <w:r>
        <w:rPr>
          <w:rFonts w:ascii="Arial" w:cs="Arial" w:eastAsia="Arial" w:hAnsi="Arial"/>
          <w:sz w:val="16"/>
          <w:szCs w:val="16"/>
          <w:i w:val="1"/>
          <w:iCs w:val="1"/>
          <w:color w:val="auto"/>
        </w:rPr>
        <w:t>Harry Potter and the Deathly Hallows</w:t>
      </w:r>
      <w:r>
        <w:rPr>
          <w:rFonts w:ascii="Arial" w:cs="Arial" w:eastAsia="Arial" w:hAnsi="Arial"/>
          <w:sz w:val="16"/>
          <w:szCs w:val="16"/>
          <w:color w:val="auto"/>
        </w:rPr>
        <w:t>, the seventh and final book in the series.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paid its first dividend on September 15, 2008, under its previously announced dividend program established to return value to investors.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Corporation continues to repurchase shares of its Common Stock under the program approved by its Board of Directors.</w:t>
      </w:r>
    </w:p>
    <w:p>
      <w:pPr>
        <w:spacing w:after="0" w:line="2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Through the first three months of fiscal 2009, the Company remained focused on its long-term financial targets of 9-10% operating margins, and key objectives to:</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Achieve modest revenue growth and improved margins in its core children’s book publishing and distribution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 xml:space="preserve">Drive modest sales growth by capitalizing on opportunities to improve the Company’s sales and service organization in a challenging market and by the introduction of new technology products in its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right="860"/>
        <w:spacing w:after="0" w:line="299" w:lineRule="auto"/>
        <w:rPr>
          <w:sz w:val="20"/>
          <w:szCs w:val="20"/>
          <w:color w:val="auto"/>
        </w:rPr>
      </w:pPr>
      <w:r>
        <w:rPr>
          <w:rFonts w:ascii="Arial" w:cs="Arial" w:eastAsia="Arial" w:hAnsi="Arial"/>
          <w:sz w:val="18"/>
          <w:szCs w:val="18"/>
          <w:color w:val="auto"/>
        </w:rPr>
        <w:t>Reduce costs by restructuring operations, reducing head count, consolidating supplier relationships, and standardizing print formats and paper specifications across all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Revenues for the quarter ended August 31, 2008 decreased $246.3 million, or 46.4%, to $285.0 million, compared to $531.3 million in the prior fiscal year quarter. This decrease related primarily to $235.8 million in lower revenues from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as compared to the prior fiscal year quarter which included the July 2007 release of </w:t>
      </w:r>
      <w:r>
        <w:rPr>
          <w:rFonts w:ascii="Arial" w:cs="Arial" w:eastAsia="Arial" w:hAnsi="Arial"/>
          <w:sz w:val="16"/>
          <w:szCs w:val="16"/>
          <w:i w:val="1"/>
          <w:iCs w:val="1"/>
          <w:color w:val="auto"/>
        </w:rPr>
        <w:t>Harry Potter and the Deathly Hallows</w:t>
      </w:r>
      <w:r>
        <w:rPr>
          <w:rFonts w:ascii="Arial" w:cs="Arial" w:eastAsia="Arial" w:hAnsi="Arial"/>
          <w:sz w:val="16"/>
          <w:szCs w:val="16"/>
          <w:color w:val="auto"/>
        </w:rPr>
        <w:t>.</w:t>
      </w:r>
    </w:p>
    <w:p>
      <w:pPr>
        <w:spacing w:after="0" w:line="16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Cost of goods sold decreased to $149.0 million in the quarter ended August 31, 2008, or 52.3% of revenues, as compared to $298.8 million, or 56.2% of revenues in the quarter ended August 31, 2007, primarily due to higher costs related to the </w:t>
      </w:r>
      <w:r>
        <w:rPr>
          <w:rFonts w:ascii="Arial" w:cs="Arial" w:eastAsia="Arial" w:hAnsi="Arial"/>
          <w:sz w:val="16"/>
          <w:szCs w:val="16"/>
          <w:i w:val="1"/>
          <w:iCs w:val="1"/>
          <w:color w:val="auto"/>
        </w:rPr>
        <w:t>Harry Potter</w:t>
      </w:r>
      <w:r>
        <w:rPr>
          <w:rFonts w:ascii="Arial" w:cs="Arial" w:eastAsia="Arial" w:hAnsi="Arial"/>
          <w:sz w:val="16"/>
          <w:szCs w:val="16"/>
          <w:color w:val="auto"/>
        </w:rPr>
        <w:t xml:space="preserve"> release in the prior fiscal year quarter.</w:t>
      </w:r>
    </w:p>
    <w:p>
      <w:pPr>
        <w:spacing w:after="0" w:line="13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Selling, general and administrative expenses decreased $16.5 million to $182.9 million in the quarter ended August 31, 2008 compared to $199.4 million in the prior fiscal year quarter, which included approximately $15 million of costs related to the Harry Potter release in the prior fiscal year period. Selling, general and administrative expenses as a percentage of revenue for the quarter ended August 31, 2008 increased to 64.2% as compared to 37.5 % in the prior fiscal year quarter, primarily due to the revenue benefit from the seventh book in the Harry Potter series which recorded unprecedented sales of approximately $240 million in the prior fiscal year quarter without a proportionate increase in expense.</w:t>
      </w:r>
    </w:p>
    <w:p>
      <w:pPr>
        <w:spacing w:after="0" w:line="17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The resulting operating loss for the quarter ended August 31, 2008 was $64.9 million, compared to operating income of $15.4 million in the prior fiscal year quarter, primarily due to the impact of the prior year’s release of </w:t>
      </w:r>
      <w:r>
        <w:rPr>
          <w:rFonts w:ascii="Arial" w:cs="Arial" w:eastAsia="Arial" w:hAnsi="Arial"/>
          <w:sz w:val="18"/>
          <w:szCs w:val="18"/>
          <w:i w:val="1"/>
          <w:iCs w:val="1"/>
          <w:color w:val="auto"/>
        </w:rPr>
        <w:t>Harry Potter and the Deathly Hallows.</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Net interest expense decreased $2.8 million to $5.8 million, or 2.0% of revenues, in the quarter ended August 31, 2008, compared to $8.6 million, or 1.6% of revenues, in the prior fiscal year quarter primarily due to lower borrowings.</w:t>
      </w:r>
    </w:p>
    <w:p>
      <w:pPr>
        <w:spacing w:after="0" w:line="18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Company’s provision for income taxes with respect to continuing operations resulted in an effective tax rate of 36.8% and 51.5% for the quarters ended August 31, 2008 and August 31, 2007, respectively. The higher rate in the prior fiscal year period was the result of discrete items in the amount of $0.5 million representing the Company’s interest component adjustment for the accounting for uncertain tax positions and $0.3 million of additional tax expense related to a regulatory change in the statutory tax rate of a foreign subsidiary of the Corporation.</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Loss from continuing operations was $44.7 million, or $1.18 per share, for the quarter ended August 31, 2008, compared to income from continuing operations of $3.3 million, or $0.08 per share, in the prior fiscal year quarter.</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Loss from discontinued operations, net of tax, was $4.4 million, or $0.12 per share, for the quarter ended August 31, 2008, compared to $6.1 million, or $0.15 per share, in the prior fiscal year quarter.</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Net loss was $49.1 million, or $1.30 per share, for the quarter ended August 31, 2008, compared to $2.8 million, or $0.07 per share, in the prior fiscal year quarter.</w:t>
      </w:r>
    </w:p>
    <w:p>
      <w:pPr>
        <w:sectPr>
          <w:pgSz w:w="11900" w:h="16838" w:orient="portrait"/>
          <w:cols w:equalWidth="0" w:num="1">
            <w:col w:w="11380"/>
          </w:cols>
          <w:pgMar w:left="240" w:top="125" w:right="27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00" w:type="dxa"/>
            <w:vAlign w:val="bottom"/>
          </w:tcPr>
          <w:p>
            <w:pPr>
              <w:spacing w:after="0"/>
              <w:rPr>
                <w:sz w:val="20"/>
                <w:szCs w:val="20"/>
                <w:color w:val="auto"/>
              </w:rPr>
            </w:pPr>
            <w:r>
              <w:rPr>
                <w:rFonts w:ascii="Arial" w:cs="Arial" w:eastAsia="Arial" w:hAnsi="Arial"/>
                <w:sz w:val="18"/>
                <w:szCs w:val="18"/>
                <w:b w:val="1"/>
                <w:bCs w:val="1"/>
                <w:color w:val="auto"/>
              </w:rPr>
              <w:t>Results of Continuing Operations - Segments</w:t>
            </w:r>
          </w:p>
        </w:tc>
        <w:tc>
          <w:tcPr>
            <w:tcW w:w="3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32"/>
        </w:trPr>
        <w:tc>
          <w:tcPr>
            <w:tcW w:w="6300" w:type="dxa"/>
            <w:vAlign w:val="bottom"/>
          </w:tcPr>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tc>
        <w:tc>
          <w:tcPr>
            <w:tcW w:w="3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59"/>
        </w:trPr>
        <w:tc>
          <w:tcPr>
            <w:tcW w:w="6300" w:type="dxa"/>
            <w:vAlign w:val="bottom"/>
          </w:tcPr>
          <w:p>
            <w:pPr>
              <w:spacing w:after="0"/>
              <w:rPr>
                <w:sz w:val="24"/>
                <w:szCs w:val="24"/>
                <w:color w:val="auto"/>
              </w:rPr>
            </w:pPr>
          </w:p>
        </w:tc>
        <w:tc>
          <w:tcPr>
            <w:tcW w:w="5120" w:type="dxa"/>
            <w:vAlign w:val="bottom"/>
            <w:gridSpan w:val="3"/>
          </w:tcPr>
          <w:p>
            <w:pPr>
              <w:jc w:val="right"/>
              <w:ind w:right="312"/>
              <w:spacing w:after="0"/>
              <w:rPr>
                <w:sz w:val="20"/>
                <w:szCs w:val="20"/>
                <w:color w:val="auto"/>
              </w:rPr>
            </w:pPr>
            <w:r>
              <w:rPr>
                <w:rFonts w:ascii="Arial" w:cs="Arial" w:eastAsia="Arial" w:hAnsi="Arial"/>
                <w:sz w:val="18"/>
                <w:szCs w:val="18"/>
                <w:b w:val="1"/>
                <w:bCs w:val="1"/>
                <w:i w:val="1"/>
                <w:iCs w:val="1"/>
                <w:color w:val="auto"/>
              </w:rPr>
              <w:t>Three months ended</w:t>
            </w:r>
          </w:p>
        </w:tc>
      </w:tr>
      <w:tr>
        <w:trPr>
          <w:trHeight w:val="243"/>
        </w:trPr>
        <w:tc>
          <w:tcPr>
            <w:tcW w:w="63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35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84"/>
              </w:rPr>
              <w:t>August 31,</w:t>
            </w:r>
          </w:p>
        </w:tc>
        <w:tc>
          <w:tcPr>
            <w:tcW w:w="700" w:type="dxa"/>
            <w:vAlign w:val="bottom"/>
          </w:tcPr>
          <w:p>
            <w:pPr>
              <w:spacing w:after="0"/>
              <w:rPr>
                <w:sz w:val="21"/>
                <w:szCs w:val="21"/>
                <w:color w:val="auto"/>
              </w:rPr>
            </w:pPr>
          </w:p>
        </w:tc>
      </w:tr>
      <w:tr>
        <w:trPr>
          <w:trHeight w:val="120"/>
        </w:trPr>
        <w:tc>
          <w:tcPr>
            <w:tcW w:w="630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r>
      <w:tr>
        <w:trPr>
          <w:trHeight w:val="346"/>
        </w:trPr>
        <w:tc>
          <w:tcPr>
            <w:tcW w:w="6300" w:type="dxa"/>
            <w:vAlign w:val="bottom"/>
          </w:tcPr>
          <w:p>
            <w:pPr>
              <w:spacing w:after="0"/>
              <w:rPr>
                <w:sz w:val="24"/>
                <w:szCs w:val="24"/>
                <w:color w:val="auto"/>
              </w:rPr>
            </w:pPr>
          </w:p>
        </w:tc>
        <w:tc>
          <w:tcPr>
            <w:tcW w:w="3580" w:type="dxa"/>
            <w:vAlign w:val="bottom"/>
          </w:tcPr>
          <w:p>
            <w:pPr>
              <w:jc w:val="right"/>
              <w:ind w:right="12"/>
              <w:spacing w:after="0"/>
              <w:rPr>
                <w:sz w:val="20"/>
                <w:szCs w:val="20"/>
                <w:color w:val="auto"/>
              </w:rPr>
            </w:pPr>
            <w:r>
              <w:rPr>
                <w:rFonts w:ascii="Arial" w:cs="Arial" w:eastAsia="Arial" w:hAnsi="Arial"/>
                <w:sz w:val="18"/>
                <w:szCs w:val="18"/>
                <w:b w:val="1"/>
                <w:bCs w:val="1"/>
                <w:color w:val="auto"/>
              </w:rPr>
              <w:t>2008</w:t>
            </w:r>
          </w:p>
        </w:tc>
        <w:tc>
          <w:tcPr>
            <w:tcW w:w="840" w:type="dxa"/>
            <w:vAlign w:val="bottom"/>
          </w:tcPr>
          <w:p>
            <w:pPr>
              <w:spacing w:after="0"/>
              <w:rPr>
                <w:sz w:val="24"/>
                <w:szCs w:val="24"/>
                <w:color w:val="auto"/>
              </w:rPr>
            </w:pPr>
          </w:p>
        </w:tc>
        <w:tc>
          <w:tcPr>
            <w:tcW w:w="700" w:type="dxa"/>
            <w:vAlign w:val="bottom"/>
          </w:tcPr>
          <w:p>
            <w:pPr>
              <w:jc w:val="right"/>
              <w:ind w:right="232"/>
              <w:spacing w:after="0"/>
              <w:rPr>
                <w:sz w:val="20"/>
                <w:szCs w:val="20"/>
                <w:color w:val="auto"/>
              </w:rPr>
            </w:pPr>
            <w:r>
              <w:rPr>
                <w:rFonts w:ascii="Arial" w:cs="Arial" w:eastAsia="Arial" w:hAnsi="Arial"/>
                <w:sz w:val="18"/>
                <w:szCs w:val="18"/>
                <w:b w:val="1"/>
                <w:bCs w:val="1"/>
                <w:color w:val="auto"/>
                <w:w w:val="89"/>
              </w:rPr>
              <w:t>2007</w:t>
            </w:r>
          </w:p>
        </w:tc>
      </w:tr>
      <w:tr>
        <w:trPr>
          <w:trHeight w:val="120"/>
        </w:trPr>
        <w:tc>
          <w:tcPr>
            <w:tcW w:w="630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r>
      <w:tr>
        <w:trPr>
          <w:trHeight w:val="346"/>
        </w:trPr>
        <w:tc>
          <w:tcPr>
            <w:tcW w:w="6300" w:type="dxa"/>
            <w:vAlign w:val="bottom"/>
          </w:tcPr>
          <w:p>
            <w:pPr>
              <w:spacing w:after="0"/>
              <w:rPr>
                <w:sz w:val="20"/>
                <w:szCs w:val="20"/>
                <w:color w:val="auto"/>
              </w:rPr>
            </w:pPr>
            <w:r>
              <w:rPr>
                <w:rFonts w:ascii="Arial" w:cs="Arial" w:eastAsia="Arial" w:hAnsi="Arial"/>
                <w:sz w:val="18"/>
                <w:szCs w:val="18"/>
                <w:color w:val="auto"/>
              </w:rPr>
              <w:t>Revenue</w:t>
            </w:r>
          </w:p>
        </w:tc>
        <w:tc>
          <w:tcPr>
            <w:tcW w:w="3580" w:type="dxa"/>
            <w:vAlign w:val="bottom"/>
          </w:tcPr>
          <w:p>
            <w:pPr>
              <w:jc w:val="right"/>
              <w:spacing w:after="0"/>
              <w:rPr>
                <w:sz w:val="20"/>
                <w:szCs w:val="20"/>
                <w:color w:val="auto"/>
              </w:rPr>
            </w:pPr>
            <w:r>
              <w:rPr>
                <w:rFonts w:ascii="Arial" w:cs="Arial" w:eastAsia="Arial" w:hAnsi="Arial"/>
                <w:sz w:val="18"/>
                <w:szCs w:val="18"/>
                <w:color w:val="auto"/>
              </w:rPr>
              <w:t>$   61.0</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296.8</w:t>
            </w:r>
          </w:p>
        </w:tc>
      </w:tr>
      <w:tr>
        <w:trPr>
          <w:trHeight w:val="243"/>
        </w:trPr>
        <w:tc>
          <w:tcPr>
            <w:tcW w:w="6300" w:type="dxa"/>
            <w:vAlign w:val="bottom"/>
          </w:tcPr>
          <w:p>
            <w:pPr>
              <w:spacing w:after="0"/>
              <w:rPr>
                <w:sz w:val="20"/>
                <w:szCs w:val="20"/>
                <w:color w:val="auto"/>
              </w:rPr>
            </w:pPr>
            <w:r>
              <w:rPr>
                <w:rFonts w:ascii="Arial" w:cs="Arial" w:eastAsia="Arial" w:hAnsi="Arial"/>
                <w:sz w:val="18"/>
                <w:szCs w:val="18"/>
                <w:color w:val="auto"/>
              </w:rPr>
              <w:t>Operating (loss) income</w:t>
            </w:r>
          </w:p>
        </w:tc>
        <w:tc>
          <w:tcPr>
            <w:tcW w:w="4420" w:type="dxa"/>
            <w:vAlign w:val="bottom"/>
            <w:gridSpan w:val="2"/>
          </w:tcPr>
          <w:p>
            <w:pPr>
              <w:jc w:val="right"/>
              <w:ind w:right="692"/>
              <w:spacing w:after="0"/>
              <w:rPr>
                <w:sz w:val="20"/>
                <w:szCs w:val="20"/>
                <w:color w:val="auto"/>
              </w:rPr>
            </w:pPr>
            <w:r>
              <w:rPr>
                <w:rFonts w:ascii="Arial" w:cs="Arial" w:eastAsia="Arial" w:hAnsi="Arial"/>
                <w:sz w:val="18"/>
                <w:szCs w:val="18"/>
                <w:color w:val="auto"/>
              </w:rPr>
              <w:t>(55.9)</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12.6</w:t>
            </w:r>
          </w:p>
        </w:tc>
      </w:tr>
      <w:tr>
        <w:trPr>
          <w:trHeight w:val="110"/>
        </w:trPr>
        <w:tc>
          <w:tcPr>
            <w:tcW w:w="6300" w:type="dxa"/>
            <w:vAlign w:val="bottom"/>
            <w:tcBorders>
              <w:bottom w:val="single" w:sz="8" w:color="808080"/>
            </w:tcBorders>
          </w:tcPr>
          <w:p>
            <w:pPr>
              <w:spacing w:after="0"/>
              <w:rPr>
                <w:sz w:val="9"/>
                <w:szCs w:val="9"/>
                <w:color w:val="auto"/>
              </w:rPr>
            </w:pPr>
          </w:p>
        </w:tc>
        <w:tc>
          <w:tcPr>
            <w:tcW w:w="3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586"/>
        </w:trPr>
        <w:tc>
          <w:tcPr>
            <w:tcW w:w="63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-1151255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-1151255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-842645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-842645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for the quarter ended August 31, 2008 decreased to $61.0 million from $296.8 million in the prior fiscal year quarter. The decrease was due to the unprecedented success of </w:t>
      </w:r>
      <w:r>
        <w:rPr>
          <w:rFonts w:ascii="Arial" w:cs="Arial" w:eastAsia="Arial" w:hAnsi="Arial"/>
          <w:sz w:val="18"/>
          <w:szCs w:val="18"/>
          <w:i w:val="1"/>
          <w:iCs w:val="1"/>
          <w:color w:val="auto"/>
        </w:rPr>
        <w:t>Harry Potter and the Deathly Hallows</w:t>
      </w:r>
      <w:r>
        <w:rPr>
          <w:rFonts w:ascii="Arial" w:cs="Arial" w:eastAsia="Arial" w:hAnsi="Arial"/>
          <w:sz w:val="18"/>
          <w:szCs w:val="18"/>
          <w:color w:val="auto"/>
        </w:rPr>
        <w:t>, the seventh and final book in the series, in the prior year, which included approximately $240 million of Harry Potter revenues. School-based book clubs and book fairs have minimal activity in the Company’s first fiscal quarter, as most schools are not in session.</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Segment operating loss for the quarter ended August 31, 2008 was $55.9 million, compared to operating income of $12.6 million in the prior fiscal year quarter, primarily due to lower operating results for the Company’s trade business resulting from lower Harry Potter revenues, partially offset by cost management in school-based book clubs and book fairs.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40" w:type="dxa"/>
            <w:vAlign w:val="bottom"/>
          </w:tcPr>
          <w:p>
            <w:pPr>
              <w:spacing w:after="0"/>
              <w:rPr>
                <w:sz w:val="20"/>
                <w:szCs w:val="20"/>
                <w:color w:val="auto"/>
              </w:rPr>
            </w:pPr>
            <w:r>
              <w:rPr>
                <w:rFonts w:ascii="Arial" w:cs="Arial" w:eastAsia="Arial" w:hAnsi="Arial"/>
                <w:sz w:val="18"/>
                <w:szCs w:val="18"/>
                <w:b w:val="1"/>
                <w:bCs w:val="1"/>
                <w:i w:val="1"/>
                <w:iCs w:val="1"/>
                <w:color w:val="auto"/>
              </w:rPr>
              <w:t>Educational Publishing</w:t>
            </w:r>
          </w:p>
        </w:tc>
        <w:tc>
          <w:tcPr>
            <w:tcW w:w="47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5740" w:type="dxa"/>
            <w:vAlign w:val="bottom"/>
          </w:tcPr>
          <w:p>
            <w:pPr>
              <w:spacing w:after="0"/>
              <w:rPr>
                <w:sz w:val="21"/>
                <w:szCs w:val="21"/>
                <w:color w:val="auto"/>
              </w:rPr>
            </w:pPr>
          </w:p>
        </w:tc>
        <w:tc>
          <w:tcPr>
            <w:tcW w:w="5680" w:type="dxa"/>
            <w:vAlign w:val="bottom"/>
            <w:gridSpan w:val="2"/>
          </w:tcPr>
          <w:p>
            <w:pPr>
              <w:jc w:val="center"/>
              <w:ind w:left="3752"/>
              <w:spacing w:after="0"/>
              <w:rPr>
                <w:sz w:val="20"/>
                <w:szCs w:val="20"/>
                <w:color w:val="auto"/>
              </w:rPr>
            </w:pPr>
            <w:r>
              <w:rPr>
                <w:rFonts w:ascii="Arial" w:cs="Arial" w:eastAsia="Arial" w:hAnsi="Arial"/>
                <w:sz w:val="18"/>
                <w:szCs w:val="18"/>
                <w:b w:val="1"/>
                <w:bCs w:val="1"/>
                <w:i w:val="1"/>
                <w:iCs w:val="1"/>
                <w:color w:val="auto"/>
                <w:w w:val="83"/>
              </w:rPr>
              <w:t>Three months ended</w:t>
            </w:r>
          </w:p>
        </w:tc>
      </w:tr>
      <w:tr>
        <w:trPr>
          <w:trHeight w:val="243"/>
        </w:trPr>
        <w:tc>
          <w:tcPr>
            <w:tcW w:w="574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5680" w:type="dxa"/>
            <w:vAlign w:val="bottom"/>
            <w:gridSpan w:val="2"/>
          </w:tcPr>
          <w:p>
            <w:pPr>
              <w:jc w:val="center"/>
              <w:ind w:left="3772"/>
              <w:spacing w:after="0"/>
              <w:rPr>
                <w:sz w:val="20"/>
                <w:szCs w:val="20"/>
                <w:color w:val="auto"/>
              </w:rPr>
            </w:pPr>
            <w:r>
              <w:rPr>
                <w:rFonts w:ascii="Arial" w:cs="Arial" w:eastAsia="Arial" w:hAnsi="Arial"/>
                <w:sz w:val="18"/>
                <w:szCs w:val="18"/>
                <w:b w:val="1"/>
                <w:bCs w:val="1"/>
                <w:i w:val="1"/>
                <w:iCs w:val="1"/>
                <w:color w:val="auto"/>
                <w:w w:val="84"/>
              </w:rPr>
              <w:t>August 31,</w:t>
            </w:r>
          </w:p>
        </w:tc>
      </w:tr>
      <w:tr>
        <w:trPr>
          <w:trHeight w:val="120"/>
        </w:trPr>
        <w:tc>
          <w:tcPr>
            <w:tcW w:w="574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r>
      <w:tr>
        <w:trPr>
          <w:trHeight w:val="589"/>
        </w:trPr>
        <w:tc>
          <w:tcPr>
            <w:tcW w:w="5740" w:type="dxa"/>
            <w:vAlign w:val="bottom"/>
          </w:tcPr>
          <w:p>
            <w:pPr>
              <w:spacing w:after="0"/>
              <w:rPr>
                <w:sz w:val="24"/>
                <w:szCs w:val="24"/>
                <w:color w:val="auto"/>
              </w:rPr>
            </w:pPr>
          </w:p>
        </w:tc>
        <w:tc>
          <w:tcPr>
            <w:tcW w:w="4760" w:type="dxa"/>
            <w:vAlign w:val="bottom"/>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2007</w:t>
            </w:r>
          </w:p>
        </w:tc>
      </w:tr>
      <w:tr>
        <w:trPr>
          <w:trHeight w:val="120"/>
        </w:trPr>
        <w:tc>
          <w:tcPr>
            <w:tcW w:w="574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-477520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Revenue</w:t>
            </w:r>
          </w:p>
        </w:tc>
        <w:tc>
          <w:tcPr>
            <w:tcW w:w="4980" w:type="dxa"/>
            <w:vAlign w:val="bottom"/>
          </w:tcPr>
          <w:p>
            <w:pPr>
              <w:jc w:val="right"/>
              <w:ind w:right="132"/>
              <w:spacing w:after="0"/>
              <w:rPr>
                <w:sz w:val="20"/>
                <w:szCs w:val="20"/>
                <w:color w:val="auto"/>
              </w:rPr>
            </w:pPr>
            <w:r>
              <w:rPr>
                <w:rFonts w:ascii="Arial" w:cs="Arial" w:eastAsia="Arial" w:hAnsi="Arial"/>
                <w:sz w:val="18"/>
                <w:szCs w:val="18"/>
                <w:color w:val="auto"/>
              </w:rPr>
              <w:t>$  116.4</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  127.8</w:t>
            </w: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Operating income</w:t>
            </w:r>
          </w:p>
        </w:tc>
        <w:tc>
          <w:tcPr>
            <w:tcW w:w="4980" w:type="dxa"/>
            <w:vAlign w:val="bottom"/>
          </w:tcPr>
          <w:p>
            <w:pPr>
              <w:jc w:val="right"/>
              <w:ind w:right="132"/>
              <w:spacing w:after="0"/>
              <w:rPr>
                <w:sz w:val="20"/>
                <w:szCs w:val="20"/>
                <w:color w:val="auto"/>
              </w:rPr>
            </w:pPr>
            <w:r>
              <w:rPr>
                <w:rFonts w:ascii="Arial" w:cs="Arial" w:eastAsia="Arial" w:hAnsi="Arial"/>
                <w:sz w:val="18"/>
                <w:szCs w:val="18"/>
                <w:color w:val="auto"/>
              </w:rPr>
              <w:t>21.0</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30.4</w:t>
            </w:r>
          </w:p>
        </w:tc>
      </w:tr>
      <w:tr>
        <w:trPr>
          <w:trHeight w:val="110"/>
        </w:trPr>
        <w:tc>
          <w:tcPr>
            <w:tcW w:w="5520" w:type="dxa"/>
            <w:vAlign w:val="bottom"/>
            <w:tcBorders>
              <w:bottom w:val="single" w:sz="8" w:color="808080"/>
            </w:tcBorders>
          </w:tcPr>
          <w:p>
            <w:pPr>
              <w:spacing w:after="0"/>
              <w:rPr>
                <w:sz w:val="9"/>
                <w:szCs w:val="9"/>
                <w:color w:val="auto"/>
              </w:rPr>
            </w:pPr>
          </w:p>
        </w:tc>
        <w:tc>
          <w:tcPr>
            <w:tcW w:w="49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586"/>
        </w:trPr>
        <w:tc>
          <w:tcPr>
            <w:tcW w:w="55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498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23.8%</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for the quarter ended August 31, 2008 decreased by $11.4 million, or 8.9%, to $116.4 million, compared to</w:t>
      </w:r>
    </w:p>
    <w:p>
      <w:pPr>
        <w:spacing w:after="0" w:line="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$127.8 million in the prior fiscal year quarter. This decrease was primarily due to lower revenues from sales of educational technology products, primarily due to lower sales of </w:t>
      </w:r>
      <w:r>
        <w:rPr>
          <w:rFonts w:ascii="Arial" w:cs="Arial" w:eastAsia="Arial" w:hAnsi="Arial"/>
          <w:sz w:val="18"/>
          <w:szCs w:val="18"/>
          <w:i w:val="1"/>
          <w:iCs w:val="1"/>
          <w:color w:val="auto"/>
        </w:rPr>
        <w:t>READ180</w:t>
      </w:r>
      <w:r>
        <w:rPr>
          <w:rFonts w:ascii="Arial" w:cs="Arial" w:eastAsia="Arial" w:hAnsi="Arial"/>
          <w:sz w:val="18"/>
          <w:szCs w:val="18"/>
          <w:color w:val="auto"/>
        </w:rPr>
        <w:t>, reflecting a challenging market and lower sales productivity. In addition, the prior year period included a large sale totaling approximately $7 million. The decrease in sales of educational technology products for the quarter ended August 31, 2008 was partially offset by higher non-technology classroom and library publishing revenues.</w:t>
      </w:r>
    </w:p>
    <w:p>
      <w:pPr>
        <w:spacing w:after="0" w:line="19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Segment operating income for the quarter ended August 31, 2008 decreased by $9.4 million, or 30.9%, to $21.0 million, compared to $30.4 million in the prior fiscal year quarter, principally driven by lower technology revenues, partially offset by the benefit of better expense management in the current fiscal year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60" w:type="dxa"/>
            <w:vAlign w:val="bottom"/>
          </w:tcPr>
          <w:p>
            <w:pPr>
              <w:spacing w:after="0"/>
              <w:rPr>
                <w:sz w:val="20"/>
                <w:szCs w:val="20"/>
                <w:color w:val="auto"/>
              </w:rPr>
            </w:pPr>
            <w:r>
              <w:rPr>
                <w:rFonts w:ascii="Arial" w:cs="Arial" w:eastAsia="Arial" w:hAnsi="Arial"/>
                <w:sz w:val="18"/>
                <w:szCs w:val="18"/>
                <w:b w:val="1"/>
                <w:bCs w:val="1"/>
                <w:i w:val="1"/>
                <w:iCs w:val="1"/>
                <w:color w:val="auto"/>
              </w:rPr>
              <w:t>Media, Licensing and Advertising</w:t>
            </w:r>
          </w:p>
        </w:tc>
        <w:tc>
          <w:tcPr>
            <w:tcW w:w="4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6160" w:type="dxa"/>
            <w:vAlign w:val="bottom"/>
          </w:tcPr>
          <w:p>
            <w:pPr>
              <w:spacing w:after="0"/>
              <w:rPr>
                <w:sz w:val="21"/>
                <w:szCs w:val="21"/>
                <w:color w:val="auto"/>
              </w:rPr>
            </w:pPr>
          </w:p>
        </w:tc>
        <w:tc>
          <w:tcPr>
            <w:tcW w:w="5260" w:type="dxa"/>
            <w:vAlign w:val="bottom"/>
            <w:gridSpan w:val="2"/>
          </w:tcPr>
          <w:p>
            <w:pPr>
              <w:jc w:val="center"/>
              <w:ind w:left="3552"/>
              <w:spacing w:after="0"/>
              <w:rPr>
                <w:sz w:val="20"/>
                <w:szCs w:val="20"/>
                <w:color w:val="auto"/>
              </w:rPr>
            </w:pPr>
            <w:r>
              <w:rPr>
                <w:rFonts w:ascii="Arial" w:cs="Arial" w:eastAsia="Arial" w:hAnsi="Arial"/>
                <w:sz w:val="18"/>
                <w:szCs w:val="18"/>
                <w:b w:val="1"/>
                <w:bCs w:val="1"/>
                <w:i w:val="1"/>
                <w:iCs w:val="1"/>
                <w:color w:val="auto"/>
                <w:w w:val="84"/>
              </w:rPr>
              <w:t>Three months ended</w:t>
            </w:r>
          </w:p>
        </w:tc>
      </w:tr>
      <w:tr>
        <w:trPr>
          <w:trHeight w:val="243"/>
        </w:trPr>
        <w:tc>
          <w:tcPr>
            <w:tcW w:w="616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5260" w:type="dxa"/>
            <w:vAlign w:val="bottom"/>
            <w:gridSpan w:val="2"/>
          </w:tcPr>
          <w:p>
            <w:pPr>
              <w:jc w:val="center"/>
              <w:ind w:left="3552"/>
              <w:spacing w:after="0"/>
              <w:rPr>
                <w:sz w:val="20"/>
                <w:szCs w:val="20"/>
                <w:color w:val="auto"/>
              </w:rPr>
            </w:pPr>
            <w:r>
              <w:rPr>
                <w:rFonts w:ascii="Arial" w:cs="Arial" w:eastAsia="Arial" w:hAnsi="Arial"/>
                <w:sz w:val="18"/>
                <w:szCs w:val="18"/>
                <w:b w:val="1"/>
                <w:bCs w:val="1"/>
                <w:i w:val="1"/>
                <w:iCs w:val="1"/>
                <w:color w:val="auto"/>
                <w:w w:val="84"/>
              </w:rPr>
              <w:t>August 31,</w:t>
            </w:r>
          </w:p>
        </w:tc>
      </w:tr>
      <w:tr>
        <w:trPr>
          <w:trHeight w:val="120"/>
        </w:trPr>
        <w:tc>
          <w:tcPr>
            <w:tcW w:w="6160" w:type="dxa"/>
            <w:vAlign w:val="bottom"/>
            <w:tcBorders>
              <w:bottom w:val="single" w:sz="8" w:color="808080"/>
            </w:tcBorders>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589"/>
        </w:trPr>
        <w:tc>
          <w:tcPr>
            <w:tcW w:w="6160" w:type="dxa"/>
            <w:vAlign w:val="bottom"/>
          </w:tcPr>
          <w:p>
            <w:pPr>
              <w:spacing w:after="0"/>
              <w:rPr>
                <w:sz w:val="24"/>
                <w:szCs w:val="24"/>
                <w:color w:val="auto"/>
              </w:rPr>
            </w:pPr>
          </w:p>
        </w:tc>
        <w:tc>
          <w:tcPr>
            <w:tcW w:w="4440" w:type="dxa"/>
            <w:vAlign w:val="bottom"/>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2007</w:t>
            </w:r>
          </w:p>
        </w:tc>
      </w:tr>
      <w:tr>
        <w:trPr>
          <w:trHeight w:val="120"/>
        </w:trPr>
        <w:tc>
          <w:tcPr>
            <w:tcW w:w="6160" w:type="dxa"/>
            <w:vAlign w:val="bottom"/>
            <w:tcBorders>
              <w:bottom w:val="single" w:sz="8" w:color="808080"/>
            </w:tcBorders>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-477520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Revenue</w:t>
            </w:r>
          </w:p>
        </w:tc>
        <w:tc>
          <w:tcPr>
            <w:tcW w:w="4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19.5</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Operating loss</w:t>
            </w:r>
          </w:p>
        </w:tc>
        <w:tc>
          <w:tcPr>
            <w:tcW w:w="44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110"/>
        </w:trPr>
        <w:tc>
          <w:tcPr>
            <w:tcW w:w="5580" w:type="dxa"/>
            <w:vAlign w:val="bottom"/>
            <w:tcBorders>
              <w:bottom w:val="single" w:sz="8" w:color="808080"/>
            </w:tcBorders>
          </w:tcPr>
          <w:p>
            <w:pPr>
              <w:spacing w:after="0"/>
              <w:rPr>
                <w:sz w:val="9"/>
                <w:szCs w:val="9"/>
                <w:color w:val="auto"/>
              </w:rPr>
            </w:pPr>
          </w:p>
        </w:tc>
        <w:tc>
          <w:tcPr>
            <w:tcW w:w="4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586"/>
        </w:trPr>
        <w:tc>
          <w:tcPr>
            <w:tcW w:w="558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4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25"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for the quarter ended August 31, 2008 increased by $3.1 million, or 18.9%, to $19.5 million, compared to $16.4 million in the prior fiscal year quarter, primarily due to increased custom publishing revenues.</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Segment operating loss for the quarter ended August 31, 2008 decreased to $4.6 million, compared to $5.4 million in the prior fiscal year quarter, primarily due to the higher revenues.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6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48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760" w:type="dxa"/>
            <w:vAlign w:val="bottom"/>
          </w:tcPr>
          <w:p>
            <w:pPr>
              <w:spacing w:after="0"/>
              <w:rPr>
                <w:sz w:val="21"/>
                <w:szCs w:val="21"/>
                <w:color w:val="auto"/>
              </w:rPr>
            </w:pPr>
          </w:p>
        </w:tc>
        <w:tc>
          <w:tcPr>
            <w:tcW w:w="5660" w:type="dxa"/>
            <w:vAlign w:val="bottom"/>
            <w:gridSpan w:val="2"/>
          </w:tcPr>
          <w:p>
            <w:pPr>
              <w:jc w:val="center"/>
              <w:ind w:left="3952"/>
              <w:spacing w:after="0"/>
              <w:rPr>
                <w:sz w:val="20"/>
                <w:szCs w:val="20"/>
                <w:color w:val="auto"/>
              </w:rPr>
            </w:pPr>
            <w:r>
              <w:rPr>
                <w:rFonts w:ascii="Arial" w:cs="Arial" w:eastAsia="Arial" w:hAnsi="Arial"/>
                <w:sz w:val="18"/>
                <w:szCs w:val="18"/>
                <w:b w:val="1"/>
                <w:bCs w:val="1"/>
                <w:i w:val="1"/>
                <w:iCs w:val="1"/>
                <w:color w:val="auto"/>
                <w:w w:val="84"/>
              </w:rPr>
              <w:t>Three months ended</w:t>
            </w:r>
          </w:p>
        </w:tc>
      </w:tr>
      <w:tr>
        <w:trPr>
          <w:trHeight w:val="243"/>
        </w:trPr>
        <w:tc>
          <w:tcPr>
            <w:tcW w:w="576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5660" w:type="dxa"/>
            <w:vAlign w:val="bottom"/>
            <w:gridSpan w:val="2"/>
          </w:tcPr>
          <w:p>
            <w:pPr>
              <w:jc w:val="center"/>
              <w:ind w:left="3952"/>
              <w:spacing w:after="0"/>
              <w:rPr>
                <w:sz w:val="20"/>
                <w:szCs w:val="20"/>
                <w:color w:val="auto"/>
              </w:rPr>
            </w:pPr>
            <w:r>
              <w:rPr>
                <w:rFonts w:ascii="Arial" w:cs="Arial" w:eastAsia="Arial" w:hAnsi="Arial"/>
                <w:sz w:val="18"/>
                <w:szCs w:val="18"/>
                <w:b w:val="1"/>
                <w:bCs w:val="1"/>
                <w:i w:val="1"/>
                <w:iCs w:val="1"/>
                <w:color w:val="auto"/>
                <w:w w:val="84"/>
              </w:rPr>
              <w:t>August 31,</w:t>
            </w:r>
          </w:p>
        </w:tc>
      </w:tr>
      <w:tr>
        <w:trPr>
          <w:trHeight w:val="120"/>
        </w:trPr>
        <w:tc>
          <w:tcPr>
            <w:tcW w:w="576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589"/>
        </w:trPr>
        <w:tc>
          <w:tcPr>
            <w:tcW w:w="5760" w:type="dxa"/>
            <w:vAlign w:val="bottom"/>
          </w:tcPr>
          <w:p>
            <w:pPr>
              <w:spacing w:after="0"/>
              <w:rPr>
                <w:sz w:val="24"/>
                <w:szCs w:val="24"/>
                <w:color w:val="auto"/>
              </w:rPr>
            </w:pPr>
          </w:p>
        </w:tc>
        <w:tc>
          <w:tcPr>
            <w:tcW w:w="4840" w:type="dxa"/>
            <w:vAlign w:val="bottom"/>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820" w:type="dxa"/>
            <w:vAlign w:val="bottom"/>
          </w:tcPr>
          <w:p>
            <w:pPr>
              <w:jc w:val="right"/>
              <w:ind w:right="92"/>
              <w:spacing w:after="0"/>
              <w:rPr>
                <w:sz w:val="20"/>
                <w:szCs w:val="20"/>
                <w:color w:val="auto"/>
              </w:rPr>
            </w:pPr>
            <w:r>
              <w:rPr>
                <w:rFonts w:ascii="Arial" w:cs="Arial" w:eastAsia="Arial" w:hAnsi="Arial"/>
                <w:sz w:val="18"/>
                <w:szCs w:val="18"/>
                <w:b w:val="1"/>
                <w:bCs w:val="1"/>
                <w:color w:val="auto"/>
              </w:rPr>
              <w:t>2007</w:t>
            </w:r>
          </w:p>
        </w:tc>
      </w:tr>
      <w:tr>
        <w:trPr>
          <w:trHeight w:val="120"/>
        </w:trPr>
        <w:tc>
          <w:tcPr>
            <w:tcW w:w="576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-477520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Revenue</w:t>
            </w:r>
          </w:p>
        </w:tc>
        <w:tc>
          <w:tcPr>
            <w:tcW w:w="4940" w:type="dxa"/>
            <w:vAlign w:val="bottom"/>
          </w:tcPr>
          <w:p>
            <w:pPr>
              <w:jc w:val="right"/>
              <w:spacing w:after="0"/>
              <w:rPr>
                <w:sz w:val="20"/>
                <w:szCs w:val="20"/>
                <w:color w:val="auto"/>
              </w:rPr>
            </w:pPr>
            <w:r>
              <w:rPr>
                <w:rFonts w:ascii="Arial" w:cs="Arial" w:eastAsia="Arial" w:hAnsi="Arial"/>
                <w:sz w:val="18"/>
                <w:szCs w:val="18"/>
                <w:color w:val="auto"/>
              </w:rPr>
              <w:t>$   88.1</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Operating loss</w:t>
            </w:r>
          </w:p>
        </w:tc>
        <w:tc>
          <w:tcPr>
            <w:tcW w:w="494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10"/>
        </w:trPr>
        <w:tc>
          <w:tcPr>
            <w:tcW w:w="5580" w:type="dxa"/>
            <w:vAlign w:val="bottom"/>
            <w:tcBorders>
              <w:bottom w:val="single" w:sz="8" w:color="808080"/>
            </w:tcBorders>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586"/>
        </w:trPr>
        <w:tc>
          <w:tcPr>
            <w:tcW w:w="558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53"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for the quarter ended August 31, 2008 decreased by $2.2 million, or 2.4%, to $88.1 million, compared to $90.3 million in the prior fiscal year quarter. Lower revenues in the Company’s export business of $7.8 million, primarily due to lower Harry Potter revenues, were partially offset by the favorable impact of foreign currency exchange rates of $2.9 million and higher local currency revenue in Australia, the United Kingdom, and Canada equivalent to $1.8 million, $1.5 million, and $1.2 million, respectively.</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Segment operating loss for the quarter ended August 31, 2008 increased to $4.2 million, as compared to $1.6 million in the prior fiscal year quarter, primarily due to the lower revenues from the Company’s export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three months ended August 31, 2008, the Company completed the sale of its domestic DTH business. The Company anticipates the sale of the direct-to-home continuities businesses located in the United Kingdom and Canada and the Maumelle Facility to be completed by calendar year-end. In accordance with Statement of Financial Accounting Standards (“SFAS”) No. 144, “Accounting for the Impairment or Disposal of Long-Lived Assets” (“SFAS 144”), the results of operations for the DTH business are presented separately in the Company’s Condensed Consolidated Financial Statements as discontinued operations and the assets and liabilities of the DTH business are treated as held for sale. SFAS 144 requires write-downs of the carrying value of assets held for sale if the carrying value exceeds their estimated fair value, less cost to sell. See Note 3 of Notes to Condensed Consolidated Financial Statements – Unaudited in Item 1, “Financial Statements” for a discussion of estimates and assumptions in calculating estimated fair value less cost to sell.</w:t>
      </w:r>
    </w:p>
    <w:p>
      <w:pPr>
        <w:spacing w:after="0" w:line="17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Loss from discontinued operations, net of tax, was $4.4 million, or $0.12 per share, for the quarter ended August 31, 2008, compared to $6.1 million, or $0.15 per share, in the prior fiscal year quarter. The lower loss in the current year period was primarily related to the gain recorded on the sale of the DTH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quarter of the fiscal year, while revenues from the sale of instructional materials and educational technology products are highest in the first and fourth quarters. The Company generally experiences a loss from operations in the first and third quarters of each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Company’s cash and cash equivalents, including the cash of the discontinued operations, totaled $31.7 million at August 31, 2008, compared to $120.4 million at May 31, 2008 and $42.7 million at August 31, 2007.</w:t>
      </w:r>
    </w:p>
    <w:p>
      <w:pPr>
        <w:spacing w:after="0" w:line="18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Cash used in operating activities was $140.6 million for the three months ended August 31, 2008, compared to $108.2 million in the prior fiscal year period. This $32.4 million increase consists primarily of a $10.9 million higher cash use for inventory in the current fiscal year period, reflecting earlier purchasing of inventory in School Book Fairs, and $11.1 million lower cash inflow from Accounts payable in the current fiscal year period due to the timing of payments.</w:t>
      </w:r>
    </w:p>
    <w:p>
      <w:pPr>
        <w:spacing w:after="0" w:line="16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Cash used in investing activities decreased to $18.4 million for the three months ended August 31, 2008 from $21.5 million for the prior fiscal year period, primarily due to the $4.0 million cash proceeds from the sale of the DTH business.</w:t>
      </w:r>
    </w:p>
    <w:p>
      <w:pPr>
        <w:spacing w:after="0" w:line="18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Cash provided by financing activities was $68.4 million for the three months ended August 31, 2008, compared to $156.5 million for the prior fiscal year period, representing an $88.1 million decrease year over year. The change is primarily attributable to $175.0 million of borrowings on the Revolving Loan as of August 31, 2007 to finance working capital needs, compared to net borrowings on the Revolving Loan of $40.0 million at August 31, 2008. This $135.0 million decrease was partially offset by a $76.3 million year over year increase in the Company’s activity under its lines of credit. The Company had net borrowings under its lines of credit of $51.2 million in the current fiscal year period as compared to net repayments of $25.1 million in the prior fiscal year period.</w:t>
      </w:r>
    </w:p>
    <w:p>
      <w:pPr>
        <w:spacing w:after="0" w:line="17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 The Company expects to realize the benefit of deferred tax assets related to the DTH business divestiture in the current fiscal year. Accordingly, net tax payments will be lower in the current fiscal year than historical levels.</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Company’s operating philosophy is to use cash provided from operating activities to create value by paying down debt, to reinvest in existing businesses and, from time to time, to make acquisitions that will complement its portfolio of businesses and to engage in shareholder enhancement initiatives, such as share purchases or dividend declarations. The Company believes that funds generated by its operations and funds available under its current credit facilities will be sufficient to finance its short-and long-term capital requirements.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of August 31, 2008, the Company’s primary sources of liquidity consisted of cash and cash equivalents of $31.7 million and borrowings remaining available under the Revolving Loan (as described under “Financing” below) totaling $285.0 million. The Company may at any time, but in any event not more than once in any calendar year, request that the aggregate availability of credit under the Revolving Loan be increased by an amount of $10.0 million or an integral multiple of $10.0 million (but not to exceed $150.0 million). The Company believes these sources of liquidity are sufficient to finance its ongoing operating needs.</w:t>
      </w:r>
    </w:p>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believes it has adequate access to capital to repay its debt obligations as they become due. As of August 31, 2008, the Company was rated BB by Standard &amp; Poor’s Rating Services and Ba1 by Moody’s Investors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elected to replace the Company’s then-existing credit facilities with a new $525.0 million credit facility with certain banks (the “Loan Agreement”), consisting of a $325.0 million revolving credit component (the “Revolving Loan”) and a $200.0 million amortizing term loan component (the “Term Loan”). The Loan Agreement is a contractually committed unsecured credit facility that is scheduled to expire on June 1, 2012. The $325.0 million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 The $200.0 million Term Loan component was established in order to fund the reacquisition by the Corporation of shares of its Common Stock pursuant to the ASR and was fully drawn on June 28, 2007 in connection with that transaction. The Term Loan, which may be prepaid at any time without penalty, requires quarterly principal payments of $10.7 million, with the first payment made on December 31, 2007, and a final payment of $7.4 million due on June 1, 2012. 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 (b) the prevailing Federal Funds rate plus 0.500% or (2) an adjusted LIBOR rate plus an applicable margin, ranging from 0.500% to 1.250% based on the Company’s prevailing consolidated debt to total capital ratio. As of August 31, 2008, the applicable margin on the Term Loan was 0.875% and the applicable margin on the Revolving Loan was 0.700% . The Loan Agreement also provides for the payment of a facility fee ranging from 0.125% to 0.250% per annum on the Revolving Loan only, which at August 31, 2008 was 0.175% . As of August 31, 2008, $167.9 million was outstanding under the Term Loan at a weighted average interest rate of</w:t>
      </w:r>
    </w:p>
    <w:p>
      <w:pPr>
        <w:spacing w:after="0" w:line="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3.300% . As of August 31, 2007, the Term Loan had an outstanding balance of $200.0 million at a weighted average interest rate of 6.300% . As of August 31, 2008, $40.0 million was outstanding under the Revolving Loan at a weighted average interest rate of 3.200% . As of August 31, 2007, $175.0 million was outstanding under the Revolving Loan at a weighted average interest rate of 6.200% . The Loan Agreement contains certain covenants, including interest coverage and leverage ratio tests and certain limitations on the amount of dividends and other distributions, and at August 31, 2008 the Company was in compliance with these covenants.</w:t>
      </w:r>
    </w:p>
    <w:p>
      <w:pPr>
        <w:spacing w:after="0" w:line="19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During the fourth quarter of fiscal 2008, the Company renewed unsecured money market bid rate credit lines totaling $50.0 million that were originally entered into during the fourth quarter of fiscal 2007. As of August 31, 2008, there were outstanding borrowings under these credit lines of $37.8 million and $5.7 million at August 31, 2007. All loans made under these credit lines are at the sole discretion of the lender and at an interest rate and term, not to exceed 364 days, agreed to at the time each loan is made. The weighted average interest rate for all money market bid rate loans outstanding on August 31, 2008 was 2.900% . These credit lines are typically available for loans up to 364 days and may be renewed, if requested by the Company, at the sole option of the lender.</w:t>
      </w:r>
    </w:p>
    <w:p>
      <w:pPr>
        <w:spacing w:after="0" w:line="17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of August 31, 2008, the Company had various local currency credit lines, with maximum available borrowings in amounts equivalent to $61.1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$25.2 million at August 31, 2008 at a weighted average interest rate of 5.900%, compared to the equivalent of $11.8 million at May 31, 2008 at a weighted average interest rate of 6.400% and to the equivalent of $35.3 million at August 31, 2007 at a weighted average interest rate of 6.600% .</w:t>
      </w:r>
    </w:p>
    <w:p>
      <w:pPr>
        <w:spacing w:after="0" w:line="17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At August 31, 2008, the Company had open standby letters of credit of $8.1 million issued under certain credit lines, as compared to $8.4 million as of May 31, 2008 and August 31, 2007.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total debt obligations were $430.2 million at August 31, 2008, $349.7 million at May 31, 2008 and $589.5 million at August 31, 2007. The higher level of debt at August 31, 2008 as compared to May 31, 2008 was primarily due to higher borrowings against the Revolving Loan and higher borrowings against the unsecured money market bid rate credit lines. The lower level of debt at August 31, 2008 compared to the levels at August 31, 2007 was due to the lower borrowings by the foreign subsidiaries, lower borrowings against the Revolving Loan, as well as the repayments made on the Term Loan and the repurchase in fiscal 2008 of the 5% Notes on the open market. This was partially offset by the higher borrowings against the Company’s unsecured money market bid rate credit lines.</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5 of Notes to Condensed Consolidated Financial Statements – Unaudited in Item 1, “Financial Statements.”</w:t>
      </w:r>
    </w:p>
    <w:p>
      <w:pPr>
        <w:sectPr>
          <w:pgSz w:w="11900" w:h="16838" w:orient="portrait"/>
          <w:cols w:equalWidth="0" w:num="1">
            <w:col w:w="11420"/>
          </w:cols>
          <w:pgMar w:left="240" w:top="125"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2007, the FASB issued SFAS No. 141 (revised), “Business Combinations” (“SFAS 141R”). SFAS 141R establishes principles and requirements for how an acquiror accounts for business combinations. SFAS 141R includes guidance for the recognition and measurement of the identifiable assets acquired, the liabilities assumed, and any noncontrolling or minority interest in the acquiree. It also provides guidance for the measurement of goodwill, the recognition of contingent consideration, the accounting for pre-acquisition gain and loss contingencies and acquisition-related transaction costs, and the recognition of changes in the acquiror’s income tax valuation allowance. SFAS 141R applies prospectively and is effective for business combinations made by the Company beginning June 1, 2009.</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an amendment of ARB No. 51,” (“SFAS 160”). SFAS 160 amends Accounting Research Bulletin No. 51, “Consolidated Financial Statements,” to establish accounting and reporting standards for any noncontrolling interest in a subsidiary and for the deconsolidation of a subsidiary. SFAS 160 clarifies that a noncontrolling interest in a subsidiary should be reported as a component of equity in the consolidated financial statements and requires disclosure, on the face of the consolidated statement of operations, of the amounts of consolidated net income attributable to the parent and to the noncontrolled interest. SFAS 160 is effective for the Company beginning June 1, 2009 and is to be applied prospectively, except for the presentation and disclosure requirements, which upon adoption will be applied retrospectively for all periods presented. The Company is currently evaluating the impact, if any, that SFAS 160 will have on its consolidated financial position, results of operations and cash flows.</w:t>
      </w:r>
    </w:p>
    <w:p>
      <w:pPr>
        <w:spacing w:after="0" w:line="1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2008, the FASB issued FSP No. FAS 142-3, “Determination of the Useful Life of Intangible Assets” (“FAS 142-3”). FAS 142-3 amends the factors that should be considered in developing renewal or extension assumptions used to determine the useful life of a recognized intangible asset under FASB Statement No. 142, “Goodwill and Other Intangible Assets.” FAS 142-3 is effective for fiscal years beginning after December 15, 2008 and early adoption is prohibited. The Company is currently evaluating the impact, if any, that FAS 142-3 will have on its consolidated financial position, results of operations and cash flows.</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June 2008, the FASB issued FSP No. EITF 03-6-1, “Determining Whether Instruments Granted in Share-Based Payment Transactions Are Participating Securities” (“FSP 03-6-1”), which classifies unvested share-based payment awards that contain nonforfeitable rights to dividends or dividend equivalents as participating securities and requires them to be included in the computation of earnings per share pursuant to the two-class method described in SFAS No. 128, “Earnings per Share.” FSP 03-6-1 is effective for financial statements issued for fiscal years beginning after December 15, 2008, and interim periods within those years. It requires all prior period earnings per share data presented to be adjusted retrospectively. The Company is currently evaluating the effect, if any, that the adoption of FSP 03-6-1 will have on its consolidated financial position, results of operations and cash flows.</w:t>
      </w:r>
    </w:p>
    <w:p>
      <w:pPr>
        <w:spacing w:after="0" w:line="1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September 2008, the FASB issued FSP No. 133-1 and FIN 45-4, “Disclosures about Credit Derivatives and Certain Guarantees: An Amendment of FASB Statement No. 133 and FASB Interpretation No. 45; and Clarification of the Effective Date of FASB Statement No. 161” (“FSP 133-1”). FSP 133-1 requires more extensive disclosure regarding potential adverse effects of changes in credit risk on the financial position, financial performance, and cash flows of sellers of credit derivatives. FSP 133-1 also amends FASB Interpretation No. 45, “Guarantor’s Accounting and Disclosure Requirements for Guarantees, Including Indirect Guarantees of Indebtedness to Others,” to require additional disclosure about the current status of the payment or performance risk of a guarantee. FSP 133-1 also clarifies the effective date of FASB Statement No. 161, “Disclosures about Derivative Instruments and Hedging Activities,” by stating that the disclosures required should be provided for any reporting period (annual or quarterly interim) beginning after November 15, 2008. The Company is currently evaluating the effect, if any, that the adoption of FSP 133-1 will have on its consolidated financial position,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September 2006, FASB issued SFAS No. 157, “Fair Value Measurements” (“SFAS 157”). SFAS 157 defines fair value, establishes a framework for measuring fair value under generally accepted accounting principles, and expands disclosures about fair value measurements. SFAS 157 emphasizes that fair value is a market-based measurement, not an entity-specific measurement, and states that a fair value measurement should be determined based on the assumptions that market participants would use in pricing the asset or liability. In February 2008, the FASB issued FASB Staff Position (“FSP”) No. FAS 157-1, “Application of FASB Statement No. 157 to FASB Statement No. 13 and Other Accounting Pronouncements That Address Fair Value Measurements for Purposes of Lease Classification or Measurement under Statement 13” and FSP No. FAS 157-2, “Effective Date of FASB Statement No. 157.” Collectively, these Staff Positions allow a one-year deferral of adoption of SFAS 157 for nonfinancial assets and liabilities that are recognized or disclosed at fair value in the financial statements on a non-recurring basis and amend SFAS 157 to exclude FASB Statement No. 13 and its related interpretive accounting pronouncements that address leasing transactions.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adopted SFAS 157 beginning June 1, 2008, except for nonfinancial assets and liabilities measured at fair value on a non-recurring basis, which will be effective for the Company June 1, 2009. The impact of the adoption on June 1, 2008 was not material to the Company’s condensed consolidated financial statements. The Company is currently evaluating the impact that the adoption of the deferred portion of SFAS 157 will have on its consolidated financial position, results of operations and cash flows.</w:t>
      </w:r>
    </w:p>
    <w:p>
      <w:pPr>
        <w:spacing w:after="0" w:line="19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SFAS 157 establishes a three-level hierarchy for fair value measurements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Company’s assets and liabilities measured at fair value on a recurring basis subject to the presentation requirements of SFAS 157 at August 31, 2008 consisted of cash and cash equivalents and foreign currency forward contracts, neither of which were material as of the reporting date. Cash and cash equivalents are comprised of bank deposits and short-term investments, such as money market funds, the fair value of which is based on quoted market prices, a Level 1 fair value measure. The fair values of foreign currency forward contracts, used by the Company to manage foreign exchange impact to the financial statements, are based on quotations from financial institutions, a Level 2 fair value measure.</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to provide companies with an option to report selected financial assets and liabilities at fair value. The objective of SFAS 159 is to reduce both the complexity in accounting for financial instruments and the volatility in earnings caused by measuring related assets and liabilities differently. SFAS 159 was effective for the Company beginning June 1, 2008. The Company has not elected to measure any financial assets and financial liabilities at fair value which were not previously required to be measured at fair value. Therefore, the adoption of this standard has had no impact on the Company’s consolidated financial position, results of operations and cash flows.</w:t>
      </w:r>
    </w:p>
    <w:p>
      <w:pPr>
        <w:spacing w:after="0" w:line="19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Since the date of the Company’s Annual Report on Form 10-K for the fiscal year ended May 31, 2008 (the “Annual Report”), there have been no material changes to the Company’s critical accounting policies and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Quarterly Report on Form 10-Q contains forward-looking statements. These forward-looking statements are subject to various risks and uncertainties, including the conditions of the children’s book and educational materials markets and acceptance of the Company’s products within those markets, and other risks and factors identified in this Report, in the Annual Report and from time to time in the Company’s other filings with the Securities and Exchange Commission (the “SEC”). Actual results could differ materially from those currently anticipated.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The Company conducts its business in various foreign countries, and as such, its cash flows and earnings are subject to fluctuations from changes in foreign currency exchange rates. Management believes that the impact of currency fluctuations does not represent a significant risk to the Company given the size and scope of its current international operations. The Company manages its exposures to this market risk through internally established procedures and, when deemed appropriate, through the use of short-term forward exchange contracts. All foreign exchange hedging transactions are supported by an identifiable commitment or a forecasted transaction. The Company does not enter into derivative transactions or use other financial instruments for trading or speculative purposes.</w:t>
      </w:r>
    </w:p>
    <w:p>
      <w:pPr>
        <w:spacing w:after="0" w:line="15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63% of the Company’s debt at August 31, 2008 bore interest at a variable rate and was sensitive to changes in interest rates, compared to approximately 55% at May 31, 2008 and approximately 71% at August 31, 2007. The increase in variable-rate debt as of August 31, 2008 compared to May 31, 2008 was primarily due to higher borrowings against the Revolving Credit and higher borrowings against the unsecured money market bid rate credit lines, resulting from seasonality of the business. The decrease in variable-rate debt as of August 31, 2008 compared to August 31, 2007 was due to repayments of the Term Loan and lower borrowings against the Revolving Credit. The Company is subject to the risk that market interest rates and its cost of borrowing will increase and thereby increase the interest charged under its variable-rate debt.</w:t>
      </w:r>
    </w:p>
    <w:p>
      <w:pPr>
        <w:spacing w:after="0" w:line="1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August 31, 2008 (see Note 5 of Notes to Condensed Consolidated Financial Statements - Unaudited in Item 1,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 amounts in millions</w:t>
            </w: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w w:val="91"/>
              </w:rPr>
              <w:t>Fiscal Year Maturity</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20"/>
        </w:trPr>
        <w:tc>
          <w:tcPr>
            <w:tcW w:w="2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589"/>
        </w:trPr>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512"/>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24"/>
                <w:szCs w:val="24"/>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24"/>
                <w:szCs w:val="24"/>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4"/>
                <w:szCs w:val="24"/>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4"/>
                <w:szCs w:val="24"/>
                <w:color w:val="auto"/>
              </w:rPr>
            </w:pPr>
          </w:p>
        </w:tc>
        <w:tc>
          <w:tcPr>
            <w:tcW w:w="980" w:type="dxa"/>
            <w:vAlign w:val="bottom"/>
          </w:tcPr>
          <w:p>
            <w:pPr>
              <w:jc w:val="right"/>
              <w:ind w:right="412"/>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Thereafter</w:t>
            </w:r>
          </w:p>
        </w:tc>
        <w:tc>
          <w:tcPr>
            <w:tcW w:w="40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Total</w:t>
            </w:r>
          </w:p>
        </w:tc>
      </w:tr>
      <w:tr>
        <w:trPr>
          <w:trHeight w:val="120"/>
        </w:trPr>
        <w:tc>
          <w:tcPr>
            <w:tcW w:w="2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832"/>
        </w:trPr>
        <w:tc>
          <w:tcPr>
            <w:tcW w:w="242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3"/>
        </w:trPr>
        <w:tc>
          <w:tcPr>
            <w:tcW w:w="2420" w:type="dxa"/>
            <w:vAlign w:val="bottom"/>
          </w:tcPr>
          <w:p>
            <w:pPr>
              <w:ind w:left="60"/>
              <w:spacing w:after="0"/>
              <w:rPr>
                <w:sz w:val="20"/>
                <w:szCs w:val="20"/>
                <w:color w:val="auto"/>
              </w:rPr>
            </w:pPr>
            <w:r>
              <w:rPr>
                <w:rFonts w:ascii="Arial" w:cs="Arial" w:eastAsia="Arial" w:hAnsi="Arial"/>
                <w:sz w:val="18"/>
                <w:szCs w:val="18"/>
                <w:color w:val="auto"/>
              </w:rPr>
              <w:t>Lines of credit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63.0</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8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63.0</w:t>
            </w:r>
          </w:p>
        </w:tc>
      </w:tr>
      <w:tr>
        <w:trPr>
          <w:trHeight w:val="243"/>
        </w:trPr>
        <w:tc>
          <w:tcPr>
            <w:tcW w:w="2420" w:type="dxa"/>
            <w:vAlign w:val="bottom"/>
          </w:tcPr>
          <w:p>
            <w:pPr>
              <w:ind w:left="6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486"/>
        </w:trPr>
        <w:tc>
          <w:tcPr>
            <w:tcW w:w="2420" w:type="dxa"/>
            <w:vAlign w:val="bottom"/>
          </w:tcPr>
          <w:p>
            <w:pPr>
              <w:ind w:left="60"/>
              <w:spacing w:after="0"/>
              <w:rPr>
                <w:sz w:val="20"/>
                <w:szCs w:val="20"/>
                <w:color w:val="auto"/>
              </w:rPr>
            </w:pPr>
            <w:r>
              <w:rPr>
                <w:rFonts w:ascii="Arial" w:cs="Arial" w:eastAsia="Arial" w:hAnsi="Arial"/>
                <w:sz w:val="18"/>
                <w:szCs w:val="18"/>
                <w:color w:val="auto"/>
                <w:w w:val="90"/>
              </w:rPr>
              <w:t>Long-term debt including current</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Fixed-rate debt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160.5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8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160.5</w:t>
            </w: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480"/>
        </w:trPr>
        <w:tc>
          <w:tcPr>
            <w:tcW w:w="2420" w:type="dxa"/>
            <w:vAlign w:val="bottom"/>
          </w:tcPr>
          <w:p>
            <w:pPr>
              <w:ind w:left="280"/>
              <w:spacing w:after="0"/>
              <w:rPr>
                <w:sz w:val="20"/>
                <w:szCs w:val="20"/>
                <w:color w:val="auto"/>
              </w:rPr>
            </w:pPr>
            <w:r>
              <w:rPr>
                <w:rFonts w:ascii="Arial" w:cs="Arial" w:eastAsia="Arial" w:hAnsi="Arial"/>
                <w:sz w:val="18"/>
                <w:szCs w:val="18"/>
                <w:color w:val="auto"/>
              </w:rPr>
              <w:t>Variable-rate debt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32.1</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42.8</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42.8</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8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207.9</w:t>
            </w:r>
          </w:p>
        </w:tc>
      </w:tr>
      <w:tr>
        <w:trPr>
          <w:trHeight w:val="424"/>
        </w:trPr>
        <w:tc>
          <w:tcPr>
            <w:tcW w:w="2420" w:type="dxa"/>
            <w:vAlign w:val="bottom"/>
            <w:tcBorders>
              <w:bottom w:val="single" w:sz="8" w:color="808080"/>
            </w:tcBorders>
          </w:tcPr>
          <w:p>
            <w:pPr>
              <w:ind w:left="280"/>
              <w:spacing w:after="0"/>
              <w:rPr>
                <w:sz w:val="20"/>
                <w:szCs w:val="20"/>
                <w:color w:val="auto"/>
              </w:rPr>
            </w:pPr>
            <w:r>
              <w:rPr>
                <w:rFonts w:ascii="Arial" w:cs="Arial" w:eastAsia="Arial" w:hAnsi="Arial"/>
                <w:sz w:val="18"/>
                <w:szCs w:val="18"/>
                <w:color w:val="auto"/>
              </w:rPr>
              <w:t>Average interest rate</w:t>
            </w:r>
            <w:r>
              <w:rPr>
                <w:rFonts w:ascii="Arial" w:cs="Arial" w:eastAsia="Arial" w:hAnsi="Arial"/>
                <w:sz w:val="35"/>
                <w:szCs w:val="35"/>
                <w:color w:val="auto"/>
                <w:vertAlign w:val="superscript"/>
              </w:rPr>
              <w:t>(2)</w:t>
            </w:r>
          </w:p>
        </w:tc>
        <w:tc>
          <w:tcPr>
            <w:tcW w:w="2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jc w:val="right"/>
              <w:ind w:right="132"/>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gridSpan w:val="2"/>
          </w:tcPr>
          <w:p>
            <w:pPr>
              <w:jc w:val="right"/>
              <w:ind w:right="172"/>
              <w:spacing w:after="0"/>
              <w:rPr>
                <w:sz w:val="20"/>
                <w:szCs w:val="20"/>
                <w:color w:val="auto"/>
              </w:rPr>
            </w:pPr>
            <w:r>
              <w:rPr>
                <w:rFonts w:ascii="Arial" w:cs="Arial" w:eastAsia="Arial" w:hAnsi="Arial"/>
                <w:sz w:val="18"/>
                <w:szCs w:val="18"/>
                <w:color w:val="auto"/>
              </w:rPr>
              <w:t>3.3%</w:t>
            </w: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jc w:val="right"/>
              <w:ind w:right="32"/>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-2518410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-2518410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-2055495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-20955</wp:posOffset>
            </wp:positionV>
            <wp:extent cx="5588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-14605</wp:posOffset>
            </wp:positionV>
            <wp:extent cx="215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-14605</wp:posOffset>
            </wp:positionV>
            <wp:extent cx="215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the final payment of $7.4 million under the Term Loan, which has a final maturity of June 1, 2012 but may be repaid at any time.</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interest rate under the Term Loan at August 31, 2008; the interest rate is subject to change over the life of the Term Loan.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August 31, 2008,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August 31, 2008 that has materially affected, or is reasonably likely to materially affect, the Corporation’s internal control over financial reporting.</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with respect to repurchases of shares of Common Stock by the Corporation during the quarter ended August 31, 2008:</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700" w:type="dxa"/>
            <w:vAlign w:val="bottom"/>
            <w:gridSpan w:val="3"/>
          </w:tcPr>
          <w:p>
            <w:pPr>
              <w:jc w:val="right"/>
              <w:ind w:right="3092"/>
              <w:spacing w:after="0"/>
              <w:rPr>
                <w:sz w:val="20"/>
                <w:szCs w:val="20"/>
                <w:color w:val="auto"/>
              </w:rPr>
            </w:pPr>
            <w:r>
              <w:rPr>
                <w:rFonts w:ascii="Arial" w:cs="Arial" w:eastAsia="Arial" w:hAnsi="Arial"/>
                <w:sz w:val="18"/>
                <w:szCs w:val="18"/>
                <w:b w:val="1"/>
                <w:bCs w:val="1"/>
                <w:color w:val="auto"/>
              </w:rPr>
              <w:t>Issuer Purchases of Equity Securities</w:t>
            </w:r>
          </w:p>
        </w:tc>
      </w:tr>
      <w:tr>
        <w:trPr>
          <w:trHeight w:val="243"/>
        </w:trPr>
        <w:tc>
          <w:tcPr>
            <w:tcW w:w="2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700" w:type="dxa"/>
            <w:vAlign w:val="bottom"/>
            <w:gridSpan w:val="3"/>
          </w:tcPr>
          <w:p>
            <w:pPr>
              <w:jc w:val="right"/>
              <w:ind w:right="2752"/>
              <w:spacing w:after="0"/>
              <w:rPr>
                <w:sz w:val="20"/>
                <w:szCs w:val="20"/>
                <w:color w:val="auto"/>
              </w:rPr>
            </w:pPr>
            <w:r>
              <w:rPr>
                <w:rFonts w:ascii="Arial" w:cs="Arial" w:eastAsia="Arial" w:hAnsi="Arial"/>
                <w:sz w:val="18"/>
                <w:szCs w:val="18"/>
                <w:b w:val="1"/>
                <w:bCs w:val="1"/>
                <w:color w:val="auto"/>
                <w:w w:val="97"/>
              </w:rPr>
              <w:t>(Dollars in millions except per share amounts)</w:t>
            </w:r>
          </w:p>
        </w:tc>
      </w:tr>
      <w:tr>
        <w:trPr>
          <w:trHeight w:val="120"/>
        </w:trPr>
        <w:tc>
          <w:tcPr>
            <w:tcW w:w="29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r>
      <w:tr>
        <w:trPr>
          <w:trHeight w:val="346"/>
        </w:trPr>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7"/>
              </w:rPr>
              <w:t>Total number of shares</w:t>
            </w:r>
          </w:p>
        </w:tc>
        <w:tc>
          <w:tcPr>
            <w:tcW w:w="3480" w:type="dxa"/>
            <w:vAlign w:val="bottom"/>
          </w:tcPr>
          <w:p>
            <w:pPr>
              <w:spacing w:after="0"/>
              <w:rPr>
                <w:sz w:val="24"/>
                <w:szCs w:val="24"/>
                <w:color w:val="auto"/>
              </w:rPr>
            </w:pPr>
          </w:p>
        </w:tc>
      </w:tr>
      <w:tr>
        <w:trPr>
          <w:trHeight w:val="243"/>
        </w:trPr>
        <w:tc>
          <w:tcPr>
            <w:tcW w:w="2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 part of publicly</w:t>
            </w:r>
          </w:p>
        </w:tc>
        <w:tc>
          <w:tcPr>
            <w:tcW w:w="348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Maximum number of shares (or</w:t>
            </w:r>
          </w:p>
        </w:tc>
      </w:tr>
      <w:tr>
        <w:trPr>
          <w:trHeight w:val="243"/>
        </w:trPr>
        <w:tc>
          <w:tcPr>
            <w:tcW w:w="29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w:t>
            </w: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Average price</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5"/>
              </w:rPr>
              <w:t>announced plans</w:t>
            </w:r>
          </w:p>
        </w:tc>
        <w:tc>
          <w:tcPr>
            <w:tcW w:w="348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approximate dollar value) that may yet be</w:t>
            </w:r>
          </w:p>
        </w:tc>
      </w:tr>
      <w:tr>
        <w:trPr>
          <w:trHeight w:val="243"/>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4"/>
              </w:rPr>
              <w:t>shares purchased</w:t>
            </w: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paid per share</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or programs</w:t>
            </w:r>
          </w:p>
        </w:tc>
        <w:tc>
          <w:tcPr>
            <w:tcW w:w="34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purchased under the plans or programs</w:t>
            </w:r>
          </w:p>
        </w:tc>
      </w:tr>
      <w:tr>
        <w:trPr>
          <w:trHeight w:val="120"/>
        </w:trPr>
        <w:tc>
          <w:tcPr>
            <w:tcW w:w="29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r>
      <w:tr>
        <w:trPr>
          <w:trHeight w:val="346"/>
        </w:trPr>
        <w:tc>
          <w:tcPr>
            <w:tcW w:w="2980" w:type="dxa"/>
            <w:vAlign w:val="bottom"/>
          </w:tcPr>
          <w:p>
            <w:pPr>
              <w:spacing w:after="0"/>
              <w:rPr>
                <w:sz w:val="20"/>
                <w:szCs w:val="20"/>
                <w:color w:val="auto"/>
              </w:rPr>
            </w:pPr>
            <w:r>
              <w:rPr>
                <w:rFonts w:ascii="Arial" w:cs="Arial" w:eastAsia="Arial" w:hAnsi="Arial"/>
                <w:sz w:val="18"/>
                <w:szCs w:val="18"/>
                <w:color w:val="auto"/>
              </w:rPr>
              <w:t>June 1, 2008 through June 30, 2008</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151,075</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28.95</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151,075</w:t>
            </w:r>
          </w:p>
        </w:tc>
        <w:tc>
          <w:tcPr>
            <w:tcW w:w="3480" w:type="dxa"/>
            <w:vAlign w:val="bottom"/>
          </w:tcPr>
          <w:p>
            <w:pPr>
              <w:jc w:val="right"/>
              <w:spacing w:after="0"/>
              <w:rPr>
                <w:sz w:val="20"/>
                <w:szCs w:val="20"/>
                <w:color w:val="auto"/>
              </w:rPr>
            </w:pPr>
            <w:r>
              <w:rPr>
                <w:rFonts w:ascii="Arial" w:cs="Arial" w:eastAsia="Arial" w:hAnsi="Arial"/>
                <w:sz w:val="18"/>
                <w:szCs w:val="18"/>
                <w:color w:val="auto"/>
              </w:rPr>
              <w:t>$15.6(1)</w:t>
            </w:r>
          </w:p>
        </w:tc>
      </w:tr>
      <w:tr>
        <w:trPr>
          <w:trHeight w:val="110"/>
        </w:trPr>
        <w:tc>
          <w:tcPr>
            <w:tcW w:w="29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r>
      <w:tr>
        <w:trPr>
          <w:trHeight w:val="343"/>
        </w:trPr>
        <w:tc>
          <w:tcPr>
            <w:tcW w:w="2980" w:type="dxa"/>
            <w:vAlign w:val="bottom"/>
          </w:tcPr>
          <w:p>
            <w:pPr>
              <w:spacing w:after="0"/>
              <w:rPr>
                <w:sz w:val="20"/>
                <w:szCs w:val="20"/>
                <w:color w:val="auto"/>
              </w:rPr>
            </w:pPr>
            <w:r>
              <w:rPr>
                <w:rFonts w:ascii="Arial" w:cs="Arial" w:eastAsia="Arial" w:hAnsi="Arial"/>
                <w:sz w:val="18"/>
                <w:szCs w:val="18"/>
                <w:color w:val="auto"/>
              </w:rPr>
              <w:t>July 1, 2008 through July 31, 2008</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100,713</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27.36</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100,713</w:t>
            </w:r>
          </w:p>
        </w:tc>
        <w:tc>
          <w:tcPr>
            <w:tcW w:w="348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110"/>
        </w:trPr>
        <w:tc>
          <w:tcPr>
            <w:tcW w:w="29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r>
      <w:tr>
        <w:trPr>
          <w:trHeight w:val="343"/>
        </w:trPr>
        <w:tc>
          <w:tcPr>
            <w:tcW w:w="2980" w:type="dxa"/>
            <w:vAlign w:val="bottom"/>
          </w:tcPr>
          <w:p>
            <w:pPr>
              <w:spacing w:after="0"/>
              <w:rPr>
                <w:sz w:val="20"/>
                <w:szCs w:val="20"/>
                <w:color w:val="auto"/>
              </w:rPr>
            </w:pPr>
            <w:r>
              <w:rPr>
                <w:rFonts w:ascii="Arial" w:cs="Arial" w:eastAsia="Arial" w:hAnsi="Arial"/>
                <w:sz w:val="18"/>
                <w:szCs w:val="18"/>
                <w:color w:val="auto"/>
                <w:w w:val="91"/>
              </w:rPr>
              <w:t>August 1, 2008 through August 31, 2008</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171,792</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26.36</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171,792</w:t>
            </w:r>
          </w:p>
        </w:tc>
        <w:tc>
          <w:tcPr>
            <w:tcW w:w="348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110"/>
        </w:trPr>
        <w:tc>
          <w:tcPr>
            <w:tcW w:w="29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r>
      <w:tr>
        <w:trPr>
          <w:trHeight w:val="343"/>
        </w:trPr>
        <w:tc>
          <w:tcPr>
            <w:tcW w:w="298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423,580</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27.52</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423,580</w:t>
            </w:r>
          </w:p>
        </w:tc>
        <w:tc>
          <w:tcPr>
            <w:tcW w:w="348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120"/>
        </w:trPr>
        <w:tc>
          <w:tcPr>
            <w:tcW w:w="29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-1995170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-1223645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-1223645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440" w:right="80" w:hanging="432"/>
        <w:spacing w:after="0" w:line="268"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May 28, 2008, the Corporation announced that its Board of Directors had authorized a new program to purchase up to $20.0 million of Common Stock, from time to time as conditions allow, on the open market or through negotiated private transactions.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July 21, 2008, the holders of the 1,656,200 outstanding shares of the Corporation’s Class A Stock approved by written consent an action to fix the number of directors constituting the full Board of Directors of the Corporation (the “Board”) at ten, effective as of the annual meeting of the Corporation’s stockholders held on September 24, 2008. The Corporation’s Amended and Restated Certificate of Incorporation provides that the holders of Class A Stock, voting as a class, have the right to fix the size of the Board so long as it does not consist of less than three nor more than fifteen directors.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Scholastic Corporation filed pursuant to Section 302 of the Sarbanes-Oxley Act of 2002.</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Scholastic Corporation filed pursuant to Section 302 of the Sarbanes-Oxley Act of 2002.</w:t>
      </w:r>
    </w:p>
    <w:p>
      <w:pPr>
        <w:spacing w:after="0" w:line="252" w:lineRule="exact"/>
        <w:rPr>
          <w:sz w:val="20"/>
          <w:szCs w:val="20"/>
          <w:color w:val="auto"/>
        </w:rPr>
      </w:pPr>
    </w:p>
    <w:p>
      <w:pPr>
        <w:ind w:left="54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0"/>
          </w:cols>
          <w:pgMar w:left="240" w:top="125" w:right="5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SCHOLASTIC CORPORATION</w:t>
      </w:r>
    </w:p>
    <w:p>
      <w:pPr>
        <w:spacing w:after="0" w:line="42"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spacing w:after="0"/>
        <w:tabs>
          <w:tab w:leader="none" w:pos="7760" w:val="left"/>
          <w:tab w:leader="none" w:pos="8340" w:val="left"/>
        </w:tabs>
        <w:rPr>
          <w:sz w:val="20"/>
          <w:szCs w:val="20"/>
          <w:color w:val="auto"/>
        </w:rPr>
      </w:pPr>
      <w:r>
        <w:rPr>
          <w:rFonts w:ascii="Arial" w:cs="Arial" w:eastAsia="Arial" w:hAnsi="Arial"/>
          <w:sz w:val="18"/>
          <w:szCs w:val="18"/>
          <w:color w:val="auto"/>
        </w:rPr>
        <w:t>Date: October 7,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80010</wp:posOffset>
            </wp:positionV>
            <wp:extent cx="1663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Richard Robinson</w:t>
      </w:r>
    </w:p>
    <w:p>
      <w:pPr>
        <w:spacing w:after="0" w:line="36" w:lineRule="exact"/>
        <w:rPr>
          <w:sz w:val="20"/>
          <w:szCs w:val="20"/>
          <w:color w:val="auto"/>
        </w:rPr>
      </w:pPr>
    </w:p>
    <w:p>
      <w:pPr>
        <w:ind w:left="8360"/>
        <w:spacing w:after="0"/>
        <w:rPr>
          <w:sz w:val="20"/>
          <w:szCs w:val="20"/>
          <w:color w:val="auto"/>
        </w:rPr>
      </w:pPr>
      <w:r>
        <w:rPr>
          <w:rFonts w:ascii="Arial" w:cs="Arial" w:eastAsia="Arial" w:hAnsi="Arial"/>
          <w:sz w:val="18"/>
          <w:szCs w:val="18"/>
          <w:i w:val="1"/>
          <w:iCs w:val="1"/>
          <w:color w:val="auto"/>
        </w:rPr>
        <w:t>Chairman of the Board,</w:t>
      </w:r>
    </w:p>
    <w:p>
      <w:pPr>
        <w:spacing w:after="0" w:line="36" w:lineRule="exact"/>
        <w:rPr>
          <w:sz w:val="20"/>
          <w:szCs w:val="20"/>
          <w:color w:val="auto"/>
        </w:rPr>
      </w:pPr>
    </w:p>
    <w:p>
      <w:pPr>
        <w:ind w:left="8360"/>
        <w:spacing w:after="0"/>
        <w:rPr>
          <w:sz w:val="20"/>
          <w:szCs w:val="20"/>
          <w:color w:val="auto"/>
        </w:rPr>
      </w:pPr>
      <w:r>
        <w:rPr>
          <w:rFonts w:ascii="Arial" w:cs="Arial" w:eastAsia="Arial" w:hAnsi="Arial"/>
          <w:sz w:val="18"/>
          <w:szCs w:val="18"/>
          <w:i w:val="1"/>
          <w:iCs w:val="1"/>
          <w:color w:val="auto"/>
        </w:rPr>
        <w:t>President and Chief</w:t>
      </w:r>
    </w:p>
    <w:p>
      <w:pPr>
        <w:spacing w:after="0" w:line="36" w:lineRule="exact"/>
        <w:rPr>
          <w:sz w:val="20"/>
          <w:szCs w:val="20"/>
          <w:color w:val="auto"/>
        </w:rPr>
      </w:pPr>
    </w:p>
    <w:p>
      <w:pPr>
        <w:ind w:left="8360"/>
        <w:spacing w:after="0"/>
        <w:rPr>
          <w:sz w:val="20"/>
          <w:szCs w:val="20"/>
          <w:color w:val="auto"/>
        </w:rPr>
      </w:pPr>
      <w:r>
        <w:rPr>
          <w:rFonts w:ascii="Arial" w:cs="Arial" w:eastAsia="Arial" w:hAnsi="Arial"/>
          <w:sz w:val="18"/>
          <w:szCs w:val="18"/>
          <w:i w:val="1"/>
          <w:iCs w:val="1"/>
          <w:color w:val="auto"/>
        </w:rPr>
        <w:t>Executive Officer</w:t>
      </w:r>
    </w:p>
    <w:p>
      <w:pPr>
        <w:spacing w:after="0" w:line="200" w:lineRule="exact"/>
        <w:rPr>
          <w:sz w:val="20"/>
          <w:szCs w:val="20"/>
          <w:color w:val="auto"/>
        </w:rPr>
      </w:pPr>
    </w:p>
    <w:p>
      <w:pPr>
        <w:spacing w:after="0" w:line="322" w:lineRule="exact"/>
        <w:rPr>
          <w:sz w:val="20"/>
          <w:szCs w:val="20"/>
          <w:color w:val="auto"/>
        </w:rPr>
      </w:pPr>
    </w:p>
    <w:p>
      <w:pPr>
        <w:spacing w:after="0"/>
        <w:tabs>
          <w:tab w:leader="none" w:pos="8340" w:val="left"/>
        </w:tabs>
        <w:rPr>
          <w:sz w:val="20"/>
          <w:szCs w:val="20"/>
          <w:color w:val="auto"/>
        </w:rPr>
      </w:pPr>
      <w:r>
        <w:rPr>
          <w:rFonts w:ascii="Arial" w:cs="Arial" w:eastAsia="Arial" w:hAnsi="Arial"/>
          <w:sz w:val="18"/>
          <w:szCs w:val="18"/>
          <w:color w:val="auto"/>
        </w:rPr>
        <w:t>Date: October 7, 2008</w:t>
      </w:r>
      <w:r>
        <w:rPr>
          <w:sz w:val="20"/>
          <w:szCs w:val="20"/>
          <w:color w:val="auto"/>
        </w:rPr>
        <w:tab/>
      </w:r>
      <w:r>
        <w:rPr>
          <w:rFonts w:ascii="Arial" w:cs="Arial" w:eastAsia="Arial" w:hAnsi="Arial"/>
          <w:sz w:val="16"/>
          <w:szCs w:val="16"/>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80010</wp:posOffset>
            </wp:positionV>
            <wp:extent cx="1663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Maureen O’Connell</w:t>
      </w:r>
    </w:p>
    <w:p>
      <w:pPr>
        <w:spacing w:after="0" w:line="36" w:lineRule="exact"/>
        <w:rPr>
          <w:sz w:val="20"/>
          <w:szCs w:val="20"/>
          <w:color w:val="auto"/>
        </w:rPr>
      </w:pPr>
    </w:p>
    <w:p>
      <w:pPr>
        <w:ind w:left="8360"/>
        <w:spacing w:after="0"/>
        <w:rPr>
          <w:sz w:val="20"/>
          <w:szCs w:val="20"/>
          <w:color w:val="auto"/>
        </w:rPr>
      </w:pPr>
      <w:r>
        <w:rPr>
          <w:rFonts w:ascii="Arial" w:cs="Arial" w:eastAsia="Arial" w:hAnsi="Arial"/>
          <w:sz w:val="18"/>
          <w:szCs w:val="18"/>
          <w:i w:val="1"/>
          <w:iCs w:val="1"/>
          <w:color w:val="auto"/>
        </w:rPr>
        <w:t>Executive Vice President,</w:t>
      </w:r>
    </w:p>
    <w:p>
      <w:pPr>
        <w:spacing w:after="0" w:line="36" w:lineRule="exact"/>
        <w:rPr>
          <w:sz w:val="20"/>
          <w:szCs w:val="20"/>
          <w:color w:val="auto"/>
        </w:rPr>
      </w:pPr>
    </w:p>
    <w:p>
      <w:pPr>
        <w:ind w:left="8360"/>
        <w:spacing w:after="0"/>
        <w:rPr>
          <w:sz w:val="20"/>
          <w:szCs w:val="20"/>
          <w:color w:val="auto"/>
        </w:rPr>
      </w:pPr>
      <w:r>
        <w:rPr>
          <w:rFonts w:ascii="Arial" w:cs="Arial" w:eastAsia="Arial" w:hAnsi="Arial"/>
          <w:sz w:val="18"/>
          <w:szCs w:val="18"/>
          <w:i w:val="1"/>
          <w:iCs w:val="1"/>
          <w:color w:val="auto"/>
        </w:rPr>
        <w:t>Chief Administrative Officer</w:t>
      </w:r>
    </w:p>
    <w:p>
      <w:pPr>
        <w:spacing w:after="0" w:line="36" w:lineRule="exact"/>
        <w:rPr>
          <w:sz w:val="20"/>
          <w:szCs w:val="20"/>
          <w:color w:val="auto"/>
        </w:rPr>
      </w:pPr>
    </w:p>
    <w:p>
      <w:pPr>
        <w:ind w:left="8360"/>
        <w:spacing w:after="0"/>
        <w:rPr>
          <w:sz w:val="20"/>
          <w:szCs w:val="20"/>
          <w:color w:val="auto"/>
        </w:rPr>
      </w:pPr>
      <w:r>
        <w:rPr>
          <w:rFonts w:ascii="Arial" w:cs="Arial" w:eastAsia="Arial" w:hAnsi="Arial"/>
          <w:sz w:val="18"/>
          <w:szCs w:val="18"/>
          <w:i w:val="1"/>
          <w:iCs w:val="1"/>
          <w:color w:val="auto"/>
        </w:rPr>
        <w:t>and Chief Financial Officer</w:t>
      </w:r>
    </w:p>
    <w:p>
      <w:pPr>
        <w:spacing w:after="0" w:line="36" w:lineRule="exact"/>
        <w:rPr>
          <w:sz w:val="20"/>
          <w:szCs w:val="20"/>
          <w:color w:val="auto"/>
        </w:rPr>
      </w:pPr>
    </w:p>
    <w:p>
      <w:pPr>
        <w:ind w:left="83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AUGUST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5"/>
          <w:szCs w:val="15"/>
          <w:b w:val="1"/>
          <w:bCs w:val="1"/>
          <w:u w:val="single" w:color="auto"/>
          <w:color w:val="auto"/>
        </w:rPr>
        <w:t>Description of Document</w:t>
      </w:r>
    </w:p>
    <w:p>
      <w:pPr>
        <w:spacing w:after="0" w:line="246"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Scholastic Corporation filed pursuant to Section 302 of the Sarbanes-Oxley Act of 2002.</w:t>
      </w:r>
    </w:p>
    <w:p>
      <w:pPr>
        <w:spacing w:after="0" w:line="252"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Scholastic Corporation filed pursuant to Section 302 of the Sarbanes-Oxley Act of 2002.</w:t>
      </w:r>
    </w:p>
    <w:p>
      <w:pPr>
        <w:spacing w:after="0" w:line="252" w:lineRule="exact"/>
        <w:rPr>
          <w:sz w:val="20"/>
          <w:szCs w:val="20"/>
          <w:color w:val="auto"/>
        </w:rPr>
      </w:pPr>
    </w:p>
    <w:p>
      <w:pPr>
        <w:ind w:left="920" w:hanging="613"/>
        <w:spacing w:after="0" w:line="268"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200" w:lineRule="exact"/>
        <w:rPr>
          <w:sz w:val="20"/>
          <w:szCs w:val="20"/>
          <w:color w:val="auto"/>
        </w:rPr>
      </w:pP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40"/>
          </w:cols>
          <w:pgMar w:left="240" w:top="125" w:right="9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239"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265"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right="100" w:hanging="412"/>
        <w:spacing w:after="0" w:line="268"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20" w:right="240" w:hanging="412"/>
        <w:spacing w:after="0" w:line="259"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221" w:lineRule="exact"/>
        <w:rPr>
          <w:rFonts w:ascii="Arial" w:cs="Arial" w:eastAsia="Arial" w:hAnsi="Arial"/>
          <w:sz w:val="18"/>
          <w:szCs w:val="18"/>
          <w:color w:val="auto"/>
        </w:rPr>
      </w:pPr>
    </w:p>
    <w:p>
      <w:pPr>
        <w:ind w:left="840" w:right="120" w:hanging="427"/>
        <w:spacing w:after="0" w:line="259"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840" w:right="120" w:hanging="427"/>
        <w:spacing w:after="0" w:line="259"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right="160" w:hanging="427"/>
        <w:spacing w:after="0" w:line="332" w:lineRule="auto"/>
        <w:tabs>
          <w:tab w:leader="none" w:pos="8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840" w:right="20" w:hanging="427"/>
        <w:spacing w:after="0" w:line="259"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right="680" w:hanging="412"/>
        <w:spacing w:after="0" w:line="332"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6"/>
          <w:szCs w:val="16"/>
          <w:color w:val="auto"/>
        </w:rPr>
      </w:pPr>
    </w:p>
    <w:p>
      <w:pPr>
        <w:ind w:left="840" w:right="80" w:hanging="427"/>
        <w:spacing w:after="0" w:line="268"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right="140" w:hanging="427"/>
        <w:spacing w:after="0" w:line="268"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October 7, 2008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171069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069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239"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265"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right="100" w:hanging="412"/>
        <w:spacing w:after="0" w:line="268"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20" w:right="240" w:hanging="412"/>
        <w:spacing w:after="0" w:line="25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21" w:lineRule="exact"/>
        <w:rPr>
          <w:rFonts w:ascii="Arial" w:cs="Arial" w:eastAsia="Arial" w:hAnsi="Arial"/>
          <w:sz w:val="18"/>
          <w:szCs w:val="18"/>
          <w:color w:val="auto"/>
        </w:rPr>
      </w:pPr>
    </w:p>
    <w:p>
      <w:pPr>
        <w:ind w:left="840" w:right="120" w:hanging="427"/>
        <w:spacing w:after="0" w:line="259"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840" w:right="120" w:hanging="427"/>
        <w:spacing w:after="0" w:line="259"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right="160" w:hanging="427"/>
        <w:spacing w:after="0" w:line="332" w:lineRule="auto"/>
        <w:tabs>
          <w:tab w:leader="none" w:pos="8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840" w:right="20" w:hanging="427"/>
        <w:spacing w:after="0" w:line="259"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right="680" w:hanging="412"/>
        <w:spacing w:after="0" w:line="332"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6"/>
          <w:szCs w:val="16"/>
          <w:color w:val="auto"/>
        </w:rPr>
      </w:pPr>
    </w:p>
    <w:p>
      <w:pPr>
        <w:ind w:left="840" w:right="80" w:hanging="427"/>
        <w:spacing w:after="0" w:line="268"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right="140" w:hanging="427"/>
        <w:spacing w:after="0" w:line="268"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October 7, 2008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129921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9921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August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46" w:lineRule="exact"/>
        <w:rPr>
          <w:sz w:val="20"/>
          <w:szCs w:val="20"/>
          <w:color w:val="auto"/>
        </w:rPr>
      </w:pPr>
    </w:p>
    <w:p>
      <w:pPr>
        <w:ind w:right="240" w:firstLine="270"/>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39" w:lineRule="exact"/>
        <w:rPr>
          <w:sz w:val="20"/>
          <w:szCs w:val="20"/>
          <w:color w:val="auto"/>
        </w:rPr>
      </w:pPr>
    </w:p>
    <w:p>
      <w:pPr>
        <w:ind w:left="760" w:right="360" w:hanging="414"/>
        <w:spacing w:after="0" w:line="268"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August 31, 2008 (the “Form 10-Q”) fully complies with the requirements of Section 13(a) or 15(d) of the Securities Exchange Act of 1934, as amended; and</w:t>
      </w:r>
    </w:p>
    <w:p>
      <w:pPr>
        <w:spacing w:after="0" w:line="226" w:lineRule="exact"/>
        <w:rPr>
          <w:rFonts w:ascii="Arial" w:cs="Arial" w:eastAsia="Arial" w:hAnsi="Arial"/>
          <w:sz w:val="18"/>
          <w:szCs w:val="18"/>
          <w:color w:val="auto"/>
        </w:rPr>
      </w:pPr>
    </w:p>
    <w:p>
      <w:pPr>
        <w:ind w:left="760" w:hanging="414"/>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Dated: October 7, 2008</w:t>
            </w:r>
          </w:p>
        </w:tc>
        <w:tc>
          <w:tcPr>
            <w:tcW w:w="1680" w:type="dxa"/>
            <w:vAlign w:val="bottom"/>
          </w:tcPr>
          <w:p>
            <w:pPr>
              <w:spacing w:after="0"/>
              <w:rPr>
                <w:sz w:val="20"/>
                <w:szCs w:val="20"/>
                <w:color w:val="auto"/>
              </w:rPr>
            </w:pPr>
            <w:r>
              <w:rPr>
                <w:rFonts w:ascii="Arial" w:cs="Arial" w:eastAsia="Arial" w:hAnsi="Arial"/>
                <w:sz w:val="18"/>
                <w:szCs w:val="18"/>
                <w:color w:val="auto"/>
                <w:w w:val="99"/>
              </w:rPr>
              <w:t>/s/ Richard Robinson</w:t>
            </w:r>
          </w:p>
        </w:tc>
      </w:tr>
      <w:tr>
        <w:trPr>
          <w:trHeight w:val="120"/>
        </w:trPr>
        <w:tc>
          <w:tcPr>
            <w:tcW w:w="5660" w:type="dxa"/>
            <w:vAlign w:val="bottom"/>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r>
      <w:tr>
        <w:trPr>
          <w:trHeight w:val="346"/>
        </w:trPr>
        <w:tc>
          <w:tcPr>
            <w:tcW w:w="56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43"/>
        </w:trPr>
        <w:tc>
          <w:tcPr>
            <w:tcW w:w="5660" w:type="dxa"/>
            <w:vAlign w:val="bottom"/>
          </w:tcPr>
          <w:p>
            <w:pPr>
              <w:spacing w:after="0"/>
              <w:rPr>
                <w:sz w:val="21"/>
                <w:szCs w:val="21"/>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0"/>
              </w:rPr>
              <w:t>Chief Executive Officer</w:t>
            </w:r>
          </w:p>
        </w:tc>
      </w:tr>
      <w:tr>
        <w:trPr>
          <w:trHeight w:val="486"/>
        </w:trPr>
        <w:tc>
          <w:tcPr>
            <w:tcW w:w="5660" w:type="dxa"/>
            <w:vAlign w:val="bottom"/>
          </w:tcPr>
          <w:p>
            <w:pPr>
              <w:spacing w:after="0"/>
              <w:rPr>
                <w:sz w:val="20"/>
                <w:szCs w:val="20"/>
                <w:color w:val="auto"/>
              </w:rPr>
            </w:pPr>
            <w:r>
              <w:rPr>
                <w:rFonts w:ascii="Arial" w:cs="Arial" w:eastAsia="Arial" w:hAnsi="Arial"/>
                <w:sz w:val="18"/>
                <w:szCs w:val="18"/>
                <w:color w:val="auto"/>
              </w:rPr>
              <w:t>Dated: October 7, 2008</w:t>
            </w:r>
          </w:p>
        </w:tc>
        <w:tc>
          <w:tcPr>
            <w:tcW w:w="1680" w:type="dxa"/>
            <w:vAlign w:val="bottom"/>
          </w:tcPr>
          <w:p>
            <w:pPr>
              <w:spacing w:after="0"/>
              <w:rPr>
                <w:sz w:val="20"/>
                <w:szCs w:val="20"/>
                <w:color w:val="auto"/>
              </w:rPr>
            </w:pPr>
            <w:r>
              <w:rPr>
                <w:rFonts w:ascii="Arial" w:cs="Arial" w:eastAsia="Arial" w:hAnsi="Arial"/>
                <w:sz w:val="18"/>
                <w:szCs w:val="18"/>
                <w:color w:val="auto"/>
                <w:w w:val="92"/>
              </w:rPr>
              <w:t>/s/ Maureen O’Connell</w:t>
            </w:r>
          </w:p>
        </w:tc>
      </w:tr>
      <w:tr>
        <w:trPr>
          <w:trHeight w:val="120"/>
        </w:trPr>
        <w:tc>
          <w:tcPr>
            <w:tcW w:w="5660" w:type="dxa"/>
            <w:vAlign w:val="bottom"/>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r>
      <w:tr>
        <w:trPr>
          <w:trHeight w:val="346"/>
        </w:trPr>
        <w:tc>
          <w:tcPr>
            <w:tcW w:w="56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Maureen O’Connell</w:t>
            </w:r>
          </w:p>
        </w:tc>
      </w:tr>
      <w:tr>
        <w:trPr>
          <w:trHeight w:val="243"/>
        </w:trPr>
        <w:tc>
          <w:tcPr>
            <w:tcW w:w="5660" w:type="dxa"/>
            <w:vAlign w:val="bottom"/>
          </w:tcPr>
          <w:p>
            <w:pPr>
              <w:spacing w:after="0"/>
              <w:rPr>
                <w:sz w:val="21"/>
                <w:szCs w:val="21"/>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3"/>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-1160145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-1160145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-387985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-387985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2"/>
    </w:lvl>
  </w:abstractNum>
  <w:abstractNum w:abstractNumId="8">
    <w:nsid w:val="216231B"/>
    <w:multiLevelType w:val="hybridMultilevel"/>
    <w:lvl w:ilvl="0">
      <w:lvlJc w:val="left"/>
      <w:lvlText w:val="%1"/>
      <w:numFmt w:val="decimal"/>
      <w:start w:val="32"/>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2019-12-13T19:20:06Z</dcterms:created>
  <dcterms:modified xsi:type="dcterms:W3CDTF">2019-12-13T19:20:06Z</dcterms:modified>
</cp:coreProperties>
</file>