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2970530</wp:posOffset>
            </wp:positionH>
            <wp:positionV relativeFrom="page">
              <wp:posOffset>157480</wp:posOffset>
            </wp:positionV>
            <wp:extent cx="1629410" cy="214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29410" cy="214630"/>
                    </a:xfrm>
                    <a:prstGeom prst="rect">
                      <a:avLst/>
                    </a:prstGeom>
                    <a:noFill/>
                  </pic:spPr>
                </pic:pic>
              </a:graphicData>
            </a:graphic>
          </wp:anchor>
        </w:drawing>
        <w:t>UNITED STATES</w:t>
      </w:r>
    </w:p>
    <w:p>
      <w:pPr>
        <w:spacing w:after="0" w:line="21"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21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3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QUARTERLY REPORT PURSUANT TO SECTION 13 OR 15(D) OF</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THE SECURITIES EXCHANGE ACT OF 1934</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680" w:type="dxa"/>
            <w:vAlign w:val="bottom"/>
          </w:tcPr>
          <w:p>
            <w:pPr>
              <w:spacing w:after="0"/>
              <w:rPr>
                <w:sz w:val="20"/>
                <w:szCs w:val="20"/>
                <w:color w:val="auto"/>
              </w:rPr>
            </w:pPr>
            <w:r>
              <w:rPr>
                <w:rFonts w:ascii="Arial" w:cs="Arial" w:eastAsia="Arial" w:hAnsi="Arial"/>
                <w:sz w:val="18"/>
                <w:szCs w:val="18"/>
                <w:color w:val="auto"/>
                <w:w w:val="92"/>
              </w:rPr>
              <w:t>For the quarterly period ended February 28, 2010</w:t>
            </w:r>
          </w:p>
        </w:tc>
        <w:tc>
          <w:tcPr>
            <w:tcW w:w="7160" w:type="dxa"/>
            <w:vAlign w:val="bottom"/>
          </w:tcPr>
          <w:p>
            <w:pPr>
              <w:ind w:left="3120"/>
              <w:spacing w:after="0"/>
              <w:rPr>
                <w:sz w:val="20"/>
                <w:szCs w:val="20"/>
                <w:color w:val="auto"/>
              </w:rPr>
            </w:pPr>
            <w:r>
              <w:rPr>
                <w:rFonts w:ascii="Arial" w:cs="Arial" w:eastAsia="Arial" w:hAnsi="Arial"/>
                <w:sz w:val="18"/>
                <w:szCs w:val="18"/>
                <w:color w:val="auto"/>
              </w:rPr>
              <w:t>Commission File No. 000-19860</w:t>
            </w:r>
          </w:p>
        </w:tc>
      </w:tr>
      <w:tr>
        <w:trPr>
          <w:trHeight w:val="426"/>
        </w:trPr>
        <w:tc>
          <w:tcPr>
            <w:tcW w:w="3680" w:type="dxa"/>
            <w:vAlign w:val="bottom"/>
          </w:tcPr>
          <w:p>
            <w:pPr>
              <w:spacing w:after="0"/>
              <w:rPr>
                <w:sz w:val="24"/>
                <w:szCs w:val="24"/>
                <w:color w:val="auto"/>
              </w:rPr>
            </w:pPr>
          </w:p>
        </w:tc>
        <w:tc>
          <w:tcPr>
            <w:tcW w:w="7160" w:type="dxa"/>
            <w:vAlign w:val="bottom"/>
          </w:tcPr>
          <w:p>
            <w:pPr>
              <w:jc w:val="center"/>
              <w:ind w:right="2992"/>
              <w:spacing w:after="0"/>
              <w:rPr>
                <w:sz w:val="20"/>
                <w:szCs w:val="20"/>
                <w:color w:val="auto"/>
              </w:rPr>
            </w:pPr>
            <w:r>
              <w:rPr>
                <w:rFonts w:ascii="Arial" w:cs="Arial" w:eastAsia="Arial" w:hAnsi="Arial"/>
                <w:sz w:val="18"/>
                <w:szCs w:val="18"/>
                <w:b w:val="1"/>
                <w:bCs w:val="1"/>
                <w:color w:val="auto"/>
                <w:w w:val="98"/>
              </w:rPr>
              <w:t>SCHOLASTIC CORPORATION</w:t>
            </w:r>
          </w:p>
        </w:tc>
      </w:tr>
      <w:tr>
        <w:trPr>
          <w:trHeight w:val="222"/>
        </w:trPr>
        <w:tc>
          <w:tcPr>
            <w:tcW w:w="3680" w:type="dxa"/>
            <w:vAlign w:val="bottom"/>
          </w:tcPr>
          <w:p>
            <w:pPr>
              <w:spacing w:after="0"/>
              <w:rPr>
                <w:sz w:val="19"/>
                <w:szCs w:val="19"/>
                <w:color w:val="auto"/>
              </w:rPr>
            </w:pPr>
          </w:p>
        </w:tc>
        <w:tc>
          <w:tcPr>
            <w:tcW w:w="7160" w:type="dxa"/>
            <w:vAlign w:val="bottom"/>
          </w:tcPr>
          <w:p>
            <w:pPr>
              <w:jc w:val="center"/>
              <w:ind w:right="2992"/>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39"/>
        </w:trPr>
        <w:tc>
          <w:tcPr>
            <w:tcW w:w="3680" w:type="dxa"/>
            <w:vAlign w:val="bottom"/>
          </w:tcPr>
          <w:p>
            <w:pPr>
              <w:ind w:left="660"/>
              <w:spacing w:after="0"/>
              <w:rPr>
                <w:sz w:val="20"/>
                <w:szCs w:val="20"/>
                <w:color w:val="auto"/>
              </w:rPr>
            </w:pPr>
            <w:r>
              <w:rPr>
                <w:rFonts w:ascii="Arial" w:cs="Arial" w:eastAsia="Arial" w:hAnsi="Arial"/>
                <w:sz w:val="18"/>
                <w:szCs w:val="18"/>
                <w:b w:val="1"/>
                <w:bCs w:val="1"/>
                <w:color w:val="auto"/>
              </w:rPr>
              <w:t>Delaware</w:t>
            </w:r>
          </w:p>
        </w:tc>
        <w:tc>
          <w:tcPr>
            <w:tcW w:w="7160" w:type="dxa"/>
            <w:vAlign w:val="bottom"/>
          </w:tcPr>
          <w:p>
            <w:pPr>
              <w:jc w:val="right"/>
              <w:ind w:right="692"/>
              <w:spacing w:after="0"/>
              <w:rPr>
                <w:sz w:val="20"/>
                <w:szCs w:val="20"/>
                <w:color w:val="auto"/>
              </w:rPr>
            </w:pPr>
            <w:r>
              <w:rPr>
                <w:rFonts w:ascii="Arial" w:cs="Arial" w:eastAsia="Arial" w:hAnsi="Arial"/>
                <w:sz w:val="18"/>
                <w:szCs w:val="18"/>
                <w:b w:val="1"/>
                <w:bCs w:val="1"/>
                <w:color w:val="auto"/>
              </w:rPr>
              <w:t>13-3385513</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(State or other jurisdiction of</w:t>
            </w:r>
          </w:p>
        </w:tc>
        <w:tc>
          <w:tcPr>
            <w:tcW w:w="7160" w:type="dxa"/>
            <w:vAlign w:val="bottom"/>
          </w:tcPr>
          <w:p>
            <w:pPr>
              <w:jc w:val="center"/>
              <w:ind w:left="4652"/>
              <w:spacing w:after="0"/>
              <w:rPr>
                <w:sz w:val="20"/>
                <w:szCs w:val="20"/>
                <w:color w:val="auto"/>
              </w:rPr>
            </w:pPr>
            <w:r>
              <w:rPr>
                <w:rFonts w:ascii="Arial" w:cs="Arial" w:eastAsia="Arial" w:hAnsi="Arial"/>
                <w:sz w:val="18"/>
                <w:szCs w:val="18"/>
                <w:color w:val="auto"/>
                <w:w w:val="92"/>
              </w:rPr>
              <w:t>(IRS Employer Identification No.)</w:t>
            </w:r>
          </w:p>
        </w:tc>
      </w:t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incorporation or organization)</w:t>
            </w:r>
          </w:p>
        </w:tc>
        <w:tc>
          <w:tcPr>
            <w:tcW w:w="7160" w:type="dxa"/>
            <w:vAlign w:val="bottom"/>
          </w:tcPr>
          <w:p>
            <w:pPr>
              <w:spacing w:after="0"/>
              <w:rPr>
                <w:sz w:val="19"/>
                <w:szCs w:val="19"/>
                <w:color w:val="auto"/>
              </w:rPr>
            </w:pPr>
          </w:p>
        </w:tc>
      </w:tr>
      <w:tr>
        <w:trPr>
          <w:trHeight w:val="358"/>
        </w:trPr>
        <w:tc>
          <w:tcPr>
            <w:tcW w:w="3680" w:type="dxa"/>
            <w:vAlign w:val="bottom"/>
          </w:tcPr>
          <w:p>
            <w:pPr>
              <w:spacing w:after="0"/>
              <w:rPr>
                <w:sz w:val="20"/>
                <w:szCs w:val="20"/>
                <w:color w:val="auto"/>
              </w:rPr>
            </w:pPr>
            <w:r>
              <w:rPr>
                <w:rFonts w:ascii="Arial" w:cs="Arial" w:eastAsia="Arial" w:hAnsi="Arial"/>
                <w:sz w:val="18"/>
                <w:szCs w:val="18"/>
                <w:b w:val="1"/>
                <w:bCs w:val="1"/>
                <w:color w:val="auto"/>
              </w:rPr>
              <w:t>557 Broadway, New York, New York</w:t>
            </w:r>
          </w:p>
        </w:tc>
        <w:tc>
          <w:tcPr>
            <w:tcW w:w="7160" w:type="dxa"/>
            <w:vAlign w:val="bottom"/>
          </w:tcPr>
          <w:p>
            <w:pPr>
              <w:jc w:val="right"/>
              <w:ind w:right="892"/>
              <w:spacing w:after="0"/>
              <w:rPr>
                <w:sz w:val="20"/>
                <w:szCs w:val="20"/>
                <w:color w:val="auto"/>
              </w:rPr>
            </w:pPr>
            <w:r>
              <w:rPr>
                <w:rFonts w:ascii="Arial" w:cs="Arial" w:eastAsia="Arial" w:hAnsi="Arial"/>
                <w:sz w:val="18"/>
                <w:szCs w:val="18"/>
                <w:b w:val="1"/>
                <w:bCs w:val="1"/>
                <w:color w:val="auto"/>
              </w:rPr>
              <w:t>10012</w:t>
            </w:r>
          </w:p>
        </w:tc>
      </w:t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7160" w:type="dxa"/>
            <w:vAlign w:val="bottom"/>
          </w:tcPr>
          <w:p>
            <w:pPr>
              <w:jc w:val="center"/>
              <w:ind w:left="4652"/>
              <w:spacing w:after="0"/>
              <w:rPr>
                <w:sz w:val="20"/>
                <w:szCs w:val="20"/>
                <w:color w:val="auto"/>
              </w:rPr>
            </w:pPr>
            <w:r>
              <w:rPr>
                <w:rFonts w:ascii="Arial" w:cs="Arial" w:eastAsia="Arial" w:hAnsi="Arial"/>
                <w:sz w:val="18"/>
                <w:szCs w:val="18"/>
                <w:color w:val="auto"/>
                <w:w w:val="91"/>
              </w:rPr>
              <w:t>(Zip Code)</w:t>
            </w:r>
          </w:p>
        </w:tc>
      </w:tr>
    </w:tbl>
    <w:p>
      <w:pPr>
        <w:spacing w:after="0" w:line="21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 (212) 343-6100</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w:t>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the preceding 12 months (or for such shorter period that the Registrant was required to file such reports), and (2) has been subject to such filing requirements for</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19" w:lineRule="exact"/>
        <w:rPr>
          <w:sz w:val="24"/>
          <w:szCs w:val="24"/>
          <w:color w:val="auto"/>
        </w:rPr>
      </w:pPr>
    </w:p>
    <w:p>
      <w:pPr>
        <w:ind w:right="24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(229.405 of this chapter) during the preceding 12 months (or for such shorter period that the registrant was required to submit and post such files). Yes o No o</w:t>
      </w:r>
    </w:p>
    <w:p>
      <w:pPr>
        <w:spacing w:after="0" w:line="194" w:lineRule="exact"/>
        <w:rPr>
          <w:sz w:val="24"/>
          <w:szCs w:val="24"/>
          <w:color w:val="auto"/>
        </w:rPr>
      </w:pPr>
    </w:p>
    <w:p>
      <w:pPr>
        <w:ind w:right="4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60"/>
          </w:cols>
          <w:pgMar w:left="240" w:top="787" w:right="199" w:bottom="1440" w:gutter="0" w:footer="0" w:header="0"/>
        </w:sectPr>
      </w:pPr>
    </w:p>
    <w:p>
      <w:pPr>
        <w:spacing w:after="0" w:line="153"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4920" w:space="720"/>
            <w:col w:w="5820"/>
          </w:cols>
          <w:pgMar w:left="240" w:top="787" w:right="199" w:bottom="1440" w:gutter="0" w:footer="0" w:header="0"/>
          <w:type w:val="continuous"/>
        </w:sectPr>
      </w:pP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8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4860" w:type="dxa"/>
            <w:vAlign w:val="bottom"/>
            <w:gridSpan w:val="2"/>
          </w:tcPr>
          <w:p>
            <w:pPr>
              <w:jc w:val="center"/>
              <w:ind w:right="3460"/>
              <w:spacing w:after="0"/>
              <w:rPr>
                <w:sz w:val="20"/>
                <w:szCs w:val="20"/>
                <w:color w:val="auto"/>
              </w:rPr>
            </w:pPr>
            <w:r>
              <w:rPr>
                <w:rFonts w:ascii="Arial" w:cs="Arial" w:eastAsia="Arial" w:hAnsi="Arial"/>
                <w:sz w:val="18"/>
                <w:szCs w:val="18"/>
                <w:color w:val="auto"/>
                <w:w w:val="93"/>
              </w:rPr>
              <w:t>Title</w:t>
            </w:r>
          </w:p>
        </w:tc>
        <w:tc>
          <w:tcPr>
            <w:tcW w:w="3140" w:type="dxa"/>
            <w:vAlign w:val="bottom"/>
          </w:tcPr>
          <w:p>
            <w:pPr>
              <w:jc w:val="center"/>
              <w:spacing w:after="0"/>
              <w:rPr>
                <w:sz w:val="20"/>
                <w:szCs w:val="20"/>
                <w:color w:val="auto"/>
              </w:rPr>
            </w:pPr>
            <w:r>
              <w:rPr>
                <w:rFonts w:ascii="Arial" w:cs="Arial" w:eastAsia="Arial" w:hAnsi="Arial"/>
                <w:sz w:val="18"/>
                <w:szCs w:val="18"/>
                <w:color w:val="auto"/>
                <w:w w:val="87"/>
              </w:rPr>
              <w:t>Number of shares outstanding</w:t>
            </w:r>
          </w:p>
        </w:tc>
        <w:tc>
          <w:tcPr>
            <w:tcW w:w="1300" w:type="dxa"/>
            <w:vAlign w:val="bottom"/>
          </w:tcPr>
          <w:p>
            <w:pPr>
              <w:spacing w:after="0"/>
              <w:rPr>
                <w:sz w:val="18"/>
                <w:szCs w:val="18"/>
                <w:color w:val="auto"/>
              </w:rPr>
            </w:pPr>
          </w:p>
        </w:tc>
      </w:tr>
      <w:tr>
        <w:trPr>
          <w:trHeight w:val="222"/>
        </w:trPr>
        <w:tc>
          <w:tcPr>
            <w:tcW w:w="2160" w:type="dxa"/>
            <w:vAlign w:val="bottom"/>
          </w:tcPr>
          <w:p>
            <w:pPr>
              <w:spacing w:after="0"/>
              <w:rPr>
                <w:sz w:val="19"/>
                <w:szCs w:val="19"/>
                <w:color w:val="auto"/>
              </w:rPr>
            </w:pPr>
          </w:p>
        </w:tc>
        <w:tc>
          <w:tcPr>
            <w:tcW w:w="4860" w:type="dxa"/>
            <w:vAlign w:val="bottom"/>
            <w:gridSpan w:val="2"/>
          </w:tcPr>
          <w:p>
            <w:pPr>
              <w:jc w:val="center"/>
              <w:ind w:right="3400"/>
              <w:spacing w:after="0"/>
              <w:rPr>
                <w:sz w:val="20"/>
                <w:szCs w:val="20"/>
                <w:color w:val="auto"/>
              </w:rPr>
            </w:pPr>
            <w:r>
              <w:rPr>
                <w:rFonts w:ascii="Arial" w:cs="Arial" w:eastAsia="Arial" w:hAnsi="Arial"/>
                <w:sz w:val="18"/>
                <w:szCs w:val="18"/>
                <w:color w:val="auto"/>
                <w:w w:val="85"/>
              </w:rPr>
              <w:t>of each class</w:t>
            </w:r>
          </w:p>
        </w:tc>
        <w:tc>
          <w:tcPr>
            <w:tcW w:w="3140" w:type="dxa"/>
            <w:vAlign w:val="bottom"/>
          </w:tcPr>
          <w:p>
            <w:pPr>
              <w:jc w:val="center"/>
              <w:spacing w:after="0"/>
              <w:rPr>
                <w:sz w:val="20"/>
                <w:szCs w:val="20"/>
                <w:color w:val="auto"/>
              </w:rPr>
            </w:pPr>
            <w:r>
              <w:rPr>
                <w:rFonts w:ascii="Arial" w:cs="Arial" w:eastAsia="Arial" w:hAnsi="Arial"/>
                <w:sz w:val="18"/>
                <w:szCs w:val="18"/>
                <w:color w:val="auto"/>
                <w:w w:val="86"/>
              </w:rPr>
              <w:t>as of February 28, 2010</w:t>
            </w:r>
          </w:p>
        </w:tc>
        <w:tc>
          <w:tcPr>
            <w:tcW w:w="1300" w:type="dxa"/>
            <w:vAlign w:val="bottom"/>
          </w:tcPr>
          <w:p>
            <w:pPr>
              <w:spacing w:after="0"/>
              <w:rPr>
                <w:sz w:val="19"/>
                <w:szCs w:val="19"/>
                <w:color w:val="auto"/>
              </w:rPr>
            </w:pPr>
          </w:p>
        </w:tc>
      </w:tr>
      <w:tr>
        <w:trPr>
          <w:trHeight w:val="110"/>
        </w:trPr>
        <w:tc>
          <w:tcPr>
            <w:tcW w:w="216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3400" w:type="dxa"/>
            <w:vAlign w:val="bottom"/>
          </w:tcPr>
          <w:p>
            <w:pPr>
              <w:spacing w:after="0"/>
              <w:rPr>
                <w:sz w:val="9"/>
                <w:szCs w:val="9"/>
                <w:color w:val="auto"/>
              </w:rPr>
            </w:pPr>
          </w:p>
        </w:tc>
        <w:tc>
          <w:tcPr>
            <w:tcW w:w="3140" w:type="dxa"/>
            <w:vAlign w:val="bottom"/>
            <w:tcBorders>
              <w:bottom w:val="single" w:sz="8" w:color="808080"/>
            </w:tcBorders>
          </w:tcPr>
          <w:p>
            <w:pPr>
              <w:spacing w:after="0"/>
              <w:rPr>
                <w:sz w:val="9"/>
                <w:szCs w:val="9"/>
                <w:color w:val="auto"/>
              </w:rPr>
            </w:pPr>
          </w:p>
        </w:tc>
        <w:tc>
          <w:tcPr>
            <w:tcW w:w="1300" w:type="dxa"/>
            <w:vAlign w:val="bottom"/>
          </w:tcPr>
          <w:p>
            <w:pPr>
              <w:spacing w:after="0"/>
              <w:rPr>
                <w:sz w:val="9"/>
                <w:szCs w:val="9"/>
                <w:color w:val="auto"/>
              </w:rPr>
            </w:pPr>
          </w:p>
        </w:tc>
      </w:tr>
      <w:tr>
        <w:trPr>
          <w:trHeight w:val="458"/>
        </w:trPr>
        <w:tc>
          <w:tcPr>
            <w:tcW w:w="7020" w:type="dxa"/>
            <w:vAlign w:val="bottom"/>
            <w:gridSpan w:val="3"/>
          </w:tcPr>
          <w:p>
            <w:pPr>
              <w:jc w:val="center"/>
              <w:ind w:right="1240"/>
              <w:spacing w:after="0"/>
              <w:rPr>
                <w:sz w:val="20"/>
                <w:szCs w:val="20"/>
                <w:color w:val="auto"/>
              </w:rPr>
            </w:pPr>
            <w:r>
              <w:rPr>
                <w:rFonts w:ascii="Arial" w:cs="Arial" w:eastAsia="Arial" w:hAnsi="Arial"/>
                <w:sz w:val="18"/>
                <w:szCs w:val="18"/>
                <w:color w:val="auto"/>
                <w:w w:val="88"/>
              </w:rPr>
              <w:t>Common Stock, $.01 par value</w:t>
            </w:r>
          </w:p>
        </w:tc>
        <w:tc>
          <w:tcPr>
            <w:tcW w:w="3140" w:type="dxa"/>
            <w:vAlign w:val="bottom"/>
          </w:tcPr>
          <w:p>
            <w:pPr>
              <w:jc w:val="right"/>
              <w:ind w:right="1092"/>
              <w:spacing w:after="0"/>
              <w:rPr>
                <w:sz w:val="20"/>
                <w:szCs w:val="20"/>
                <w:color w:val="auto"/>
              </w:rPr>
            </w:pPr>
            <w:r>
              <w:rPr>
                <w:rFonts w:ascii="Arial" w:cs="Arial" w:eastAsia="Arial" w:hAnsi="Arial"/>
                <w:sz w:val="18"/>
                <w:szCs w:val="18"/>
                <w:color w:val="auto"/>
              </w:rPr>
              <w:t>34,925,062</w:t>
            </w:r>
          </w:p>
        </w:tc>
        <w:tc>
          <w:tcPr>
            <w:tcW w:w="1300" w:type="dxa"/>
            <w:vAlign w:val="bottom"/>
          </w:tcPr>
          <w:p>
            <w:pPr>
              <w:spacing w:after="0"/>
              <w:rPr>
                <w:sz w:val="24"/>
                <w:szCs w:val="24"/>
                <w:color w:val="auto"/>
              </w:rPr>
            </w:pPr>
          </w:p>
        </w:tc>
      </w:tr>
      <w:tr>
        <w:trPr>
          <w:trHeight w:val="222"/>
        </w:trPr>
        <w:tc>
          <w:tcPr>
            <w:tcW w:w="7020" w:type="dxa"/>
            <w:vAlign w:val="bottom"/>
            <w:gridSpan w:val="3"/>
          </w:tcPr>
          <w:p>
            <w:pPr>
              <w:jc w:val="center"/>
              <w:ind w:right="1260"/>
              <w:spacing w:after="0"/>
              <w:rPr>
                <w:sz w:val="20"/>
                <w:szCs w:val="20"/>
                <w:color w:val="auto"/>
              </w:rPr>
            </w:pPr>
            <w:r>
              <w:rPr>
                <w:rFonts w:ascii="Arial" w:cs="Arial" w:eastAsia="Arial" w:hAnsi="Arial"/>
                <w:sz w:val="18"/>
                <w:szCs w:val="18"/>
                <w:color w:val="auto"/>
                <w:w w:val="88"/>
              </w:rPr>
              <w:t>Class A Stock, $.01 par value</w:t>
            </w:r>
          </w:p>
        </w:tc>
        <w:tc>
          <w:tcPr>
            <w:tcW w:w="3140" w:type="dxa"/>
            <w:vAlign w:val="bottom"/>
          </w:tcPr>
          <w:p>
            <w:pPr>
              <w:jc w:val="right"/>
              <w:ind w:right="1132"/>
              <w:spacing w:after="0"/>
              <w:rPr>
                <w:sz w:val="20"/>
                <w:szCs w:val="20"/>
                <w:color w:val="auto"/>
              </w:rPr>
            </w:pPr>
            <w:r>
              <w:rPr>
                <w:rFonts w:ascii="Arial" w:cs="Arial" w:eastAsia="Arial" w:hAnsi="Arial"/>
                <w:sz w:val="18"/>
                <w:szCs w:val="18"/>
                <w:color w:val="auto"/>
              </w:rPr>
              <w:t>1,656,200</w:t>
            </w:r>
          </w:p>
        </w:tc>
        <w:tc>
          <w:tcPr>
            <w:tcW w:w="1300" w:type="dxa"/>
            <w:vAlign w:val="bottom"/>
          </w:tcPr>
          <w:p>
            <w:pPr>
              <w:spacing w:after="0"/>
              <w:rPr>
                <w:sz w:val="19"/>
                <w:szCs w:val="19"/>
                <w:color w:val="auto"/>
              </w:rPr>
            </w:pPr>
          </w:p>
        </w:tc>
      </w:tr>
      <w:tr>
        <w:trPr>
          <w:trHeight w:val="350"/>
        </w:trPr>
        <w:tc>
          <w:tcPr>
            <w:tcW w:w="2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1"/>
        </w:trPr>
        <w:tc>
          <w:tcPr>
            <w:tcW w:w="216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3400" w:type="dxa"/>
            <w:vAlign w:val="bottom"/>
            <w:shd w:val="clear" w:color="auto" w:fill="808080"/>
          </w:tcPr>
          <w:p>
            <w:pPr>
              <w:spacing w:after="0"/>
              <w:rPr>
                <w:sz w:val="5"/>
                <w:szCs w:val="5"/>
                <w:color w:val="auto"/>
              </w:rPr>
            </w:pPr>
          </w:p>
        </w:tc>
        <w:tc>
          <w:tcPr>
            <w:tcW w:w="314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787" w:right="1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 FOR THE QUARTERLY PERIOD ENDED FEBRUARY 28,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600" w:type="dxa"/>
            <w:vAlign w:val="bottom"/>
          </w:tcPr>
          <w:p>
            <w:pPr>
              <w:ind w:left="100"/>
              <w:spacing w:after="0"/>
              <w:rPr>
                <w:sz w:val="20"/>
                <w:szCs w:val="20"/>
                <w:color w:val="auto"/>
              </w:rPr>
            </w:pPr>
            <w:r>
              <w:rPr>
                <w:rFonts w:ascii="Arial" w:cs="Arial" w:eastAsia="Arial" w:hAnsi="Arial"/>
                <w:sz w:val="18"/>
                <w:szCs w:val="18"/>
                <w:b w:val="1"/>
                <w:bCs w:val="1"/>
                <w:color w:val="auto"/>
              </w:rPr>
              <w:t>Page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084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0840" w:type="dxa"/>
            <w:vAlign w:val="bottom"/>
            <w:gridSpan w:val="18"/>
            <w:vMerge w:val="continue"/>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560" w:type="dxa"/>
            <w:vAlign w:val="bottom"/>
            <w:gridSpan w:val="2"/>
          </w:tcPr>
          <w:p>
            <w:pPr>
              <w:spacing w:after="0"/>
              <w:rPr>
                <w:sz w:val="24"/>
                <w:szCs w:val="24"/>
                <w:color w:val="auto"/>
              </w:rPr>
            </w:pPr>
          </w:p>
        </w:tc>
        <w:tc>
          <w:tcPr>
            <w:tcW w:w="148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7980" w:type="dxa"/>
            <w:vAlign w:val="bottom"/>
            <w:gridSpan w:val="9"/>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6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 (Unaudited)</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60" w:type="dxa"/>
            <w:vAlign w:val="bottom"/>
            <w:tcBorders>
              <w:top w:val="single" w:sz="8" w:color="0000EE"/>
            </w:tcBorders>
            <w:gridSpan w:val="1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p>
        </w:tc>
        <w:tc>
          <w:tcPr>
            <w:tcW w:w="5000" w:type="dxa"/>
            <w:vAlign w:val="bottom"/>
            <w:gridSpan w:val="3"/>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7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Cash Flows (Unaudited)</w:t>
              </w:r>
            </w:hyperlink>
          </w:p>
        </w:tc>
        <w:tc>
          <w:tcPr>
            <w:tcW w:w="60" w:type="dxa"/>
            <w:vAlign w:val="bottom"/>
            <w:tcBorders>
              <w:top w:val="single" w:sz="8" w:color="0000EE"/>
            </w:tcBorders>
          </w:tcPr>
          <w:p>
            <w:pPr>
              <w:spacing w:after="0"/>
              <w:rPr>
                <w:sz w:val="24"/>
                <w:szCs w:val="24"/>
                <w:color w:val="auto"/>
              </w:rPr>
            </w:pPr>
          </w:p>
        </w:tc>
        <w:tc>
          <w:tcPr>
            <w:tcW w:w="5700" w:type="dxa"/>
            <w:vAlign w:val="bottom"/>
            <w:gridSpan w:val="6"/>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Condensed Consolidated Financial Statements (Unaudited)</w:t>
              </w:r>
            </w:hyperlink>
          </w:p>
        </w:tc>
        <w:tc>
          <w:tcPr>
            <w:tcW w:w="4660" w:type="dxa"/>
            <w:vAlign w:val="bottom"/>
            <w:gridSpan w:val="2"/>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2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2.</w:t>
              </w:r>
            </w:hyperlink>
          </w:p>
        </w:tc>
        <w:tc>
          <w:tcPr>
            <w:tcW w:w="540" w:type="dxa"/>
            <w:vAlign w:val="bottom"/>
          </w:tcPr>
          <w:p>
            <w:pPr>
              <w:spacing w:after="0"/>
              <w:rPr>
                <w:sz w:val="24"/>
                <w:szCs w:val="24"/>
                <w:color w:val="auto"/>
              </w:rPr>
            </w:pPr>
          </w:p>
        </w:tc>
        <w:tc>
          <w:tcPr>
            <w:tcW w:w="9460" w:type="dxa"/>
            <w:vAlign w:val="bottom"/>
            <w:gridSpan w:val="1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20" w:type="dxa"/>
            <w:vAlign w:val="bottom"/>
          </w:tcPr>
          <w:p>
            <w:pPr>
              <w:spacing w:after="0"/>
              <w:rPr>
                <w:sz w:val="24"/>
                <w:szCs w:val="24"/>
                <w:color w:val="auto"/>
              </w:rPr>
            </w:pPr>
          </w:p>
        </w:tc>
        <w:tc>
          <w:tcPr>
            <w:tcW w:w="520" w:type="dxa"/>
            <w:vAlign w:val="bottom"/>
            <w:tcBorders>
              <w:top w:val="single" w:sz="8" w:color="0000EE"/>
            </w:tcBorders>
            <w:gridSpan w:val="3"/>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3.</w:t>
              </w:r>
            </w:hyperlink>
          </w:p>
        </w:tc>
        <w:tc>
          <w:tcPr>
            <w:tcW w:w="540" w:type="dxa"/>
            <w:vAlign w:val="bottom"/>
          </w:tcPr>
          <w:p>
            <w:pPr>
              <w:spacing w:after="0"/>
              <w:rPr>
                <w:sz w:val="24"/>
                <w:szCs w:val="24"/>
                <w:color w:val="auto"/>
              </w:rPr>
            </w:pPr>
          </w:p>
        </w:tc>
        <w:tc>
          <w:tcPr>
            <w:tcW w:w="6300" w:type="dxa"/>
            <w:vAlign w:val="bottom"/>
            <w:tcBorders>
              <w:top w:val="single" w:sz="8" w:color="0000EE"/>
            </w:tcBorders>
            <w:gridSpan w:val="1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31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20" w:type="dxa"/>
            <w:vAlign w:val="bottom"/>
          </w:tcPr>
          <w:p>
            <w:pPr>
              <w:spacing w:after="0"/>
              <w:rPr>
                <w:sz w:val="24"/>
                <w:szCs w:val="24"/>
                <w:color w:val="auto"/>
              </w:rPr>
            </w:pPr>
          </w:p>
        </w:tc>
        <w:tc>
          <w:tcPr>
            <w:tcW w:w="5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4.</w:t>
              </w:r>
            </w:hyperlink>
          </w:p>
        </w:tc>
        <w:tc>
          <w:tcPr>
            <w:tcW w:w="540" w:type="dxa"/>
            <w:vAlign w:val="bottom"/>
          </w:tcPr>
          <w:p>
            <w:pPr>
              <w:spacing w:after="0"/>
              <w:rPr>
                <w:sz w:val="24"/>
                <w:szCs w:val="24"/>
                <w:color w:val="auto"/>
              </w:rPr>
            </w:pPr>
          </w:p>
        </w:tc>
        <w:tc>
          <w:tcPr>
            <w:tcW w:w="17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6"/>
              </w:rPr>
            </w:pPr>
            <w:hyperlink w:anchor="page33">
              <w:r>
                <w:rPr>
                  <w:rFonts w:ascii="Arial" w:cs="Arial" w:eastAsia="Arial" w:hAnsi="Arial"/>
                  <w:sz w:val="18"/>
                  <w:szCs w:val="18"/>
                  <w:color w:val="0000EE"/>
                  <w:w w:val="86"/>
                </w:rPr>
                <w:t>Controls and Procedures</w:t>
              </w:r>
            </w:hyperlink>
          </w:p>
        </w:tc>
        <w:tc>
          <w:tcPr>
            <w:tcW w:w="2460" w:type="dxa"/>
            <w:vAlign w:val="bottom"/>
            <w:tcBorders>
              <w:top w:val="single" w:sz="8" w:color="0000EE"/>
            </w:tcBorders>
            <w:gridSpan w:val="3"/>
          </w:tcPr>
          <w:p>
            <w:pPr>
              <w:spacing w:after="0"/>
              <w:rPr>
                <w:sz w:val="24"/>
                <w:szCs w:val="24"/>
                <w:color w:val="auto"/>
              </w:rPr>
            </w:pPr>
          </w:p>
        </w:tc>
        <w:tc>
          <w:tcPr>
            <w:tcW w:w="5260" w:type="dxa"/>
            <w:vAlign w:val="bottom"/>
            <w:gridSpan w:val="5"/>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840" w:type="dxa"/>
            <w:vAlign w:val="bottom"/>
            <w:gridSpan w:val="18"/>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 Other Information</w:t>
              </w:r>
            </w:hyperlink>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2.</w:t>
              </w:r>
            </w:hyperlink>
          </w:p>
        </w:tc>
        <w:tc>
          <w:tcPr>
            <w:tcW w:w="540" w:type="dxa"/>
            <w:vAlign w:val="bottom"/>
          </w:tcPr>
          <w:p>
            <w:pPr>
              <w:spacing w:after="0"/>
              <w:rPr>
                <w:sz w:val="24"/>
                <w:szCs w:val="24"/>
                <w:color w:val="auto"/>
              </w:rPr>
            </w:pPr>
          </w:p>
        </w:tc>
        <w:tc>
          <w:tcPr>
            <w:tcW w:w="9460" w:type="dxa"/>
            <w:vAlign w:val="bottom"/>
            <w:gridSpan w:val="1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20" w:type="dxa"/>
            <w:vAlign w:val="bottom"/>
          </w:tcPr>
          <w:p>
            <w:pPr>
              <w:spacing w:after="0"/>
              <w:rPr>
                <w:sz w:val="24"/>
                <w:szCs w:val="24"/>
                <w:color w:val="auto"/>
              </w:rPr>
            </w:pPr>
          </w:p>
        </w:tc>
        <w:tc>
          <w:tcPr>
            <w:tcW w:w="5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Item 6.</w:t>
              </w:r>
            </w:hyperlink>
          </w:p>
        </w:tc>
        <w:tc>
          <w:tcPr>
            <w:tcW w:w="2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Exhibits</w:t>
              </w:r>
            </w:hyperlink>
          </w:p>
        </w:tc>
        <w:tc>
          <w:tcPr>
            <w:tcW w:w="3640" w:type="dxa"/>
            <w:vAlign w:val="bottom"/>
            <w:tcBorders>
              <w:top w:val="single" w:sz="8" w:color="0000EE"/>
            </w:tcBorders>
            <w:gridSpan w:val="8"/>
          </w:tcPr>
          <w:p>
            <w:pPr>
              <w:spacing w:after="0"/>
              <w:rPr>
                <w:sz w:val="24"/>
                <w:szCs w:val="24"/>
                <w:color w:val="auto"/>
              </w:rPr>
            </w:pPr>
          </w:p>
        </w:tc>
        <w:tc>
          <w:tcPr>
            <w:tcW w:w="5220" w:type="dxa"/>
            <w:vAlign w:val="bottom"/>
            <w:gridSpan w:val="4"/>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380" w:type="dxa"/>
            <w:vAlign w:val="bottom"/>
            <w:gridSpan w:val="5"/>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Signatures</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20" w:type="dxa"/>
            <w:vAlign w:val="bottom"/>
            <w:tcBorders>
              <w:top w:val="single" w:sz="8" w:color="0000EE"/>
              <w:bottom w:val="single" w:sz="8" w:color="808080"/>
            </w:tcBorders>
          </w:tcPr>
          <w:p>
            <w:pPr>
              <w:spacing w:after="0"/>
              <w:rPr>
                <w:sz w:val="24"/>
                <w:szCs w:val="24"/>
                <w:color w:val="auto"/>
              </w:rPr>
            </w:pPr>
          </w:p>
        </w:tc>
        <w:tc>
          <w:tcPr>
            <w:tcW w:w="480" w:type="dxa"/>
            <w:vAlign w:val="bottom"/>
            <w:tcBorders>
              <w:top w:val="single" w:sz="8" w:color="0000EE"/>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31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96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tcBorders>
          </w:tcPr>
          <w:p>
            <w:pPr>
              <w:spacing w:after="0"/>
              <w:rPr>
                <w:sz w:val="18"/>
                <w:szCs w:val="18"/>
                <w:color w:val="auto"/>
              </w:rPr>
            </w:pPr>
          </w:p>
        </w:tc>
        <w:tc>
          <w:tcPr>
            <w:tcW w:w="316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9"/>
        </w:trPr>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9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31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382" w:right="1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960"/>
        <w:spacing w:after="0" w:line="261" w:lineRule="auto"/>
        <w:rPr>
          <w:sz w:val="20"/>
          <w:szCs w:val="20"/>
          <w:color w:val="auto"/>
        </w:rPr>
      </w:pPr>
      <w:r>
        <w:rPr>
          <w:rFonts w:ascii="Arial" w:cs="Arial" w:eastAsia="Arial" w:hAnsi="Arial"/>
          <w:sz w:val="18"/>
          <w:szCs w:val="18"/>
          <w:b w:val="1"/>
          <w:bCs w:val="1"/>
          <w:color w:val="auto"/>
        </w:rPr>
        <w:t xml:space="preserve">CONDENSED CONSOLIDATED STATEMENTS OF OPERATIONS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80" w:type="dxa"/>
            <w:vAlign w:val="bottom"/>
            <w:gridSpan w:val="3"/>
          </w:tcPr>
          <w:p>
            <w:pPr>
              <w:jc w:val="right"/>
              <w:ind w:right="512"/>
              <w:spacing w:after="0"/>
              <w:rPr>
                <w:sz w:val="20"/>
                <w:szCs w:val="20"/>
                <w:color w:val="auto"/>
              </w:rPr>
            </w:pPr>
            <w:r>
              <w:rPr>
                <w:rFonts w:ascii="Arial" w:cs="Arial" w:eastAsia="Arial" w:hAnsi="Arial"/>
                <w:sz w:val="18"/>
                <w:szCs w:val="18"/>
                <w:b w:val="1"/>
                <w:bCs w:val="1"/>
                <w:i w:val="1"/>
                <w:iCs w:val="1"/>
                <w:color w:val="auto"/>
                <w:w w:val="93"/>
              </w:rPr>
              <w:t>Three months ended</w:t>
            </w:r>
          </w:p>
        </w:tc>
        <w:tc>
          <w:tcPr>
            <w:tcW w:w="320" w:type="dxa"/>
            <w:vAlign w:val="bottom"/>
          </w:tcPr>
          <w:p>
            <w:pPr>
              <w:spacing w:after="0"/>
              <w:rPr>
                <w:sz w:val="18"/>
                <w:szCs w:val="18"/>
                <w:color w:val="auto"/>
              </w:rPr>
            </w:pPr>
          </w:p>
        </w:tc>
        <w:tc>
          <w:tcPr>
            <w:tcW w:w="2240" w:type="dxa"/>
            <w:vAlign w:val="bottom"/>
            <w:gridSpan w:val="3"/>
          </w:tcPr>
          <w:p>
            <w:pPr>
              <w:jc w:val="right"/>
              <w:ind w:right="512"/>
              <w:spacing w:after="0"/>
              <w:rPr>
                <w:sz w:val="20"/>
                <w:szCs w:val="20"/>
                <w:color w:val="auto"/>
              </w:rPr>
            </w:pPr>
            <w:r>
              <w:rPr>
                <w:rFonts w:ascii="Arial" w:cs="Arial" w:eastAsia="Arial" w:hAnsi="Arial"/>
                <w:sz w:val="18"/>
                <w:szCs w:val="18"/>
                <w:b w:val="1"/>
                <w:bCs w:val="1"/>
                <w:i w:val="1"/>
                <w:iCs w:val="1"/>
                <w:color w:val="auto"/>
                <w:w w:val="96"/>
              </w:rPr>
              <w:t>Nine months ended</w:t>
            </w:r>
          </w:p>
        </w:tc>
      </w:tr>
      <w:tr>
        <w:trPr>
          <w:trHeight w:val="222"/>
        </w:trPr>
        <w:tc>
          <w:tcPr>
            <w:tcW w:w="6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February 28,</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February 28,</w:t>
            </w:r>
          </w:p>
        </w:tc>
        <w:tc>
          <w:tcPr>
            <w:tcW w:w="760" w:type="dxa"/>
            <w:vAlign w:val="bottom"/>
          </w:tcPr>
          <w:p>
            <w:pPr>
              <w:spacing w:after="0"/>
              <w:rPr>
                <w:sz w:val="19"/>
                <w:szCs w:val="19"/>
                <w:color w:val="auto"/>
              </w:rPr>
            </w:pPr>
          </w:p>
        </w:tc>
      </w:tr>
      <w:tr>
        <w:trPr>
          <w:trHeight w:val="110"/>
        </w:trPr>
        <w:tc>
          <w:tcPr>
            <w:tcW w:w="60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316"/>
        </w:trPr>
        <w:tc>
          <w:tcPr>
            <w:tcW w:w="6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jc w:val="right"/>
              <w:ind w:right="452"/>
              <w:spacing w:after="0"/>
              <w:rPr>
                <w:sz w:val="20"/>
                <w:szCs w:val="20"/>
                <w:color w:val="auto"/>
              </w:rPr>
            </w:pPr>
            <w:r>
              <w:rPr>
                <w:rFonts w:ascii="Arial" w:cs="Arial" w:eastAsia="Arial" w:hAnsi="Arial"/>
                <w:sz w:val="18"/>
                <w:szCs w:val="18"/>
                <w:b w:val="1"/>
                <w:bCs w:val="1"/>
                <w:color w:val="auto"/>
              </w:rPr>
              <w:t>2010</w:t>
            </w:r>
          </w:p>
        </w:tc>
        <w:tc>
          <w:tcPr>
            <w:tcW w:w="480" w:type="dxa"/>
            <w:vAlign w:val="bottom"/>
          </w:tcPr>
          <w:p>
            <w:pPr>
              <w:spacing w:after="0"/>
              <w:rPr>
                <w:sz w:val="24"/>
                <w:szCs w:val="24"/>
                <w:color w:val="auto"/>
              </w:rPr>
            </w:pPr>
          </w:p>
        </w:tc>
        <w:tc>
          <w:tcPr>
            <w:tcW w:w="820" w:type="dxa"/>
            <w:vAlign w:val="bottom"/>
          </w:tcPr>
          <w:p>
            <w:pPr>
              <w:jc w:val="right"/>
              <w:ind w:right="352"/>
              <w:spacing w:after="0"/>
              <w:rPr>
                <w:sz w:val="20"/>
                <w:szCs w:val="20"/>
                <w:color w:val="auto"/>
              </w:rPr>
            </w:pPr>
            <w:r>
              <w:rPr>
                <w:rFonts w:ascii="Arial" w:cs="Arial" w:eastAsia="Arial" w:hAnsi="Arial"/>
                <w:sz w:val="18"/>
                <w:szCs w:val="18"/>
                <w:b w:val="1"/>
                <w:bCs w:val="1"/>
                <w:color w:val="auto"/>
                <w:w w:val="89"/>
              </w:rPr>
              <w:t>2009</w:t>
            </w:r>
          </w:p>
        </w:tc>
        <w:tc>
          <w:tcPr>
            <w:tcW w:w="320" w:type="dxa"/>
            <w:vAlign w:val="bottom"/>
          </w:tcPr>
          <w:p>
            <w:pPr>
              <w:spacing w:after="0"/>
              <w:rPr>
                <w:sz w:val="24"/>
                <w:szCs w:val="24"/>
                <w:color w:val="auto"/>
              </w:rPr>
            </w:pPr>
          </w:p>
        </w:tc>
        <w:tc>
          <w:tcPr>
            <w:tcW w:w="980" w:type="dxa"/>
            <w:vAlign w:val="bottom"/>
          </w:tcPr>
          <w:p>
            <w:pPr>
              <w:jc w:val="right"/>
              <w:ind w:right="472"/>
              <w:spacing w:after="0"/>
              <w:rPr>
                <w:sz w:val="20"/>
                <w:szCs w:val="20"/>
                <w:color w:val="auto"/>
              </w:rPr>
            </w:pPr>
            <w:r>
              <w:rPr>
                <w:rFonts w:ascii="Arial" w:cs="Arial" w:eastAsia="Arial" w:hAnsi="Arial"/>
                <w:sz w:val="18"/>
                <w:szCs w:val="18"/>
                <w:b w:val="1"/>
                <w:bCs w:val="1"/>
                <w:color w:val="auto"/>
                <w:w w:val="99"/>
              </w:rPr>
              <w:t>2010</w:t>
            </w:r>
          </w:p>
        </w:tc>
        <w:tc>
          <w:tcPr>
            <w:tcW w:w="500" w:type="dxa"/>
            <w:vAlign w:val="bottom"/>
          </w:tcPr>
          <w:p>
            <w:pPr>
              <w:spacing w:after="0"/>
              <w:rPr>
                <w:sz w:val="24"/>
                <w:szCs w:val="24"/>
                <w:color w:val="auto"/>
              </w:rPr>
            </w:pPr>
          </w:p>
        </w:tc>
        <w:tc>
          <w:tcPr>
            <w:tcW w:w="760" w:type="dxa"/>
            <w:vAlign w:val="bottom"/>
          </w:tcPr>
          <w:p>
            <w:pPr>
              <w:jc w:val="right"/>
              <w:ind w:right="292"/>
              <w:spacing w:after="0"/>
              <w:rPr>
                <w:sz w:val="20"/>
                <w:szCs w:val="20"/>
                <w:color w:val="auto"/>
              </w:rPr>
            </w:pPr>
            <w:r>
              <w:rPr>
                <w:rFonts w:ascii="Arial" w:cs="Arial" w:eastAsia="Arial" w:hAnsi="Arial"/>
                <w:sz w:val="18"/>
                <w:szCs w:val="18"/>
                <w:b w:val="1"/>
                <w:bCs w:val="1"/>
                <w:color w:val="auto"/>
                <w:w w:val="89"/>
              </w:rPr>
              <w:t>2009</w:t>
            </w:r>
          </w:p>
        </w:tc>
      </w:tr>
      <w:tr>
        <w:trPr>
          <w:trHeight w:val="110"/>
        </w:trPr>
        <w:tc>
          <w:tcPr>
            <w:tcW w:w="60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316"/>
        </w:trPr>
        <w:tc>
          <w:tcPr>
            <w:tcW w:w="600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232"/>
              <w:spacing w:after="0"/>
              <w:rPr>
                <w:sz w:val="20"/>
                <w:szCs w:val="20"/>
                <w:color w:val="auto"/>
              </w:rPr>
            </w:pPr>
            <w:r>
              <w:rPr>
                <w:rFonts w:ascii="Arial" w:cs="Arial" w:eastAsia="Arial" w:hAnsi="Arial"/>
                <w:sz w:val="18"/>
                <w:szCs w:val="18"/>
                <w:b w:val="1"/>
                <w:bCs w:val="1"/>
                <w:color w:val="auto"/>
              </w:rPr>
              <w:t>398.8</w:t>
            </w:r>
          </w:p>
        </w:tc>
        <w:tc>
          <w:tcPr>
            <w:tcW w:w="4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rPr>
              <w:t>423.6</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232"/>
              <w:spacing w:after="0"/>
              <w:rPr>
                <w:sz w:val="20"/>
                <w:szCs w:val="20"/>
                <w:color w:val="auto"/>
              </w:rPr>
            </w:pPr>
            <w:r>
              <w:rPr>
                <w:rFonts w:ascii="Arial" w:cs="Arial" w:eastAsia="Arial" w:hAnsi="Arial"/>
                <w:sz w:val="18"/>
                <w:szCs w:val="18"/>
                <w:b w:val="1"/>
                <w:bCs w:val="1"/>
                <w:color w:val="auto"/>
              </w:rPr>
              <w:t>1,374.5</w:t>
            </w:r>
          </w:p>
        </w:tc>
        <w:tc>
          <w:tcPr>
            <w:tcW w:w="5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b w:val="1"/>
                <w:bCs w:val="1"/>
                <w:color w:val="auto"/>
                <w:w w:val="99"/>
              </w:rPr>
              <w:t>1,353.3</w:t>
            </w:r>
          </w:p>
        </w:tc>
      </w:tr>
      <w:tr>
        <w:trPr>
          <w:trHeight w:val="358"/>
        </w:trPr>
        <w:tc>
          <w:tcPr>
            <w:tcW w:w="60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6000" w:type="dxa"/>
            <w:vAlign w:val="bottom"/>
          </w:tcPr>
          <w:p>
            <w:pPr>
              <w:ind w:left="160"/>
              <w:spacing w:after="0"/>
              <w:rPr>
                <w:sz w:val="20"/>
                <w:szCs w:val="20"/>
                <w:color w:val="auto"/>
              </w:rPr>
            </w:pPr>
            <w:r>
              <w:rPr>
                <w:rFonts w:ascii="Arial" w:cs="Arial" w:eastAsia="Arial" w:hAnsi="Arial"/>
                <w:sz w:val="18"/>
                <w:szCs w:val="18"/>
                <w:color w:val="auto"/>
              </w:rPr>
              <w:t>Cost of goods sold</w:t>
            </w:r>
          </w:p>
        </w:tc>
        <w:tc>
          <w:tcPr>
            <w:tcW w:w="60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192.7</w:t>
            </w:r>
          </w:p>
        </w:tc>
        <w:tc>
          <w:tcPr>
            <w:tcW w:w="48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214.6</w:t>
            </w:r>
          </w:p>
        </w:tc>
        <w:tc>
          <w:tcPr>
            <w:tcW w:w="3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621.0</w:t>
            </w:r>
          </w:p>
        </w:tc>
        <w:tc>
          <w:tcPr>
            <w:tcW w:w="50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644.4</w:t>
            </w:r>
          </w:p>
        </w:tc>
      </w:tr>
      <w:tr>
        <w:trPr>
          <w:trHeight w:val="216"/>
        </w:trPr>
        <w:tc>
          <w:tcPr>
            <w:tcW w:w="600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60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187.9</w:t>
            </w:r>
          </w:p>
        </w:tc>
        <w:tc>
          <w:tcPr>
            <w:tcW w:w="48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191.5</w:t>
            </w:r>
          </w:p>
        </w:tc>
        <w:tc>
          <w:tcPr>
            <w:tcW w:w="3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583.5</w:t>
            </w:r>
          </w:p>
        </w:tc>
        <w:tc>
          <w:tcPr>
            <w:tcW w:w="50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592.3</w:t>
            </w:r>
          </w:p>
        </w:tc>
      </w:tr>
      <w:tr>
        <w:trPr>
          <w:trHeight w:val="216"/>
        </w:trPr>
        <w:tc>
          <w:tcPr>
            <w:tcW w:w="6000" w:type="dxa"/>
            <w:vAlign w:val="bottom"/>
          </w:tcPr>
          <w:p>
            <w:pPr>
              <w:ind w:left="160"/>
              <w:spacing w:after="0"/>
              <w:rPr>
                <w:sz w:val="20"/>
                <w:szCs w:val="20"/>
                <w:color w:val="auto"/>
              </w:rPr>
            </w:pPr>
            <w:r>
              <w:rPr>
                <w:rFonts w:ascii="Arial" w:cs="Arial" w:eastAsia="Arial" w:hAnsi="Arial"/>
                <w:sz w:val="18"/>
                <w:szCs w:val="18"/>
                <w:color w:val="auto"/>
              </w:rPr>
              <w:t>Bad debt expense</w:t>
            </w:r>
          </w:p>
        </w:tc>
        <w:tc>
          <w:tcPr>
            <w:tcW w:w="60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9.4</w:t>
            </w:r>
          </w:p>
        </w:tc>
        <w:tc>
          <w:tcPr>
            <w:tcW w:w="50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10.6</w:t>
            </w:r>
          </w:p>
        </w:tc>
      </w:tr>
      <w:tr>
        <w:trPr>
          <w:trHeight w:val="216"/>
        </w:trPr>
        <w:tc>
          <w:tcPr>
            <w:tcW w:w="60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14.2</w:t>
            </w:r>
          </w:p>
        </w:tc>
        <w:tc>
          <w:tcPr>
            <w:tcW w:w="48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14.5</w:t>
            </w:r>
          </w:p>
        </w:tc>
        <w:tc>
          <w:tcPr>
            <w:tcW w:w="3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43.7</w:t>
            </w:r>
          </w:p>
        </w:tc>
        <w:tc>
          <w:tcPr>
            <w:tcW w:w="50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45.2</w:t>
            </w:r>
          </w:p>
        </w:tc>
      </w:tr>
      <w:tr>
        <w:trPr>
          <w:trHeight w:val="216"/>
        </w:trPr>
        <w:tc>
          <w:tcPr>
            <w:tcW w:w="6000" w:type="dxa"/>
            <w:vAlign w:val="bottom"/>
          </w:tcPr>
          <w:p>
            <w:pPr>
              <w:ind w:left="160"/>
              <w:spacing w:after="0"/>
              <w:rPr>
                <w:sz w:val="20"/>
                <w:szCs w:val="20"/>
                <w:color w:val="auto"/>
              </w:rPr>
            </w:pPr>
            <w:r>
              <w:rPr>
                <w:rFonts w:ascii="Arial" w:cs="Arial" w:eastAsia="Arial" w:hAnsi="Arial"/>
                <w:sz w:val="18"/>
                <w:szCs w:val="18"/>
                <w:color w:val="auto"/>
              </w:rPr>
              <w:t>Asset impairments</w:t>
            </w:r>
          </w:p>
        </w:tc>
        <w:tc>
          <w:tcPr>
            <w:tcW w:w="60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17.0</w:t>
            </w:r>
          </w:p>
        </w:tc>
        <w:tc>
          <w:tcPr>
            <w:tcW w:w="3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40.1</w:t>
            </w:r>
          </w:p>
        </w:tc>
        <w:tc>
          <w:tcPr>
            <w:tcW w:w="50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17.0</w:t>
            </w:r>
          </w:p>
        </w:tc>
      </w:tr>
      <w:tr>
        <w:trPr>
          <w:trHeight w:val="222"/>
        </w:trPr>
        <w:tc>
          <w:tcPr>
            <w:tcW w:w="6000" w:type="dxa"/>
            <w:vAlign w:val="bottom"/>
          </w:tcPr>
          <w:p>
            <w:pPr>
              <w:ind w:left="160"/>
              <w:spacing w:after="0"/>
              <w:rPr>
                <w:sz w:val="20"/>
                <w:szCs w:val="20"/>
                <w:color w:val="auto"/>
              </w:rPr>
            </w:pPr>
            <w:r>
              <w:rPr>
                <w:rFonts w:ascii="Arial" w:cs="Arial" w:eastAsia="Arial" w:hAnsi="Arial"/>
                <w:sz w:val="18"/>
                <w:szCs w:val="18"/>
                <w:color w:val="auto"/>
              </w:rPr>
              <w:t>Severance</w:t>
            </w:r>
          </w:p>
        </w:tc>
        <w:tc>
          <w:tcPr>
            <w:tcW w:w="600" w:type="dxa"/>
            <w:vAlign w:val="bottom"/>
          </w:tcPr>
          <w:p>
            <w:pPr>
              <w:spacing w:after="0"/>
              <w:rPr>
                <w:sz w:val="19"/>
                <w:szCs w:val="19"/>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1.9</w:t>
            </w:r>
          </w:p>
        </w:tc>
        <w:tc>
          <w:tcPr>
            <w:tcW w:w="48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9"/>
                <w:szCs w:val="19"/>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7.3</w:t>
            </w:r>
          </w:p>
        </w:tc>
        <w:tc>
          <w:tcPr>
            <w:tcW w:w="50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20.4</w:t>
            </w:r>
          </w:p>
        </w:tc>
      </w:tr>
      <w:tr>
        <w:trPr>
          <w:trHeight w:val="110"/>
        </w:trPr>
        <w:tc>
          <w:tcPr>
            <w:tcW w:w="60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316"/>
        </w:trPr>
        <w:tc>
          <w:tcPr>
            <w:tcW w:w="600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600" w:type="dxa"/>
            <w:vAlign w:val="bottom"/>
          </w:tcPr>
          <w:p>
            <w:pPr>
              <w:spacing w:after="0"/>
              <w:rPr>
                <w:sz w:val="24"/>
                <w:szCs w:val="24"/>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399.6</w:t>
            </w:r>
          </w:p>
        </w:tc>
        <w:tc>
          <w:tcPr>
            <w:tcW w:w="480" w:type="dxa"/>
            <w:vAlign w:val="bottom"/>
          </w:tcPr>
          <w:p>
            <w:pPr>
              <w:spacing w:after="0"/>
              <w:rPr>
                <w:sz w:val="24"/>
                <w:szCs w:val="24"/>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445.9</w:t>
            </w:r>
          </w:p>
        </w:tc>
        <w:tc>
          <w:tcPr>
            <w:tcW w:w="320" w:type="dxa"/>
            <w:vAlign w:val="bottom"/>
          </w:tcPr>
          <w:p>
            <w:pPr>
              <w:spacing w:after="0"/>
              <w:rPr>
                <w:sz w:val="24"/>
                <w:szCs w:val="24"/>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1,305.0</w:t>
            </w:r>
          </w:p>
        </w:tc>
        <w:tc>
          <w:tcPr>
            <w:tcW w:w="50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w w:val="99"/>
              </w:rPr>
              <w:t>1,329.9</w:t>
            </w:r>
          </w:p>
        </w:tc>
      </w:tr>
      <w:tr>
        <w:trPr>
          <w:trHeight w:val="110"/>
        </w:trPr>
        <w:tc>
          <w:tcPr>
            <w:tcW w:w="60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464"/>
        </w:trPr>
        <w:tc>
          <w:tcPr>
            <w:tcW w:w="6000" w:type="dxa"/>
            <w:vAlign w:val="bottom"/>
          </w:tcPr>
          <w:p>
            <w:pPr>
              <w:spacing w:after="0"/>
              <w:rPr>
                <w:sz w:val="20"/>
                <w:szCs w:val="20"/>
                <w:color w:val="auto"/>
              </w:rPr>
            </w:pPr>
            <w:r>
              <w:rPr>
                <w:rFonts w:ascii="Arial" w:cs="Arial" w:eastAsia="Arial" w:hAnsi="Arial"/>
                <w:sz w:val="18"/>
                <w:szCs w:val="18"/>
                <w:b w:val="1"/>
                <w:bCs w:val="1"/>
                <w:color w:val="auto"/>
              </w:rPr>
              <w:t>Operating (loss) income</w:t>
            </w:r>
          </w:p>
        </w:tc>
        <w:tc>
          <w:tcPr>
            <w:tcW w:w="600" w:type="dxa"/>
            <w:vAlign w:val="bottom"/>
          </w:tcPr>
          <w:p>
            <w:pPr>
              <w:spacing w:after="0"/>
              <w:rPr>
                <w:sz w:val="24"/>
                <w:szCs w:val="24"/>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b w:val="1"/>
                <w:bCs w:val="1"/>
                <w:color w:val="auto"/>
              </w:rPr>
              <w:t>(0.8)</w:t>
            </w:r>
          </w:p>
        </w:tc>
        <w:tc>
          <w:tcPr>
            <w:tcW w:w="480" w:type="dxa"/>
            <w:vAlign w:val="bottom"/>
          </w:tcPr>
          <w:p>
            <w:pPr>
              <w:spacing w:after="0"/>
              <w:rPr>
                <w:sz w:val="24"/>
                <w:szCs w:val="24"/>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(22.3)</w:t>
            </w:r>
          </w:p>
        </w:tc>
        <w:tc>
          <w:tcPr>
            <w:tcW w:w="320" w:type="dxa"/>
            <w:vAlign w:val="bottom"/>
          </w:tcPr>
          <w:p>
            <w:pPr>
              <w:spacing w:after="0"/>
              <w:rPr>
                <w:sz w:val="24"/>
                <w:szCs w:val="24"/>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b w:val="1"/>
                <w:bCs w:val="1"/>
                <w:color w:val="auto"/>
              </w:rPr>
              <w:t>69.5</w:t>
            </w:r>
          </w:p>
        </w:tc>
        <w:tc>
          <w:tcPr>
            <w:tcW w:w="50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b w:val="1"/>
                <w:bCs w:val="1"/>
                <w:color w:val="auto"/>
              </w:rPr>
              <w:t>23.4</w:t>
            </w:r>
          </w:p>
        </w:tc>
      </w:tr>
      <w:tr>
        <w:trPr>
          <w:trHeight w:val="358"/>
        </w:trPr>
        <w:tc>
          <w:tcPr>
            <w:tcW w:w="6000" w:type="dxa"/>
            <w:vAlign w:val="bottom"/>
          </w:tcPr>
          <w:p>
            <w:pPr>
              <w:spacing w:after="0"/>
              <w:rPr>
                <w:sz w:val="20"/>
                <w:szCs w:val="20"/>
                <w:color w:val="auto"/>
              </w:rPr>
            </w:pPr>
            <w:r>
              <w:rPr>
                <w:rFonts w:ascii="Arial" w:cs="Arial" w:eastAsia="Arial" w:hAnsi="Arial"/>
                <w:sz w:val="18"/>
                <w:szCs w:val="18"/>
                <w:color w:val="auto"/>
              </w:rPr>
              <w:t>Other income</w:t>
            </w:r>
          </w:p>
        </w:tc>
        <w:tc>
          <w:tcPr>
            <w:tcW w:w="600" w:type="dxa"/>
            <w:vAlign w:val="bottom"/>
          </w:tcPr>
          <w:p>
            <w:pPr>
              <w:spacing w:after="0"/>
              <w:rPr>
                <w:sz w:val="24"/>
                <w:szCs w:val="24"/>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24"/>
                <w:szCs w:val="24"/>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0.9</w:t>
            </w:r>
          </w:p>
        </w:tc>
        <w:tc>
          <w:tcPr>
            <w:tcW w:w="50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0.3</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Interest expense, net</w:t>
            </w:r>
          </w:p>
        </w:tc>
        <w:tc>
          <w:tcPr>
            <w:tcW w:w="60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4.0</w:t>
            </w:r>
          </w:p>
        </w:tc>
        <w:tc>
          <w:tcPr>
            <w:tcW w:w="48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12.2</w:t>
            </w:r>
          </w:p>
        </w:tc>
        <w:tc>
          <w:tcPr>
            <w:tcW w:w="50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18.6</w:t>
            </w:r>
          </w:p>
        </w:tc>
      </w:tr>
      <w:tr>
        <w:trPr>
          <w:trHeight w:val="222"/>
        </w:trPr>
        <w:tc>
          <w:tcPr>
            <w:tcW w:w="6000" w:type="dxa"/>
            <w:vAlign w:val="bottom"/>
          </w:tcPr>
          <w:p>
            <w:pPr>
              <w:spacing w:after="0"/>
              <w:rPr>
                <w:sz w:val="20"/>
                <w:szCs w:val="20"/>
                <w:color w:val="auto"/>
              </w:rPr>
            </w:pPr>
            <w:r>
              <w:rPr>
                <w:rFonts w:ascii="Arial" w:cs="Arial" w:eastAsia="Arial" w:hAnsi="Arial"/>
                <w:sz w:val="18"/>
                <w:szCs w:val="18"/>
                <w:color w:val="auto"/>
              </w:rPr>
              <w:t>Loss on investments</w:t>
            </w:r>
          </w:p>
        </w:tc>
        <w:tc>
          <w:tcPr>
            <w:tcW w:w="600" w:type="dxa"/>
            <w:vAlign w:val="bottom"/>
          </w:tcPr>
          <w:p>
            <w:pPr>
              <w:spacing w:after="0"/>
              <w:rPr>
                <w:sz w:val="19"/>
                <w:szCs w:val="19"/>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13.5</w:t>
            </w:r>
          </w:p>
        </w:tc>
        <w:tc>
          <w:tcPr>
            <w:tcW w:w="320" w:type="dxa"/>
            <w:vAlign w:val="bottom"/>
          </w:tcPr>
          <w:p>
            <w:pPr>
              <w:spacing w:after="0"/>
              <w:rPr>
                <w:sz w:val="19"/>
                <w:szCs w:val="19"/>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13.5</w:t>
            </w:r>
          </w:p>
        </w:tc>
      </w:tr>
      <w:tr>
        <w:trPr>
          <w:trHeight w:val="110"/>
        </w:trPr>
        <w:tc>
          <w:tcPr>
            <w:tcW w:w="60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458"/>
        </w:trPr>
        <w:tc>
          <w:tcPr>
            <w:tcW w:w="6000" w:type="dxa"/>
            <w:vAlign w:val="bottom"/>
          </w:tcPr>
          <w:p>
            <w:pPr>
              <w:spacing w:after="0"/>
              <w:rPr>
                <w:sz w:val="20"/>
                <w:szCs w:val="20"/>
                <w:color w:val="auto"/>
              </w:rPr>
            </w:pPr>
            <w:r>
              <w:rPr>
                <w:rFonts w:ascii="Arial" w:cs="Arial" w:eastAsia="Arial" w:hAnsi="Arial"/>
                <w:sz w:val="18"/>
                <w:szCs w:val="18"/>
                <w:b w:val="1"/>
                <w:bCs w:val="1"/>
                <w:color w:val="auto"/>
              </w:rPr>
              <w:t>(Loss) earnings from continuing operations before income taxes</w:t>
            </w:r>
          </w:p>
        </w:tc>
        <w:tc>
          <w:tcPr>
            <w:tcW w:w="600" w:type="dxa"/>
            <w:vAlign w:val="bottom"/>
          </w:tcPr>
          <w:p>
            <w:pPr>
              <w:spacing w:after="0"/>
              <w:rPr>
                <w:sz w:val="24"/>
                <w:szCs w:val="24"/>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b w:val="1"/>
                <w:bCs w:val="1"/>
                <w:color w:val="auto"/>
              </w:rPr>
              <w:t>(6.3)</w:t>
            </w:r>
          </w:p>
        </w:tc>
        <w:tc>
          <w:tcPr>
            <w:tcW w:w="480" w:type="dxa"/>
            <w:vAlign w:val="bottom"/>
          </w:tcPr>
          <w:p>
            <w:pPr>
              <w:spacing w:after="0"/>
              <w:rPr>
                <w:sz w:val="24"/>
                <w:szCs w:val="24"/>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(41.2)</w:t>
            </w:r>
          </w:p>
        </w:tc>
        <w:tc>
          <w:tcPr>
            <w:tcW w:w="320" w:type="dxa"/>
            <w:vAlign w:val="bottom"/>
          </w:tcPr>
          <w:p>
            <w:pPr>
              <w:spacing w:after="0"/>
              <w:rPr>
                <w:sz w:val="24"/>
                <w:szCs w:val="24"/>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b w:val="1"/>
                <w:bCs w:val="1"/>
                <w:color w:val="auto"/>
              </w:rPr>
              <w:t>56.7</w:t>
            </w:r>
          </w:p>
        </w:tc>
        <w:tc>
          <w:tcPr>
            <w:tcW w:w="5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(8.4)</w:t>
            </w:r>
          </w:p>
        </w:tc>
      </w:tr>
      <w:tr>
        <w:trPr>
          <w:trHeight w:val="222"/>
        </w:trPr>
        <w:tc>
          <w:tcPr>
            <w:tcW w:w="600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600" w:type="dxa"/>
            <w:vAlign w:val="bottom"/>
          </w:tcPr>
          <w:p>
            <w:pPr>
              <w:spacing w:after="0"/>
              <w:rPr>
                <w:sz w:val="19"/>
                <w:szCs w:val="19"/>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(1.7)</w:t>
            </w:r>
          </w:p>
        </w:tc>
        <w:tc>
          <w:tcPr>
            <w:tcW w:w="48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9"/>
                <w:szCs w:val="19"/>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29.1</w:t>
            </w:r>
          </w:p>
        </w:tc>
        <w:tc>
          <w:tcPr>
            <w:tcW w:w="50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10.5</w:t>
            </w:r>
          </w:p>
        </w:tc>
      </w:tr>
      <w:tr>
        <w:trPr>
          <w:trHeight w:val="110"/>
        </w:trPr>
        <w:tc>
          <w:tcPr>
            <w:tcW w:w="60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452"/>
        </w:trPr>
        <w:tc>
          <w:tcPr>
            <w:tcW w:w="6000" w:type="dxa"/>
            <w:vAlign w:val="bottom"/>
          </w:tcPr>
          <w:p>
            <w:pPr>
              <w:spacing w:after="0"/>
              <w:rPr>
                <w:sz w:val="20"/>
                <w:szCs w:val="20"/>
                <w:color w:val="auto"/>
              </w:rPr>
            </w:pPr>
            <w:r>
              <w:rPr>
                <w:rFonts w:ascii="Arial" w:cs="Arial" w:eastAsia="Arial" w:hAnsi="Arial"/>
                <w:sz w:val="18"/>
                <w:szCs w:val="18"/>
                <w:b w:val="1"/>
                <w:bCs w:val="1"/>
                <w:color w:val="auto"/>
              </w:rPr>
              <w:t>(Loss) earnings from continuing operations</w:t>
            </w:r>
          </w:p>
        </w:tc>
        <w:tc>
          <w:tcPr>
            <w:tcW w:w="600" w:type="dxa"/>
            <w:vAlign w:val="bottom"/>
          </w:tcPr>
          <w:p>
            <w:pPr>
              <w:spacing w:after="0"/>
              <w:rPr>
                <w:sz w:val="24"/>
                <w:szCs w:val="24"/>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b w:val="1"/>
                <w:bCs w:val="1"/>
                <w:color w:val="auto"/>
              </w:rPr>
              <w:t>(4.6)</w:t>
            </w:r>
          </w:p>
        </w:tc>
        <w:tc>
          <w:tcPr>
            <w:tcW w:w="480" w:type="dxa"/>
            <w:vAlign w:val="bottom"/>
          </w:tcPr>
          <w:p>
            <w:pPr>
              <w:spacing w:after="0"/>
              <w:rPr>
                <w:sz w:val="24"/>
                <w:szCs w:val="24"/>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(34.5)</w:t>
            </w:r>
          </w:p>
        </w:tc>
        <w:tc>
          <w:tcPr>
            <w:tcW w:w="320" w:type="dxa"/>
            <w:vAlign w:val="bottom"/>
          </w:tcPr>
          <w:p>
            <w:pPr>
              <w:spacing w:after="0"/>
              <w:rPr>
                <w:sz w:val="24"/>
                <w:szCs w:val="24"/>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b w:val="1"/>
                <w:bCs w:val="1"/>
                <w:color w:val="auto"/>
              </w:rPr>
              <w:t>27.6</w:t>
            </w:r>
          </w:p>
        </w:tc>
        <w:tc>
          <w:tcPr>
            <w:tcW w:w="5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(18.9)</w:t>
            </w:r>
          </w:p>
        </w:tc>
      </w:tr>
      <w:tr>
        <w:trPr>
          <w:trHeight w:val="228"/>
        </w:trPr>
        <w:tc>
          <w:tcPr>
            <w:tcW w:w="6000" w:type="dxa"/>
            <w:vAlign w:val="bottom"/>
          </w:tcPr>
          <w:p>
            <w:pPr>
              <w:spacing w:after="0"/>
              <w:rPr>
                <w:sz w:val="20"/>
                <w:szCs w:val="20"/>
                <w:color w:val="auto"/>
              </w:rPr>
            </w:pPr>
            <w:r>
              <w:rPr>
                <w:rFonts w:ascii="Arial" w:cs="Arial" w:eastAsia="Arial" w:hAnsi="Arial"/>
                <w:sz w:val="18"/>
                <w:szCs w:val="18"/>
                <w:b w:val="1"/>
                <w:bCs w:val="1"/>
                <w:color w:val="auto"/>
              </w:rPr>
              <w:t>Loss from discontinued operations, net of tax</w:t>
            </w:r>
          </w:p>
        </w:tc>
        <w:tc>
          <w:tcPr>
            <w:tcW w:w="600" w:type="dxa"/>
            <w:vAlign w:val="bottom"/>
          </w:tcPr>
          <w:p>
            <w:pPr>
              <w:spacing w:after="0"/>
              <w:rPr>
                <w:sz w:val="19"/>
                <w:szCs w:val="19"/>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b w:val="1"/>
                <w:bCs w:val="1"/>
                <w:color w:val="auto"/>
              </w:rPr>
              <w:t>(1.0)</w:t>
            </w:r>
          </w:p>
        </w:tc>
        <w:tc>
          <w:tcPr>
            <w:tcW w:w="48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(1.5)</w:t>
            </w:r>
          </w:p>
        </w:tc>
        <w:tc>
          <w:tcPr>
            <w:tcW w:w="320" w:type="dxa"/>
            <w:vAlign w:val="bottom"/>
          </w:tcPr>
          <w:p>
            <w:pPr>
              <w:spacing w:after="0"/>
              <w:rPr>
                <w:sz w:val="19"/>
                <w:szCs w:val="19"/>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b w:val="1"/>
                <w:bCs w:val="1"/>
                <w:color w:val="auto"/>
              </w:rPr>
              <w:t>(0.7)</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(23.1)</w:t>
            </w:r>
          </w:p>
        </w:tc>
      </w:tr>
      <w:tr>
        <w:trPr>
          <w:trHeight w:val="110"/>
        </w:trPr>
        <w:tc>
          <w:tcPr>
            <w:tcW w:w="60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464"/>
        </w:trPr>
        <w:tc>
          <w:tcPr>
            <w:tcW w:w="6000" w:type="dxa"/>
            <w:vAlign w:val="bottom"/>
          </w:tcPr>
          <w:p>
            <w:pPr>
              <w:spacing w:after="0"/>
              <w:rPr>
                <w:sz w:val="20"/>
                <w:szCs w:val="20"/>
                <w:color w:val="auto"/>
              </w:rPr>
            </w:pPr>
            <w:r>
              <w:rPr>
                <w:rFonts w:ascii="Arial" w:cs="Arial" w:eastAsia="Arial" w:hAnsi="Arial"/>
                <w:sz w:val="18"/>
                <w:szCs w:val="18"/>
                <w:b w:val="1"/>
                <w:bCs w:val="1"/>
                <w:color w:val="auto"/>
              </w:rPr>
              <w:t>Net (loss) income</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72"/>
              <w:spacing w:after="0"/>
              <w:rPr>
                <w:sz w:val="20"/>
                <w:szCs w:val="20"/>
                <w:color w:val="auto"/>
              </w:rPr>
            </w:pPr>
            <w:r>
              <w:rPr>
                <w:rFonts w:ascii="Arial" w:cs="Arial" w:eastAsia="Arial" w:hAnsi="Arial"/>
                <w:sz w:val="18"/>
                <w:szCs w:val="18"/>
                <w:b w:val="1"/>
                <w:bCs w:val="1"/>
                <w:color w:val="auto"/>
              </w:rPr>
              <w:t>(5.6)</w:t>
            </w:r>
          </w:p>
        </w:tc>
        <w:tc>
          <w:tcPr>
            <w:tcW w:w="4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(36.0)</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232"/>
              <w:spacing w:after="0"/>
              <w:rPr>
                <w:sz w:val="20"/>
                <w:szCs w:val="20"/>
                <w:color w:val="auto"/>
              </w:rPr>
            </w:pPr>
            <w:r>
              <w:rPr>
                <w:rFonts w:ascii="Arial" w:cs="Arial" w:eastAsia="Arial" w:hAnsi="Arial"/>
                <w:sz w:val="18"/>
                <w:szCs w:val="18"/>
                <w:b w:val="1"/>
                <w:bCs w:val="1"/>
                <w:color w:val="auto"/>
              </w:rPr>
              <w:t>26.9</w:t>
            </w:r>
          </w:p>
        </w:tc>
        <w:tc>
          <w:tcPr>
            <w:tcW w:w="5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(42.0)</w:t>
            </w:r>
          </w:p>
        </w:tc>
      </w:tr>
      <w:tr>
        <w:trPr>
          <w:trHeight w:val="110"/>
        </w:trPr>
        <w:tc>
          <w:tcPr>
            <w:tcW w:w="60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458"/>
        </w:trPr>
        <w:tc>
          <w:tcPr>
            <w:tcW w:w="6000" w:type="dxa"/>
            <w:vAlign w:val="bottom"/>
          </w:tcPr>
          <w:p>
            <w:pPr>
              <w:spacing w:after="0"/>
              <w:rPr>
                <w:sz w:val="20"/>
                <w:szCs w:val="20"/>
                <w:color w:val="auto"/>
              </w:rPr>
            </w:pPr>
            <w:r>
              <w:rPr>
                <w:rFonts w:ascii="Arial" w:cs="Arial" w:eastAsia="Arial" w:hAnsi="Arial"/>
                <w:sz w:val="18"/>
                <w:szCs w:val="18"/>
                <w:b w:val="1"/>
                <w:bCs w:val="1"/>
                <w:color w:val="auto"/>
                <w:w w:val="93"/>
              </w:rPr>
              <w:t>Basic and diluted (loss) earnings per Share of Class A and Common Stock</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6000" w:type="dxa"/>
            <w:vAlign w:val="bottom"/>
          </w:tcPr>
          <w:p>
            <w:pPr>
              <w:ind w:left="320"/>
              <w:spacing w:after="0"/>
              <w:rPr>
                <w:sz w:val="20"/>
                <w:szCs w:val="20"/>
                <w:color w:val="auto"/>
              </w:rPr>
            </w:pPr>
            <w:r>
              <w:rPr>
                <w:rFonts w:ascii="Arial" w:cs="Arial" w:eastAsia="Arial" w:hAnsi="Arial"/>
                <w:sz w:val="18"/>
                <w:szCs w:val="18"/>
                <w:color w:val="auto"/>
              </w:rPr>
              <w:t>Basic:</w:t>
            </w: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000" w:type="dxa"/>
            <w:vAlign w:val="bottom"/>
          </w:tcPr>
          <w:p>
            <w:pPr>
              <w:ind w:left="480"/>
              <w:spacing w:after="0"/>
              <w:rPr>
                <w:sz w:val="20"/>
                <w:szCs w:val="20"/>
                <w:color w:val="auto"/>
              </w:rPr>
            </w:pPr>
            <w:r>
              <w:rPr>
                <w:rFonts w:ascii="Arial" w:cs="Arial" w:eastAsia="Arial" w:hAnsi="Arial"/>
                <w:sz w:val="18"/>
                <w:szCs w:val="18"/>
                <w:color w:val="auto"/>
              </w:rPr>
              <w:t>(Loss) earnings from continuing operations</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(0.12)</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(0.93)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0.76</w:t>
            </w:r>
          </w:p>
        </w:tc>
        <w:tc>
          <w:tcPr>
            <w:tcW w:w="5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16"/>
        </w:trPr>
        <w:tc>
          <w:tcPr>
            <w:tcW w:w="6000" w:type="dxa"/>
            <w:vAlign w:val="bottom"/>
          </w:tcPr>
          <w:p>
            <w:pPr>
              <w:ind w:left="480"/>
              <w:spacing w:after="0"/>
              <w:rPr>
                <w:sz w:val="20"/>
                <w:szCs w:val="20"/>
                <w:color w:val="auto"/>
              </w:rPr>
            </w:pPr>
            <w:r>
              <w:rPr>
                <w:rFonts w:ascii="Arial" w:cs="Arial" w:eastAsia="Arial" w:hAnsi="Arial"/>
                <w:sz w:val="18"/>
                <w:szCs w:val="18"/>
                <w:color w:val="auto"/>
              </w:rPr>
              <w:t>Loss from discontinued operations, net of tax</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(0.03)</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(0.05)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(0.02)</w:t>
            </w:r>
          </w:p>
        </w:tc>
        <w:tc>
          <w:tcPr>
            <w:tcW w:w="5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(0.62)</w:t>
            </w:r>
          </w:p>
        </w:tc>
      </w:tr>
      <w:tr>
        <w:trPr>
          <w:trHeight w:val="216"/>
        </w:trPr>
        <w:tc>
          <w:tcPr>
            <w:tcW w:w="6000" w:type="dxa"/>
            <w:vAlign w:val="bottom"/>
          </w:tcPr>
          <w:p>
            <w:pPr>
              <w:ind w:left="480"/>
              <w:spacing w:after="0"/>
              <w:rPr>
                <w:sz w:val="20"/>
                <w:szCs w:val="20"/>
                <w:color w:val="auto"/>
              </w:rPr>
            </w:pPr>
            <w:r>
              <w:rPr>
                <w:rFonts w:ascii="Arial" w:cs="Arial" w:eastAsia="Arial" w:hAnsi="Arial"/>
                <w:sz w:val="18"/>
                <w:szCs w:val="18"/>
                <w:color w:val="auto"/>
              </w:rPr>
              <w:t>Net (loss) earnings</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(0.15)</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(0.98)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0.74</w:t>
            </w:r>
          </w:p>
        </w:tc>
        <w:tc>
          <w:tcPr>
            <w:tcW w:w="5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6000" w:type="dxa"/>
            <w:vAlign w:val="bottom"/>
          </w:tcPr>
          <w:p>
            <w:pPr>
              <w:ind w:left="320"/>
              <w:spacing w:after="0"/>
              <w:rPr>
                <w:sz w:val="20"/>
                <w:szCs w:val="20"/>
                <w:color w:val="auto"/>
              </w:rPr>
            </w:pPr>
            <w:r>
              <w:rPr>
                <w:rFonts w:ascii="Arial" w:cs="Arial" w:eastAsia="Arial" w:hAnsi="Arial"/>
                <w:sz w:val="18"/>
                <w:szCs w:val="18"/>
                <w:color w:val="auto"/>
              </w:rPr>
              <w:t>Diluted:</w:t>
            </w: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000" w:type="dxa"/>
            <w:vAlign w:val="bottom"/>
          </w:tcPr>
          <w:p>
            <w:pPr>
              <w:ind w:left="480"/>
              <w:spacing w:after="0"/>
              <w:rPr>
                <w:sz w:val="20"/>
                <w:szCs w:val="20"/>
                <w:color w:val="auto"/>
              </w:rPr>
            </w:pPr>
            <w:r>
              <w:rPr>
                <w:rFonts w:ascii="Arial" w:cs="Arial" w:eastAsia="Arial" w:hAnsi="Arial"/>
                <w:sz w:val="18"/>
                <w:szCs w:val="18"/>
                <w:color w:val="auto"/>
              </w:rPr>
              <w:t>(Loss) earnings from continuing operations</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(0.12)</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(0.93)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0.75</w:t>
            </w:r>
          </w:p>
        </w:tc>
        <w:tc>
          <w:tcPr>
            <w:tcW w:w="5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16"/>
        </w:trPr>
        <w:tc>
          <w:tcPr>
            <w:tcW w:w="6000" w:type="dxa"/>
            <w:vAlign w:val="bottom"/>
          </w:tcPr>
          <w:p>
            <w:pPr>
              <w:ind w:left="480"/>
              <w:spacing w:after="0"/>
              <w:rPr>
                <w:sz w:val="20"/>
                <w:szCs w:val="20"/>
                <w:color w:val="auto"/>
              </w:rPr>
            </w:pPr>
            <w:r>
              <w:rPr>
                <w:rFonts w:ascii="Arial" w:cs="Arial" w:eastAsia="Arial" w:hAnsi="Arial"/>
                <w:sz w:val="18"/>
                <w:szCs w:val="18"/>
                <w:color w:val="auto"/>
              </w:rPr>
              <w:t>Loss from discontinued operations net of tax</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(0.03)</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(0.05)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(0.02)</w:t>
            </w:r>
          </w:p>
        </w:tc>
        <w:tc>
          <w:tcPr>
            <w:tcW w:w="5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(0.62)</w:t>
            </w:r>
          </w:p>
        </w:tc>
      </w:tr>
      <w:tr>
        <w:trPr>
          <w:trHeight w:val="222"/>
        </w:trPr>
        <w:tc>
          <w:tcPr>
            <w:tcW w:w="6000" w:type="dxa"/>
            <w:vAlign w:val="bottom"/>
          </w:tcPr>
          <w:p>
            <w:pPr>
              <w:ind w:left="480"/>
              <w:spacing w:after="0"/>
              <w:rPr>
                <w:sz w:val="20"/>
                <w:szCs w:val="20"/>
                <w:color w:val="auto"/>
              </w:rPr>
            </w:pPr>
            <w:r>
              <w:rPr>
                <w:rFonts w:ascii="Arial" w:cs="Arial" w:eastAsia="Arial" w:hAnsi="Arial"/>
                <w:sz w:val="18"/>
                <w:szCs w:val="18"/>
                <w:color w:val="auto"/>
              </w:rPr>
              <w:t>Net (loss) earnings</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(0.15)</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(0.98)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0.73</w:t>
            </w:r>
          </w:p>
        </w:tc>
        <w:tc>
          <w:tcPr>
            <w:tcW w:w="5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65"/>
        </w:trPr>
        <w:tc>
          <w:tcPr>
            <w:tcW w:w="6000" w:type="dxa"/>
            <w:vAlign w:val="bottom"/>
          </w:tcPr>
          <w:p>
            <w:pPr>
              <w:ind w:left="320"/>
              <w:spacing w:after="0"/>
              <w:rPr>
                <w:sz w:val="20"/>
                <w:szCs w:val="20"/>
                <w:color w:val="auto"/>
              </w:rPr>
            </w:pPr>
            <w:r>
              <w:rPr>
                <w:rFonts w:ascii="Arial" w:cs="Arial" w:eastAsia="Arial" w:hAnsi="Arial"/>
                <w:sz w:val="18"/>
                <w:szCs w:val="18"/>
                <w:b w:val="1"/>
                <w:bCs w:val="1"/>
                <w:color w:val="auto"/>
              </w:rPr>
              <w:t>Dividends declared per share</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0.075</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0.075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0.225</w:t>
            </w:r>
          </w:p>
        </w:tc>
        <w:tc>
          <w:tcPr>
            <w:tcW w:w="5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0.225</w:t>
            </w:r>
          </w:p>
        </w:tc>
      </w:tr>
      <w:tr>
        <w:trPr>
          <w:trHeight w:val="110"/>
        </w:trPr>
        <w:tc>
          <w:tcPr>
            <w:tcW w:w="60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00" w:type="dxa"/>
            <w:vAlign w:val="bottom"/>
          </w:tcPr>
          <w:p>
            <w:pPr>
              <w:spacing w:after="0"/>
              <w:rPr>
                <w:sz w:val="19"/>
                <w:szCs w:val="19"/>
                <w:color w:val="auto"/>
              </w:rPr>
            </w:pPr>
          </w:p>
        </w:tc>
        <w:tc>
          <w:tcPr>
            <w:tcW w:w="212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February 28, 2010</w:t>
            </w:r>
          </w:p>
        </w:tc>
        <w:tc>
          <w:tcPr>
            <w:tcW w:w="166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May 31, 2009</w:t>
            </w:r>
          </w:p>
        </w:tc>
        <w:tc>
          <w:tcPr>
            <w:tcW w:w="2060" w:type="dxa"/>
            <w:vAlign w:val="bottom"/>
            <w:gridSpan w:val="2"/>
          </w:tcPr>
          <w:p>
            <w:pPr>
              <w:jc w:val="right"/>
              <w:ind w:right="252"/>
              <w:spacing w:after="0"/>
              <w:rPr>
                <w:sz w:val="20"/>
                <w:szCs w:val="20"/>
                <w:color w:val="auto"/>
              </w:rPr>
            </w:pPr>
            <w:r>
              <w:rPr>
                <w:rFonts w:ascii="Arial" w:cs="Arial" w:eastAsia="Arial" w:hAnsi="Arial"/>
                <w:sz w:val="18"/>
                <w:szCs w:val="18"/>
                <w:b w:val="1"/>
                <w:bCs w:val="1"/>
                <w:color w:val="auto"/>
              </w:rPr>
              <w:t>February 28, 2009</w:t>
            </w:r>
          </w:p>
        </w:tc>
      </w:tr>
      <w:tr>
        <w:trPr>
          <w:trHeight w:val="110"/>
        </w:trPr>
        <w:tc>
          <w:tcPr>
            <w:tcW w:w="56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r>
      <w:tr>
        <w:trPr>
          <w:trHeight w:val="309"/>
        </w:trPr>
        <w:tc>
          <w:tcPr>
            <w:tcW w:w="56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56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Current Assets:</w:t>
            </w: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60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238.9</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143.6</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36.2</w:t>
            </w:r>
          </w:p>
        </w:tc>
      </w:tr>
      <w:tr>
        <w:trPr>
          <w:trHeight w:val="216"/>
        </w:trPr>
        <w:tc>
          <w:tcPr>
            <w:tcW w:w="5600" w:type="dxa"/>
            <w:vAlign w:val="bottom"/>
          </w:tcPr>
          <w:p>
            <w:pPr>
              <w:ind w:left="320"/>
              <w:spacing w:after="0"/>
              <w:rPr>
                <w:sz w:val="20"/>
                <w:szCs w:val="20"/>
                <w:color w:val="auto"/>
              </w:rPr>
            </w:pPr>
            <w:r>
              <w:rPr>
                <w:rFonts w:ascii="Arial" w:cs="Arial" w:eastAsia="Arial" w:hAnsi="Arial"/>
                <w:sz w:val="18"/>
                <w:szCs w:val="18"/>
                <w:color w:val="auto"/>
              </w:rPr>
              <w:t>Accounts receivable, net</w:t>
            </w:r>
          </w:p>
        </w:tc>
        <w:tc>
          <w:tcPr>
            <w:tcW w:w="90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185.7</w:t>
            </w:r>
          </w:p>
        </w:tc>
        <w:tc>
          <w:tcPr>
            <w:tcW w:w="58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197.4</w:t>
            </w:r>
          </w:p>
        </w:tc>
        <w:tc>
          <w:tcPr>
            <w:tcW w:w="880" w:type="dxa"/>
            <w:vAlign w:val="bottom"/>
          </w:tcPr>
          <w:p>
            <w:pPr>
              <w:spacing w:after="0"/>
              <w:rPr>
                <w:sz w:val="18"/>
                <w:szCs w:val="18"/>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195.5</w:t>
            </w:r>
          </w:p>
        </w:tc>
      </w:tr>
      <w:tr>
        <w:trPr>
          <w:trHeight w:val="216"/>
        </w:trPr>
        <w:tc>
          <w:tcPr>
            <w:tcW w:w="5600" w:type="dxa"/>
            <w:vAlign w:val="bottom"/>
          </w:tcPr>
          <w:p>
            <w:pPr>
              <w:ind w:left="320"/>
              <w:spacing w:after="0"/>
              <w:rPr>
                <w:sz w:val="20"/>
                <w:szCs w:val="20"/>
                <w:color w:val="auto"/>
              </w:rPr>
            </w:pPr>
            <w:r>
              <w:rPr>
                <w:rFonts w:ascii="Arial" w:cs="Arial" w:eastAsia="Arial" w:hAnsi="Arial"/>
                <w:sz w:val="18"/>
                <w:szCs w:val="18"/>
                <w:color w:val="auto"/>
              </w:rPr>
              <w:t>Inventories, net</w:t>
            </w:r>
          </w:p>
        </w:tc>
        <w:tc>
          <w:tcPr>
            <w:tcW w:w="90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374.6</w:t>
            </w:r>
          </w:p>
        </w:tc>
        <w:tc>
          <w:tcPr>
            <w:tcW w:w="58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344.8</w:t>
            </w:r>
          </w:p>
        </w:tc>
        <w:tc>
          <w:tcPr>
            <w:tcW w:w="880" w:type="dxa"/>
            <w:vAlign w:val="bottom"/>
          </w:tcPr>
          <w:p>
            <w:pPr>
              <w:spacing w:after="0"/>
              <w:rPr>
                <w:sz w:val="18"/>
                <w:szCs w:val="18"/>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412.3</w:t>
            </w:r>
          </w:p>
        </w:tc>
      </w:tr>
      <w:tr>
        <w:trPr>
          <w:trHeight w:val="216"/>
        </w:trPr>
        <w:tc>
          <w:tcPr>
            <w:tcW w:w="560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90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65.4</w:t>
            </w:r>
          </w:p>
        </w:tc>
        <w:tc>
          <w:tcPr>
            <w:tcW w:w="58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62.7</w:t>
            </w:r>
          </w:p>
        </w:tc>
        <w:tc>
          <w:tcPr>
            <w:tcW w:w="880" w:type="dxa"/>
            <w:vAlign w:val="bottom"/>
          </w:tcPr>
          <w:p>
            <w:pPr>
              <w:spacing w:after="0"/>
              <w:rPr>
                <w:sz w:val="18"/>
                <w:szCs w:val="18"/>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130.7</w:t>
            </w:r>
          </w:p>
        </w:tc>
      </w:tr>
      <w:tr>
        <w:trPr>
          <w:trHeight w:val="216"/>
        </w:trPr>
        <w:tc>
          <w:tcPr>
            <w:tcW w:w="560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45.2</w:t>
            </w:r>
          </w:p>
        </w:tc>
        <w:tc>
          <w:tcPr>
            <w:tcW w:w="58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40.3</w:t>
            </w:r>
          </w:p>
        </w:tc>
        <w:tc>
          <w:tcPr>
            <w:tcW w:w="880" w:type="dxa"/>
            <w:vAlign w:val="bottom"/>
          </w:tcPr>
          <w:p>
            <w:pPr>
              <w:spacing w:after="0"/>
              <w:rPr>
                <w:sz w:val="18"/>
                <w:szCs w:val="18"/>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66.9</w:t>
            </w:r>
          </w:p>
        </w:tc>
      </w:tr>
      <w:tr>
        <w:trPr>
          <w:trHeight w:val="222"/>
        </w:trPr>
        <w:tc>
          <w:tcPr>
            <w:tcW w:w="5600" w:type="dxa"/>
            <w:vAlign w:val="bottom"/>
          </w:tcPr>
          <w:p>
            <w:pPr>
              <w:ind w:left="320"/>
              <w:spacing w:after="0"/>
              <w:rPr>
                <w:sz w:val="20"/>
                <w:szCs w:val="20"/>
                <w:color w:val="auto"/>
              </w:rPr>
            </w:pPr>
            <w:r>
              <w:rPr>
                <w:rFonts w:ascii="Arial" w:cs="Arial" w:eastAsia="Arial" w:hAnsi="Arial"/>
                <w:sz w:val="18"/>
                <w:szCs w:val="18"/>
                <w:color w:val="auto"/>
              </w:rPr>
              <w:t>Current assets of discontinued operations</w:t>
            </w:r>
          </w:p>
        </w:tc>
        <w:tc>
          <w:tcPr>
            <w:tcW w:w="900" w:type="dxa"/>
            <w:vAlign w:val="bottom"/>
          </w:tcPr>
          <w:p>
            <w:pPr>
              <w:spacing w:after="0"/>
              <w:rPr>
                <w:sz w:val="19"/>
                <w:szCs w:val="19"/>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23.8</w:t>
            </w:r>
          </w:p>
        </w:tc>
        <w:tc>
          <w:tcPr>
            <w:tcW w:w="580" w:type="dxa"/>
            <w:vAlign w:val="bottom"/>
          </w:tcPr>
          <w:p>
            <w:pPr>
              <w:spacing w:after="0"/>
              <w:rPr>
                <w:sz w:val="19"/>
                <w:szCs w:val="19"/>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31.0</w:t>
            </w:r>
          </w:p>
        </w:tc>
        <w:tc>
          <w:tcPr>
            <w:tcW w:w="880" w:type="dxa"/>
            <w:vAlign w:val="bottom"/>
          </w:tcPr>
          <w:p>
            <w:pPr>
              <w:spacing w:after="0"/>
              <w:rPr>
                <w:sz w:val="19"/>
                <w:szCs w:val="19"/>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44.6</w:t>
            </w:r>
          </w:p>
        </w:tc>
      </w:tr>
      <w:tr>
        <w:trPr>
          <w:trHeight w:val="110"/>
        </w:trPr>
        <w:tc>
          <w:tcPr>
            <w:tcW w:w="56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r>
      <w:tr>
        <w:trPr>
          <w:trHeight w:val="464"/>
        </w:trPr>
        <w:tc>
          <w:tcPr>
            <w:tcW w:w="5600" w:type="dxa"/>
            <w:vAlign w:val="bottom"/>
          </w:tcPr>
          <w:p>
            <w:pPr>
              <w:ind w:left="480"/>
              <w:spacing w:after="0"/>
              <w:rPr>
                <w:sz w:val="20"/>
                <w:szCs w:val="20"/>
                <w:color w:val="auto"/>
              </w:rPr>
            </w:pPr>
            <w:r>
              <w:rPr>
                <w:rFonts w:ascii="Arial" w:cs="Arial" w:eastAsia="Arial" w:hAnsi="Arial"/>
                <w:sz w:val="18"/>
                <w:szCs w:val="18"/>
                <w:i w:val="1"/>
                <w:iCs w:val="1"/>
                <w:color w:val="auto"/>
              </w:rPr>
              <w:t>Total current assets</w:t>
            </w:r>
          </w:p>
        </w:tc>
        <w:tc>
          <w:tcPr>
            <w:tcW w:w="900" w:type="dxa"/>
            <w:vAlign w:val="bottom"/>
          </w:tcPr>
          <w:p>
            <w:pPr>
              <w:spacing w:after="0"/>
              <w:rPr>
                <w:sz w:val="24"/>
                <w:szCs w:val="24"/>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933.6</w:t>
            </w:r>
          </w:p>
        </w:tc>
        <w:tc>
          <w:tcPr>
            <w:tcW w:w="580" w:type="dxa"/>
            <w:vAlign w:val="bottom"/>
          </w:tcPr>
          <w:p>
            <w:pPr>
              <w:spacing w:after="0"/>
              <w:rPr>
                <w:sz w:val="24"/>
                <w:szCs w:val="24"/>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819.8</w:t>
            </w:r>
          </w:p>
        </w:tc>
        <w:tc>
          <w:tcPr>
            <w:tcW w:w="880" w:type="dxa"/>
            <w:vAlign w:val="bottom"/>
          </w:tcPr>
          <w:p>
            <w:pPr>
              <w:spacing w:after="0"/>
              <w:rPr>
                <w:sz w:val="24"/>
                <w:szCs w:val="24"/>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886.2</w:t>
            </w:r>
          </w:p>
        </w:tc>
      </w:tr>
      <w:tr>
        <w:trPr>
          <w:trHeight w:val="358"/>
        </w:trPr>
        <w:tc>
          <w:tcPr>
            <w:tcW w:w="5600" w:type="dxa"/>
            <w:vAlign w:val="bottom"/>
          </w:tcPr>
          <w:p>
            <w:pPr>
              <w:ind w:left="320"/>
              <w:spacing w:after="0"/>
              <w:rPr>
                <w:sz w:val="20"/>
                <w:szCs w:val="20"/>
                <w:color w:val="auto"/>
              </w:rPr>
            </w:pPr>
            <w:r>
              <w:rPr>
                <w:rFonts w:ascii="Arial" w:cs="Arial" w:eastAsia="Arial" w:hAnsi="Arial"/>
                <w:sz w:val="18"/>
                <w:szCs w:val="18"/>
                <w:color w:val="auto"/>
              </w:rPr>
              <w:t>Property, plant and equipment, net</w:t>
            </w:r>
          </w:p>
        </w:tc>
        <w:tc>
          <w:tcPr>
            <w:tcW w:w="900" w:type="dxa"/>
            <w:vAlign w:val="bottom"/>
          </w:tcPr>
          <w:p>
            <w:pPr>
              <w:spacing w:after="0"/>
              <w:rPr>
                <w:sz w:val="24"/>
                <w:szCs w:val="24"/>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301.2</w:t>
            </w:r>
          </w:p>
        </w:tc>
        <w:tc>
          <w:tcPr>
            <w:tcW w:w="580" w:type="dxa"/>
            <w:vAlign w:val="bottom"/>
          </w:tcPr>
          <w:p>
            <w:pPr>
              <w:spacing w:after="0"/>
              <w:rPr>
                <w:sz w:val="24"/>
                <w:szCs w:val="24"/>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315.4</w:t>
            </w:r>
          </w:p>
        </w:tc>
        <w:tc>
          <w:tcPr>
            <w:tcW w:w="880" w:type="dxa"/>
            <w:vAlign w:val="bottom"/>
          </w:tcPr>
          <w:p>
            <w:pPr>
              <w:spacing w:after="0"/>
              <w:rPr>
                <w:sz w:val="24"/>
                <w:szCs w:val="24"/>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316.2</w:t>
            </w:r>
          </w:p>
        </w:tc>
      </w:tr>
      <w:tr>
        <w:trPr>
          <w:trHeight w:val="216"/>
        </w:trPr>
        <w:tc>
          <w:tcPr>
            <w:tcW w:w="5600" w:type="dxa"/>
            <w:vAlign w:val="bottom"/>
          </w:tcPr>
          <w:p>
            <w:pPr>
              <w:ind w:left="320"/>
              <w:spacing w:after="0"/>
              <w:rPr>
                <w:sz w:val="20"/>
                <w:szCs w:val="20"/>
                <w:color w:val="auto"/>
              </w:rPr>
            </w:pPr>
            <w:r>
              <w:rPr>
                <w:rFonts w:ascii="Arial" w:cs="Arial" w:eastAsia="Arial" w:hAnsi="Arial"/>
                <w:sz w:val="18"/>
                <w:szCs w:val="18"/>
                <w:color w:val="auto"/>
              </w:rPr>
              <w:t>Prepublication costs</w:t>
            </w:r>
          </w:p>
        </w:tc>
        <w:tc>
          <w:tcPr>
            <w:tcW w:w="90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109.4</w:t>
            </w:r>
          </w:p>
        </w:tc>
        <w:tc>
          <w:tcPr>
            <w:tcW w:w="58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121.5</w:t>
            </w:r>
          </w:p>
        </w:tc>
        <w:tc>
          <w:tcPr>
            <w:tcW w:w="880" w:type="dxa"/>
            <w:vAlign w:val="bottom"/>
          </w:tcPr>
          <w:p>
            <w:pPr>
              <w:spacing w:after="0"/>
              <w:rPr>
                <w:sz w:val="18"/>
                <w:szCs w:val="18"/>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116.6</w:t>
            </w:r>
          </w:p>
        </w:tc>
      </w:tr>
      <w:tr>
        <w:trPr>
          <w:trHeight w:val="216"/>
        </w:trPr>
        <w:tc>
          <w:tcPr>
            <w:tcW w:w="5600" w:type="dxa"/>
            <w:vAlign w:val="bottom"/>
          </w:tcPr>
          <w:p>
            <w:pPr>
              <w:ind w:left="320"/>
              <w:spacing w:after="0"/>
              <w:rPr>
                <w:sz w:val="20"/>
                <w:szCs w:val="20"/>
                <w:color w:val="auto"/>
              </w:rPr>
            </w:pPr>
            <w:r>
              <w:rPr>
                <w:rFonts w:ascii="Arial" w:cs="Arial" w:eastAsia="Arial" w:hAnsi="Arial"/>
                <w:sz w:val="18"/>
                <w:szCs w:val="18"/>
                <w:color w:val="auto"/>
              </w:rPr>
              <w:t>Royalty advances, net</w:t>
            </w:r>
          </w:p>
        </w:tc>
        <w:tc>
          <w:tcPr>
            <w:tcW w:w="90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40.0</w:t>
            </w:r>
          </w:p>
        </w:tc>
        <w:tc>
          <w:tcPr>
            <w:tcW w:w="58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41.5</w:t>
            </w:r>
          </w:p>
        </w:tc>
        <w:tc>
          <w:tcPr>
            <w:tcW w:w="880" w:type="dxa"/>
            <w:vAlign w:val="bottom"/>
          </w:tcPr>
          <w:p>
            <w:pPr>
              <w:spacing w:after="0"/>
              <w:rPr>
                <w:sz w:val="18"/>
                <w:szCs w:val="18"/>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44.9</w:t>
            </w:r>
          </w:p>
        </w:tc>
      </w:tr>
      <w:tr>
        <w:trPr>
          <w:trHeight w:val="216"/>
        </w:trPr>
        <w:tc>
          <w:tcPr>
            <w:tcW w:w="5600" w:type="dxa"/>
            <w:vAlign w:val="bottom"/>
          </w:tcPr>
          <w:p>
            <w:pPr>
              <w:ind w:left="320"/>
              <w:spacing w:after="0"/>
              <w:rPr>
                <w:sz w:val="20"/>
                <w:szCs w:val="20"/>
                <w:color w:val="auto"/>
              </w:rPr>
            </w:pPr>
            <w:r>
              <w:rPr>
                <w:rFonts w:ascii="Arial" w:cs="Arial" w:eastAsia="Arial" w:hAnsi="Arial"/>
                <w:sz w:val="18"/>
                <w:szCs w:val="18"/>
                <w:color w:val="auto"/>
              </w:rPr>
              <w:t>Production costs</w:t>
            </w:r>
          </w:p>
        </w:tc>
        <w:tc>
          <w:tcPr>
            <w:tcW w:w="90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7.0</w:t>
            </w:r>
          </w:p>
        </w:tc>
        <w:tc>
          <w:tcPr>
            <w:tcW w:w="58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6.0</w:t>
            </w:r>
          </w:p>
        </w:tc>
        <w:tc>
          <w:tcPr>
            <w:tcW w:w="880" w:type="dxa"/>
            <w:vAlign w:val="bottom"/>
          </w:tcPr>
          <w:p>
            <w:pPr>
              <w:spacing w:after="0"/>
              <w:rPr>
                <w:sz w:val="18"/>
                <w:szCs w:val="18"/>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5.9</w:t>
            </w:r>
          </w:p>
        </w:tc>
      </w:tr>
      <w:tr>
        <w:trPr>
          <w:trHeight w:val="216"/>
        </w:trPr>
        <w:tc>
          <w:tcPr>
            <w:tcW w:w="5600" w:type="dxa"/>
            <w:vAlign w:val="bottom"/>
          </w:tcPr>
          <w:p>
            <w:pPr>
              <w:ind w:left="320"/>
              <w:spacing w:after="0"/>
              <w:rPr>
                <w:sz w:val="20"/>
                <w:szCs w:val="20"/>
                <w:color w:val="auto"/>
              </w:rPr>
            </w:pPr>
            <w:r>
              <w:rPr>
                <w:rFonts w:ascii="Arial" w:cs="Arial" w:eastAsia="Arial" w:hAnsi="Arial"/>
                <w:sz w:val="18"/>
                <w:szCs w:val="18"/>
                <w:color w:val="auto"/>
              </w:rPr>
              <w:t>Goodwill</w:t>
            </w:r>
          </w:p>
        </w:tc>
        <w:tc>
          <w:tcPr>
            <w:tcW w:w="90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157.0</w:t>
            </w:r>
          </w:p>
        </w:tc>
        <w:tc>
          <w:tcPr>
            <w:tcW w:w="58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157.0</w:t>
            </w:r>
          </w:p>
        </w:tc>
        <w:tc>
          <w:tcPr>
            <w:tcW w:w="880" w:type="dxa"/>
            <w:vAlign w:val="bottom"/>
          </w:tcPr>
          <w:p>
            <w:pPr>
              <w:spacing w:after="0"/>
              <w:rPr>
                <w:sz w:val="18"/>
                <w:szCs w:val="18"/>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141.0</w:t>
            </w:r>
          </w:p>
        </w:tc>
      </w:tr>
      <w:tr>
        <w:trPr>
          <w:trHeight w:val="216"/>
        </w:trPr>
        <w:tc>
          <w:tcPr>
            <w:tcW w:w="5600" w:type="dxa"/>
            <w:vAlign w:val="bottom"/>
          </w:tcPr>
          <w:p>
            <w:pPr>
              <w:ind w:left="320"/>
              <w:spacing w:after="0"/>
              <w:rPr>
                <w:sz w:val="20"/>
                <w:szCs w:val="20"/>
                <w:color w:val="auto"/>
              </w:rPr>
            </w:pPr>
            <w:r>
              <w:rPr>
                <w:rFonts w:ascii="Arial" w:cs="Arial" w:eastAsia="Arial" w:hAnsi="Arial"/>
                <w:sz w:val="18"/>
                <w:szCs w:val="18"/>
                <w:color w:val="auto"/>
              </w:rPr>
              <w:t>Other intangibles</w:t>
            </w:r>
          </w:p>
        </w:tc>
        <w:tc>
          <w:tcPr>
            <w:tcW w:w="90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18.5</w:t>
            </w:r>
          </w:p>
        </w:tc>
        <w:tc>
          <w:tcPr>
            <w:tcW w:w="58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46.8</w:t>
            </w:r>
          </w:p>
        </w:tc>
        <w:tc>
          <w:tcPr>
            <w:tcW w:w="880" w:type="dxa"/>
            <w:vAlign w:val="bottom"/>
          </w:tcPr>
          <w:p>
            <w:pPr>
              <w:spacing w:after="0"/>
              <w:rPr>
                <w:sz w:val="18"/>
                <w:szCs w:val="18"/>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46.9</w:t>
            </w:r>
          </w:p>
        </w:tc>
      </w:tr>
      <w:tr>
        <w:trPr>
          <w:trHeight w:val="222"/>
        </w:trPr>
        <w:tc>
          <w:tcPr>
            <w:tcW w:w="5600" w:type="dxa"/>
            <w:vAlign w:val="bottom"/>
          </w:tcPr>
          <w:p>
            <w:pPr>
              <w:ind w:left="320"/>
              <w:spacing w:after="0"/>
              <w:rPr>
                <w:sz w:val="20"/>
                <w:szCs w:val="20"/>
                <w:color w:val="auto"/>
              </w:rPr>
            </w:pPr>
            <w:r>
              <w:rPr>
                <w:rFonts w:ascii="Arial" w:cs="Arial" w:eastAsia="Arial" w:hAnsi="Arial"/>
                <w:sz w:val="18"/>
                <w:szCs w:val="18"/>
                <w:color w:val="auto"/>
              </w:rPr>
              <w:t>Other assets and deferred charges</w:t>
            </w:r>
          </w:p>
        </w:tc>
        <w:tc>
          <w:tcPr>
            <w:tcW w:w="900" w:type="dxa"/>
            <w:vAlign w:val="bottom"/>
          </w:tcPr>
          <w:p>
            <w:pPr>
              <w:spacing w:after="0"/>
              <w:rPr>
                <w:sz w:val="19"/>
                <w:szCs w:val="19"/>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96.1</w:t>
            </w:r>
          </w:p>
        </w:tc>
        <w:tc>
          <w:tcPr>
            <w:tcW w:w="580" w:type="dxa"/>
            <w:vAlign w:val="bottom"/>
          </w:tcPr>
          <w:p>
            <w:pPr>
              <w:spacing w:after="0"/>
              <w:rPr>
                <w:sz w:val="19"/>
                <w:szCs w:val="19"/>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100.8</w:t>
            </w:r>
          </w:p>
        </w:tc>
        <w:tc>
          <w:tcPr>
            <w:tcW w:w="880" w:type="dxa"/>
            <w:vAlign w:val="bottom"/>
          </w:tcPr>
          <w:p>
            <w:pPr>
              <w:spacing w:after="0"/>
              <w:rPr>
                <w:sz w:val="19"/>
                <w:szCs w:val="19"/>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96.4</w:t>
            </w:r>
          </w:p>
        </w:tc>
      </w:tr>
      <w:tr>
        <w:trPr>
          <w:trHeight w:val="110"/>
        </w:trPr>
        <w:tc>
          <w:tcPr>
            <w:tcW w:w="56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r>
      <w:tr>
        <w:trPr>
          <w:trHeight w:val="316"/>
        </w:trPr>
        <w:tc>
          <w:tcPr>
            <w:tcW w:w="56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492"/>
              <w:spacing w:after="0"/>
              <w:rPr>
                <w:sz w:val="20"/>
                <w:szCs w:val="20"/>
                <w:color w:val="auto"/>
              </w:rPr>
            </w:pPr>
            <w:r>
              <w:rPr>
                <w:rFonts w:ascii="Arial" w:cs="Arial" w:eastAsia="Arial" w:hAnsi="Arial"/>
                <w:sz w:val="18"/>
                <w:szCs w:val="18"/>
                <w:b w:val="1"/>
                <w:bCs w:val="1"/>
                <w:color w:val="auto"/>
              </w:rPr>
              <w:t>1,662.8</w:t>
            </w:r>
          </w:p>
        </w:tc>
        <w:tc>
          <w:tcPr>
            <w:tcW w:w="5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52"/>
              <w:spacing w:after="0"/>
              <w:rPr>
                <w:sz w:val="20"/>
                <w:szCs w:val="20"/>
                <w:color w:val="auto"/>
              </w:rPr>
            </w:pPr>
            <w:r>
              <w:rPr>
                <w:rFonts w:ascii="Arial" w:cs="Arial" w:eastAsia="Arial" w:hAnsi="Arial"/>
                <w:sz w:val="18"/>
                <w:szCs w:val="18"/>
                <w:b w:val="1"/>
                <w:bCs w:val="1"/>
                <w:color w:val="auto"/>
              </w:rPr>
              <w:t>1,608.8</w:t>
            </w: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432"/>
              <w:spacing w:after="0"/>
              <w:rPr>
                <w:sz w:val="20"/>
                <w:szCs w:val="20"/>
                <w:color w:val="auto"/>
              </w:rPr>
            </w:pPr>
            <w:r>
              <w:rPr>
                <w:rFonts w:ascii="Arial" w:cs="Arial" w:eastAsia="Arial" w:hAnsi="Arial"/>
                <w:sz w:val="18"/>
                <w:szCs w:val="18"/>
                <w:b w:val="1"/>
                <w:bCs w:val="1"/>
                <w:color w:val="auto"/>
              </w:rPr>
              <w:t>1,654.1</w:t>
            </w:r>
          </w:p>
        </w:tc>
      </w:tr>
      <w:tr>
        <w:trPr>
          <w:trHeight w:val="110"/>
        </w:trPr>
        <w:tc>
          <w:tcPr>
            <w:tcW w:w="56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r>
      <w:tr>
        <w:trPr>
          <w:trHeight w:val="458"/>
        </w:trPr>
        <w:tc>
          <w:tcPr>
            <w:tcW w:w="56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56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Current Liabilities:</w:t>
            </w: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600" w:type="dxa"/>
            <w:vAlign w:val="bottom"/>
          </w:tcPr>
          <w:p>
            <w:pPr>
              <w:ind w:left="320"/>
              <w:spacing w:after="0"/>
              <w:rPr>
                <w:sz w:val="20"/>
                <w:szCs w:val="20"/>
                <w:color w:val="auto"/>
              </w:rPr>
            </w:pPr>
            <w:r>
              <w:rPr>
                <w:rFonts w:ascii="Arial" w:cs="Arial" w:eastAsia="Arial" w:hAnsi="Arial"/>
                <w:sz w:val="18"/>
                <w:szCs w:val="18"/>
                <w:color w:val="auto"/>
                <w:w w:val="97"/>
              </w:rPr>
              <w:t>Lines of credit, short-term debt and current portion of long-term debt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52.2</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53.7</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52.6</w:t>
            </w:r>
          </w:p>
        </w:tc>
      </w:tr>
      <w:tr>
        <w:trPr>
          <w:trHeight w:val="216"/>
        </w:trPr>
        <w:tc>
          <w:tcPr>
            <w:tcW w:w="560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90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3.4</w:t>
            </w:r>
          </w:p>
        </w:tc>
        <w:tc>
          <w:tcPr>
            <w:tcW w:w="880" w:type="dxa"/>
            <w:vAlign w:val="bottom"/>
          </w:tcPr>
          <w:p>
            <w:pPr>
              <w:spacing w:after="0"/>
              <w:rPr>
                <w:sz w:val="18"/>
                <w:szCs w:val="18"/>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3.5</w:t>
            </w:r>
          </w:p>
        </w:tc>
      </w:tr>
      <w:tr>
        <w:trPr>
          <w:trHeight w:val="216"/>
        </w:trPr>
        <w:tc>
          <w:tcPr>
            <w:tcW w:w="560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90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126.1</w:t>
            </w:r>
          </w:p>
        </w:tc>
        <w:tc>
          <w:tcPr>
            <w:tcW w:w="58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128.2</w:t>
            </w:r>
          </w:p>
        </w:tc>
        <w:tc>
          <w:tcPr>
            <w:tcW w:w="880" w:type="dxa"/>
            <w:vAlign w:val="bottom"/>
          </w:tcPr>
          <w:p>
            <w:pPr>
              <w:spacing w:after="0"/>
              <w:rPr>
                <w:sz w:val="18"/>
                <w:szCs w:val="18"/>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131.7</w:t>
            </w:r>
          </w:p>
        </w:tc>
      </w:tr>
      <w:tr>
        <w:trPr>
          <w:trHeight w:val="216"/>
        </w:trPr>
        <w:tc>
          <w:tcPr>
            <w:tcW w:w="5600" w:type="dxa"/>
            <w:vAlign w:val="bottom"/>
          </w:tcPr>
          <w:p>
            <w:pPr>
              <w:ind w:left="320"/>
              <w:spacing w:after="0"/>
              <w:rPr>
                <w:sz w:val="20"/>
                <w:szCs w:val="20"/>
                <w:color w:val="auto"/>
              </w:rPr>
            </w:pPr>
            <w:r>
              <w:rPr>
                <w:rFonts w:ascii="Arial" w:cs="Arial" w:eastAsia="Arial" w:hAnsi="Arial"/>
                <w:sz w:val="18"/>
                <w:szCs w:val="18"/>
                <w:color w:val="auto"/>
              </w:rPr>
              <w:t>Accrued royalties</w:t>
            </w:r>
          </w:p>
        </w:tc>
        <w:tc>
          <w:tcPr>
            <w:tcW w:w="90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60.6</w:t>
            </w:r>
          </w:p>
        </w:tc>
        <w:tc>
          <w:tcPr>
            <w:tcW w:w="58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41.7</w:t>
            </w:r>
          </w:p>
        </w:tc>
        <w:tc>
          <w:tcPr>
            <w:tcW w:w="880" w:type="dxa"/>
            <w:vAlign w:val="bottom"/>
          </w:tcPr>
          <w:p>
            <w:pPr>
              <w:spacing w:after="0"/>
              <w:rPr>
                <w:sz w:val="18"/>
                <w:szCs w:val="18"/>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60.2</w:t>
            </w:r>
          </w:p>
        </w:tc>
      </w:tr>
      <w:tr>
        <w:trPr>
          <w:trHeight w:val="216"/>
        </w:trPr>
        <w:tc>
          <w:tcPr>
            <w:tcW w:w="560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90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59.0</w:t>
            </w:r>
          </w:p>
        </w:tc>
        <w:tc>
          <w:tcPr>
            <w:tcW w:w="58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34.2</w:t>
            </w:r>
          </w:p>
        </w:tc>
        <w:tc>
          <w:tcPr>
            <w:tcW w:w="880" w:type="dxa"/>
            <w:vAlign w:val="bottom"/>
          </w:tcPr>
          <w:p>
            <w:pPr>
              <w:spacing w:after="0"/>
              <w:rPr>
                <w:sz w:val="18"/>
                <w:szCs w:val="18"/>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48.8</w:t>
            </w:r>
          </w:p>
        </w:tc>
      </w:tr>
      <w:tr>
        <w:trPr>
          <w:trHeight w:val="216"/>
        </w:trPr>
        <w:tc>
          <w:tcPr>
            <w:tcW w:w="5600" w:type="dxa"/>
            <w:vAlign w:val="bottom"/>
          </w:tcPr>
          <w:p>
            <w:pPr>
              <w:ind w:left="320"/>
              <w:spacing w:after="0"/>
              <w:rPr>
                <w:sz w:val="20"/>
                <w:szCs w:val="20"/>
                <w:color w:val="auto"/>
              </w:rPr>
            </w:pPr>
            <w:r>
              <w:rPr>
                <w:rFonts w:ascii="Arial" w:cs="Arial" w:eastAsia="Arial" w:hAnsi="Arial"/>
                <w:sz w:val="18"/>
                <w:szCs w:val="18"/>
                <w:color w:val="auto"/>
              </w:rPr>
              <w:t>Other accrued expenses</w:t>
            </w:r>
          </w:p>
        </w:tc>
        <w:tc>
          <w:tcPr>
            <w:tcW w:w="90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166.7</w:t>
            </w:r>
          </w:p>
        </w:tc>
        <w:tc>
          <w:tcPr>
            <w:tcW w:w="58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138.9</w:t>
            </w:r>
          </w:p>
        </w:tc>
        <w:tc>
          <w:tcPr>
            <w:tcW w:w="880" w:type="dxa"/>
            <w:vAlign w:val="bottom"/>
          </w:tcPr>
          <w:p>
            <w:pPr>
              <w:spacing w:after="0"/>
              <w:rPr>
                <w:sz w:val="18"/>
                <w:szCs w:val="18"/>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147.0</w:t>
            </w:r>
          </w:p>
        </w:tc>
      </w:tr>
      <w:tr>
        <w:trPr>
          <w:trHeight w:val="222"/>
        </w:trPr>
        <w:tc>
          <w:tcPr>
            <w:tcW w:w="5600" w:type="dxa"/>
            <w:vAlign w:val="bottom"/>
          </w:tcPr>
          <w:p>
            <w:pPr>
              <w:ind w:left="320"/>
              <w:spacing w:after="0"/>
              <w:rPr>
                <w:sz w:val="20"/>
                <w:szCs w:val="20"/>
                <w:color w:val="auto"/>
              </w:rPr>
            </w:pPr>
            <w:r>
              <w:rPr>
                <w:rFonts w:ascii="Arial" w:cs="Arial" w:eastAsia="Arial" w:hAnsi="Arial"/>
                <w:sz w:val="18"/>
                <w:szCs w:val="18"/>
                <w:color w:val="auto"/>
              </w:rPr>
              <w:t>Current liabilities of discontinued operations</w:t>
            </w:r>
          </w:p>
        </w:tc>
        <w:tc>
          <w:tcPr>
            <w:tcW w:w="900" w:type="dxa"/>
            <w:vAlign w:val="bottom"/>
          </w:tcPr>
          <w:p>
            <w:pPr>
              <w:spacing w:after="0"/>
              <w:rPr>
                <w:sz w:val="19"/>
                <w:szCs w:val="19"/>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2.6</w:t>
            </w:r>
          </w:p>
        </w:tc>
        <w:tc>
          <w:tcPr>
            <w:tcW w:w="580" w:type="dxa"/>
            <w:vAlign w:val="bottom"/>
          </w:tcPr>
          <w:p>
            <w:pPr>
              <w:spacing w:after="0"/>
              <w:rPr>
                <w:sz w:val="19"/>
                <w:szCs w:val="19"/>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7.3</w:t>
            </w:r>
          </w:p>
        </w:tc>
        <w:tc>
          <w:tcPr>
            <w:tcW w:w="880" w:type="dxa"/>
            <w:vAlign w:val="bottom"/>
          </w:tcPr>
          <w:p>
            <w:pPr>
              <w:spacing w:after="0"/>
              <w:rPr>
                <w:sz w:val="19"/>
                <w:szCs w:val="19"/>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16.7</w:t>
            </w:r>
          </w:p>
        </w:tc>
      </w:tr>
      <w:tr>
        <w:trPr>
          <w:trHeight w:val="110"/>
        </w:trPr>
        <w:tc>
          <w:tcPr>
            <w:tcW w:w="56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r>
      <w:tr>
        <w:trPr>
          <w:trHeight w:val="464"/>
        </w:trPr>
        <w:tc>
          <w:tcPr>
            <w:tcW w:w="5600" w:type="dxa"/>
            <w:vAlign w:val="bottom"/>
          </w:tcPr>
          <w:p>
            <w:pPr>
              <w:ind w:left="480"/>
              <w:spacing w:after="0"/>
              <w:rPr>
                <w:sz w:val="20"/>
                <w:szCs w:val="20"/>
                <w:color w:val="auto"/>
              </w:rPr>
            </w:pPr>
            <w:r>
              <w:rPr>
                <w:rFonts w:ascii="Arial" w:cs="Arial" w:eastAsia="Arial" w:hAnsi="Arial"/>
                <w:sz w:val="18"/>
                <w:szCs w:val="18"/>
                <w:i w:val="1"/>
                <w:iCs w:val="1"/>
                <w:color w:val="auto"/>
              </w:rPr>
              <w:t>Total current liabilities</w:t>
            </w:r>
          </w:p>
        </w:tc>
        <w:tc>
          <w:tcPr>
            <w:tcW w:w="900" w:type="dxa"/>
            <w:vAlign w:val="bottom"/>
          </w:tcPr>
          <w:p>
            <w:pPr>
              <w:spacing w:after="0"/>
              <w:rPr>
                <w:sz w:val="24"/>
                <w:szCs w:val="24"/>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468.8</w:t>
            </w:r>
          </w:p>
        </w:tc>
        <w:tc>
          <w:tcPr>
            <w:tcW w:w="580" w:type="dxa"/>
            <w:vAlign w:val="bottom"/>
          </w:tcPr>
          <w:p>
            <w:pPr>
              <w:spacing w:after="0"/>
              <w:rPr>
                <w:sz w:val="24"/>
                <w:szCs w:val="24"/>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407.4</w:t>
            </w:r>
          </w:p>
        </w:tc>
        <w:tc>
          <w:tcPr>
            <w:tcW w:w="880" w:type="dxa"/>
            <w:vAlign w:val="bottom"/>
          </w:tcPr>
          <w:p>
            <w:pPr>
              <w:spacing w:after="0"/>
              <w:rPr>
                <w:sz w:val="24"/>
                <w:szCs w:val="24"/>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460.5</w:t>
            </w:r>
          </w:p>
        </w:tc>
      </w:tr>
      <w:tr>
        <w:trPr>
          <w:trHeight w:val="358"/>
        </w:trPr>
        <w:tc>
          <w:tcPr>
            <w:tcW w:w="56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Noncurrent Liabilities:</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5600" w:type="dxa"/>
            <w:vAlign w:val="bottom"/>
          </w:tcPr>
          <w:p>
            <w:pPr>
              <w:ind w:left="320"/>
              <w:spacing w:after="0"/>
              <w:rPr>
                <w:sz w:val="20"/>
                <w:szCs w:val="20"/>
                <w:color w:val="auto"/>
              </w:rPr>
            </w:pPr>
            <w:r>
              <w:rPr>
                <w:rFonts w:ascii="Arial" w:cs="Arial" w:eastAsia="Arial" w:hAnsi="Arial"/>
                <w:sz w:val="18"/>
                <w:szCs w:val="18"/>
                <w:color w:val="auto"/>
              </w:rPr>
              <w:t>Long-term debt</w:t>
            </w:r>
          </w:p>
        </w:tc>
        <w:tc>
          <w:tcPr>
            <w:tcW w:w="90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213.1</w:t>
            </w:r>
          </w:p>
        </w:tc>
        <w:tc>
          <w:tcPr>
            <w:tcW w:w="58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250.0</w:t>
            </w:r>
          </w:p>
        </w:tc>
        <w:tc>
          <w:tcPr>
            <w:tcW w:w="880" w:type="dxa"/>
            <w:vAlign w:val="bottom"/>
          </w:tcPr>
          <w:p>
            <w:pPr>
              <w:spacing w:after="0"/>
              <w:rPr>
                <w:sz w:val="18"/>
                <w:szCs w:val="18"/>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262.7</w:t>
            </w:r>
          </w:p>
        </w:tc>
      </w:tr>
      <w:tr>
        <w:trPr>
          <w:trHeight w:val="216"/>
        </w:trPr>
        <w:tc>
          <w:tcPr>
            <w:tcW w:w="560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90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54.7</w:t>
            </w:r>
          </w:p>
        </w:tc>
        <w:tc>
          <w:tcPr>
            <w:tcW w:w="58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54.5</w:t>
            </w:r>
          </w:p>
        </w:tc>
        <w:tc>
          <w:tcPr>
            <w:tcW w:w="880" w:type="dxa"/>
            <w:vAlign w:val="bottom"/>
          </w:tcPr>
          <w:p>
            <w:pPr>
              <w:spacing w:after="0"/>
              <w:rPr>
                <w:sz w:val="18"/>
                <w:szCs w:val="18"/>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55.0</w:t>
            </w:r>
          </w:p>
        </w:tc>
      </w:tr>
      <w:tr>
        <w:trPr>
          <w:trHeight w:val="222"/>
        </w:trPr>
        <w:tc>
          <w:tcPr>
            <w:tcW w:w="5600" w:type="dxa"/>
            <w:vAlign w:val="bottom"/>
          </w:tcPr>
          <w:p>
            <w:pPr>
              <w:ind w:left="320"/>
              <w:spacing w:after="0"/>
              <w:rPr>
                <w:sz w:val="20"/>
                <w:szCs w:val="20"/>
                <w:color w:val="auto"/>
              </w:rPr>
            </w:pPr>
            <w:r>
              <w:rPr>
                <w:rFonts w:ascii="Arial" w:cs="Arial" w:eastAsia="Arial" w:hAnsi="Arial"/>
                <w:sz w:val="18"/>
                <w:szCs w:val="18"/>
                <w:color w:val="auto"/>
              </w:rPr>
              <w:t>Other noncurrent liabilities</w:t>
            </w:r>
          </w:p>
        </w:tc>
        <w:tc>
          <w:tcPr>
            <w:tcW w:w="900" w:type="dxa"/>
            <w:vAlign w:val="bottom"/>
          </w:tcPr>
          <w:p>
            <w:pPr>
              <w:spacing w:after="0"/>
              <w:rPr>
                <w:sz w:val="19"/>
                <w:szCs w:val="19"/>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101.2</w:t>
            </w:r>
          </w:p>
        </w:tc>
        <w:tc>
          <w:tcPr>
            <w:tcW w:w="580" w:type="dxa"/>
            <w:vAlign w:val="bottom"/>
          </w:tcPr>
          <w:p>
            <w:pPr>
              <w:spacing w:after="0"/>
              <w:rPr>
                <w:sz w:val="19"/>
                <w:szCs w:val="19"/>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111.9</w:t>
            </w:r>
          </w:p>
        </w:tc>
        <w:tc>
          <w:tcPr>
            <w:tcW w:w="880" w:type="dxa"/>
            <w:vAlign w:val="bottom"/>
          </w:tcPr>
          <w:p>
            <w:pPr>
              <w:spacing w:after="0"/>
              <w:rPr>
                <w:sz w:val="19"/>
                <w:szCs w:val="19"/>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110.6</w:t>
            </w:r>
          </w:p>
        </w:tc>
      </w:tr>
      <w:tr>
        <w:trPr>
          <w:trHeight w:val="110"/>
        </w:trPr>
        <w:tc>
          <w:tcPr>
            <w:tcW w:w="56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r>
      <w:tr>
        <w:trPr>
          <w:trHeight w:val="464"/>
        </w:trPr>
        <w:tc>
          <w:tcPr>
            <w:tcW w:w="5600" w:type="dxa"/>
            <w:vAlign w:val="bottom"/>
          </w:tcPr>
          <w:p>
            <w:pPr>
              <w:ind w:left="480"/>
              <w:spacing w:after="0"/>
              <w:rPr>
                <w:sz w:val="20"/>
                <w:szCs w:val="20"/>
                <w:color w:val="auto"/>
              </w:rPr>
            </w:pPr>
            <w:r>
              <w:rPr>
                <w:rFonts w:ascii="Arial" w:cs="Arial" w:eastAsia="Arial" w:hAnsi="Arial"/>
                <w:sz w:val="18"/>
                <w:szCs w:val="18"/>
                <w:i w:val="1"/>
                <w:iCs w:val="1"/>
                <w:color w:val="auto"/>
              </w:rPr>
              <w:t>Total noncurrent liabilities</w:t>
            </w:r>
          </w:p>
        </w:tc>
        <w:tc>
          <w:tcPr>
            <w:tcW w:w="900" w:type="dxa"/>
            <w:vAlign w:val="bottom"/>
          </w:tcPr>
          <w:p>
            <w:pPr>
              <w:spacing w:after="0"/>
              <w:rPr>
                <w:sz w:val="24"/>
                <w:szCs w:val="24"/>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369.0</w:t>
            </w:r>
          </w:p>
        </w:tc>
        <w:tc>
          <w:tcPr>
            <w:tcW w:w="580" w:type="dxa"/>
            <w:vAlign w:val="bottom"/>
          </w:tcPr>
          <w:p>
            <w:pPr>
              <w:spacing w:after="0"/>
              <w:rPr>
                <w:sz w:val="24"/>
                <w:szCs w:val="24"/>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416.4</w:t>
            </w:r>
          </w:p>
        </w:tc>
        <w:tc>
          <w:tcPr>
            <w:tcW w:w="880" w:type="dxa"/>
            <w:vAlign w:val="bottom"/>
          </w:tcPr>
          <w:p>
            <w:pPr>
              <w:spacing w:after="0"/>
              <w:rPr>
                <w:sz w:val="24"/>
                <w:szCs w:val="24"/>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428.3</w:t>
            </w:r>
          </w:p>
        </w:tc>
      </w:tr>
      <w:tr>
        <w:trPr>
          <w:trHeight w:val="365"/>
        </w:trPr>
        <w:tc>
          <w:tcPr>
            <w:tcW w:w="5600" w:type="dxa"/>
            <w:vAlign w:val="bottom"/>
          </w:tcPr>
          <w:p>
            <w:pPr>
              <w:spacing w:after="0"/>
              <w:rPr>
                <w:sz w:val="20"/>
                <w:szCs w:val="20"/>
                <w:color w:val="auto"/>
              </w:rPr>
            </w:pPr>
            <w:r>
              <w:rPr>
                <w:rFonts w:ascii="Arial" w:cs="Arial" w:eastAsia="Arial" w:hAnsi="Arial"/>
                <w:sz w:val="18"/>
                <w:szCs w:val="18"/>
                <w:b w:val="1"/>
                <w:bCs w:val="1"/>
                <w:i w:val="1"/>
                <w:iCs w:val="1"/>
                <w:color w:val="auto"/>
              </w:rPr>
              <w:t>Commitments and Contingencies:</w:t>
            </w:r>
          </w:p>
        </w:tc>
        <w:tc>
          <w:tcPr>
            <w:tcW w:w="900" w:type="dxa"/>
            <w:vAlign w:val="bottom"/>
          </w:tcPr>
          <w:p>
            <w:pPr>
              <w:spacing w:after="0"/>
              <w:rPr>
                <w:sz w:val="24"/>
                <w:szCs w:val="24"/>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w:t>
            </w:r>
          </w:p>
        </w:tc>
      </w:tr>
      <w:tr>
        <w:trPr>
          <w:trHeight w:val="358"/>
        </w:trPr>
        <w:tc>
          <w:tcPr>
            <w:tcW w:w="5600" w:type="dxa"/>
            <w:vAlign w:val="bottom"/>
          </w:tcPr>
          <w:p>
            <w:pPr>
              <w:spacing w:after="0"/>
              <w:rPr>
                <w:sz w:val="20"/>
                <w:szCs w:val="20"/>
                <w:color w:val="auto"/>
              </w:rPr>
            </w:pPr>
            <w:r>
              <w:rPr>
                <w:rFonts w:ascii="Arial" w:cs="Arial" w:eastAsia="Arial" w:hAnsi="Arial"/>
                <w:sz w:val="18"/>
                <w:szCs w:val="18"/>
                <w:b w:val="1"/>
                <w:bCs w:val="1"/>
                <w:i w:val="1"/>
                <w:iCs w:val="1"/>
                <w:color w:val="auto"/>
              </w:rPr>
              <w:t>Stockholders’ Equity:</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5600" w:type="dxa"/>
            <w:vAlign w:val="bottom"/>
          </w:tcPr>
          <w:p>
            <w:pPr>
              <w:ind w:left="320"/>
              <w:spacing w:after="0"/>
              <w:rPr>
                <w:sz w:val="20"/>
                <w:szCs w:val="20"/>
                <w:color w:val="auto"/>
              </w:rPr>
            </w:pPr>
            <w:r>
              <w:rPr>
                <w:rFonts w:ascii="Arial" w:cs="Arial" w:eastAsia="Arial" w:hAnsi="Arial"/>
                <w:sz w:val="18"/>
                <w:szCs w:val="18"/>
                <w:color w:val="auto"/>
              </w:rPr>
              <w:t>Preferred Stock, $1.00 par value</w:t>
            </w:r>
          </w:p>
        </w:tc>
        <w:tc>
          <w:tcPr>
            <w:tcW w:w="90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tcPr>
          <w:p>
            <w:pPr>
              <w:ind w:left="320"/>
              <w:spacing w:after="0"/>
              <w:rPr>
                <w:sz w:val="20"/>
                <w:szCs w:val="20"/>
                <w:color w:val="auto"/>
              </w:rPr>
            </w:pPr>
            <w:r>
              <w:rPr>
                <w:rFonts w:ascii="Arial" w:cs="Arial" w:eastAsia="Arial" w:hAnsi="Arial"/>
                <w:sz w:val="18"/>
                <w:szCs w:val="18"/>
                <w:color w:val="auto"/>
              </w:rPr>
              <w:t>Class A Stock, $.01 par value</w:t>
            </w:r>
          </w:p>
        </w:tc>
        <w:tc>
          <w:tcPr>
            <w:tcW w:w="90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0.0</w:t>
            </w:r>
          </w:p>
        </w:tc>
        <w:tc>
          <w:tcPr>
            <w:tcW w:w="58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0.0</w:t>
            </w:r>
          </w:p>
        </w:tc>
        <w:tc>
          <w:tcPr>
            <w:tcW w:w="880" w:type="dxa"/>
            <w:vAlign w:val="bottom"/>
          </w:tcPr>
          <w:p>
            <w:pPr>
              <w:spacing w:after="0"/>
              <w:rPr>
                <w:sz w:val="18"/>
                <w:szCs w:val="18"/>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0.0</w:t>
            </w:r>
          </w:p>
        </w:tc>
      </w:tr>
      <w:tr>
        <w:trPr>
          <w:trHeight w:val="216"/>
        </w:trPr>
        <w:tc>
          <w:tcPr>
            <w:tcW w:w="5600" w:type="dxa"/>
            <w:vAlign w:val="bottom"/>
          </w:tcPr>
          <w:p>
            <w:pPr>
              <w:ind w:left="320"/>
              <w:spacing w:after="0"/>
              <w:rPr>
                <w:sz w:val="20"/>
                <w:szCs w:val="20"/>
                <w:color w:val="auto"/>
              </w:rPr>
            </w:pPr>
            <w:r>
              <w:rPr>
                <w:rFonts w:ascii="Arial" w:cs="Arial" w:eastAsia="Arial" w:hAnsi="Arial"/>
                <w:sz w:val="18"/>
                <w:szCs w:val="18"/>
                <w:color w:val="auto"/>
              </w:rPr>
              <w:t>Common Stock, $.01 par value</w:t>
            </w:r>
          </w:p>
        </w:tc>
        <w:tc>
          <w:tcPr>
            <w:tcW w:w="90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0.4</w:t>
            </w:r>
          </w:p>
        </w:tc>
        <w:tc>
          <w:tcPr>
            <w:tcW w:w="58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0.4</w:t>
            </w:r>
          </w:p>
        </w:tc>
        <w:tc>
          <w:tcPr>
            <w:tcW w:w="880" w:type="dxa"/>
            <w:vAlign w:val="bottom"/>
          </w:tcPr>
          <w:p>
            <w:pPr>
              <w:spacing w:after="0"/>
              <w:rPr>
                <w:sz w:val="18"/>
                <w:szCs w:val="18"/>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0.4</w:t>
            </w:r>
          </w:p>
        </w:tc>
      </w:tr>
      <w:tr>
        <w:trPr>
          <w:trHeight w:val="216"/>
        </w:trPr>
        <w:tc>
          <w:tcPr>
            <w:tcW w:w="560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90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566.3</w:t>
            </w:r>
          </w:p>
        </w:tc>
        <w:tc>
          <w:tcPr>
            <w:tcW w:w="58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552.9</w:t>
            </w:r>
          </w:p>
        </w:tc>
        <w:tc>
          <w:tcPr>
            <w:tcW w:w="880" w:type="dxa"/>
            <w:vAlign w:val="bottom"/>
          </w:tcPr>
          <w:p>
            <w:pPr>
              <w:spacing w:after="0"/>
              <w:rPr>
                <w:sz w:val="18"/>
                <w:szCs w:val="18"/>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550.7</w:t>
            </w:r>
          </w:p>
        </w:tc>
      </w:tr>
      <w:tr>
        <w:trPr>
          <w:trHeight w:val="216"/>
        </w:trPr>
        <w:tc>
          <w:tcPr>
            <w:tcW w:w="5600" w:type="dxa"/>
            <w:vAlign w:val="bottom"/>
          </w:tcPr>
          <w:p>
            <w:pPr>
              <w:ind w:left="320"/>
              <w:spacing w:after="0"/>
              <w:rPr>
                <w:sz w:val="20"/>
                <w:szCs w:val="20"/>
                <w:color w:val="auto"/>
              </w:rPr>
            </w:pPr>
            <w:r>
              <w:rPr>
                <w:rFonts w:ascii="Arial" w:cs="Arial" w:eastAsia="Arial" w:hAnsi="Arial"/>
                <w:sz w:val="18"/>
                <w:szCs w:val="18"/>
                <w:color w:val="auto"/>
              </w:rPr>
              <w:t>Accumulated other comprehensive loss</w:t>
            </w:r>
          </w:p>
        </w:tc>
        <w:tc>
          <w:tcPr>
            <w:tcW w:w="900" w:type="dxa"/>
            <w:vAlign w:val="bottom"/>
          </w:tcPr>
          <w:p>
            <w:pPr>
              <w:spacing w:after="0"/>
              <w:rPr>
                <w:sz w:val="18"/>
                <w:szCs w:val="18"/>
                <w:color w:val="auto"/>
              </w:rPr>
            </w:pPr>
          </w:p>
        </w:tc>
        <w:tc>
          <w:tcPr>
            <w:tcW w:w="1220" w:type="dxa"/>
            <w:vAlign w:val="bottom"/>
          </w:tcPr>
          <w:p>
            <w:pPr>
              <w:jc w:val="right"/>
              <w:ind w:right="432"/>
              <w:spacing w:after="0"/>
              <w:rPr>
                <w:sz w:val="20"/>
                <w:szCs w:val="20"/>
                <w:color w:val="auto"/>
              </w:rPr>
            </w:pPr>
            <w:r>
              <w:rPr>
                <w:rFonts w:ascii="Arial" w:cs="Arial" w:eastAsia="Arial" w:hAnsi="Arial"/>
                <w:sz w:val="18"/>
                <w:szCs w:val="18"/>
                <w:color w:val="auto"/>
              </w:rPr>
              <w:t>(70.5)</w:t>
            </w:r>
          </w:p>
        </w:tc>
        <w:tc>
          <w:tcPr>
            <w:tcW w:w="580" w:type="dxa"/>
            <w:vAlign w:val="bottom"/>
          </w:tcPr>
          <w:p>
            <w:pPr>
              <w:spacing w:after="0"/>
              <w:rPr>
                <w:sz w:val="18"/>
                <w:szCs w:val="18"/>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(77.1)</w:t>
            </w:r>
          </w:p>
        </w:tc>
        <w:tc>
          <w:tcPr>
            <w:tcW w:w="880" w:type="dxa"/>
            <w:vAlign w:val="bottom"/>
          </w:tcPr>
          <w:p>
            <w:pPr>
              <w:spacing w:after="0"/>
              <w:rPr>
                <w:sz w:val="18"/>
                <w:szCs w:val="18"/>
                <w:color w:val="auto"/>
              </w:rPr>
            </w:pPr>
          </w:p>
        </w:tc>
        <w:tc>
          <w:tcPr>
            <w:tcW w:w="1180" w:type="dxa"/>
            <w:vAlign w:val="bottom"/>
          </w:tcPr>
          <w:p>
            <w:pPr>
              <w:jc w:val="right"/>
              <w:ind w:right="372"/>
              <w:spacing w:after="0"/>
              <w:rPr>
                <w:sz w:val="20"/>
                <w:szCs w:val="20"/>
                <w:color w:val="auto"/>
              </w:rPr>
            </w:pPr>
            <w:r>
              <w:rPr>
                <w:rFonts w:ascii="Arial" w:cs="Arial" w:eastAsia="Arial" w:hAnsi="Arial"/>
                <w:sz w:val="18"/>
                <w:szCs w:val="18"/>
                <w:color w:val="auto"/>
              </w:rPr>
              <w:t>(71.9)</w:t>
            </w:r>
          </w:p>
        </w:tc>
      </w:tr>
      <w:tr>
        <w:trPr>
          <w:trHeight w:val="216"/>
        </w:trPr>
        <w:tc>
          <w:tcPr>
            <w:tcW w:w="560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90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581.4</w:t>
            </w:r>
          </w:p>
        </w:tc>
        <w:tc>
          <w:tcPr>
            <w:tcW w:w="58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562.8</w:t>
            </w:r>
          </w:p>
        </w:tc>
        <w:tc>
          <w:tcPr>
            <w:tcW w:w="880" w:type="dxa"/>
            <w:vAlign w:val="bottom"/>
          </w:tcPr>
          <w:p>
            <w:pPr>
              <w:spacing w:after="0"/>
              <w:rPr>
                <w:sz w:val="18"/>
                <w:szCs w:val="18"/>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537.7</w:t>
            </w:r>
          </w:p>
        </w:tc>
      </w:tr>
      <w:tr>
        <w:trPr>
          <w:trHeight w:val="222"/>
        </w:trPr>
        <w:tc>
          <w:tcPr>
            <w:tcW w:w="5600" w:type="dxa"/>
            <w:vAlign w:val="bottom"/>
          </w:tcPr>
          <w:p>
            <w:pPr>
              <w:ind w:left="320"/>
              <w:spacing w:after="0"/>
              <w:rPr>
                <w:sz w:val="20"/>
                <w:szCs w:val="20"/>
                <w:color w:val="auto"/>
              </w:rPr>
            </w:pPr>
            <w:r>
              <w:rPr>
                <w:rFonts w:ascii="Arial" w:cs="Arial" w:eastAsia="Arial" w:hAnsi="Arial"/>
                <w:sz w:val="18"/>
                <w:szCs w:val="18"/>
                <w:color w:val="auto"/>
              </w:rPr>
              <w:t>Treasury stock at cost</w:t>
            </w:r>
          </w:p>
        </w:tc>
        <w:tc>
          <w:tcPr>
            <w:tcW w:w="900" w:type="dxa"/>
            <w:vAlign w:val="bottom"/>
          </w:tcPr>
          <w:p>
            <w:pPr>
              <w:spacing w:after="0"/>
              <w:rPr>
                <w:sz w:val="19"/>
                <w:szCs w:val="19"/>
                <w:color w:val="auto"/>
              </w:rPr>
            </w:pPr>
          </w:p>
        </w:tc>
        <w:tc>
          <w:tcPr>
            <w:tcW w:w="1220" w:type="dxa"/>
            <w:vAlign w:val="bottom"/>
          </w:tcPr>
          <w:p>
            <w:pPr>
              <w:jc w:val="right"/>
              <w:ind w:right="432"/>
              <w:spacing w:after="0"/>
              <w:rPr>
                <w:sz w:val="20"/>
                <w:szCs w:val="20"/>
                <w:color w:val="auto"/>
              </w:rPr>
            </w:pPr>
            <w:r>
              <w:rPr>
                <w:rFonts w:ascii="Arial" w:cs="Arial" w:eastAsia="Arial" w:hAnsi="Arial"/>
                <w:sz w:val="18"/>
                <w:szCs w:val="18"/>
                <w:color w:val="auto"/>
              </w:rPr>
              <w:t>(252.6)</w:t>
            </w:r>
          </w:p>
        </w:tc>
        <w:tc>
          <w:tcPr>
            <w:tcW w:w="580" w:type="dxa"/>
            <w:vAlign w:val="bottom"/>
          </w:tcPr>
          <w:p>
            <w:pPr>
              <w:spacing w:after="0"/>
              <w:rPr>
                <w:sz w:val="19"/>
                <w:szCs w:val="19"/>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(254.0)</w:t>
            </w:r>
          </w:p>
        </w:tc>
        <w:tc>
          <w:tcPr>
            <w:tcW w:w="880" w:type="dxa"/>
            <w:vAlign w:val="bottom"/>
          </w:tcPr>
          <w:p>
            <w:pPr>
              <w:spacing w:after="0"/>
              <w:rPr>
                <w:sz w:val="19"/>
                <w:szCs w:val="19"/>
                <w:color w:val="auto"/>
              </w:rPr>
            </w:pPr>
          </w:p>
        </w:tc>
        <w:tc>
          <w:tcPr>
            <w:tcW w:w="1180" w:type="dxa"/>
            <w:vAlign w:val="bottom"/>
          </w:tcPr>
          <w:p>
            <w:pPr>
              <w:jc w:val="right"/>
              <w:ind w:right="372"/>
              <w:spacing w:after="0"/>
              <w:rPr>
                <w:sz w:val="20"/>
                <w:szCs w:val="20"/>
                <w:color w:val="auto"/>
              </w:rPr>
            </w:pPr>
            <w:r>
              <w:rPr>
                <w:rFonts w:ascii="Arial" w:cs="Arial" w:eastAsia="Arial" w:hAnsi="Arial"/>
                <w:sz w:val="18"/>
                <w:szCs w:val="18"/>
                <w:color w:val="auto"/>
              </w:rPr>
              <w:t>(251.6)</w:t>
            </w:r>
          </w:p>
        </w:tc>
      </w:tr>
      <w:tr>
        <w:trPr>
          <w:trHeight w:val="110"/>
        </w:trPr>
        <w:tc>
          <w:tcPr>
            <w:tcW w:w="56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r>
      <w:tr>
        <w:trPr>
          <w:trHeight w:val="316"/>
        </w:trPr>
        <w:tc>
          <w:tcPr>
            <w:tcW w:w="5600" w:type="dxa"/>
            <w:vAlign w:val="bottom"/>
          </w:tcPr>
          <w:p>
            <w:pPr>
              <w:ind w:left="480"/>
              <w:spacing w:after="0"/>
              <w:rPr>
                <w:sz w:val="20"/>
                <w:szCs w:val="20"/>
                <w:color w:val="auto"/>
              </w:rPr>
            </w:pPr>
            <w:r>
              <w:rPr>
                <w:rFonts w:ascii="Arial" w:cs="Arial" w:eastAsia="Arial" w:hAnsi="Arial"/>
                <w:sz w:val="18"/>
                <w:szCs w:val="18"/>
                <w:i w:val="1"/>
                <w:iCs w:val="1"/>
                <w:color w:val="auto"/>
              </w:rPr>
              <w:t>Total stockholders’ equity</w:t>
            </w:r>
          </w:p>
        </w:tc>
        <w:tc>
          <w:tcPr>
            <w:tcW w:w="900" w:type="dxa"/>
            <w:vAlign w:val="bottom"/>
          </w:tcPr>
          <w:p>
            <w:pPr>
              <w:spacing w:after="0"/>
              <w:rPr>
                <w:sz w:val="24"/>
                <w:szCs w:val="24"/>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825.0</w:t>
            </w:r>
          </w:p>
        </w:tc>
        <w:tc>
          <w:tcPr>
            <w:tcW w:w="580" w:type="dxa"/>
            <w:vAlign w:val="bottom"/>
          </w:tcPr>
          <w:p>
            <w:pPr>
              <w:spacing w:after="0"/>
              <w:rPr>
                <w:sz w:val="24"/>
                <w:szCs w:val="24"/>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785.0</w:t>
            </w:r>
          </w:p>
        </w:tc>
        <w:tc>
          <w:tcPr>
            <w:tcW w:w="880" w:type="dxa"/>
            <w:vAlign w:val="bottom"/>
          </w:tcPr>
          <w:p>
            <w:pPr>
              <w:spacing w:after="0"/>
              <w:rPr>
                <w:sz w:val="24"/>
                <w:szCs w:val="24"/>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765.3</w:t>
            </w:r>
          </w:p>
        </w:tc>
      </w:tr>
      <w:tr>
        <w:trPr>
          <w:trHeight w:val="110"/>
        </w:trPr>
        <w:tc>
          <w:tcPr>
            <w:tcW w:w="56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r>
      <w:tr>
        <w:trPr>
          <w:trHeight w:val="316"/>
        </w:trPr>
        <w:tc>
          <w:tcPr>
            <w:tcW w:w="56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492"/>
              <w:spacing w:after="0"/>
              <w:rPr>
                <w:sz w:val="20"/>
                <w:szCs w:val="20"/>
                <w:color w:val="auto"/>
              </w:rPr>
            </w:pPr>
            <w:r>
              <w:rPr>
                <w:rFonts w:ascii="Arial" w:cs="Arial" w:eastAsia="Arial" w:hAnsi="Arial"/>
                <w:sz w:val="18"/>
                <w:szCs w:val="18"/>
                <w:b w:val="1"/>
                <w:bCs w:val="1"/>
                <w:color w:val="auto"/>
              </w:rPr>
              <w:t>1,662.8</w:t>
            </w:r>
          </w:p>
        </w:tc>
        <w:tc>
          <w:tcPr>
            <w:tcW w:w="5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52"/>
              <w:spacing w:after="0"/>
              <w:rPr>
                <w:sz w:val="20"/>
                <w:szCs w:val="20"/>
                <w:color w:val="auto"/>
              </w:rPr>
            </w:pPr>
            <w:r>
              <w:rPr>
                <w:rFonts w:ascii="Arial" w:cs="Arial" w:eastAsia="Arial" w:hAnsi="Arial"/>
                <w:sz w:val="18"/>
                <w:szCs w:val="18"/>
                <w:b w:val="1"/>
                <w:bCs w:val="1"/>
                <w:color w:val="auto"/>
              </w:rPr>
              <w:t>1,608.8</w:t>
            </w: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432"/>
              <w:spacing w:after="0"/>
              <w:rPr>
                <w:sz w:val="20"/>
                <w:szCs w:val="20"/>
                <w:color w:val="auto"/>
              </w:rPr>
            </w:pPr>
            <w:r>
              <w:rPr>
                <w:rFonts w:ascii="Arial" w:cs="Arial" w:eastAsia="Arial" w:hAnsi="Arial"/>
                <w:sz w:val="18"/>
                <w:szCs w:val="18"/>
                <w:b w:val="1"/>
                <w:bCs w:val="1"/>
                <w:color w:val="auto"/>
              </w:rPr>
              <w:t>1,654.1</w:t>
            </w:r>
          </w:p>
        </w:tc>
      </w:tr>
      <w:tr>
        <w:trPr>
          <w:trHeight w:val="110"/>
        </w:trPr>
        <w:tc>
          <w:tcPr>
            <w:tcW w:w="56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40"/>
          </w:cols>
          <w:pgMar w:left="240" w:top="382" w:right="21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i w:val="1"/>
          <w:iCs w:val="1"/>
          <w:color w:val="auto"/>
        </w:rPr>
        <w:t>Nine months ended</w:t>
      </w:r>
    </w:p>
    <w:p>
      <w:pPr>
        <w:spacing w:after="0" w:line="15"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i w:val="1"/>
          <w:iCs w:val="1"/>
          <w:color w:val="auto"/>
        </w:rPr>
        <w:t>February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332"/>
              <w:spacing w:after="0"/>
              <w:rPr>
                <w:sz w:val="20"/>
                <w:szCs w:val="20"/>
                <w:color w:val="auto"/>
              </w:rPr>
            </w:pPr>
            <w:r>
              <w:rPr>
                <w:rFonts w:ascii="Arial" w:cs="Arial" w:eastAsia="Arial" w:hAnsi="Arial"/>
                <w:sz w:val="18"/>
                <w:szCs w:val="18"/>
                <w:b w:val="1"/>
                <w:bCs w:val="1"/>
                <w:color w:val="auto"/>
                <w:w w:val="99"/>
              </w:rPr>
              <w:t>2010</w:t>
            </w:r>
          </w:p>
        </w:tc>
        <w:tc>
          <w:tcPr>
            <w:tcW w:w="300" w:type="dxa"/>
            <w:vAlign w:val="bottom"/>
          </w:tcPr>
          <w:p>
            <w:pPr>
              <w:spacing w:after="0"/>
              <w:rPr>
                <w:sz w:val="19"/>
                <w:szCs w:val="19"/>
                <w:color w:val="auto"/>
              </w:rPr>
            </w:pPr>
          </w:p>
        </w:tc>
        <w:tc>
          <w:tcPr>
            <w:tcW w:w="780" w:type="dxa"/>
            <w:vAlign w:val="bottom"/>
          </w:tcPr>
          <w:p>
            <w:pPr>
              <w:jc w:val="right"/>
              <w:ind w:right="272"/>
              <w:spacing w:after="0"/>
              <w:rPr>
                <w:sz w:val="20"/>
                <w:szCs w:val="20"/>
                <w:color w:val="auto"/>
              </w:rPr>
            </w:pPr>
            <w:r>
              <w:rPr>
                <w:rFonts w:ascii="Arial" w:cs="Arial" w:eastAsia="Arial" w:hAnsi="Arial"/>
                <w:sz w:val="18"/>
                <w:szCs w:val="18"/>
                <w:b w:val="1"/>
                <w:bCs w:val="1"/>
                <w:color w:val="auto"/>
                <w:w w:val="99"/>
              </w:rPr>
              <w:t>2009</w:t>
            </w:r>
          </w:p>
        </w:tc>
        <w:tc>
          <w:tcPr>
            <w:tcW w:w="20" w:type="dxa"/>
            <w:vAlign w:val="bottom"/>
          </w:tcPr>
          <w:p>
            <w:pPr>
              <w:spacing w:after="0"/>
              <w:rPr>
                <w:sz w:val="19"/>
                <w:szCs w:val="19"/>
                <w:color w:val="auto"/>
              </w:rPr>
            </w:pPr>
          </w:p>
        </w:tc>
      </w:tr>
      <w:tr>
        <w:trPr>
          <w:trHeight w:val="110"/>
        </w:trPr>
        <w:tc>
          <w:tcPr>
            <w:tcW w:w="9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9120" w:type="dxa"/>
            <w:vAlign w:val="bottom"/>
          </w:tcPr>
          <w:p>
            <w:pPr>
              <w:spacing w:after="0"/>
              <w:rPr>
                <w:sz w:val="20"/>
                <w:szCs w:val="20"/>
                <w:color w:val="auto"/>
              </w:rPr>
            </w:pPr>
            <w:r>
              <w:rPr>
                <w:rFonts w:ascii="Arial" w:cs="Arial" w:eastAsia="Arial" w:hAnsi="Arial"/>
                <w:sz w:val="18"/>
                <w:szCs w:val="18"/>
                <w:b w:val="1"/>
                <w:bCs w:val="1"/>
                <w:color w:val="auto"/>
              </w:rPr>
              <w:t>Cash flows provided by (used in) operating activities:</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912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26.9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(42.0)</w:t>
            </w:r>
          </w:p>
        </w:tc>
        <w:tc>
          <w:tcPr>
            <w:tcW w:w="20" w:type="dxa"/>
            <w:vAlign w:val="bottom"/>
          </w:tcPr>
          <w:p>
            <w:pPr>
              <w:spacing w:after="0"/>
              <w:rPr>
                <w:sz w:val="18"/>
                <w:szCs w:val="18"/>
                <w:color w:val="auto"/>
              </w:rPr>
            </w:pPr>
          </w:p>
        </w:tc>
      </w:tr>
      <w:tr>
        <w:trPr>
          <w:trHeight w:val="222"/>
        </w:trPr>
        <w:tc>
          <w:tcPr>
            <w:tcW w:w="9120" w:type="dxa"/>
            <w:vAlign w:val="bottom"/>
          </w:tcPr>
          <w:p>
            <w:pPr>
              <w:ind w:left="320"/>
              <w:spacing w:after="0"/>
              <w:rPr>
                <w:sz w:val="20"/>
                <w:szCs w:val="20"/>
                <w:color w:val="auto"/>
              </w:rPr>
            </w:pPr>
            <w:r>
              <w:rPr>
                <w:rFonts w:ascii="Arial" w:cs="Arial" w:eastAsia="Arial" w:hAnsi="Arial"/>
                <w:sz w:val="18"/>
                <w:szCs w:val="18"/>
                <w:color w:val="auto"/>
              </w:rPr>
              <w:t>Loss from discontinued operations, net of tax</w:t>
            </w:r>
          </w:p>
        </w:tc>
        <w:tc>
          <w:tcPr>
            <w:tcW w:w="40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9"/>
                <w:szCs w:val="19"/>
                <w:color w:val="auto"/>
              </w:rPr>
            </w:pPr>
          </w:p>
        </w:tc>
      </w:tr>
      <w:tr>
        <w:trPr>
          <w:trHeight w:val="110"/>
        </w:trPr>
        <w:tc>
          <w:tcPr>
            <w:tcW w:w="9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9120" w:type="dxa"/>
            <w:vAlign w:val="bottom"/>
          </w:tcPr>
          <w:p>
            <w:pPr>
              <w:ind w:left="320"/>
              <w:spacing w:after="0"/>
              <w:rPr>
                <w:sz w:val="20"/>
                <w:szCs w:val="20"/>
                <w:color w:val="auto"/>
              </w:rPr>
            </w:pPr>
            <w:r>
              <w:rPr>
                <w:rFonts w:ascii="Arial" w:cs="Arial" w:eastAsia="Arial" w:hAnsi="Arial"/>
                <w:sz w:val="18"/>
                <w:szCs w:val="18"/>
                <w:color w:val="auto"/>
              </w:rPr>
              <w:t>Earnings (loss) from continuing operations</w:t>
            </w:r>
          </w:p>
        </w:tc>
        <w:tc>
          <w:tcPr>
            <w:tcW w:w="40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27.6</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24"/>
                <w:szCs w:val="24"/>
                <w:color w:val="auto"/>
              </w:rPr>
            </w:pPr>
          </w:p>
        </w:tc>
      </w:tr>
      <w:tr>
        <w:trPr>
          <w:trHeight w:val="358"/>
        </w:trPr>
        <w:tc>
          <w:tcPr>
            <w:tcW w:w="9120" w:type="dxa"/>
            <w:vAlign w:val="bottom"/>
          </w:tcPr>
          <w:p>
            <w:pPr>
              <w:ind w:left="160"/>
              <w:spacing w:after="0"/>
              <w:rPr>
                <w:sz w:val="20"/>
                <w:szCs w:val="20"/>
                <w:color w:val="auto"/>
              </w:rPr>
            </w:pPr>
            <w:r>
              <w:rPr>
                <w:rFonts w:ascii="Arial" w:cs="Arial" w:eastAsia="Arial" w:hAnsi="Arial"/>
                <w:sz w:val="18"/>
                <w:szCs w:val="18"/>
                <w:color w:val="auto"/>
                <w:w w:val="91"/>
              </w:rPr>
              <w:t>Adjustments to reconcile earnings (loss) from continuing operations to net cash provided by (used in) operating activities of</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9120" w:type="dxa"/>
            <w:vAlign w:val="bottom"/>
          </w:tcPr>
          <w:p>
            <w:pPr>
              <w:ind w:left="320"/>
              <w:spacing w:after="0"/>
              <w:rPr>
                <w:sz w:val="20"/>
                <w:szCs w:val="20"/>
                <w:color w:val="auto"/>
              </w:rPr>
            </w:pPr>
            <w:r>
              <w:rPr>
                <w:rFonts w:ascii="Arial" w:cs="Arial" w:eastAsia="Arial" w:hAnsi="Arial"/>
                <w:sz w:val="18"/>
                <w:szCs w:val="18"/>
                <w:color w:val="auto"/>
              </w:rPr>
              <w:t>continuing operations:</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120" w:type="dxa"/>
            <w:vAlign w:val="bottom"/>
          </w:tcPr>
          <w:p>
            <w:pPr>
              <w:ind w:left="320"/>
              <w:spacing w:after="0"/>
              <w:rPr>
                <w:sz w:val="20"/>
                <w:szCs w:val="20"/>
                <w:color w:val="auto"/>
              </w:rPr>
            </w:pPr>
            <w:r>
              <w:rPr>
                <w:rFonts w:ascii="Arial" w:cs="Arial" w:eastAsia="Arial" w:hAnsi="Arial"/>
                <w:sz w:val="18"/>
                <w:szCs w:val="18"/>
                <w:color w:val="auto"/>
              </w:rPr>
              <w:t>Provision for losses on accounts receivable and other reserves</w:t>
            </w:r>
          </w:p>
        </w:tc>
        <w:tc>
          <w:tcPr>
            <w:tcW w:w="40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34.7</w:t>
            </w:r>
          </w:p>
        </w:tc>
        <w:tc>
          <w:tcPr>
            <w:tcW w:w="30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38.2</w:t>
            </w:r>
          </w:p>
        </w:tc>
        <w:tc>
          <w:tcPr>
            <w:tcW w:w="20" w:type="dxa"/>
            <w:vAlign w:val="bottom"/>
          </w:tcPr>
          <w:p>
            <w:pPr>
              <w:spacing w:after="0"/>
              <w:rPr>
                <w:sz w:val="18"/>
                <w:szCs w:val="18"/>
                <w:color w:val="auto"/>
              </w:rPr>
            </w:pPr>
          </w:p>
        </w:tc>
      </w:tr>
      <w:tr>
        <w:trPr>
          <w:trHeight w:val="216"/>
        </w:trPr>
        <w:tc>
          <w:tcPr>
            <w:tcW w:w="9120" w:type="dxa"/>
            <w:vAlign w:val="bottom"/>
          </w:tcPr>
          <w:p>
            <w:pPr>
              <w:ind w:left="320"/>
              <w:spacing w:after="0"/>
              <w:rPr>
                <w:sz w:val="20"/>
                <w:szCs w:val="20"/>
                <w:color w:val="auto"/>
              </w:rPr>
            </w:pPr>
            <w:r>
              <w:rPr>
                <w:rFonts w:ascii="Arial" w:cs="Arial" w:eastAsia="Arial" w:hAnsi="Arial"/>
                <w:sz w:val="18"/>
                <w:szCs w:val="18"/>
                <w:color w:val="auto"/>
              </w:rPr>
              <w:t>Amortization of prepublication and production costs</w:t>
            </w:r>
          </w:p>
        </w:tc>
        <w:tc>
          <w:tcPr>
            <w:tcW w:w="40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36.6</w:t>
            </w:r>
          </w:p>
        </w:tc>
        <w:tc>
          <w:tcPr>
            <w:tcW w:w="30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r>
      <w:tr>
        <w:trPr>
          <w:trHeight w:val="216"/>
        </w:trPr>
        <w:tc>
          <w:tcPr>
            <w:tcW w:w="912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43.7</w:t>
            </w:r>
          </w:p>
        </w:tc>
        <w:tc>
          <w:tcPr>
            <w:tcW w:w="30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45.2</w:t>
            </w:r>
          </w:p>
        </w:tc>
        <w:tc>
          <w:tcPr>
            <w:tcW w:w="20" w:type="dxa"/>
            <w:vAlign w:val="bottom"/>
          </w:tcPr>
          <w:p>
            <w:pPr>
              <w:spacing w:after="0"/>
              <w:rPr>
                <w:sz w:val="18"/>
                <w:szCs w:val="18"/>
                <w:color w:val="auto"/>
              </w:rPr>
            </w:pPr>
          </w:p>
        </w:tc>
      </w:tr>
      <w:tr>
        <w:trPr>
          <w:trHeight w:val="216"/>
        </w:trPr>
        <w:tc>
          <w:tcPr>
            <w:tcW w:w="912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r>
      <w:tr>
        <w:trPr>
          <w:trHeight w:val="216"/>
        </w:trPr>
        <w:tc>
          <w:tcPr>
            <w:tcW w:w="9120" w:type="dxa"/>
            <w:vAlign w:val="bottom"/>
          </w:tcPr>
          <w:p>
            <w:pPr>
              <w:ind w:left="320"/>
              <w:spacing w:after="0"/>
              <w:rPr>
                <w:sz w:val="20"/>
                <w:szCs w:val="20"/>
                <w:color w:val="auto"/>
              </w:rPr>
            </w:pPr>
            <w:r>
              <w:rPr>
                <w:rFonts w:ascii="Arial" w:cs="Arial" w:eastAsia="Arial" w:hAnsi="Arial"/>
                <w:sz w:val="18"/>
                <w:szCs w:val="18"/>
                <w:color w:val="auto"/>
              </w:rPr>
              <w:t>Share-based compensation</w:t>
            </w:r>
          </w:p>
        </w:tc>
        <w:tc>
          <w:tcPr>
            <w:tcW w:w="40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r>
      <w:tr>
        <w:trPr>
          <w:trHeight w:val="216"/>
        </w:trPr>
        <w:tc>
          <w:tcPr>
            <w:tcW w:w="9120" w:type="dxa"/>
            <w:vAlign w:val="bottom"/>
          </w:tcPr>
          <w:p>
            <w:pPr>
              <w:ind w:left="320"/>
              <w:spacing w:after="0"/>
              <w:rPr>
                <w:sz w:val="20"/>
                <w:szCs w:val="20"/>
                <w:color w:val="auto"/>
              </w:rPr>
            </w:pPr>
            <w:r>
              <w:rPr>
                <w:rFonts w:ascii="Arial" w:cs="Arial" w:eastAsia="Arial" w:hAnsi="Arial"/>
                <w:sz w:val="18"/>
                <w:szCs w:val="18"/>
                <w:color w:val="auto"/>
              </w:rPr>
              <w:t>Non-cash write off related to asset impairments</w:t>
            </w:r>
          </w:p>
        </w:tc>
        <w:tc>
          <w:tcPr>
            <w:tcW w:w="40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40.1</w:t>
            </w:r>
          </w:p>
        </w:tc>
        <w:tc>
          <w:tcPr>
            <w:tcW w:w="30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8"/>
                <w:szCs w:val="18"/>
                <w:color w:val="auto"/>
              </w:rPr>
            </w:pPr>
          </w:p>
        </w:tc>
      </w:tr>
      <w:tr>
        <w:trPr>
          <w:trHeight w:val="216"/>
        </w:trPr>
        <w:tc>
          <w:tcPr>
            <w:tcW w:w="9120" w:type="dxa"/>
            <w:vAlign w:val="bottom"/>
          </w:tcPr>
          <w:p>
            <w:pPr>
              <w:ind w:left="320"/>
              <w:spacing w:after="0"/>
              <w:rPr>
                <w:sz w:val="20"/>
                <w:szCs w:val="20"/>
                <w:color w:val="auto"/>
              </w:rPr>
            </w:pPr>
            <w:r>
              <w:rPr>
                <w:rFonts w:ascii="Arial" w:cs="Arial" w:eastAsia="Arial" w:hAnsi="Arial"/>
                <w:sz w:val="18"/>
                <w:szCs w:val="18"/>
                <w:color w:val="auto"/>
              </w:rPr>
              <w:t>Unrealized loss on investment</w:t>
            </w:r>
          </w:p>
        </w:tc>
        <w:tc>
          <w:tcPr>
            <w:tcW w:w="40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r>
      <w:tr>
        <w:trPr>
          <w:trHeight w:val="216"/>
        </w:trPr>
        <w:tc>
          <w:tcPr>
            <w:tcW w:w="9120" w:type="dxa"/>
            <w:vAlign w:val="bottom"/>
          </w:tcPr>
          <w:p>
            <w:pPr>
              <w:ind w:left="320"/>
              <w:spacing w:after="0"/>
              <w:rPr>
                <w:sz w:val="20"/>
                <w:szCs w:val="20"/>
                <w:color w:val="auto"/>
              </w:rPr>
            </w:pPr>
            <w:r>
              <w:rPr>
                <w:rFonts w:ascii="Arial" w:cs="Arial" w:eastAsia="Arial" w:hAnsi="Arial"/>
                <w:sz w:val="18"/>
                <w:szCs w:val="18"/>
                <w:color w:val="auto"/>
              </w:rPr>
              <w:t>Changes in assets and liabilities:</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12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8"/>
                <w:szCs w:val="18"/>
                <w:color w:val="auto"/>
              </w:rPr>
            </w:pPr>
          </w:p>
        </w:tc>
      </w:tr>
      <w:tr>
        <w:trPr>
          <w:trHeight w:val="216"/>
        </w:trPr>
        <w:tc>
          <w:tcPr>
            <w:tcW w:w="912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(47.1)</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(96.5)</w:t>
            </w:r>
          </w:p>
        </w:tc>
        <w:tc>
          <w:tcPr>
            <w:tcW w:w="20" w:type="dxa"/>
            <w:vAlign w:val="bottom"/>
          </w:tcPr>
          <w:p>
            <w:pPr>
              <w:spacing w:after="0"/>
              <w:rPr>
                <w:sz w:val="18"/>
                <w:szCs w:val="18"/>
                <w:color w:val="auto"/>
              </w:rPr>
            </w:pPr>
          </w:p>
        </w:tc>
      </w:tr>
      <w:tr>
        <w:trPr>
          <w:trHeight w:val="216"/>
        </w:trPr>
        <w:tc>
          <w:tcPr>
            <w:tcW w:w="912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r>
      <w:tr>
        <w:trPr>
          <w:trHeight w:val="216"/>
        </w:trPr>
        <w:tc>
          <w:tcPr>
            <w:tcW w:w="9120" w:type="dxa"/>
            <w:vAlign w:val="bottom"/>
          </w:tcPr>
          <w:p>
            <w:pPr>
              <w:ind w:left="480"/>
              <w:spacing w:after="0"/>
              <w:rPr>
                <w:sz w:val="20"/>
                <w:szCs w:val="20"/>
                <w:color w:val="auto"/>
              </w:rPr>
            </w:pPr>
            <w:r>
              <w:rPr>
                <w:rFonts w:ascii="Arial" w:cs="Arial" w:eastAsia="Arial" w:hAnsi="Arial"/>
                <w:sz w:val="18"/>
                <w:szCs w:val="18"/>
                <w:color w:val="auto"/>
              </w:rPr>
              <w:t>Deferred promotion costs</w:t>
            </w:r>
          </w:p>
        </w:tc>
        <w:tc>
          <w:tcPr>
            <w:tcW w:w="40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r>
      <w:tr>
        <w:trPr>
          <w:trHeight w:val="216"/>
        </w:trPr>
        <w:tc>
          <w:tcPr>
            <w:tcW w:w="9120" w:type="dxa"/>
            <w:vAlign w:val="bottom"/>
          </w:tcPr>
          <w:p>
            <w:pPr>
              <w:ind w:left="480"/>
              <w:spacing w:after="0"/>
              <w:rPr>
                <w:sz w:val="20"/>
                <w:szCs w:val="20"/>
                <w:color w:val="auto"/>
              </w:rPr>
            </w:pPr>
            <w:r>
              <w:rPr>
                <w:rFonts w:ascii="Arial" w:cs="Arial" w:eastAsia="Arial" w:hAnsi="Arial"/>
                <w:sz w:val="18"/>
                <w:szCs w:val="18"/>
                <w:color w:val="auto"/>
              </w:rPr>
              <w:t>Royalty advances</w:t>
            </w:r>
          </w:p>
        </w:tc>
        <w:tc>
          <w:tcPr>
            <w:tcW w:w="40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r>
      <w:tr>
        <w:trPr>
          <w:trHeight w:val="216"/>
        </w:trPr>
        <w:tc>
          <w:tcPr>
            <w:tcW w:w="9120" w:type="dxa"/>
            <w:vAlign w:val="bottom"/>
          </w:tcPr>
          <w:p>
            <w:pPr>
              <w:ind w:left="480"/>
              <w:spacing w:after="0"/>
              <w:rPr>
                <w:sz w:val="20"/>
                <w:szCs w:val="20"/>
                <w:color w:val="auto"/>
              </w:rPr>
            </w:pPr>
            <w:r>
              <w:rPr>
                <w:rFonts w:ascii="Arial" w:cs="Arial" w:eastAsia="Arial" w:hAnsi="Arial"/>
                <w:sz w:val="18"/>
                <w:szCs w:val="18"/>
                <w:color w:val="auto"/>
              </w:rPr>
              <w:t>Accounts payable and other accrued expenses</w:t>
            </w:r>
          </w:p>
        </w:tc>
        <w:tc>
          <w:tcPr>
            <w:tcW w:w="40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23.6</w:t>
            </w:r>
          </w:p>
        </w:tc>
        <w:tc>
          <w:tcPr>
            <w:tcW w:w="30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8"/>
                <w:szCs w:val="18"/>
                <w:color w:val="auto"/>
              </w:rPr>
            </w:pPr>
          </w:p>
        </w:tc>
      </w:tr>
      <w:tr>
        <w:trPr>
          <w:trHeight w:val="216"/>
        </w:trPr>
        <w:tc>
          <w:tcPr>
            <w:tcW w:w="9120" w:type="dxa"/>
            <w:vAlign w:val="bottom"/>
          </w:tcPr>
          <w:p>
            <w:pPr>
              <w:ind w:left="480"/>
              <w:spacing w:after="0"/>
              <w:rPr>
                <w:sz w:val="20"/>
                <w:szCs w:val="20"/>
                <w:color w:val="auto"/>
              </w:rPr>
            </w:pPr>
            <w:r>
              <w:rPr>
                <w:rFonts w:ascii="Arial" w:cs="Arial" w:eastAsia="Arial" w:hAnsi="Arial"/>
                <w:sz w:val="18"/>
                <w:szCs w:val="18"/>
                <w:color w:val="auto"/>
              </w:rPr>
              <w:t>Accrued royalties</w:t>
            </w:r>
          </w:p>
        </w:tc>
        <w:tc>
          <w:tcPr>
            <w:tcW w:w="40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18.5</w:t>
            </w:r>
          </w:p>
        </w:tc>
        <w:tc>
          <w:tcPr>
            <w:tcW w:w="30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r>
      <w:tr>
        <w:trPr>
          <w:trHeight w:val="216"/>
        </w:trPr>
        <w:tc>
          <w:tcPr>
            <w:tcW w:w="912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40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24.7</w:t>
            </w:r>
          </w:p>
        </w:tc>
        <w:tc>
          <w:tcPr>
            <w:tcW w:w="30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r>
      <w:tr>
        <w:trPr>
          <w:trHeight w:val="216"/>
        </w:trPr>
        <w:tc>
          <w:tcPr>
            <w:tcW w:w="9120" w:type="dxa"/>
            <w:vAlign w:val="bottom"/>
          </w:tcPr>
          <w:p>
            <w:pPr>
              <w:ind w:left="480"/>
              <w:spacing w:after="0"/>
              <w:rPr>
                <w:sz w:val="20"/>
                <w:szCs w:val="20"/>
                <w:color w:val="auto"/>
              </w:rPr>
            </w:pPr>
            <w:r>
              <w:rPr>
                <w:rFonts w:ascii="Arial" w:cs="Arial" w:eastAsia="Arial" w:hAnsi="Arial"/>
                <w:sz w:val="18"/>
                <w:szCs w:val="18"/>
                <w:color w:val="auto"/>
              </w:rPr>
              <w:t>Pension and postretirement liability</w:t>
            </w:r>
          </w:p>
        </w:tc>
        <w:tc>
          <w:tcPr>
            <w:tcW w:w="40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r>
      <w:tr>
        <w:trPr>
          <w:trHeight w:val="222"/>
        </w:trPr>
        <w:tc>
          <w:tcPr>
            <w:tcW w:w="912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40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9"/>
                <w:szCs w:val="19"/>
                <w:color w:val="auto"/>
              </w:rPr>
            </w:pPr>
          </w:p>
        </w:tc>
      </w:tr>
      <w:tr>
        <w:trPr>
          <w:trHeight w:val="110"/>
        </w:trPr>
        <w:tc>
          <w:tcPr>
            <w:tcW w:w="9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9120" w:type="dxa"/>
            <w:vAlign w:val="bottom"/>
          </w:tcPr>
          <w:p>
            <w:pPr>
              <w:ind w:left="160"/>
              <w:spacing w:after="0"/>
              <w:rPr>
                <w:sz w:val="20"/>
                <w:szCs w:val="20"/>
                <w:color w:val="auto"/>
              </w:rPr>
            </w:pPr>
            <w:r>
              <w:rPr>
                <w:rFonts w:ascii="Arial" w:cs="Arial" w:eastAsia="Arial" w:hAnsi="Arial"/>
                <w:sz w:val="18"/>
                <w:szCs w:val="18"/>
                <w:color w:val="auto"/>
              </w:rPr>
              <w:t>Total adjustments</w:t>
            </w:r>
          </w:p>
        </w:tc>
        <w:tc>
          <w:tcPr>
            <w:tcW w:w="40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169.5</w:t>
            </w:r>
          </w:p>
        </w:tc>
        <w:tc>
          <w:tcPr>
            <w:tcW w:w="300" w:type="dxa"/>
            <w:vAlign w:val="bottom"/>
          </w:tcPr>
          <w:p>
            <w:pPr>
              <w:spacing w:after="0"/>
              <w:rPr>
                <w:sz w:val="24"/>
                <w:szCs w:val="24"/>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72.3</w:t>
            </w:r>
          </w:p>
        </w:tc>
        <w:tc>
          <w:tcPr>
            <w:tcW w:w="20" w:type="dxa"/>
            <w:vAlign w:val="bottom"/>
          </w:tcPr>
          <w:p>
            <w:pPr>
              <w:spacing w:after="0"/>
              <w:rPr>
                <w:sz w:val="24"/>
                <w:szCs w:val="24"/>
                <w:color w:val="auto"/>
              </w:rPr>
            </w:pPr>
          </w:p>
        </w:tc>
      </w:tr>
      <w:tr>
        <w:trPr>
          <w:trHeight w:val="110"/>
        </w:trPr>
        <w:tc>
          <w:tcPr>
            <w:tcW w:w="9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9120" w:type="dxa"/>
            <w:vAlign w:val="bottom"/>
          </w:tcPr>
          <w:p>
            <w:pPr>
              <w:ind w:left="48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40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197.1</w:t>
            </w:r>
          </w:p>
        </w:tc>
        <w:tc>
          <w:tcPr>
            <w:tcW w:w="300" w:type="dxa"/>
            <w:vAlign w:val="bottom"/>
          </w:tcPr>
          <w:p>
            <w:pPr>
              <w:spacing w:after="0"/>
              <w:rPr>
                <w:sz w:val="24"/>
                <w:szCs w:val="24"/>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53.4</w:t>
            </w:r>
          </w:p>
        </w:tc>
        <w:tc>
          <w:tcPr>
            <w:tcW w:w="20" w:type="dxa"/>
            <w:vAlign w:val="bottom"/>
          </w:tcPr>
          <w:p>
            <w:pPr>
              <w:spacing w:after="0"/>
              <w:rPr>
                <w:sz w:val="24"/>
                <w:szCs w:val="24"/>
                <w:color w:val="auto"/>
              </w:rPr>
            </w:pPr>
          </w:p>
        </w:tc>
      </w:tr>
      <w:tr>
        <w:trPr>
          <w:trHeight w:val="222"/>
        </w:trPr>
        <w:tc>
          <w:tcPr>
            <w:tcW w:w="9120" w:type="dxa"/>
            <w:vAlign w:val="bottom"/>
          </w:tcPr>
          <w:p>
            <w:pPr>
              <w:ind w:left="480"/>
              <w:spacing w:after="0"/>
              <w:rPr>
                <w:sz w:val="20"/>
                <w:szCs w:val="20"/>
                <w:color w:val="auto"/>
              </w:rPr>
            </w:pPr>
            <w:r>
              <w:rPr>
                <w:rFonts w:ascii="Arial" w:cs="Arial" w:eastAsia="Arial" w:hAnsi="Arial"/>
                <w:sz w:val="18"/>
                <w:szCs w:val="18"/>
                <w:color w:val="auto"/>
              </w:rPr>
              <w:t>Net cash provided by (used in) operating activities of discontinued operations</w:t>
            </w:r>
          </w:p>
        </w:tc>
        <w:tc>
          <w:tcPr>
            <w:tcW w:w="400" w:type="dxa"/>
            <w:vAlign w:val="bottom"/>
          </w:tcPr>
          <w:p>
            <w:pPr>
              <w:spacing w:after="0"/>
              <w:rPr>
                <w:sz w:val="19"/>
                <w:szCs w:val="19"/>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9"/>
                <w:szCs w:val="19"/>
                <w:color w:val="auto"/>
              </w:rPr>
            </w:pPr>
          </w:p>
        </w:tc>
      </w:tr>
      <w:tr>
        <w:trPr>
          <w:trHeight w:val="110"/>
        </w:trPr>
        <w:tc>
          <w:tcPr>
            <w:tcW w:w="9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9120" w:type="dxa"/>
            <w:vAlign w:val="bottom"/>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198.5</w:t>
            </w:r>
          </w:p>
        </w:tc>
        <w:tc>
          <w:tcPr>
            <w:tcW w:w="300" w:type="dxa"/>
            <w:vAlign w:val="bottom"/>
          </w:tcPr>
          <w:p>
            <w:pPr>
              <w:spacing w:after="0"/>
              <w:rPr>
                <w:sz w:val="24"/>
                <w:szCs w:val="24"/>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24"/>
                <w:szCs w:val="24"/>
                <w:color w:val="auto"/>
              </w:rPr>
            </w:pPr>
          </w:p>
        </w:tc>
      </w:tr>
      <w:tr>
        <w:trPr>
          <w:trHeight w:val="358"/>
        </w:trPr>
        <w:tc>
          <w:tcPr>
            <w:tcW w:w="9120" w:type="dxa"/>
            <w:vAlign w:val="bottom"/>
          </w:tcPr>
          <w:p>
            <w:pPr>
              <w:spacing w:after="0"/>
              <w:rPr>
                <w:sz w:val="20"/>
                <w:szCs w:val="20"/>
                <w:color w:val="auto"/>
              </w:rPr>
            </w:pPr>
            <w:r>
              <w:rPr>
                <w:rFonts w:ascii="Arial" w:cs="Arial" w:eastAsia="Arial" w:hAnsi="Arial"/>
                <w:sz w:val="18"/>
                <w:szCs w:val="18"/>
                <w:b w:val="1"/>
                <w:bCs w:val="1"/>
                <w:color w:val="auto"/>
              </w:rPr>
              <w:t>Cash flows provided by (used in) investing activities:</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9120" w:type="dxa"/>
            <w:vAlign w:val="bottom"/>
          </w:tcPr>
          <w:p>
            <w:pPr>
              <w:ind w:left="160"/>
              <w:spacing w:after="0"/>
              <w:rPr>
                <w:sz w:val="20"/>
                <w:szCs w:val="20"/>
                <w:color w:val="auto"/>
              </w:rPr>
            </w:pPr>
            <w:r>
              <w:rPr>
                <w:rFonts w:ascii="Arial" w:cs="Arial" w:eastAsia="Arial" w:hAnsi="Arial"/>
                <w:sz w:val="18"/>
                <w:szCs w:val="18"/>
                <w:color w:val="auto"/>
              </w:rPr>
              <w:t>Prepublication and production expenditures</w:t>
            </w:r>
          </w:p>
        </w:tc>
        <w:tc>
          <w:tcPr>
            <w:tcW w:w="40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(33.1)</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18"/>
                <w:szCs w:val="18"/>
                <w:color w:val="auto"/>
              </w:rPr>
            </w:pPr>
          </w:p>
        </w:tc>
      </w:tr>
      <w:tr>
        <w:trPr>
          <w:trHeight w:val="216"/>
        </w:trPr>
        <w:tc>
          <w:tcPr>
            <w:tcW w:w="912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40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(28.4)</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(32.7)</w:t>
            </w:r>
          </w:p>
        </w:tc>
        <w:tc>
          <w:tcPr>
            <w:tcW w:w="20" w:type="dxa"/>
            <w:vAlign w:val="bottom"/>
          </w:tcPr>
          <w:p>
            <w:pPr>
              <w:spacing w:after="0"/>
              <w:rPr>
                <w:sz w:val="18"/>
                <w:szCs w:val="18"/>
                <w:color w:val="auto"/>
              </w:rPr>
            </w:pPr>
          </w:p>
        </w:tc>
      </w:tr>
      <w:tr>
        <w:trPr>
          <w:trHeight w:val="216"/>
        </w:trPr>
        <w:tc>
          <w:tcPr>
            <w:tcW w:w="9120" w:type="dxa"/>
            <w:vAlign w:val="bottom"/>
          </w:tcPr>
          <w:p>
            <w:pPr>
              <w:ind w:left="160"/>
              <w:spacing w:after="0"/>
              <w:rPr>
                <w:sz w:val="20"/>
                <w:szCs w:val="20"/>
                <w:color w:val="auto"/>
              </w:rPr>
            </w:pPr>
            <w:r>
              <w:rPr>
                <w:rFonts w:ascii="Arial" w:cs="Arial" w:eastAsia="Arial" w:hAnsi="Arial"/>
                <w:sz w:val="18"/>
                <w:szCs w:val="18"/>
                <w:color w:val="auto"/>
              </w:rPr>
              <w:t>Net proceeds from sale of discontinued operations</w:t>
            </w:r>
          </w:p>
        </w:tc>
        <w:tc>
          <w:tcPr>
            <w:tcW w:w="40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33.0</w:t>
            </w:r>
          </w:p>
        </w:tc>
        <w:tc>
          <w:tcPr>
            <w:tcW w:w="20" w:type="dxa"/>
            <w:vAlign w:val="bottom"/>
          </w:tcPr>
          <w:p>
            <w:pPr>
              <w:spacing w:after="0"/>
              <w:rPr>
                <w:sz w:val="18"/>
                <w:szCs w:val="18"/>
                <w:color w:val="auto"/>
              </w:rPr>
            </w:pPr>
          </w:p>
        </w:tc>
      </w:tr>
      <w:tr>
        <w:trPr>
          <w:trHeight w:val="216"/>
        </w:trPr>
        <w:tc>
          <w:tcPr>
            <w:tcW w:w="9120" w:type="dxa"/>
            <w:vAlign w:val="bottom"/>
          </w:tcPr>
          <w:p>
            <w:pPr>
              <w:ind w:left="160"/>
              <w:spacing w:after="0"/>
              <w:rPr>
                <w:sz w:val="20"/>
                <w:szCs w:val="20"/>
                <w:color w:val="auto"/>
              </w:rPr>
            </w:pPr>
            <w:r>
              <w:rPr>
                <w:rFonts w:ascii="Arial" w:cs="Arial" w:eastAsia="Arial" w:hAnsi="Arial"/>
                <w:sz w:val="18"/>
                <w:szCs w:val="18"/>
                <w:color w:val="auto"/>
              </w:rPr>
              <w:t>Repayment of loan from investee</w:t>
            </w:r>
          </w:p>
        </w:tc>
        <w:tc>
          <w:tcPr>
            <w:tcW w:w="40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r>
      <w:tr>
        <w:trPr>
          <w:trHeight w:val="216"/>
        </w:trPr>
        <w:tc>
          <w:tcPr>
            <w:tcW w:w="9120" w:type="dxa"/>
            <w:vAlign w:val="bottom"/>
          </w:tcPr>
          <w:p>
            <w:pPr>
              <w:ind w:left="160"/>
              <w:spacing w:after="0"/>
              <w:rPr>
                <w:sz w:val="20"/>
                <w:szCs w:val="20"/>
                <w:color w:val="auto"/>
              </w:rPr>
            </w:pPr>
            <w:r>
              <w:rPr>
                <w:rFonts w:ascii="Arial" w:cs="Arial" w:eastAsia="Arial" w:hAnsi="Arial"/>
                <w:sz w:val="18"/>
                <w:szCs w:val="18"/>
                <w:color w:val="auto"/>
              </w:rPr>
              <w:t>Loan to investee</w:t>
            </w:r>
          </w:p>
        </w:tc>
        <w:tc>
          <w:tcPr>
            <w:tcW w:w="40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r>
      <w:tr>
        <w:trPr>
          <w:trHeight w:val="222"/>
        </w:trPr>
        <w:tc>
          <w:tcPr>
            <w:tcW w:w="9120" w:type="dxa"/>
            <w:vAlign w:val="bottom"/>
          </w:tcPr>
          <w:p>
            <w:pPr>
              <w:ind w:left="160"/>
              <w:spacing w:after="0"/>
              <w:rPr>
                <w:sz w:val="20"/>
                <w:szCs w:val="20"/>
                <w:color w:val="auto"/>
              </w:rPr>
            </w:pPr>
            <w:r>
              <w:rPr>
                <w:rFonts w:ascii="Arial" w:cs="Arial" w:eastAsia="Arial" w:hAnsi="Arial"/>
                <w:sz w:val="18"/>
                <w:szCs w:val="18"/>
                <w:color w:val="auto"/>
              </w:rPr>
              <w:t>Acquisition related payments</w:t>
            </w:r>
          </w:p>
        </w:tc>
        <w:tc>
          <w:tcPr>
            <w:tcW w:w="40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r>
      <w:tr>
        <w:trPr>
          <w:trHeight w:val="110"/>
        </w:trPr>
        <w:tc>
          <w:tcPr>
            <w:tcW w:w="9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9120" w:type="dxa"/>
            <w:vAlign w:val="bottom"/>
          </w:tcPr>
          <w:p>
            <w:pPr>
              <w:ind w:left="160"/>
              <w:spacing w:after="0"/>
              <w:rPr>
                <w:sz w:val="20"/>
                <w:szCs w:val="20"/>
                <w:color w:val="auto"/>
              </w:rPr>
            </w:pPr>
            <w:r>
              <w:rPr>
                <w:rFonts w:ascii="Arial" w:cs="Arial" w:eastAsia="Arial" w:hAnsi="Arial"/>
                <w:sz w:val="18"/>
                <w:szCs w:val="18"/>
                <w:color w:val="auto"/>
              </w:rPr>
              <w:t>Net cash used in investing activities of continuing operations</w:t>
            </w:r>
          </w:p>
        </w:tc>
        <w:tc>
          <w:tcPr>
            <w:tcW w:w="40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(62.3)</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24"/>
                <w:szCs w:val="24"/>
                <w:color w:val="auto"/>
              </w:rPr>
            </w:pPr>
          </w:p>
        </w:tc>
      </w:tr>
      <w:tr>
        <w:trPr>
          <w:trHeight w:val="222"/>
        </w:trPr>
        <w:tc>
          <w:tcPr>
            <w:tcW w:w="9120" w:type="dxa"/>
            <w:vAlign w:val="bottom"/>
          </w:tcPr>
          <w:p>
            <w:pPr>
              <w:ind w:left="160"/>
              <w:spacing w:after="0"/>
              <w:rPr>
                <w:sz w:val="20"/>
                <w:szCs w:val="20"/>
                <w:color w:val="auto"/>
              </w:rPr>
            </w:pPr>
            <w:r>
              <w:rPr>
                <w:rFonts w:ascii="Arial" w:cs="Arial" w:eastAsia="Arial" w:hAnsi="Arial"/>
                <w:sz w:val="18"/>
                <w:szCs w:val="18"/>
                <w:color w:val="auto"/>
              </w:rPr>
              <w:t>Net cash used in investing activities of discontinued operations</w:t>
            </w:r>
          </w:p>
        </w:tc>
        <w:tc>
          <w:tcPr>
            <w:tcW w:w="400" w:type="dxa"/>
            <w:vAlign w:val="bottom"/>
          </w:tcPr>
          <w:p>
            <w:pPr>
              <w:spacing w:after="0"/>
              <w:rPr>
                <w:sz w:val="19"/>
                <w:szCs w:val="19"/>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r>
      <w:tr>
        <w:trPr>
          <w:trHeight w:val="110"/>
        </w:trPr>
        <w:tc>
          <w:tcPr>
            <w:tcW w:w="9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9120" w:type="dxa"/>
            <w:vAlign w:val="bottom"/>
          </w:tcPr>
          <w:p>
            <w:pPr>
              <w:ind w:left="3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(62.3)</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24"/>
                <w:szCs w:val="24"/>
                <w:color w:val="auto"/>
              </w:rPr>
            </w:pPr>
          </w:p>
        </w:tc>
      </w:tr>
      <w:tr>
        <w:trPr>
          <w:trHeight w:val="432"/>
        </w:trPr>
        <w:tc>
          <w:tcPr>
            <w:tcW w:w="9120" w:type="dxa"/>
            <w:vAlign w:val="bottom"/>
          </w:tcPr>
          <w:p>
            <w:pPr>
              <w:spacing w:after="0"/>
              <w:rPr>
                <w:sz w:val="20"/>
                <w:szCs w:val="20"/>
                <w:color w:val="auto"/>
              </w:rPr>
            </w:pPr>
            <w:r>
              <w:rPr>
                <w:rFonts w:ascii="Arial" w:cs="Arial" w:eastAsia="Arial" w:hAnsi="Arial"/>
                <w:sz w:val="18"/>
                <w:szCs w:val="18"/>
                <w:i w:val="1"/>
                <w:iCs w:val="1"/>
                <w:color w:val="auto"/>
              </w:rPr>
              <w:t>See accompanying notes</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9120" w:type="dxa"/>
            <w:vAlign w:val="bottom"/>
          </w:tcPr>
          <w:p>
            <w:pPr>
              <w:ind w:left="568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9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912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82" w:right="1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left="9280"/>
        <w:spacing w:after="0"/>
        <w:rPr>
          <w:sz w:val="20"/>
          <w:szCs w:val="20"/>
          <w:color w:val="auto"/>
        </w:rPr>
      </w:pPr>
      <w:r>
        <w:rPr>
          <w:rFonts w:ascii="Arial" w:cs="Arial" w:eastAsia="Arial" w:hAnsi="Arial"/>
          <w:sz w:val="18"/>
          <w:szCs w:val="18"/>
          <w:b w:val="1"/>
          <w:bCs w:val="1"/>
          <w:i w:val="1"/>
          <w:iCs w:val="1"/>
          <w:color w:val="auto"/>
        </w:rPr>
        <w:t>Nine months ended</w:t>
      </w:r>
    </w:p>
    <w:p>
      <w:pPr>
        <w:spacing w:after="0" w:line="15" w:lineRule="exact"/>
        <w:rPr>
          <w:sz w:val="20"/>
          <w:szCs w:val="20"/>
          <w:color w:val="auto"/>
        </w:rPr>
      </w:pPr>
    </w:p>
    <w:p>
      <w:pPr>
        <w:jc w:val="center"/>
        <w:ind w:left="9280"/>
        <w:spacing w:after="0"/>
        <w:rPr>
          <w:sz w:val="20"/>
          <w:szCs w:val="20"/>
          <w:color w:val="auto"/>
        </w:rPr>
      </w:pPr>
      <w:r>
        <w:rPr>
          <w:rFonts w:ascii="Arial" w:cs="Arial" w:eastAsia="Arial" w:hAnsi="Arial"/>
          <w:sz w:val="18"/>
          <w:szCs w:val="18"/>
          <w:b w:val="1"/>
          <w:bCs w:val="1"/>
          <w:i w:val="1"/>
          <w:iCs w:val="1"/>
          <w:color w:val="auto"/>
        </w:rPr>
        <w:t>February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40" w:type="dxa"/>
            <w:vAlign w:val="bottom"/>
          </w:tcPr>
          <w:p>
            <w:pPr>
              <w:jc w:val="right"/>
              <w:ind w:right="332"/>
              <w:spacing w:after="0"/>
              <w:rPr>
                <w:sz w:val="20"/>
                <w:szCs w:val="20"/>
                <w:color w:val="auto"/>
              </w:rPr>
            </w:pPr>
            <w:r>
              <w:rPr>
                <w:rFonts w:ascii="Arial" w:cs="Arial" w:eastAsia="Arial" w:hAnsi="Arial"/>
                <w:sz w:val="18"/>
                <w:szCs w:val="18"/>
                <w:b w:val="1"/>
                <w:bCs w:val="1"/>
                <w:color w:val="auto"/>
                <w:w w:val="99"/>
              </w:rPr>
              <w:t>2010</w:t>
            </w:r>
          </w:p>
        </w:tc>
        <w:tc>
          <w:tcPr>
            <w:tcW w:w="300" w:type="dxa"/>
            <w:vAlign w:val="bottom"/>
          </w:tcPr>
          <w:p>
            <w:pPr>
              <w:spacing w:after="0"/>
              <w:rPr>
                <w:sz w:val="19"/>
                <w:szCs w:val="19"/>
                <w:color w:val="auto"/>
              </w:rPr>
            </w:pPr>
          </w:p>
        </w:tc>
        <w:tc>
          <w:tcPr>
            <w:tcW w:w="760" w:type="dxa"/>
            <w:vAlign w:val="bottom"/>
          </w:tcPr>
          <w:p>
            <w:pPr>
              <w:jc w:val="right"/>
              <w:ind w:right="252"/>
              <w:spacing w:after="0"/>
              <w:rPr>
                <w:sz w:val="20"/>
                <w:szCs w:val="20"/>
                <w:color w:val="auto"/>
              </w:rPr>
            </w:pPr>
            <w:r>
              <w:rPr>
                <w:rFonts w:ascii="Arial" w:cs="Arial" w:eastAsia="Arial" w:hAnsi="Arial"/>
                <w:sz w:val="18"/>
                <w:szCs w:val="18"/>
                <w:b w:val="1"/>
                <w:bCs w:val="1"/>
                <w:color w:val="auto"/>
                <w:w w:val="99"/>
              </w:rPr>
              <w:t>2009</w:t>
            </w:r>
          </w:p>
        </w:tc>
        <w:tc>
          <w:tcPr>
            <w:tcW w:w="0" w:type="dxa"/>
            <w:vAlign w:val="bottom"/>
          </w:tcPr>
          <w:p>
            <w:pPr>
              <w:spacing w:after="0"/>
              <w:rPr>
                <w:sz w:val="1"/>
                <w:szCs w:val="1"/>
                <w:color w:val="auto"/>
              </w:rPr>
            </w:pPr>
          </w:p>
        </w:tc>
      </w:tr>
      <w:tr>
        <w:trPr>
          <w:trHeight w:val="110"/>
        </w:trPr>
        <w:tc>
          <w:tcPr>
            <w:tcW w:w="8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8280" w:type="dxa"/>
            <w:vAlign w:val="bottom"/>
          </w:tcPr>
          <w:p>
            <w:pPr>
              <w:spacing w:after="0"/>
              <w:rPr>
                <w:sz w:val="20"/>
                <w:szCs w:val="20"/>
                <w:color w:val="auto"/>
              </w:rPr>
            </w:pPr>
            <w:r>
              <w:rPr>
                <w:rFonts w:ascii="Arial" w:cs="Arial" w:eastAsia="Arial" w:hAnsi="Arial"/>
                <w:sz w:val="18"/>
                <w:szCs w:val="18"/>
                <w:b w:val="1"/>
                <w:bCs w:val="1"/>
                <w:color w:val="auto"/>
              </w:rPr>
              <w:t>Cash flows provided by (used in) financing activities:</w:t>
            </w: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60"/>
              <w:spacing w:after="0"/>
              <w:rPr>
                <w:sz w:val="20"/>
                <w:szCs w:val="20"/>
                <w:color w:val="auto"/>
              </w:rPr>
            </w:pPr>
            <w:r>
              <w:rPr>
                <w:rFonts w:ascii="Arial" w:cs="Arial" w:eastAsia="Arial" w:hAnsi="Arial"/>
                <w:sz w:val="18"/>
                <w:szCs w:val="18"/>
                <w:color w:val="auto"/>
              </w:rPr>
              <w:t>Borrowings under credit agreement and revolving loan</w:t>
            </w:r>
          </w:p>
        </w:tc>
        <w:tc>
          <w:tcPr>
            <w:tcW w:w="1260" w:type="dxa"/>
            <w:vAlign w:val="bottom"/>
          </w:tcPr>
          <w:p>
            <w:pPr>
              <w:spacing w:after="0"/>
              <w:rPr>
                <w:sz w:val="18"/>
                <w:szCs w:val="18"/>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16"/>
        </w:trPr>
        <w:tc>
          <w:tcPr>
            <w:tcW w:w="8280" w:type="dxa"/>
            <w:vAlign w:val="bottom"/>
          </w:tcPr>
          <w:p>
            <w:pPr>
              <w:ind w:left="160"/>
              <w:spacing w:after="0"/>
              <w:rPr>
                <w:sz w:val="20"/>
                <w:szCs w:val="20"/>
                <w:color w:val="auto"/>
              </w:rPr>
            </w:pPr>
            <w:r>
              <w:rPr>
                <w:rFonts w:ascii="Arial" w:cs="Arial" w:eastAsia="Arial" w:hAnsi="Arial"/>
                <w:sz w:val="18"/>
                <w:szCs w:val="18"/>
                <w:color w:val="auto"/>
              </w:rPr>
              <w:t>Repayment of credit agreement and revolving loan</w:t>
            </w:r>
          </w:p>
        </w:tc>
        <w:tc>
          <w:tcPr>
            <w:tcW w:w="1260" w:type="dxa"/>
            <w:vAlign w:val="bottom"/>
          </w:tcPr>
          <w:p>
            <w:pPr>
              <w:spacing w:after="0"/>
              <w:rPr>
                <w:sz w:val="18"/>
                <w:szCs w:val="18"/>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16"/>
        </w:trPr>
        <w:tc>
          <w:tcPr>
            <w:tcW w:w="8280" w:type="dxa"/>
            <w:vAlign w:val="bottom"/>
          </w:tcPr>
          <w:p>
            <w:pPr>
              <w:ind w:left="160"/>
              <w:spacing w:after="0"/>
              <w:rPr>
                <w:sz w:val="20"/>
                <w:szCs w:val="20"/>
                <w:color w:val="auto"/>
              </w:rPr>
            </w:pPr>
            <w:r>
              <w:rPr>
                <w:rFonts w:ascii="Arial" w:cs="Arial" w:eastAsia="Arial" w:hAnsi="Arial"/>
                <w:sz w:val="18"/>
                <w:szCs w:val="18"/>
                <w:color w:val="auto"/>
              </w:rPr>
              <w:t>Repayment of term loan</w:t>
            </w:r>
          </w:p>
        </w:tc>
        <w:tc>
          <w:tcPr>
            <w:tcW w:w="126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8280" w:type="dxa"/>
            <w:vAlign w:val="bottom"/>
          </w:tcPr>
          <w:p>
            <w:pPr>
              <w:ind w:left="160"/>
              <w:spacing w:after="0"/>
              <w:rPr>
                <w:sz w:val="20"/>
                <w:szCs w:val="20"/>
                <w:color w:val="auto"/>
              </w:rPr>
            </w:pPr>
            <w:r>
              <w:rPr>
                <w:rFonts w:ascii="Arial" w:cs="Arial" w:eastAsia="Arial" w:hAnsi="Arial"/>
                <w:sz w:val="18"/>
                <w:szCs w:val="18"/>
                <w:color w:val="auto"/>
              </w:rPr>
              <w:t>Repurchase of 5% notes</w:t>
            </w:r>
          </w:p>
        </w:tc>
        <w:tc>
          <w:tcPr>
            <w:tcW w:w="126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8280" w:type="dxa"/>
            <w:vAlign w:val="bottom"/>
          </w:tcPr>
          <w:p>
            <w:pPr>
              <w:ind w:left="160"/>
              <w:spacing w:after="0"/>
              <w:rPr>
                <w:sz w:val="20"/>
                <w:szCs w:val="20"/>
                <w:color w:val="auto"/>
              </w:rPr>
            </w:pPr>
            <w:r>
              <w:rPr>
                <w:rFonts w:ascii="Arial" w:cs="Arial" w:eastAsia="Arial" w:hAnsi="Arial"/>
                <w:sz w:val="18"/>
                <w:szCs w:val="18"/>
                <w:color w:val="auto"/>
              </w:rPr>
              <w:t>Borrowings under lines of credit</w:t>
            </w:r>
          </w:p>
        </w:tc>
        <w:tc>
          <w:tcPr>
            <w:tcW w:w="1260" w:type="dxa"/>
            <w:vAlign w:val="bottom"/>
          </w:tcPr>
          <w:p>
            <w:pPr>
              <w:spacing w:after="0"/>
              <w:rPr>
                <w:sz w:val="18"/>
                <w:szCs w:val="18"/>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135.0</w:t>
            </w:r>
          </w:p>
        </w:tc>
        <w:tc>
          <w:tcPr>
            <w:tcW w:w="30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429.5</w:t>
            </w:r>
          </w:p>
        </w:tc>
        <w:tc>
          <w:tcPr>
            <w:tcW w:w="0" w:type="dxa"/>
            <w:vAlign w:val="bottom"/>
          </w:tcPr>
          <w:p>
            <w:pPr>
              <w:spacing w:after="0"/>
              <w:rPr>
                <w:sz w:val="1"/>
                <w:szCs w:val="1"/>
                <w:color w:val="auto"/>
              </w:rPr>
            </w:pPr>
          </w:p>
        </w:tc>
      </w:tr>
      <w:tr>
        <w:trPr>
          <w:trHeight w:val="216"/>
        </w:trPr>
        <w:tc>
          <w:tcPr>
            <w:tcW w:w="8280" w:type="dxa"/>
            <w:vAlign w:val="bottom"/>
          </w:tcPr>
          <w:p>
            <w:pPr>
              <w:ind w:left="160"/>
              <w:spacing w:after="0"/>
              <w:rPr>
                <w:sz w:val="20"/>
                <w:szCs w:val="20"/>
                <w:color w:val="auto"/>
              </w:rPr>
            </w:pPr>
            <w:r>
              <w:rPr>
                <w:rFonts w:ascii="Arial" w:cs="Arial" w:eastAsia="Arial" w:hAnsi="Arial"/>
                <w:sz w:val="18"/>
                <w:szCs w:val="18"/>
                <w:color w:val="auto"/>
              </w:rPr>
              <w:t>Repayment of lines of credit</w:t>
            </w:r>
          </w:p>
        </w:tc>
        <w:tc>
          <w:tcPr>
            <w:tcW w:w="126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(132.8)</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(429.2)</w:t>
            </w:r>
          </w:p>
        </w:tc>
        <w:tc>
          <w:tcPr>
            <w:tcW w:w="0" w:type="dxa"/>
            <w:vAlign w:val="bottom"/>
          </w:tcPr>
          <w:p>
            <w:pPr>
              <w:spacing w:after="0"/>
              <w:rPr>
                <w:sz w:val="1"/>
                <w:szCs w:val="1"/>
                <w:color w:val="auto"/>
              </w:rPr>
            </w:pPr>
          </w:p>
        </w:tc>
      </w:tr>
      <w:tr>
        <w:trPr>
          <w:trHeight w:val="216"/>
        </w:trPr>
        <w:tc>
          <w:tcPr>
            <w:tcW w:w="8280" w:type="dxa"/>
            <w:vAlign w:val="bottom"/>
          </w:tcPr>
          <w:p>
            <w:pPr>
              <w:ind w:left="160"/>
              <w:spacing w:after="0"/>
              <w:rPr>
                <w:sz w:val="20"/>
                <w:szCs w:val="20"/>
                <w:color w:val="auto"/>
              </w:rPr>
            </w:pPr>
            <w:r>
              <w:rPr>
                <w:rFonts w:ascii="Arial" w:cs="Arial" w:eastAsia="Arial" w:hAnsi="Arial"/>
                <w:sz w:val="18"/>
                <w:szCs w:val="18"/>
                <w:color w:val="auto"/>
              </w:rPr>
              <w:t>Repayment of capital lease obligations</w:t>
            </w:r>
          </w:p>
        </w:tc>
        <w:tc>
          <w:tcPr>
            <w:tcW w:w="126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8280" w:type="dxa"/>
            <w:vAlign w:val="bottom"/>
          </w:tcPr>
          <w:p>
            <w:pPr>
              <w:ind w:left="160"/>
              <w:spacing w:after="0"/>
              <w:rPr>
                <w:sz w:val="20"/>
                <w:szCs w:val="20"/>
                <w:color w:val="auto"/>
              </w:rPr>
            </w:pPr>
            <w:r>
              <w:rPr>
                <w:rFonts w:ascii="Arial" w:cs="Arial" w:eastAsia="Arial" w:hAnsi="Arial"/>
                <w:sz w:val="18"/>
                <w:szCs w:val="18"/>
                <w:color w:val="auto"/>
              </w:rPr>
              <w:t>Reacquisition of common stock</w:t>
            </w:r>
          </w:p>
        </w:tc>
        <w:tc>
          <w:tcPr>
            <w:tcW w:w="126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8280" w:type="dxa"/>
            <w:vAlign w:val="bottom"/>
          </w:tcPr>
          <w:p>
            <w:pPr>
              <w:ind w:left="160"/>
              <w:spacing w:after="0"/>
              <w:rPr>
                <w:sz w:val="20"/>
                <w:szCs w:val="20"/>
                <w:color w:val="auto"/>
              </w:rPr>
            </w:pPr>
            <w:r>
              <w:rPr>
                <w:rFonts w:ascii="Arial" w:cs="Arial" w:eastAsia="Arial" w:hAnsi="Arial"/>
                <w:sz w:val="18"/>
                <w:szCs w:val="18"/>
                <w:color w:val="auto"/>
              </w:rPr>
              <w:t>Proceeds pursuant to stock-based compensation plans</w:t>
            </w:r>
          </w:p>
        </w:tc>
        <w:tc>
          <w:tcPr>
            <w:tcW w:w="1260" w:type="dxa"/>
            <w:vAlign w:val="bottom"/>
          </w:tcPr>
          <w:p>
            <w:pPr>
              <w:spacing w:after="0"/>
              <w:rPr>
                <w:sz w:val="18"/>
                <w:szCs w:val="18"/>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8280" w:type="dxa"/>
            <w:vAlign w:val="bottom"/>
          </w:tcPr>
          <w:p>
            <w:pPr>
              <w:ind w:left="160"/>
              <w:spacing w:after="0"/>
              <w:rPr>
                <w:sz w:val="20"/>
                <w:szCs w:val="20"/>
                <w:color w:val="auto"/>
              </w:rPr>
            </w:pPr>
            <w:r>
              <w:rPr>
                <w:rFonts w:ascii="Arial" w:cs="Arial" w:eastAsia="Arial" w:hAnsi="Arial"/>
                <w:sz w:val="18"/>
                <w:szCs w:val="18"/>
                <w:color w:val="auto"/>
              </w:rPr>
              <w:t>Payment of dividends</w:t>
            </w:r>
          </w:p>
        </w:tc>
        <w:tc>
          <w:tcPr>
            <w:tcW w:w="126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10"/>
        </w:trPr>
        <w:tc>
          <w:tcPr>
            <w:tcW w:w="8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280" w:type="dxa"/>
            <w:vAlign w:val="bottom"/>
          </w:tcPr>
          <w:p>
            <w:pPr>
              <w:ind w:left="160"/>
              <w:spacing w:after="0"/>
              <w:rPr>
                <w:sz w:val="20"/>
                <w:szCs w:val="20"/>
                <w:color w:val="auto"/>
              </w:rPr>
            </w:pPr>
            <w:r>
              <w:rPr>
                <w:rFonts w:ascii="Arial" w:cs="Arial" w:eastAsia="Arial" w:hAnsi="Arial"/>
                <w:sz w:val="18"/>
                <w:szCs w:val="18"/>
                <w:color w:val="auto"/>
              </w:rPr>
              <w:t>Net cash used in financing activities of continuing operations</w:t>
            </w:r>
          </w:p>
        </w:tc>
        <w:tc>
          <w:tcPr>
            <w:tcW w:w="126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(40.4)</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110"/>
        </w:trPr>
        <w:tc>
          <w:tcPr>
            <w:tcW w:w="8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58"/>
        </w:trPr>
        <w:tc>
          <w:tcPr>
            <w:tcW w:w="8280" w:type="dxa"/>
            <w:vAlign w:val="bottom"/>
          </w:tcPr>
          <w:p>
            <w:pPr>
              <w:ind w:left="160"/>
              <w:spacing w:after="0"/>
              <w:rPr>
                <w:sz w:val="20"/>
                <w:szCs w:val="20"/>
                <w:color w:val="auto"/>
              </w:rPr>
            </w:pPr>
            <w:r>
              <w:rPr>
                <w:rFonts w:ascii="Arial" w:cs="Arial" w:eastAsia="Arial" w:hAnsi="Arial"/>
                <w:sz w:val="18"/>
                <w:szCs w:val="18"/>
                <w:color w:val="auto"/>
              </w:rPr>
              <w:t>Net cash used in financing activities</w:t>
            </w:r>
          </w:p>
        </w:tc>
        <w:tc>
          <w:tcPr>
            <w:tcW w:w="126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(40.4)</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22"/>
        </w:trPr>
        <w:tc>
          <w:tcPr>
            <w:tcW w:w="8280" w:type="dxa"/>
            <w:vAlign w:val="bottom"/>
          </w:tcPr>
          <w:p>
            <w:pPr>
              <w:ind w:left="160"/>
              <w:spacing w:after="0"/>
              <w:rPr>
                <w:sz w:val="20"/>
                <w:szCs w:val="20"/>
                <w:color w:val="auto"/>
              </w:rPr>
            </w:pPr>
            <w:r>
              <w:rPr>
                <w:rFonts w:ascii="Arial" w:cs="Arial" w:eastAsia="Arial" w:hAnsi="Arial"/>
                <w:sz w:val="18"/>
                <w:szCs w:val="18"/>
                <w:color w:val="auto"/>
              </w:rPr>
              <w:t>Effect of exchange rate changes on cash and cash equivalents</w:t>
            </w:r>
          </w:p>
        </w:tc>
        <w:tc>
          <w:tcPr>
            <w:tcW w:w="126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10"/>
        </w:trPr>
        <w:tc>
          <w:tcPr>
            <w:tcW w:w="8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58"/>
        </w:trPr>
        <w:tc>
          <w:tcPr>
            <w:tcW w:w="8280" w:type="dxa"/>
            <w:vAlign w:val="bottom"/>
          </w:tcPr>
          <w:p>
            <w:pPr>
              <w:ind w:left="160"/>
              <w:spacing w:after="0"/>
              <w:rPr>
                <w:sz w:val="20"/>
                <w:szCs w:val="20"/>
                <w:color w:val="auto"/>
              </w:rPr>
            </w:pPr>
            <w:r>
              <w:rPr>
                <w:rFonts w:ascii="Arial" w:cs="Arial" w:eastAsia="Arial" w:hAnsi="Arial"/>
                <w:sz w:val="18"/>
                <w:szCs w:val="18"/>
                <w:color w:val="auto"/>
              </w:rPr>
              <w:t>Net increase (decrease) in cash and cash equivalents</w:t>
            </w:r>
          </w:p>
        </w:tc>
        <w:tc>
          <w:tcPr>
            <w:tcW w:w="1260" w:type="dxa"/>
            <w:vAlign w:val="bottom"/>
          </w:tcPr>
          <w:p>
            <w:pPr>
              <w:spacing w:after="0"/>
              <w:rPr>
                <w:sz w:val="24"/>
                <w:szCs w:val="24"/>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95.3</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8280" w:type="dxa"/>
            <w:vAlign w:val="bottom"/>
          </w:tcPr>
          <w:p>
            <w:pPr>
              <w:ind w:left="160"/>
              <w:spacing w:after="0"/>
              <w:rPr>
                <w:sz w:val="20"/>
                <w:szCs w:val="20"/>
                <w:color w:val="auto"/>
              </w:rPr>
            </w:pPr>
            <w:r>
              <w:rPr>
                <w:rFonts w:ascii="Arial" w:cs="Arial" w:eastAsia="Arial" w:hAnsi="Arial"/>
                <w:sz w:val="18"/>
                <w:szCs w:val="18"/>
                <w:color w:val="auto"/>
              </w:rPr>
              <w:t>Cash and cash equivalents at beginning of period, including cash of discontinued operations of $0.0</w:t>
            </w: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80" w:type="dxa"/>
            <w:vAlign w:val="bottom"/>
          </w:tcPr>
          <w:p>
            <w:pPr>
              <w:ind w:left="320"/>
              <w:spacing w:after="0"/>
              <w:rPr>
                <w:sz w:val="20"/>
                <w:szCs w:val="20"/>
                <w:color w:val="auto"/>
              </w:rPr>
            </w:pPr>
            <w:r>
              <w:rPr>
                <w:rFonts w:ascii="Arial" w:cs="Arial" w:eastAsia="Arial" w:hAnsi="Arial"/>
                <w:sz w:val="18"/>
                <w:szCs w:val="18"/>
                <w:color w:val="auto"/>
              </w:rPr>
              <w:t>and $4.3 at June 1, 2009 and 2008, respectively</w:t>
            </w:r>
          </w:p>
        </w:tc>
        <w:tc>
          <w:tcPr>
            <w:tcW w:w="1260" w:type="dxa"/>
            <w:vAlign w:val="bottom"/>
          </w:tcPr>
          <w:p>
            <w:pPr>
              <w:spacing w:after="0"/>
              <w:rPr>
                <w:sz w:val="19"/>
                <w:szCs w:val="19"/>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143.6</w:t>
            </w:r>
          </w:p>
        </w:tc>
        <w:tc>
          <w:tcPr>
            <w:tcW w:w="3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110"/>
        </w:trPr>
        <w:tc>
          <w:tcPr>
            <w:tcW w:w="8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8280" w:type="dxa"/>
            <w:vAlign w:val="bottom"/>
          </w:tcPr>
          <w:p>
            <w:pPr>
              <w:spacing w:after="0"/>
              <w:rPr>
                <w:sz w:val="20"/>
                <w:szCs w:val="20"/>
                <w:color w:val="auto"/>
              </w:rPr>
            </w:pPr>
            <w:r>
              <w:rPr>
                <w:rFonts w:ascii="Arial" w:cs="Arial" w:eastAsia="Arial" w:hAnsi="Arial"/>
                <w:sz w:val="18"/>
                <w:szCs w:val="18"/>
                <w:b w:val="1"/>
                <w:bCs w:val="1"/>
                <w:i w:val="1"/>
                <w:iCs w:val="1"/>
                <w:color w:val="auto"/>
                <w:w w:val="98"/>
              </w:rPr>
              <w:t>Cash and cash equivalents at end of period, including cash of discontinued operations of $0.0 and</w:t>
            </w: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rPr>
              <w:t>238.9</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38.6</w:t>
            </w:r>
          </w:p>
        </w:tc>
        <w:tc>
          <w:tcPr>
            <w:tcW w:w="0" w:type="dxa"/>
            <w:vAlign w:val="bottom"/>
          </w:tcPr>
          <w:p>
            <w:pPr>
              <w:spacing w:after="0"/>
              <w:rPr>
                <w:sz w:val="1"/>
                <w:szCs w:val="1"/>
                <w:color w:val="auto"/>
              </w:rPr>
            </w:pPr>
          </w:p>
        </w:tc>
      </w:tr>
      <w:tr>
        <w:trPr>
          <w:trHeight w:val="222"/>
        </w:trPr>
        <w:tc>
          <w:tcPr>
            <w:tcW w:w="82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$2.4 at February 28, 2010 and 2009, respectively</w:t>
            </w:r>
          </w:p>
        </w:tc>
        <w:tc>
          <w:tcPr>
            <w:tcW w:w="126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accompanying condensed consolidated financial statements consist of the accounts of Scholastic Corporation (the “Corporation”) and all wholly-owned subsidiaries (collectively, “Scholastic” or the “Company”). These financial statements have not been audited but reflect those adjustments consisting of normal recurring items that management considers necessary for a fair presentation of financial position, results of operations and cash flows. These financial statements should be read in conjunction with the consolidated financial statements and related notes in the Annual Report on Form 10-K for the fiscal year ended May 31, 2009.</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fiscal year is not a calendar year. Accordingly, references in this document to fiscal 2009 relate to the twelve-month period ended May 31, 2009.</w:t>
      </w:r>
    </w:p>
    <w:p>
      <w:pPr>
        <w:spacing w:after="0" w:line="24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more fully described in Note 2, “Discontinued Operations,” the Company has closed or sold several operations during fiscal 2009 and presently holds for sale other operations. All of these businesses are classified as discontinued operations in the Company’s financial statements. The remaining assets and liabilities associated with the foregoing discontinued businesses or operations are presented in the Company’s Condensed Consolidated Balance Sheets as “Current assets of discontinued operations” and “Current liabilities of discontinued operations” as of February 28, 2010, May 31, 2009 and February 28, 2009. In fiscal 2010, the Company sold a previously discontinued non-core book distribution business. The aggregate results of operations of these businesses for the three and nine months ended February 28, 2010 and 2009, respectively, are included in the Condensed Consolidated Statements of Operations as “Loss from discontinued operations, net of tax.” The aggregate cash flows of these businesses are also presented separately in the Company’s Consolidated Statements of Cash Flows for the nine months ended February 28, 2010 and 2009, respectively. All corresponding prior year periods presented in the Company’s Condensed Consolidated Financial Statements and accompanying notes have been reclassified to reflect the discontinued operations presentation.</w:t>
      </w:r>
    </w:p>
    <w:p>
      <w:pPr>
        <w:spacing w:after="0" w:line="174"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current presentation includes a net reclassification of certain costs to Cost of goods sold from Selling, general and administrative expenses totaling $4.0 and $3.9 for the nine months ended February 28, 2010 and 2009, respectively. In addition, the prior fiscal year severance amounts have been reclassified to include severance related to international subsidiaries, formerly included in Selling, general and administrative expenses. The reclassification from Selling, general and administrative expenses to Severance was $0.2 and $0.6 for the three and nine months ended February 28, 2009, respectively.</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Typically, school-based book club and book fair revenues are greatest in the second and fourth quarters of the fiscal year, while revenues from the sale of instructional materials and educational technology products are highest in the first and fourth quarters. The Company typically experiences losses from operations in the first and third quarters of each fiscal year.</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In addition, due to the seasonal fluctuations that occur, the February 28, 2009 Condensed Consolidated Balance Sheet is included for comparative purposes.</w:t>
      </w:r>
    </w:p>
    <w:p>
      <w:pPr>
        <w:spacing w:after="0" w:line="24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Company’s Condensed Consolidated Financial Statements have been prepared in accordance with accounting principles generally accepted in the United States and with the instructions to Form 10-Q and Regulation S-X. The preparation of these financial statements involves the use of estimates and assumptions by management, which affects the amounts reported in the Condensed Consolidated Financial Statements and accompanying notes. The Company bases its estimates on historical experience, future expectations,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calculations, including, but not limited to: collectability of accounts receivable; sales returns; gross margin rates used to determine inventory values and gross profits for book fair operations during interim periods; amortization periods; stock-based compensation expense; pension and other post-retirement obligations; tax obligations; and recoverability of inventories, deferred income tax benefits, prepublication costs, royalty advances, and the fair value of goodwill and other intangibles.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In December 2008, the Financial Accounting Standards Board (“FASB”) issued an amendment to existing standards for employer’s disclosures about post-retirement benefit plan assets, which is effective for fiscal years ending after December 15, 2009. The amendment will require additional disclosures regarding investment allocations, major categories, valuation techniques and concentrations of risk related to plan assets held in an employer’s defined benefit pension or post-retirement plan. It also requires disclosure of any effects of utilizing significant unobservable inputs upon the overall change in the fair value of the plan assets during the reporting period. The Company will comply with the disclosure requirements upon adoption.</w:t>
      </w:r>
    </w:p>
    <w:p>
      <w:pPr>
        <w:spacing w:after="0" w:line="17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October 2009, the FASB issued Accounting Standard Update No. 2009-13, “Revenue Recognition (Topic 605)” (“ASU No. 2009-13”). The accounting standard update addresses the accounting for multiple-deliverable arrangements to enable vendors to account for products or services (deliverables) separately rather than as a combined unit. Vendors often provide multiple products or services to their customers. Those deliverables often are provided at different points in time or over different time periods. ASU No. 2009-13 establishes the accounting and reporting guidance for arrangements under which the vendor will perform multiple revenue-generating activities. Specifically, ASU No. 2009-13 addresses how to separate deliverables and how to measure and allocate arrangement consideration to one or more units of accounting. ASU No. 2009-13 will be effective prospectively for revenue arrangements entered into or materially modified in fiscal years beginning on or after June 15, 2010. Early adoption is permitted. The Company has not chosen early adoption and is evaluating the impact on the Company’s consolidated financial position, results of operations and cash flows.</w:t>
      </w:r>
    </w:p>
    <w:p>
      <w:pPr>
        <w:spacing w:after="0" w:line="17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October 2009, the FASB issued Accounting Standard Update No. 2009-14, “Software (Topic 985) Certain Revenue Arrangements That Include Software Elements” (“ASU No. 2009-14”). The accounting standard update addresses the accounting revenue arrangements that contain tangible products and software and it affects vendors that sell or lease tangible products in an arrangement that contains software that is more than incidental to the tangible product as a whole. The accounting standard update clarifies what guidance should be used in allocating and measuring revenue. Tangible products containing software components and non-software components that function together to deliver the tangible product’s essential functionality are no longer within the scope of the software recognition guidance in Subtopic 985-605. The amendment requires that hardware components of a tangible product containing software components always be excluded from the software revenue guidance. ASU No. 2009-14 will be effective prospectively for revenue arrangements entered into or materially modified in fiscal years beginning on or after June 15, 2010. Early adoption is permitted. The Company has not chosen early adoption and is evaluating the impact on the Company’s consolidated financial position, results of operations and cash flows.</w:t>
      </w:r>
    </w:p>
    <w:p>
      <w:pPr>
        <w:spacing w:after="0" w:line="17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January 2010, the FASB issued Accounting Standard Update No. 2010-06, “Fair Value Measurements and Disclosures (Topic 820) Improving Disclosures about Fair Value Measurements” (“ASU No. 2010-06”). This update requires additional disclosures about (1) the different classes of assets and liabilities measured at fair value, (2) the valuation techniques and inputs used, (3) the activity in Level 3 fair value measurements, and (4) the transfers between Levels 1, 2, and 3. The ASU No. 2010-06 is effective for interim and annual reporting periods beginning after December 15, 2009. The Company will comply with the disclosure requirements upon adoption.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23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fiscal 2008, the Company determined to sell or shut down its domestic, Canadian and United Kingdom continuities businesses, and intends to sell a related warehousing and distribution facility located in Maumelle, Arkansas (the “Maumelle Facility”) and an office and distribution facility in Danbury, Connecticut (the “Danbury Facility”). During fiscal 2009, the Company also ceased its operations in Argentina and Mexico, its door-to-door selling operations in Puerto Rico, as well as its continuities business in Australia and New Zealand, its corporate book fairs business and closed its Scarsdale, NY store. The Company also sold a trade magazine. Additionally, the Company sold a non-core market research business and a non-core on-line resource for teachers business. In fiscal 2010, the Company sold a previously discontinued non-core book distribution business. All of the above businesses are classified as discontinued operations in the Company’s financial statements.</w:t>
      </w:r>
    </w:p>
    <w:p>
      <w:pPr>
        <w:spacing w:after="0" w:line="20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continues to monitor the expected cash proceeds to be realized from the disposition of discontinued operations assets, and adjusts asset values accordingly.</w:t>
      </w:r>
    </w:p>
    <w:p>
      <w:pPr>
        <w:spacing w:after="0" w:line="186"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The Company continuously evaluates its portfolio of businesses for both impairment and economic viability. The Company did not cease any additional operations or classify any additional operations as “held for sale” during the nine-month period ended February 28, 2010.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operating results of the discontinued operations for the periods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20" w:type="dxa"/>
            <w:vAlign w:val="bottom"/>
            <w:gridSpan w:val="3"/>
          </w:tcPr>
          <w:p>
            <w:pPr>
              <w:jc w:val="right"/>
              <w:ind w:right="212"/>
              <w:spacing w:after="0"/>
              <w:rPr>
                <w:sz w:val="20"/>
                <w:szCs w:val="20"/>
                <w:color w:val="auto"/>
              </w:rPr>
            </w:pPr>
            <w:r>
              <w:rPr>
                <w:rFonts w:ascii="Arial" w:cs="Arial" w:eastAsia="Arial" w:hAnsi="Arial"/>
                <w:sz w:val="18"/>
                <w:szCs w:val="18"/>
                <w:b w:val="1"/>
                <w:bCs w:val="1"/>
                <w:i w:val="1"/>
                <w:iCs w:val="1"/>
                <w:color w:val="auto"/>
                <w:w w:val="84"/>
              </w:rPr>
              <w:t>Three months ended</w:t>
            </w:r>
          </w:p>
        </w:tc>
        <w:tc>
          <w:tcPr>
            <w:tcW w:w="200" w:type="dxa"/>
            <w:vAlign w:val="bottom"/>
          </w:tcPr>
          <w:p>
            <w:pPr>
              <w:spacing w:after="0"/>
              <w:rPr>
                <w:sz w:val="18"/>
                <w:szCs w:val="18"/>
                <w:color w:val="auto"/>
              </w:rPr>
            </w:pPr>
          </w:p>
        </w:tc>
        <w:tc>
          <w:tcPr>
            <w:tcW w:w="1760" w:type="dxa"/>
            <w:vAlign w:val="bottom"/>
            <w:gridSpan w:val="3"/>
          </w:tcPr>
          <w:p>
            <w:pPr>
              <w:jc w:val="right"/>
              <w:ind w:right="232"/>
              <w:spacing w:after="0"/>
              <w:rPr>
                <w:sz w:val="20"/>
                <w:szCs w:val="20"/>
                <w:color w:val="auto"/>
              </w:rPr>
            </w:pPr>
            <w:r>
              <w:rPr>
                <w:rFonts w:ascii="Arial" w:cs="Arial" w:eastAsia="Arial" w:hAnsi="Arial"/>
                <w:sz w:val="18"/>
                <w:szCs w:val="18"/>
                <w:b w:val="1"/>
                <w:bCs w:val="1"/>
                <w:i w:val="1"/>
                <w:iCs w:val="1"/>
                <w:color w:val="auto"/>
                <w:w w:val="84"/>
              </w:rPr>
              <w:t>Nine months ended</w:t>
            </w:r>
          </w:p>
        </w:tc>
      </w:tr>
      <w:tr>
        <w:trPr>
          <w:trHeight w:val="222"/>
        </w:trPr>
        <w:tc>
          <w:tcPr>
            <w:tcW w:w="6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20" w:type="dxa"/>
            <w:vAlign w:val="bottom"/>
            <w:gridSpan w:val="3"/>
          </w:tcPr>
          <w:p>
            <w:pPr>
              <w:jc w:val="right"/>
              <w:ind w:right="492"/>
              <w:spacing w:after="0"/>
              <w:rPr>
                <w:sz w:val="20"/>
                <w:szCs w:val="20"/>
                <w:color w:val="auto"/>
              </w:rPr>
            </w:pPr>
            <w:r>
              <w:rPr>
                <w:rFonts w:ascii="Arial" w:cs="Arial" w:eastAsia="Arial" w:hAnsi="Arial"/>
                <w:sz w:val="18"/>
                <w:szCs w:val="18"/>
                <w:b w:val="1"/>
                <w:bCs w:val="1"/>
                <w:i w:val="1"/>
                <w:iCs w:val="1"/>
                <w:color w:val="auto"/>
              </w:rPr>
              <w:t>February 28,</w:t>
            </w:r>
          </w:p>
        </w:tc>
        <w:tc>
          <w:tcPr>
            <w:tcW w:w="200" w:type="dxa"/>
            <w:vAlign w:val="bottom"/>
          </w:tcPr>
          <w:p>
            <w:pPr>
              <w:spacing w:after="0"/>
              <w:rPr>
                <w:sz w:val="19"/>
                <w:szCs w:val="19"/>
                <w:color w:val="auto"/>
              </w:rPr>
            </w:pPr>
          </w:p>
        </w:tc>
        <w:tc>
          <w:tcPr>
            <w:tcW w:w="1760" w:type="dxa"/>
            <w:vAlign w:val="bottom"/>
            <w:gridSpan w:val="3"/>
          </w:tcPr>
          <w:p>
            <w:pPr>
              <w:jc w:val="right"/>
              <w:ind w:right="452"/>
              <w:spacing w:after="0"/>
              <w:rPr>
                <w:sz w:val="20"/>
                <w:szCs w:val="20"/>
                <w:color w:val="auto"/>
              </w:rPr>
            </w:pPr>
            <w:r>
              <w:rPr>
                <w:rFonts w:ascii="Arial" w:cs="Arial" w:eastAsia="Arial" w:hAnsi="Arial"/>
                <w:sz w:val="18"/>
                <w:szCs w:val="18"/>
                <w:b w:val="1"/>
                <w:bCs w:val="1"/>
                <w:i w:val="1"/>
                <w:iCs w:val="1"/>
                <w:color w:val="auto"/>
              </w:rPr>
              <w:t>February 28,</w:t>
            </w:r>
          </w:p>
        </w:tc>
      </w:tr>
      <w:tr>
        <w:trPr>
          <w:trHeight w:val="110"/>
        </w:trPr>
        <w:tc>
          <w:tcPr>
            <w:tcW w:w="65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316"/>
        </w:trPr>
        <w:tc>
          <w:tcPr>
            <w:tcW w:w="6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4"/>
                <w:szCs w:val="24"/>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b w:val="1"/>
                <w:bCs w:val="1"/>
                <w:color w:val="auto"/>
                <w:w w:val="94"/>
              </w:rPr>
              <w:t>2009</w:t>
            </w:r>
          </w:p>
        </w:tc>
        <w:tc>
          <w:tcPr>
            <w:tcW w:w="200" w:type="dxa"/>
            <w:vAlign w:val="bottom"/>
          </w:tcPr>
          <w:p>
            <w:pPr>
              <w:spacing w:after="0"/>
              <w:rPr>
                <w:sz w:val="24"/>
                <w:szCs w:val="24"/>
                <w:color w:val="auto"/>
              </w:rPr>
            </w:pPr>
          </w:p>
        </w:tc>
        <w:tc>
          <w:tcPr>
            <w:tcW w:w="760" w:type="dxa"/>
            <w:vAlign w:val="bottom"/>
          </w:tcPr>
          <w:p>
            <w:pPr>
              <w:jc w:val="right"/>
              <w:ind w:right="252"/>
              <w:spacing w:after="0"/>
              <w:rPr>
                <w:sz w:val="20"/>
                <w:szCs w:val="20"/>
                <w:color w:val="auto"/>
              </w:rPr>
            </w:pPr>
            <w:r>
              <w:rPr>
                <w:rFonts w:ascii="Arial" w:cs="Arial" w:eastAsia="Arial" w:hAnsi="Arial"/>
                <w:sz w:val="18"/>
                <w:szCs w:val="18"/>
                <w:b w:val="1"/>
                <w:bCs w:val="1"/>
                <w:color w:val="auto"/>
                <w:w w:val="99"/>
              </w:rPr>
              <w:t>2010</w:t>
            </w:r>
          </w:p>
        </w:tc>
        <w:tc>
          <w:tcPr>
            <w:tcW w:w="240" w:type="dxa"/>
            <w:vAlign w:val="bottom"/>
          </w:tcPr>
          <w:p>
            <w:pPr>
              <w:spacing w:after="0"/>
              <w:rPr>
                <w:sz w:val="24"/>
                <w:szCs w:val="24"/>
                <w:color w:val="auto"/>
              </w:rPr>
            </w:pPr>
          </w:p>
        </w:tc>
        <w:tc>
          <w:tcPr>
            <w:tcW w:w="760" w:type="dxa"/>
            <w:vAlign w:val="bottom"/>
          </w:tcPr>
          <w:p>
            <w:pPr>
              <w:jc w:val="right"/>
              <w:ind w:right="252"/>
              <w:spacing w:after="0"/>
              <w:rPr>
                <w:sz w:val="20"/>
                <w:szCs w:val="20"/>
                <w:color w:val="auto"/>
              </w:rPr>
            </w:pPr>
            <w:r>
              <w:rPr>
                <w:rFonts w:ascii="Arial" w:cs="Arial" w:eastAsia="Arial" w:hAnsi="Arial"/>
                <w:sz w:val="18"/>
                <w:szCs w:val="18"/>
                <w:b w:val="1"/>
                <w:bCs w:val="1"/>
                <w:color w:val="auto"/>
                <w:w w:val="99"/>
              </w:rPr>
              <w:t>2009</w:t>
            </w:r>
          </w:p>
        </w:tc>
      </w:tr>
      <w:tr>
        <w:trPr>
          <w:trHeight w:val="110"/>
        </w:trPr>
        <w:tc>
          <w:tcPr>
            <w:tcW w:w="65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316"/>
        </w:trPr>
        <w:tc>
          <w:tcPr>
            <w:tcW w:w="6560" w:type="dxa"/>
            <w:vAlign w:val="bottom"/>
          </w:tcPr>
          <w:p>
            <w:pPr>
              <w:spacing w:after="0"/>
              <w:rPr>
                <w:sz w:val="20"/>
                <w:szCs w:val="20"/>
                <w:color w:val="auto"/>
              </w:rPr>
            </w:pPr>
            <w:r>
              <w:rPr>
                <w:rFonts w:ascii="Arial" w:cs="Arial" w:eastAsia="Arial" w:hAnsi="Arial"/>
                <w:sz w:val="18"/>
                <w:szCs w:val="18"/>
                <w:color w:val="auto"/>
              </w:rPr>
              <w:t>Revenues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8.1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70.0</w:t>
            </w:r>
          </w:p>
        </w:tc>
      </w:tr>
      <w:tr>
        <w:trPr>
          <w:trHeight w:val="358"/>
        </w:trPr>
        <w:tc>
          <w:tcPr>
            <w:tcW w:w="6560" w:type="dxa"/>
            <w:vAlign w:val="bottom"/>
          </w:tcPr>
          <w:p>
            <w:pPr>
              <w:spacing w:after="0"/>
              <w:rPr>
                <w:sz w:val="20"/>
                <w:szCs w:val="20"/>
                <w:color w:val="auto"/>
              </w:rPr>
            </w:pPr>
            <w:r>
              <w:rPr>
                <w:rFonts w:ascii="Arial" w:cs="Arial" w:eastAsia="Arial" w:hAnsi="Arial"/>
                <w:sz w:val="18"/>
                <w:szCs w:val="18"/>
                <w:color w:val="auto"/>
              </w:rPr>
              <w:t>Gain (loss) on sale</w:t>
            </w:r>
          </w:p>
        </w:tc>
        <w:tc>
          <w:tcPr>
            <w:tcW w:w="1100" w:type="dxa"/>
            <w:vAlign w:val="bottom"/>
          </w:tcPr>
          <w:p>
            <w:pPr>
              <w:spacing w:after="0"/>
              <w:rPr>
                <w:sz w:val="24"/>
                <w:szCs w:val="24"/>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21.9</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32.4</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Non-cash impairment charges and (loss) earnings from discontinued operations</w:t>
            </w:r>
          </w:p>
        </w:tc>
        <w:tc>
          <w:tcPr>
            <w:tcW w:w="110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22"/>
        </w:trPr>
        <w:tc>
          <w:tcPr>
            <w:tcW w:w="65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100" w:type="dxa"/>
            <w:vAlign w:val="bottom"/>
          </w:tcPr>
          <w:p>
            <w:pPr>
              <w:spacing w:after="0"/>
              <w:rPr>
                <w:sz w:val="19"/>
                <w:szCs w:val="19"/>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4.3</w:t>
            </w:r>
          </w:p>
        </w:tc>
      </w:tr>
      <w:tr>
        <w:trPr>
          <w:trHeight w:val="110"/>
        </w:trPr>
        <w:tc>
          <w:tcPr>
            <w:tcW w:w="65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464"/>
        </w:trPr>
        <w:tc>
          <w:tcPr>
            <w:tcW w:w="6560" w:type="dxa"/>
            <w:vAlign w:val="bottom"/>
          </w:tcPr>
          <w:p>
            <w:pPr>
              <w:spacing w:after="0"/>
              <w:rPr>
                <w:sz w:val="20"/>
                <w:szCs w:val="20"/>
                <w:color w:val="auto"/>
              </w:rPr>
            </w:pPr>
            <w:r>
              <w:rPr>
                <w:rFonts w:ascii="Arial" w:cs="Arial" w:eastAsia="Arial" w:hAnsi="Arial"/>
                <w:sz w:val="18"/>
                <w:szCs w:val="18"/>
                <w:b w:val="1"/>
                <w:bCs w:val="1"/>
                <w:color w:val="auto"/>
              </w:rPr>
              <w:t>Loss from discontinued operations, net of tax</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b w:val="1"/>
                <w:bCs w:val="1"/>
                <w:color w:val="auto"/>
              </w:rPr>
              <w:t>(1.0)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b w:val="1"/>
                <w:bCs w:val="1"/>
                <w:color w:val="auto"/>
              </w:rPr>
              <w:t>(1.5)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(23.1)</w:t>
            </w:r>
          </w:p>
        </w:tc>
      </w:tr>
      <w:tr>
        <w:trPr>
          <w:trHeight w:val="110"/>
        </w:trPr>
        <w:tc>
          <w:tcPr>
            <w:tcW w:w="65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table sets forth the assets and liabilities of the discontinued operations included in the Condensed Consolidated Balance Sheets of the Company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20" w:type="dxa"/>
            <w:vAlign w:val="bottom"/>
          </w:tcPr>
          <w:p>
            <w:pPr>
              <w:spacing w:after="0"/>
              <w:rPr>
                <w:sz w:val="19"/>
                <w:szCs w:val="19"/>
                <w:color w:val="auto"/>
              </w:rPr>
            </w:pPr>
          </w:p>
        </w:tc>
        <w:tc>
          <w:tcPr>
            <w:tcW w:w="3340" w:type="dxa"/>
            <w:vAlign w:val="bottom"/>
            <w:gridSpan w:val="2"/>
          </w:tcPr>
          <w:p>
            <w:pPr>
              <w:jc w:val="right"/>
              <w:ind w:right="232"/>
              <w:spacing w:after="0"/>
              <w:rPr>
                <w:sz w:val="20"/>
                <w:szCs w:val="20"/>
                <w:color w:val="auto"/>
              </w:rPr>
            </w:pPr>
            <w:r>
              <w:rPr>
                <w:rFonts w:ascii="Arial" w:cs="Arial" w:eastAsia="Arial" w:hAnsi="Arial"/>
                <w:sz w:val="18"/>
                <w:szCs w:val="18"/>
                <w:b w:val="1"/>
                <w:bCs w:val="1"/>
                <w:i w:val="1"/>
                <w:iCs w:val="1"/>
                <w:color w:val="auto"/>
              </w:rPr>
              <w:t>February 28, 2010</w:t>
            </w:r>
          </w:p>
        </w:tc>
        <w:tc>
          <w:tcPr>
            <w:tcW w:w="1600" w:type="dxa"/>
            <w:vAlign w:val="bottom"/>
            <w:gridSpan w:val="2"/>
          </w:tcPr>
          <w:p>
            <w:pPr>
              <w:jc w:val="right"/>
              <w:ind w:right="232"/>
              <w:spacing w:after="0"/>
              <w:rPr>
                <w:sz w:val="20"/>
                <w:szCs w:val="20"/>
                <w:color w:val="auto"/>
              </w:rPr>
            </w:pPr>
            <w:r>
              <w:rPr>
                <w:rFonts w:ascii="Arial" w:cs="Arial" w:eastAsia="Arial" w:hAnsi="Arial"/>
                <w:sz w:val="18"/>
                <w:szCs w:val="18"/>
                <w:b w:val="1"/>
                <w:bCs w:val="1"/>
                <w:i w:val="1"/>
                <w:iCs w:val="1"/>
                <w:color w:val="auto"/>
              </w:rPr>
              <w:t>May 31, 2009</w:t>
            </w:r>
          </w:p>
        </w:tc>
        <w:tc>
          <w:tcPr>
            <w:tcW w:w="1980" w:type="dxa"/>
            <w:vAlign w:val="bottom"/>
            <w:gridSpan w:val="2"/>
          </w:tcPr>
          <w:p>
            <w:pPr>
              <w:jc w:val="right"/>
              <w:ind w:right="212"/>
              <w:spacing w:after="0"/>
              <w:rPr>
                <w:sz w:val="20"/>
                <w:szCs w:val="20"/>
                <w:color w:val="auto"/>
              </w:rPr>
            </w:pPr>
            <w:r>
              <w:rPr>
                <w:rFonts w:ascii="Arial" w:cs="Arial" w:eastAsia="Arial" w:hAnsi="Arial"/>
                <w:sz w:val="18"/>
                <w:szCs w:val="18"/>
                <w:b w:val="1"/>
                <w:bCs w:val="1"/>
                <w:i w:val="1"/>
                <w:iCs w:val="1"/>
                <w:color w:val="auto"/>
              </w:rPr>
              <w:t>February 28, 2009</w:t>
            </w:r>
          </w:p>
        </w:tc>
        <w:tc>
          <w:tcPr>
            <w:tcW w:w="20" w:type="dxa"/>
            <w:vAlign w:val="bottom"/>
          </w:tcPr>
          <w:p>
            <w:pPr>
              <w:spacing w:after="0"/>
              <w:rPr>
                <w:sz w:val="19"/>
                <w:szCs w:val="19"/>
                <w:color w:val="auto"/>
              </w:rPr>
            </w:pPr>
          </w:p>
        </w:tc>
      </w:tr>
      <w:tr>
        <w:trPr>
          <w:trHeight w:val="110"/>
        </w:trPr>
        <w:tc>
          <w:tcPr>
            <w:tcW w:w="452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45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672"/>
              <w:spacing w:after="0"/>
              <w:rPr>
                <w:sz w:val="20"/>
                <w:szCs w:val="20"/>
                <w:color w:val="auto"/>
              </w:rPr>
            </w:pPr>
            <w:r>
              <w:rPr>
                <w:rFonts w:ascii="Arial" w:cs="Arial" w:eastAsia="Arial" w:hAnsi="Arial"/>
                <w:sz w:val="18"/>
                <w:szCs w:val="18"/>
                <w:color w:val="auto"/>
              </w:rPr>
              <w:t>7.0</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32"/>
              <w:spacing w:after="0"/>
              <w:rPr>
                <w:sz w:val="20"/>
                <w:szCs w:val="20"/>
                <w:color w:val="auto"/>
              </w:rPr>
            </w:pPr>
            <w:r>
              <w:rPr>
                <w:rFonts w:ascii="Arial" w:cs="Arial" w:eastAsia="Arial" w:hAnsi="Arial"/>
                <w:sz w:val="18"/>
                <w:szCs w:val="18"/>
                <w:color w:val="auto"/>
              </w:rPr>
              <w:t>13.6</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612"/>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24"/>
                <w:szCs w:val="24"/>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Inventories, net</w:t>
            </w:r>
          </w:p>
        </w:tc>
        <w:tc>
          <w:tcPr>
            <w:tcW w:w="2200" w:type="dxa"/>
            <w:vAlign w:val="bottom"/>
          </w:tcPr>
          <w:p>
            <w:pPr>
              <w:spacing w:after="0"/>
              <w:rPr>
                <w:sz w:val="18"/>
                <w:szCs w:val="18"/>
                <w:color w:val="auto"/>
              </w:rPr>
            </w:pPr>
          </w:p>
        </w:tc>
        <w:tc>
          <w:tcPr>
            <w:tcW w:w="114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960" w:type="dxa"/>
            <w:vAlign w:val="bottom"/>
          </w:tcPr>
          <w:p>
            <w:pPr>
              <w:jc w:val="right"/>
              <w:ind w:right="432"/>
              <w:spacing w:after="0"/>
              <w:rPr>
                <w:sz w:val="20"/>
                <w:szCs w:val="20"/>
                <w:color w:val="auto"/>
              </w:rPr>
            </w:pPr>
            <w:r>
              <w:rPr>
                <w:rFonts w:ascii="Arial" w:cs="Arial" w:eastAsia="Arial" w:hAnsi="Arial"/>
                <w:sz w:val="18"/>
                <w:szCs w:val="18"/>
                <w:color w:val="auto"/>
              </w:rPr>
              <w:t>0.8</w:t>
            </w:r>
          </w:p>
        </w:tc>
        <w:tc>
          <w:tcPr>
            <w:tcW w:w="840" w:type="dxa"/>
            <w:vAlign w:val="bottom"/>
          </w:tcPr>
          <w:p>
            <w:pPr>
              <w:spacing w:after="0"/>
              <w:rPr>
                <w:sz w:val="18"/>
                <w:szCs w:val="18"/>
                <w:color w:val="auto"/>
              </w:rPr>
            </w:pPr>
          </w:p>
        </w:tc>
        <w:tc>
          <w:tcPr>
            <w:tcW w:w="1140" w:type="dxa"/>
            <w:vAlign w:val="bottom"/>
          </w:tcPr>
          <w:p>
            <w:pPr>
              <w:jc w:val="right"/>
              <w:ind w:right="612"/>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Other assets</w:t>
            </w:r>
          </w:p>
        </w:tc>
        <w:tc>
          <w:tcPr>
            <w:tcW w:w="2200" w:type="dxa"/>
            <w:vAlign w:val="bottom"/>
          </w:tcPr>
          <w:p>
            <w:pPr>
              <w:spacing w:after="0"/>
              <w:rPr>
                <w:sz w:val="19"/>
                <w:szCs w:val="19"/>
                <w:color w:val="auto"/>
              </w:rPr>
            </w:pPr>
          </w:p>
        </w:tc>
        <w:tc>
          <w:tcPr>
            <w:tcW w:w="1140" w:type="dxa"/>
            <w:vAlign w:val="bottom"/>
          </w:tcPr>
          <w:p>
            <w:pPr>
              <w:jc w:val="right"/>
              <w:ind w:right="672"/>
              <w:spacing w:after="0"/>
              <w:rPr>
                <w:sz w:val="20"/>
                <w:szCs w:val="20"/>
                <w:color w:val="auto"/>
              </w:rPr>
            </w:pPr>
            <w:r>
              <w:rPr>
                <w:rFonts w:ascii="Arial" w:cs="Arial" w:eastAsia="Arial" w:hAnsi="Arial"/>
                <w:sz w:val="18"/>
                <w:szCs w:val="18"/>
                <w:color w:val="auto"/>
              </w:rPr>
              <w:t>16.8</w:t>
            </w:r>
          </w:p>
        </w:tc>
        <w:tc>
          <w:tcPr>
            <w:tcW w:w="640" w:type="dxa"/>
            <w:vAlign w:val="bottom"/>
          </w:tcPr>
          <w:p>
            <w:pPr>
              <w:spacing w:after="0"/>
              <w:rPr>
                <w:sz w:val="19"/>
                <w:szCs w:val="19"/>
                <w:color w:val="auto"/>
              </w:rPr>
            </w:pPr>
          </w:p>
        </w:tc>
        <w:tc>
          <w:tcPr>
            <w:tcW w:w="960" w:type="dxa"/>
            <w:vAlign w:val="bottom"/>
          </w:tcPr>
          <w:p>
            <w:pPr>
              <w:jc w:val="right"/>
              <w:ind w:right="432"/>
              <w:spacing w:after="0"/>
              <w:rPr>
                <w:sz w:val="20"/>
                <w:szCs w:val="20"/>
                <w:color w:val="auto"/>
              </w:rPr>
            </w:pPr>
            <w:r>
              <w:rPr>
                <w:rFonts w:ascii="Arial" w:cs="Arial" w:eastAsia="Arial" w:hAnsi="Arial"/>
                <w:sz w:val="18"/>
                <w:szCs w:val="18"/>
                <w:color w:val="auto"/>
              </w:rPr>
              <w:t>16.6</w:t>
            </w:r>
          </w:p>
        </w:tc>
        <w:tc>
          <w:tcPr>
            <w:tcW w:w="840" w:type="dxa"/>
            <w:vAlign w:val="bottom"/>
          </w:tcPr>
          <w:p>
            <w:pPr>
              <w:spacing w:after="0"/>
              <w:rPr>
                <w:sz w:val="19"/>
                <w:szCs w:val="19"/>
                <w:color w:val="auto"/>
              </w:rPr>
            </w:pPr>
          </w:p>
        </w:tc>
        <w:tc>
          <w:tcPr>
            <w:tcW w:w="1140" w:type="dxa"/>
            <w:vAlign w:val="bottom"/>
          </w:tcPr>
          <w:p>
            <w:pPr>
              <w:jc w:val="right"/>
              <w:ind w:right="612"/>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9"/>
                <w:szCs w:val="19"/>
                <w:color w:val="auto"/>
              </w:rPr>
            </w:pPr>
          </w:p>
        </w:tc>
      </w:tr>
      <w:tr>
        <w:trPr>
          <w:trHeight w:val="110"/>
        </w:trPr>
        <w:tc>
          <w:tcPr>
            <w:tcW w:w="452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520" w:type="dxa"/>
            <w:vAlign w:val="bottom"/>
          </w:tcPr>
          <w:p>
            <w:pPr>
              <w:spacing w:after="0"/>
              <w:rPr>
                <w:sz w:val="20"/>
                <w:szCs w:val="20"/>
                <w:color w:val="auto"/>
              </w:rPr>
            </w:pPr>
            <w:r>
              <w:rPr>
                <w:rFonts w:ascii="Arial" w:cs="Arial" w:eastAsia="Arial" w:hAnsi="Arial"/>
                <w:sz w:val="18"/>
                <w:szCs w:val="18"/>
                <w:b w:val="1"/>
                <w:bCs w:val="1"/>
                <w:color w:val="auto"/>
              </w:rPr>
              <w:t>Current assets of discontinued operations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672"/>
              <w:spacing w:after="0"/>
              <w:rPr>
                <w:sz w:val="20"/>
                <w:szCs w:val="20"/>
                <w:color w:val="auto"/>
              </w:rPr>
            </w:pPr>
            <w:r>
              <w:rPr>
                <w:rFonts w:ascii="Arial" w:cs="Arial" w:eastAsia="Arial" w:hAnsi="Arial"/>
                <w:sz w:val="18"/>
                <w:szCs w:val="18"/>
                <w:b w:val="1"/>
                <w:bCs w:val="1"/>
                <w:color w:val="auto"/>
              </w:rPr>
              <w:t>23.8</w:t>
            </w:r>
          </w:p>
        </w:tc>
        <w:tc>
          <w:tcPr>
            <w:tcW w:w="64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432"/>
              <w:spacing w:after="0"/>
              <w:rPr>
                <w:sz w:val="20"/>
                <w:szCs w:val="20"/>
                <w:color w:val="auto"/>
              </w:rPr>
            </w:pPr>
            <w:r>
              <w:rPr>
                <w:rFonts w:ascii="Arial" w:cs="Arial" w:eastAsia="Arial" w:hAnsi="Arial"/>
                <w:sz w:val="18"/>
                <w:szCs w:val="18"/>
                <w:b w:val="1"/>
                <w:bCs w:val="1"/>
                <w:color w:val="auto"/>
              </w:rPr>
              <w:t>31.0</w:t>
            </w: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612"/>
              <w:spacing w:after="0"/>
              <w:rPr>
                <w:sz w:val="20"/>
                <w:szCs w:val="20"/>
                <w:color w:val="auto"/>
              </w:rPr>
            </w:pPr>
            <w:r>
              <w:rPr>
                <w:rFonts w:ascii="Arial" w:cs="Arial" w:eastAsia="Arial" w:hAnsi="Arial"/>
                <w:sz w:val="18"/>
                <w:szCs w:val="18"/>
                <w:b w:val="1"/>
                <w:bCs w:val="1"/>
                <w:color w:val="auto"/>
              </w:rPr>
              <w:t>44.6</w:t>
            </w:r>
          </w:p>
        </w:tc>
        <w:tc>
          <w:tcPr>
            <w:tcW w:w="20" w:type="dxa"/>
            <w:vAlign w:val="bottom"/>
          </w:tcPr>
          <w:p>
            <w:pPr>
              <w:spacing w:after="0"/>
              <w:rPr>
                <w:sz w:val="24"/>
                <w:szCs w:val="24"/>
                <w:color w:val="auto"/>
              </w:rPr>
            </w:pPr>
          </w:p>
        </w:tc>
      </w:tr>
      <w:tr>
        <w:trPr>
          <w:trHeight w:val="110"/>
        </w:trPr>
        <w:tc>
          <w:tcPr>
            <w:tcW w:w="452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4520" w:type="dxa"/>
            <w:vAlign w:val="bottom"/>
          </w:tcPr>
          <w:p>
            <w:pPr>
              <w:spacing w:after="0"/>
              <w:rPr>
                <w:sz w:val="20"/>
                <w:szCs w:val="20"/>
                <w:color w:val="auto"/>
              </w:rPr>
            </w:pPr>
            <w:r>
              <w:rPr>
                <w:rFonts w:ascii="Arial" w:cs="Arial" w:eastAsia="Arial" w:hAnsi="Arial"/>
                <w:sz w:val="18"/>
                <w:szCs w:val="18"/>
                <w:color w:val="auto"/>
              </w:rPr>
              <w:t>Accounts payable</w:t>
            </w: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672"/>
              <w:spacing w:after="0"/>
              <w:rPr>
                <w:sz w:val="20"/>
                <w:szCs w:val="20"/>
                <w:color w:val="auto"/>
              </w:rPr>
            </w:pPr>
            <w:r>
              <w:rPr>
                <w:rFonts w:ascii="Arial" w:cs="Arial" w:eastAsia="Arial" w:hAnsi="Arial"/>
                <w:sz w:val="18"/>
                <w:szCs w:val="18"/>
                <w:color w:val="auto"/>
              </w:rPr>
              <w:t>0.2</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32"/>
              <w:spacing w:after="0"/>
              <w:rPr>
                <w:sz w:val="20"/>
                <w:szCs w:val="20"/>
                <w:color w:val="auto"/>
              </w:rPr>
            </w:pPr>
            <w:r>
              <w:rPr>
                <w:rFonts w:ascii="Arial" w:cs="Arial" w:eastAsia="Arial" w:hAnsi="Arial"/>
                <w:sz w:val="18"/>
                <w:szCs w:val="18"/>
                <w:color w:val="auto"/>
              </w:rPr>
              <w:t>2.2</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612"/>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4"/>
                <w:szCs w:val="24"/>
                <w:color w:val="auto"/>
              </w:rPr>
            </w:pP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2200" w:type="dxa"/>
            <w:vAlign w:val="bottom"/>
          </w:tcPr>
          <w:p>
            <w:pPr>
              <w:spacing w:after="0"/>
              <w:rPr>
                <w:sz w:val="19"/>
                <w:szCs w:val="19"/>
                <w:color w:val="auto"/>
              </w:rPr>
            </w:pPr>
          </w:p>
        </w:tc>
        <w:tc>
          <w:tcPr>
            <w:tcW w:w="1140" w:type="dxa"/>
            <w:vAlign w:val="bottom"/>
          </w:tcPr>
          <w:p>
            <w:pPr>
              <w:jc w:val="right"/>
              <w:ind w:right="672"/>
              <w:spacing w:after="0"/>
              <w:rPr>
                <w:sz w:val="20"/>
                <w:szCs w:val="20"/>
                <w:color w:val="auto"/>
              </w:rPr>
            </w:pPr>
            <w:r>
              <w:rPr>
                <w:rFonts w:ascii="Arial" w:cs="Arial" w:eastAsia="Arial" w:hAnsi="Arial"/>
                <w:sz w:val="18"/>
                <w:szCs w:val="18"/>
                <w:color w:val="auto"/>
              </w:rPr>
              <w:t>2.4</w:t>
            </w:r>
          </w:p>
        </w:tc>
        <w:tc>
          <w:tcPr>
            <w:tcW w:w="640" w:type="dxa"/>
            <w:vAlign w:val="bottom"/>
          </w:tcPr>
          <w:p>
            <w:pPr>
              <w:spacing w:after="0"/>
              <w:rPr>
                <w:sz w:val="19"/>
                <w:szCs w:val="19"/>
                <w:color w:val="auto"/>
              </w:rPr>
            </w:pPr>
          </w:p>
        </w:tc>
        <w:tc>
          <w:tcPr>
            <w:tcW w:w="960" w:type="dxa"/>
            <w:vAlign w:val="bottom"/>
          </w:tcPr>
          <w:p>
            <w:pPr>
              <w:jc w:val="right"/>
              <w:ind w:right="432"/>
              <w:spacing w:after="0"/>
              <w:rPr>
                <w:sz w:val="20"/>
                <w:szCs w:val="20"/>
                <w:color w:val="auto"/>
              </w:rPr>
            </w:pPr>
            <w:r>
              <w:rPr>
                <w:rFonts w:ascii="Arial" w:cs="Arial" w:eastAsia="Arial" w:hAnsi="Arial"/>
                <w:sz w:val="18"/>
                <w:szCs w:val="18"/>
                <w:color w:val="auto"/>
              </w:rPr>
              <w:t>5.1</w:t>
            </w:r>
          </w:p>
        </w:tc>
        <w:tc>
          <w:tcPr>
            <w:tcW w:w="840" w:type="dxa"/>
            <w:vAlign w:val="bottom"/>
          </w:tcPr>
          <w:p>
            <w:pPr>
              <w:spacing w:after="0"/>
              <w:rPr>
                <w:sz w:val="19"/>
                <w:szCs w:val="19"/>
                <w:color w:val="auto"/>
              </w:rPr>
            </w:pPr>
          </w:p>
        </w:tc>
        <w:tc>
          <w:tcPr>
            <w:tcW w:w="1140" w:type="dxa"/>
            <w:vAlign w:val="bottom"/>
          </w:tcPr>
          <w:p>
            <w:pPr>
              <w:jc w:val="right"/>
              <w:ind w:right="612"/>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r>
      <w:tr>
        <w:trPr>
          <w:trHeight w:val="110"/>
        </w:trPr>
        <w:tc>
          <w:tcPr>
            <w:tcW w:w="452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520" w:type="dxa"/>
            <w:vAlign w:val="bottom"/>
          </w:tcPr>
          <w:p>
            <w:pPr>
              <w:spacing w:after="0"/>
              <w:rPr>
                <w:sz w:val="20"/>
                <w:szCs w:val="20"/>
                <w:color w:val="auto"/>
              </w:rPr>
            </w:pPr>
            <w:r>
              <w:rPr>
                <w:rFonts w:ascii="Arial" w:cs="Arial" w:eastAsia="Arial" w:hAnsi="Arial"/>
                <w:sz w:val="18"/>
                <w:szCs w:val="18"/>
                <w:b w:val="1"/>
                <w:bCs w:val="1"/>
                <w:color w:val="auto"/>
              </w:rPr>
              <w:t>Current liabilities of discontinued operations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672"/>
              <w:spacing w:after="0"/>
              <w:rPr>
                <w:sz w:val="20"/>
                <w:szCs w:val="20"/>
                <w:color w:val="auto"/>
              </w:rPr>
            </w:pPr>
            <w:r>
              <w:rPr>
                <w:rFonts w:ascii="Arial" w:cs="Arial" w:eastAsia="Arial" w:hAnsi="Arial"/>
                <w:sz w:val="18"/>
                <w:szCs w:val="18"/>
                <w:b w:val="1"/>
                <w:bCs w:val="1"/>
                <w:color w:val="auto"/>
              </w:rPr>
              <w:t>2.6</w:t>
            </w:r>
          </w:p>
        </w:tc>
        <w:tc>
          <w:tcPr>
            <w:tcW w:w="64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432"/>
              <w:spacing w:after="0"/>
              <w:rPr>
                <w:sz w:val="20"/>
                <w:szCs w:val="20"/>
                <w:color w:val="auto"/>
              </w:rPr>
            </w:pPr>
            <w:r>
              <w:rPr>
                <w:rFonts w:ascii="Arial" w:cs="Arial" w:eastAsia="Arial" w:hAnsi="Arial"/>
                <w:sz w:val="18"/>
                <w:szCs w:val="18"/>
                <w:b w:val="1"/>
                <w:bCs w:val="1"/>
                <w:color w:val="auto"/>
              </w:rPr>
              <w:t>7.3</w:t>
            </w: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612"/>
              <w:spacing w:after="0"/>
              <w:rPr>
                <w:sz w:val="20"/>
                <w:szCs w:val="20"/>
                <w:color w:val="auto"/>
              </w:rPr>
            </w:pPr>
            <w:r>
              <w:rPr>
                <w:rFonts w:ascii="Arial" w:cs="Arial" w:eastAsia="Arial" w:hAnsi="Arial"/>
                <w:sz w:val="18"/>
                <w:szCs w:val="18"/>
                <w:b w:val="1"/>
                <w:bCs w:val="1"/>
                <w:color w:val="auto"/>
              </w:rPr>
              <w:t>16.7</w:t>
            </w:r>
          </w:p>
        </w:tc>
        <w:tc>
          <w:tcPr>
            <w:tcW w:w="20" w:type="dxa"/>
            <w:vAlign w:val="bottom"/>
          </w:tcPr>
          <w:p>
            <w:pPr>
              <w:spacing w:after="0"/>
              <w:rPr>
                <w:sz w:val="24"/>
                <w:szCs w:val="24"/>
                <w:color w:val="auto"/>
              </w:rPr>
            </w:pPr>
          </w:p>
        </w:tc>
      </w:tr>
      <w:tr>
        <w:trPr>
          <w:trHeight w:val="110"/>
        </w:trPr>
        <w:tc>
          <w:tcPr>
            <w:tcW w:w="452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4520" w:type="dxa"/>
            <w:vAlign w:val="bottom"/>
          </w:tcPr>
          <w:p>
            <w:pPr>
              <w:spacing w:after="0"/>
              <w:rPr>
                <w:sz w:val="24"/>
                <w:szCs w:val="24"/>
                <w:color w:val="auto"/>
              </w:rPr>
            </w:pPr>
          </w:p>
        </w:tc>
        <w:tc>
          <w:tcPr>
            <w:tcW w:w="2200" w:type="dxa"/>
            <w:vAlign w:val="bottom"/>
          </w:tcPr>
          <w:p>
            <w:pPr>
              <w:jc w:val="right"/>
              <w:ind w:right="872"/>
              <w:spacing w:after="0"/>
              <w:rPr>
                <w:sz w:val="20"/>
                <w:szCs w:val="20"/>
                <w:color w:val="auto"/>
              </w:rPr>
            </w:pPr>
            <w:r>
              <w:rPr>
                <w:rFonts w:ascii="Arial" w:cs="Arial" w:eastAsia="Arial" w:hAnsi="Arial"/>
                <w:sz w:val="18"/>
                <w:szCs w:val="18"/>
                <w:color w:val="auto"/>
              </w:rPr>
              <w:t>7</w:t>
            </w: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4520" w:type="dxa"/>
            <w:vAlign w:val="bottom"/>
            <w:shd w:val="clear" w:color="auto" w:fill="808080"/>
          </w:tcPr>
          <w:p>
            <w:pPr>
              <w:spacing w:after="0"/>
              <w:rPr>
                <w:sz w:val="5"/>
                <w:szCs w:val="5"/>
                <w:color w:val="auto"/>
              </w:rPr>
            </w:pPr>
          </w:p>
        </w:tc>
        <w:tc>
          <w:tcPr>
            <w:tcW w:w="22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82" w:right="1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The Company categorizes its businesses into four reportable segments: </w:t>
      </w:r>
      <w:r>
        <w:rPr>
          <w:rFonts w:ascii="Arial" w:cs="Arial" w:eastAsia="Arial" w:hAnsi="Arial"/>
          <w:sz w:val="18"/>
          <w:szCs w:val="18"/>
          <w:i w:val="1"/>
          <w:iCs w:val="1"/>
          <w:color w:val="auto"/>
        </w:rPr>
        <w:t>Children’s Book Publishing and Distribution; Educational Publishing; International; and</w:t>
      </w:r>
      <w:r>
        <w:rPr>
          <w:rFonts w:ascii="Arial" w:cs="Arial" w:eastAsia="Arial" w:hAnsi="Arial"/>
          <w:sz w:val="18"/>
          <w:szCs w:val="18"/>
          <w:color w:val="auto"/>
        </w:rPr>
        <w:t xml:space="preserve"> </w:t>
      </w:r>
      <w:r>
        <w:rPr>
          <w:rFonts w:ascii="Arial" w:cs="Arial" w:eastAsia="Arial" w:hAnsi="Arial"/>
          <w:sz w:val="18"/>
          <w:szCs w:val="18"/>
          <w:i w:val="1"/>
          <w:iCs w:val="1"/>
          <w:color w:val="auto"/>
        </w:rPr>
        <w:t>Media, Licensing and Advertising</w:t>
      </w:r>
      <w:r>
        <w:rPr>
          <w:rFonts w:ascii="Arial" w:cs="Arial" w:eastAsia="Arial" w:hAnsi="Arial"/>
          <w:sz w:val="18"/>
          <w:szCs w:val="18"/>
          <w:color w:val="auto"/>
        </w:rPr>
        <w:t>.</w:t>
      </w:r>
    </w:p>
    <w:p>
      <w:pPr>
        <w:spacing w:after="0" w:line="186" w:lineRule="exact"/>
        <w:rPr>
          <w:sz w:val="20"/>
          <w:szCs w:val="20"/>
          <w:color w:val="auto"/>
        </w:rPr>
      </w:pPr>
    </w:p>
    <w:p>
      <w:pPr>
        <w:ind w:right="220" w:firstLine="8"/>
        <w:spacing w:after="0" w:line="259" w:lineRule="auto"/>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Children’s Book Publishing and Distribution </w:t>
      </w:r>
      <w:r>
        <w:rPr>
          <w:rFonts w:ascii="Arial" w:cs="Arial" w:eastAsia="Arial" w:hAnsi="Arial"/>
          <w:sz w:val="18"/>
          <w:szCs w:val="18"/>
          <w:color w:val="auto"/>
        </w:rPr>
        <w:t>operates as an integrated business which includes the publication and distribution of children’s books, media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interactive products in the United States through school-based book clubs and book fairs and the trade channel. This segment is comprised of three operating segments.</w:t>
      </w:r>
    </w:p>
    <w:p>
      <w:pPr>
        <w:spacing w:after="0" w:line="194" w:lineRule="exact"/>
        <w:rPr>
          <w:rFonts w:ascii="Arial" w:cs="Arial" w:eastAsia="Arial" w:hAnsi="Arial"/>
          <w:sz w:val="18"/>
          <w:szCs w:val="18"/>
          <w:color w:val="auto"/>
        </w:rPr>
      </w:pPr>
    </w:p>
    <w:p>
      <w:pPr>
        <w:ind w:right="160" w:firstLine="8"/>
        <w:spacing w:after="0" w:line="259" w:lineRule="auto"/>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Educational Publishing </w:t>
      </w:r>
      <w:r>
        <w:rPr>
          <w:rFonts w:ascii="Arial" w:cs="Arial" w:eastAsia="Arial" w:hAnsi="Arial"/>
          <w:sz w:val="18"/>
          <w:szCs w:val="18"/>
          <w:color w:val="auto"/>
        </w:rPr>
        <w:t>includes the production and/or publication and distribution to schools and libraries of educational technology products, curriculum</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children’s books, classroom magazines and print and on-line reference and non-fiction products for grades pre-kindergarten to 12 in the United States. This segment is comprised of two operating segments.</w:t>
      </w:r>
    </w:p>
    <w:p>
      <w:pPr>
        <w:spacing w:after="0" w:line="194" w:lineRule="exact"/>
        <w:rPr>
          <w:rFonts w:ascii="Arial" w:cs="Arial" w:eastAsia="Arial" w:hAnsi="Arial"/>
          <w:sz w:val="18"/>
          <w:szCs w:val="18"/>
          <w:color w:val="auto"/>
        </w:rPr>
      </w:pPr>
    </w:p>
    <w:p>
      <w:pPr>
        <w:ind w:right="400" w:firstLine="8"/>
        <w:spacing w:after="0" w:line="268" w:lineRule="auto"/>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includes the publication and distribution of products and services outside the United States by the Company’s international operations,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export and foreign rights businesses. This segment is comprised of two operating segments.</w:t>
      </w:r>
    </w:p>
    <w:p>
      <w:pPr>
        <w:spacing w:after="0" w:line="185" w:lineRule="exact"/>
        <w:rPr>
          <w:rFonts w:ascii="Arial" w:cs="Arial" w:eastAsia="Arial" w:hAnsi="Arial"/>
          <w:sz w:val="18"/>
          <w:szCs w:val="18"/>
          <w:color w:val="auto"/>
        </w:rPr>
      </w:pPr>
    </w:p>
    <w:p>
      <w:pPr>
        <w:ind w:right="60" w:firstLine="8"/>
        <w:spacing w:after="0" w:line="268" w:lineRule="auto"/>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Media, Licensing and Advertising </w:t>
      </w:r>
      <w:r>
        <w:rPr>
          <w:rFonts w:ascii="Arial" w:cs="Arial" w:eastAsia="Arial" w:hAnsi="Arial"/>
          <w:sz w:val="18"/>
          <w:szCs w:val="18"/>
          <w:color w:val="auto"/>
        </w:rPr>
        <w:t>includes the production and/or distribution of media, merchandising and advertising revenue, including sponsorship programs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consumer promotions. This segment is comprised of three operating segments.</w:t>
      </w:r>
    </w:p>
    <w:p>
      <w:pPr>
        <w:spacing w:after="0" w:line="18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In the first quarter of fiscal 2010, the Company reclassified certain revenues and operating expenses formerly included in the </w:t>
      </w:r>
      <w:r>
        <w:rPr>
          <w:rFonts w:ascii="Arial" w:cs="Arial" w:eastAsia="Arial" w:hAnsi="Arial"/>
          <w:sz w:val="16"/>
          <w:szCs w:val="16"/>
          <w:i w:val="1"/>
          <w:iCs w:val="1"/>
          <w:color w:val="auto"/>
        </w:rPr>
        <w:t>Media, Licensing and Advertising</w:t>
      </w:r>
      <w:r>
        <w:rPr>
          <w:rFonts w:ascii="Arial" w:cs="Arial" w:eastAsia="Arial" w:hAnsi="Arial"/>
          <w:sz w:val="16"/>
          <w:szCs w:val="16"/>
          <w:color w:val="auto"/>
        </w:rPr>
        <w:t xml:space="preserve"> segment to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This reclassification consists of revenues and operating expenses derived from sales of media and interactive products sold through the various channels employed by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This change in reporting is consistent with changes in the Company’s internal financial reporting structure, and reflects the chief operating decision maker’s assessment of performance and asset allocation. Prior period results have been reclassified for consistency with this change in reporting structure. Revenues and operating income of $5.4 and $2.4, respectively, for the quarter ended February 28, 2009, and $18.4 and $8.3, respectively, for the nine months ended February 28, 2009, were reclassified to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from the </w:t>
      </w:r>
      <w:r>
        <w:rPr>
          <w:rFonts w:ascii="Arial" w:cs="Arial" w:eastAsia="Arial" w:hAnsi="Arial"/>
          <w:sz w:val="16"/>
          <w:szCs w:val="16"/>
          <w:i w:val="1"/>
          <w:iCs w:val="1"/>
          <w:color w:val="auto"/>
        </w:rPr>
        <w:t>Media, Licensing and Advertising</w:t>
      </w:r>
      <w:r>
        <w:rPr>
          <w:rFonts w:ascii="Arial" w:cs="Arial" w:eastAsia="Arial" w:hAnsi="Arial"/>
          <w:sz w:val="16"/>
          <w:szCs w:val="16"/>
          <w:color w:val="auto"/>
        </w:rPr>
        <w:t xml:space="preserve"> segment.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center"/>
              <w:ind w:right="172"/>
              <w:spacing w:after="0"/>
              <w:rPr>
                <w:sz w:val="20"/>
                <w:szCs w:val="20"/>
                <w:color w:val="auto"/>
              </w:rPr>
            </w:pPr>
            <w:r>
              <w:rPr>
                <w:rFonts w:ascii="Arial" w:cs="Arial" w:eastAsia="Arial" w:hAnsi="Arial"/>
                <w:sz w:val="14"/>
                <w:szCs w:val="14"/>
                <w:b w:val="1"/>
                <w:bCs w:val="1"/>
                <w:color w:val="auto"/>
                <w:w w:val="87"/>
              </w:rPr>
              <w:t>Children’s Book</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center"/>
              <w:ind w:right="212"/>
              <w:spacing w:after="0"/>
              <w:rPr>
                <w:sz w:val="20"/>
                <w:szCs w:val="20"/>
                <w:color w:val="auto"/>
              </w:rPr>
            </w:pPr>
            <w:r>
              <w:rPr>
                <w:rFonts w:ascii="Arial" w:cs="Arial" w:eastAsia="Arial" w:hAnsi="Arial"/>
                <w:sz w:val="14"/>
                <w:szCs w:val="14"/>
                <w:b w:val="1"/>
                <w:bCs w:val="1"/>
                <w:color w:val="auto"/>
                <w:w w:val="91"/>
              </w:rPr>
              <w:t>Media,</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center"/>
              <w:ind w:right="192"/>
              <w:spacing w:after="0" w:line="156" w:lineRule="exact"/>
              <w:rPr>
                <w:sz w:val="20"/>
                <w:szCs w:val="20"/>
                <w:color w:val="auto"/>
              </w:rPr>
            </w:pPr>
            <w:r>
              <w:rPr>
                <w:rFonts w:ascii="Arial" w:cs="Arial" w:eastAsia="Arial" w:hAnsi="Arial"/>
                <w:sz w:val="14"/>
                <w:szCs w:val="14"/>
                <w:b w:val="1"/>
                <w:bCs w:val="1"/>
                <w:color w:val="auto"/>
                <w:w w:val="87"/>
              </w:rPr>
              <w:t>Publishing and</w:t>
            </w:r>
          </w:p>
        </w:tc>
        <w:tc>
          <w:tcPr>
            <w:tcW w:w="240" w:type="dxa"/>
            <w:vAlign w:val="bottom"/>
          </w:tcPr>
          <w:p>
            <w:pPr>
              <w:spacing w:after="0"/>
              <w:rPr>
                <w:sz w:val="13"/>
                <w:szCs w:val="13"/>
                <w:color w:val="auto"/>
              </w:rPr>
            </w:pPr>
          </w:p>
        </w:tc>
        <w:tc>
          <w:tcPr>
            <w:tcW w:w="940" w:type="dxa"/>
            <w:vAlign w:val="bottom"/>
          </w:tcPr>
          <w:p>
            <w:pPr>
              <w:jc w:val="right"/>
              <w:ind w:right="152"/>
              <w:spacing w:after="0" w:line="156" w:lineRule="exact"/>
              <w:rPr>
                <w:sz w:val="20"/>
                <w:szCs w:val="20"/>
                <w:color w:val="auto"/>
              </w:rPr>
            </w:pPr>
            <w:r>
              <w:rPr>
                <w:rFonts w:ascii="Arial" w:cs="Arial" w:eastAsia="Arial" w:hAnsi="Arial"/>
                <w:sz w:val="14"/>
                <w:szCs w:val="14"/>
                <w:b w:val="1"/>
                <w:bCs w:val="1"/>
                <w:color w:val="auto"/>
                <w:w w:val="88"/>
              </w:rPr>
              <w:t>Educational</w:t>
            </w:r>
          </w:p>
        </w:tc>
        <w:tc>
          <w:tcPr>
            <w:tcW w:w="116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w w:val="87"/>
              </w:rPr>
              <w:t>Licensing and</w:t>
            </w:r>
          </w:p>
        </w:tc>
        <w:tc>
          <w:tcPr>
            <w:tcW w:w="180" w:type="dxa"/>
            <w:vAlign w:val="bottom"/>
          </w:tcPr>
          <w:p>
            <w:pPr>
              <w:spacing w:after="0"/>
              <w:rPr>
                <w:sz w:val="13"/>
                <w:szCs w:val="13"/>
                <w:color w:val="auto"/>
              </w:rPr>
            </w:pPr>
          </w:p>
        </w:tc>
        <w:tc>
          <w:tcPr>
            <w:tcW w:w="10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81"/>
              </w:rPr>
              <w:t>Overhead</w:t>
            </w:r>
            <w:r>
              <w:rPr>
                <w:rFonts w:ascii="Arial" w:cs="Arial" w:eastAsia="Arial" w:hAnsi="Arial"/>
                <w:sz w:val="22"/>
                <w:szCs w:val="22"/>
                <w:b w:val="1"/>
                <w:bCs w:val="1"/>
                <w:color w:val="auto"/>
                <w:w w:val="81"/>
                <w:vertAlign w:val="superscript"/>
              </w:rPr>
              <w:t>(1)(2)</w:t>
            </w:r>
          </w:p>
        </w:tc>
        <w:tc>
          <w:tcPr>
            <w:tcW w:w="160" w:type="dxa"/>
            <w:vAlign w:val="bottom"/>
          </w:tcPr>
          <w:p>
            <w:pPr>
              <w:spacing w:after="0"/>
              <w:rPr>
                <w:sz w:val="13"/>
                <w:szCs w:val="13"/>
                <w:color w:val="auto"/>
              </w:rPr>
            </w:pPr>
          </w:p>
        </w:tc>
        <w:tc>
          <w:tcPr>
            <w:tcW w:w="740" w:type="dxa"/>
            <w:vAlign w:val="bottom"/>
          </w:tcPr>
          <w:p>
            <w:pPr>
              <w:jc w:val="right"/>
              <w:ind w:right="252"/>
              <w:spacing w:after="0" w:line="156"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11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88"/>
              </w:rPr>
              <w:t>International</w:t>
            </w:r>
            <w:r>
              <w:rPr>
                <w:rFonts w:ascii="Arial" w:cs="Arial" w:eastAsia="Arial" w:hAnsi="Arial"/>
                <w:sz w:val="22"/>
                <w:szCs w:val="22"/>
                <w:b w:val="1"/>
                <w:bCs w:val="1"/>
                <w:color w:val="auto"/>
                <w:w w:val="88"/>
                <w:vertAlign w:val="superscript"/>
              </w:rPr>
              <w:t>(1)</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32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jc w:val="center"/>
              <w:ind w:right="192"/>
              <w:spacing w:after="0"/>
              <w:rPr>
                <w:sz w:val="20"/>
                <w:szCs w:val="20"/>
                <w:color w:val="auto"/>
              </w:rPr>
            </w:pPr>
            <w:r>
              <w:rPr>
                <w:rFonts w:ascii="Arial" w:cs="Arial" w:eastAsia="Arial" w:hAnsi="Arial"/>
                <w:sz w:val="14"/>
                <w:szCs w:val="14"/>
                <w:b w:val="1"/>
                <w:bCs w:val="1"/>
                <w:color w:val="auto"/>
                <w:w w:val="87"/>
              </w:rPr>
              <w:t>Distribution</w:t>
            </w:r>
            <w:r>
              <w:rPr>
                <w:rFonts w:ascii="Arial" w:cs="Arial" w:eastAsia="Arial" w:hAnsi="Arial"/>
                <w:sz w:val="22"/>
                <w:szCs w:val="22"/>
                <w:b w:val="1"/>
                <w:bCs w:val="1"/>
                <w:color w:val="auto"/>
                <w:w w:val="87"/>
                <w:vertAlign w:val="superscript"/>
              </w:rPr>
              <w:t>(1)</w:t>
            </w:r>
          </w:p>
        </w:tc>
        <w:tc>
          <w:tcPr>
            <w:tcW w:w="2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jc w:val="right"/>
              <w:ind w:right="112"/>
              <w:spacing w:after="0"/>
              <w:rPr>
                <w:sz w:val="20"/>
                <w:szCs w:val="20"/>
                <w:color w:val="auto"/>
              </w:rPr>
            </w:pPr>
            <w:r>
              <w:rPr>
                <w:rFonts w:ascii="Arial" w:cs="Arial" w:eastAsia="Arial" w:hAnsi="Arial"/>
                <w:sz w:val="14"/>
                <w:szCs w:val="14"/>
                <w:b w:val="1"/>
                <w:bCs w:val="1"/>
                <w:color w:val="auto"/>
                <w:w w:val="82"/>
              </w:rPr>
              <w:t>Publishing</w:t>
            </w:r>
            <w:r>
              <w:rPr>
                <w:rFonts w:ascii="Arial" w:cs="Arial" w:eastAsia="Arial" w:hAnsi="Arial"/>
                <w:sz w:val="22"/>
                <w:szCs w:val="22"/>
                <w:b w:val="1"/>
                <w:bCs w:val="1"/>
                <w:color w:val="auto"/>
                <w:w w:val="82"/>
                <w:vertAlign w:val="superscript"/>
              </w:rPr>
              <w:t>(1)</w:t>
            </w:r>
          </w:p>
        </w:tc>
        <w:tc>
          <w:tcPr>
            <w:tcW w:w="116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86"/>
              </w:rPr>
              <w:t>Advertising</w:t>
            </w:r>
            <w:r>
              <w:rPr>
                <w:rFonts w:ascii="Arial" w:cs="Arial" w:eastAsia="Arial" w:hAnsi="Arial"/>
                <w:sz w:val="22"/>
                <w:szCs w:val="22"/>
                <w:b w:val="1"/>
                <w:bCs w:val="1"/>
                <w:color w:val="auto"/>
                <w:w w:val="86"/>
                <w:vertAlign w:val="superscript"/>
              </w:rPr>
              <w:t>(1)</w:t>
            </w:r>
          </w:p>
        </w:tc>
        <w:tc>
          <w:tcPr>
            <w:tcW w:w="1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vMerge w:val="continue"/>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jc w:val="right"/>
              <w:ind w:right="132"/>
              <w:spacing w:after="0"/>
              <w:rPr>
                <w:sz w:val="20"/>
                <w:szCs w:val="20"/>
                <w:color w:val="auto"/>
              </w:rPr>
            </w:pPr>
            <w:r>
              <w:rPr>
                <w:rFonts w:ascii="Arial" w:cs="Arial" w:eastAsia="Arial" w:hAnsi="Arial"/>
                <w:sz w:val="14"/>
                <w:szCs w:val="14"/>
                <w:b w:val="1"/>
                <w:bCs w:val="1"/>
                <w:color w:val="auto"/>
                <w:w w:val="82"/>
              </w:rPr>
              <w:t>Domestic</w:t>
            </w:r>
          </w:p>
        </w:tc>
        <w:tc>
          <w:tcPr>
            <w:tcW w:w="1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vMerge w:val="continue"/>
          </w:tcPr>
          <w:p>
            <w:pPr>
              <w:spacing w:after="0"/>
              <w:rPr>
                <w:sz w:val="24"/>
                <w:szCs w:val="24"/>
                <w:color w:val="auto"/>
              </w:rPr>
            </w:pPr>
          </w:p>
        </w:tc>
        <w:tc>
          <w:tcPr>
            <w:tcW w:w="700" w:type="dxa"/>
            <w:vAlign w:val="bottom"/>
            <w:tcBorders>
              <w:bottom w:val="single" w:sz="8" w:color="808080"/>
            </w:tcBorders>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86"/>
        </w:trPr>
        <w:tc>
          <w:tcPr>
            <w:tcW w:w="3280" w:type="dxa"/>
            <w:vAlign w:val="bottom"/>
          </w:tcPr>
          <w:p>
            <w:pPr>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280" w:type="dxa"/>
            <w:vAlign w:val="bottom"/>
          </w:tcPr>
          <w:p>
            <w:pPr>
              <w:spacing w:after="0"/>
              <w:rPr>
                <w:sz w:val="20"/>
                <w:szCs w:val="20"/>
                <w:color w:val="auto"/>
              </w:rPr>
            </w:pPr>
            <w:r>
              <w:rPr>
                <w:rFonts w:ascii="Arial" w:cs="Arial" w:eastAsia="Arial" w:hAnsi="Arial"/>
                <w:sz w:val="14"/>
                <w:szCs w:val="14"/>
                <w:b w:val="1"/>
                <w:bCs w:val="1"/>
                <w:color w:val="auto"/>
              </w:rPr>
              <w:t>February 28, 2010</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3280" w:type="dxa"/>
            <w:vAlign w:val="bottom"/>
          </w:tcPr>
          <w:p>
            <w:pPr>
              <w:ind w:left="160"/>
              <w:spacing w:after="0"/>
              <w:rPr>
                <w:sz w:val="20"/>
                <w:szCs w:val="20"/>
                <w:color w:val="auto"/>
              </w:rPr>
            </w:pPr>
            <w:r>
              <w:rPr>
                <w:rFonts w:ascii="Arial" w:cs="Arial" w:eastAsia="Arial" w:hAnsi="Arial"/>
                <w:sz w:val="14"/>
                <w:szCs w:val="14"/>
                <w:color w:val="auto"/>
              </w:rPr>
              <w:t>Revenues</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12"/>
              <w:spacing w:after="0"/>
              <w:rPr>
                <w:sz w:val="20"/>
                <w:szCs w:val="20"/>
                <w:color w:val="auto"/>
              </w:rPr>
            </w:pPr>
            <w:r>
              <w:rPr>
                <w:rFonts w:ascii="Arial" w:cs="Arial" w:eastAsia="Arial" w:hAnsi="Arial"/>
                <w:sz w:val="14"/>
                <w:szCs w:val="14"/>
                <w:color w:val="auto"/>
              </w:rPr>
              <w:t>192.1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88.0</w:t>
            </w:r>
          </w:p>
        </w:tc>
        <w:tc>
          <w:tcPr>
            <w:tcW w:w="2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30.0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310.1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88.7</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  398.8</w:t>
            </w:r>
          </w:p>
        </w:tc>
        <w:tc>
          <w:tcPr>
            <w:tcW w:w="0" w:type="dxa"/>
            <w:vAlign w:val="bottom"/>
          </w:tcPr>
          <w:p>
            <w:pPr>
              <w:spacing w:after="0"/>
              <w:rPr>
                <w:sz w:val="1"/>
                <w:szCs w:val="1"/>
                <w:color w:val="auto"/>
              </w:rPr>
            </w:pPr>
          </w:p>
        </w:tc>
      </w:tr>
      <w:tr>
        <w:trPr>
          <w:trHeight w:val="144"/>
        </w:trPr>
        <w:tc>
          <w:tcPr>
            <w:tcW w:w="3280" w:type="dxa"/>
            <w:vAlign w:val="bottom"/>
          </w:tcPr>
          <w:p>
            <w:pPr>
              <w:ind w:left="160"/>
              <w:spacing w:after="0" w:line="144" w:lineRule="exact"/>
              <w:rPr>
                <w:sz w:val="20"/>
                <w:szCs w:val="20"/>
                <w:color w:val="auto"/>
              </w:rPr>
            </w:pPr>
            <w:r>
              <w:rPr>
                <w:rFonts w:ascii="Arial" w:cs="Arial" w:eastAsia="Arial" w:hAnsi="Arial"/>
                <w:sz w:val="14"/>
                <w:szCs w:val="14"/>
                <w:color w:val="auto"/>
              </w:rPr>
              <w:t>Bad debt expense</w:t>
            </w:r>
          </w:p>
        </w:tc>
        <w:tc>
          <w:tcPr>
            <w:tcW w:w="400" w:type="dxa"/>
            <w:vAlign w:val="bottom"/>
          </w:tcPr>
          <w:p>
            <w:pPr>
              <w:spacing w:after="0"/>
              <w:rPr>
                <w:sz w:val="12"/>
                <w:szCs w:val="12"/>
                <w:color w:val="auto"/>
              </w:rPr>
            </w:pPr>
          </w:p>
        </w:tc>
        <w:tc>
          <w:tcPr>
            <w:tcW w:w="126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2.0</w:t>
            </w:r>
          </w:p>
        </w:tc>
        <w:tc>
          <w:tcPr>
            <w:tcW w:w="240" w:type="dxa"/>
            <w:vAlign w:val="bottom"/>
          </w:tcPr>
          <w:p>
            <w:pPr>
              <w:spacing w:after="0"/>
              <w:rPr>
                <w:sz w:val="12"/>
                <w:szCs w:val="12"/>
                <w:color w:val="auto"/>
              </w:rPr>
            </w:pPr>
          </w:p>
        </w:tc>
        <w:tc>
          <w:tcPr>
            <w:tcW w:w="940" w:type="dxa"/>
            <w:vAlign w:val="bottom"/>
          </w:tcPr>
          <w:p>
            <w:pPr>
              <w:jc w:val="right"/>
              <w:ind w:right="32"/>
              <w:spacing w:after="0" w:line="144" w:lineRule="exact"/>
              <w:rPr>
                <w:sz w:val="20"/>
                <w:szCs w:val="20"/>
                <w:color w:val="auto"/>
              </w:rPr>
            </w:pPr>
            <w:r>
              <w:rPr>
                <w:rFonts w:ascii="Arial" w:cs="Arial" w:eastAsia="Arial" w:hAnsi="Arial"/>
                <w:sz w:val="14"/>
                <w:szCs w:val="14"/>
                <w:color w:val="auto"/>
              </w:rPr>
              <w:t>0.2</w:t>
            </w:r>
          </w:p>
        </w:tc>
        <w:tc>
          <w:tcPr>
            <w:tcW w:w="280" w:type="dxa"/>
            <w:vAlign w:val="bottom"/>
          </w:tcPr>
          <w:p>
            <w:pPr>
              <w:spacing w:after="0"/>
              <w:rPr>
                <w:sz w:val="12"/>
                <w:szCs w:val="12"/>
                <w:color w:val="auto"/>
              </w:rPr>
            </w:pPr>
          </w:p>
        </w:tc>
        <w:tc>
          <w:tcPr>
            <w:tcW w:w="880" w:type="dxa"/>
            <w:vAlign w:val="bottom"/>
          </w:tcPr>
          <w:p>
            <w:pPr>
              <w:jc w:val="right"/>
              <w:ind w:right="52"/>
              <w:spacing w:after="0" w:line="144" w:lineRule="exact"/>
              <w:rPr>
                <w:sz w:val="20"/>
                <w:szCs w:val="20"/>
                <w:color w:val="auto"/>
              </w:rPr>
            </w:pPr>
            <w:r>
              <w:rPr>
                <w:rFonts w:ascii="Arial" w:cs="Arial" w:eastAsia="Arial" w:hAnsi="Arial"/>
                <w:sz w:val="14"/>
                <w:szCs w:val="14"/>
                <w:color w:val="auto"/>
              </w:rPr>
              <w:t>0.1</w:t>
            </w:r>
          </w:p>
        </w:tc>
        <w:tc>
          <w:tcPr>
            <w:tcW w:w="180" w:type="dxa"/>
            <w:vAlign w:val="bottom"/>
          </w:tcPr>
          <w:p>
            <w:pPr>
              <w:spacing w:after="0"/>
              <w:rPr>
                <w:sz w:val="12"/>
                <w:szCs w:val="12"/>
                <w:color w:val="auto"/>
              </w:rPr>
            </w:pPr>
          </w:p>
        </w:tc>
        <w:tc>
          <w:tcPr>
            <w:tcW w:w="1080" w:type="dxa"/>
            <w:vAlign w:val="bottom"/>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ind w:right="52"/>
              <w:spacing w:after="0" w:line="144" w:lineRule="exact"/>
              <w:rPr>
                <w:sz w:val="20"/>
                <w:szCs w:val="20"/>
                <w:color w:val="auto"/>
              </w:rPr>
            </w:pPr>
            <w:r>
              <w:rPr>
                <w:rFonts w:ascii="Arial" w:cs="Arial" w:eastAsia="Arial" w:hAnsi="Arial"/>
                <w:sz w:val="14"/>
                <w:szCs w:val="14"/>
                <w:color w:val="auto"/>
              </w:rPr>
              <w:t>2.3</w:t>
            </w:r>
          </w:p>
        </w:tc>
        <w:tc>
          <w:tcPr>
            <w:tcW w:w="160" w:type="dxa"/>
            <w:vAlign w:val="bottom"/>
          </w:tcPr>
          <w:p>
            <w:pPr>
              <w:spacing w:after="0"/>
              <w:rPr>
                <w:sz w:val="12"/>
                <w:szCs w:val="12"/>
                <w:color w:val="auto"/>
              </w:rPr>
            </w:pPr>
          </w:p>
        </w:tc>
        <w:tc>
          <w:tcPr>
            <w:tcW w:w="1140" w:type="dxa"/>
            <w:vAlign w:val="bottom"/>
          </w:tcPr>
          <w:p>
            <w:pPr>
              <w:jc w:val="right"/>
              <w:ind w:right="72"/>
              <w:spacing w:after="0" w:line="144" w:lineRule="exact"/>
              <w:rPr>
                <w:sz w:val="20"/>
                <w:szCs w:val="20"/>
                <w:color w:val="auto"/>
              </w:rPr>
            </w:pPr>
            <w:r>
              <w:rPr>
                <w:rFonts w:ascii="Arial" w:cs="Arial" w:eastAsia="Arial" w:hAnsi="Arial"/>
                <w:sz w:val="14"/>
                <w:szCs w:val="14"/>
                <w:color w:val="auto"/>
              </w:rPr>
              <w:t>0.6</w:t>
            </w:r>
          </w:p>
        </w:tc>
        <w:tc>
          <w:tcPr>
            <w:tcW w:w="700" w:type="dxa"/>
            <w:vAlign w:val="bottom"/>
          </w:tcPr>
          <w:p>
            <w:pPr>
              <w:jc w:val="right"/>
              <w:ind w:right="72"/>
              <w:spacing w:after="0" w:line="144"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6"/>
        </w:trPr>
        <w:tc>
          <w:tcPr>
            <w:tcW w:w="328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(3)</w:t>
            </w:r>
          </w:p>
        </w:tc>
        <w:tc>
          <w:tcPr>
            <w:tcW w:w="400" w:type="dxa"/>
            <w:vAlign w:val="bottom"/>
          </w:tcPr>
          <w:p>
            <w:pPr>
              <w:spacing w:after="0"/>
              <w:rPr>
                <w:sz w:val="15"/>
                <w:szCs w:val="15"/>
                <w:color w:val="auto"/>
              </w:rPr>
            </w:pPr>
          </w:p>
        </w:tc>
        <w:tc>
          <w:tcPr>
            <w:tcW w:w="1260" w:type="dxa"/>
            <w:vAlign w:val="bottom"/>
          </w:tcPr>
          <w:p>
            <w:pPr>
              <w:jc w:val="right"/>
              <w:ind w:right="112"/>
              <w:spacing w:after="0"/>
              <w:rPr>
                <w:sz w:val="20"/>
                <w:szCs w:val="20"/>
                <w:color w:val="auto"/>
              </w:rPr>
            </w:pPr>
            <w:r>
              <w:rPr>
                <w:rFonts w:ascii="Arial" w:cs="Arial" w:eastAsia="Arial" w:hAnsi="Arial"/>
                <w:sz w:val="14"/>
                <w:szCs w:val="14"/>
                <w:color w:val="auto"/>
              </w:rPr>
              <w:t>3.4</w:t>
            </w:r>
          </w:p>
        </w:tc>
        <w:tc>
          <w:tcPr>
            <w:tcW w:w="240" w:type="dxa"/>
            <w:vAlign w:val="bottom"/>
          </w:tcPr>
          <w:p>
            <w:pPr>
              <w:spacing w:after="0"/>
              <w:rPr>
                <w:sz w:val="15"/>
                <w:szCs w:val="15"/>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0.7</w:t>
            </w:r>
          </w:p>
        </w:tc>
        <w:tc>
          <w:tcPr>
            <w:tcW w:w="28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0.1</w:t>
            </w:r>
          </w:p>
        </w:tc>
        <w:tc>
          <w:tcPr>
            <w:tcW w:w="180" w:type="dxa"/>
            <w:vAlign w:val="bottom"/>
          </w:tcPr>
          <w:p>
            <w:pPr>
              <w:spacing w:after="0"/>
              <w:rPr>
                <w:sz w:val="15"/>
                <w:szCs w:val="15"/>
                <w:color w:val="auto"/>
              </w:rPr>
            </w:pPr>
          </w:p>
        </w:tc>
        <w:tc>
          <w:tcPr>
            <w:tcW w:w="1080" w:type="dxa"/>
            <w:vAlign w:val="bottom"/>
          </w:tcPr>
          <w:p>
            <w:pPr>
              <w:jc w:val="right"/>
              <w:ind w:right="72"/>
              <w:spacing w:after="0"/>
              <w:rPr>
                <w:sz w:val="20"/>
                <w:szCs w:val="20"/>
                <w:color w:val="auto"/>
              </w:rPr>
            </w:pPr>
            <w:r>
              <w:rPr>
                <w:rFonts w:ascii="Arial" w:cs="Arial" w:eastAsia="Arial" w:hAnsi="Arial"/>
                <w:sz w:val="14"/>
                <w:szCs w:val="14"/>
                <w:color w:val="auto"/>
              </w:rPr>
              <w:t>8.5</w:t>
            </w:r>
          </w:p>
        </w:tc>
        <w:tc>
          <w:tcPr>
            <w:tcW w:w="16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12.7</w:t>
            </w:r>
          </w:p>
        </w:tc>
        <w:tc>
          <w:tcPr>
            <w:tcW w:w="16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1.5</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80"/>
        </w:trPr>
        <w:tc>
          <w:tcPr>
            <w:tcW w:w="328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(4)</w:t>
            </w:r>
          </w:p>
        </w:tc>
        <w:tc>
          <w:tcPr>
            <w:tcW w:w="400" w:type="dxa"/>
            <w:vAlign w:val="bottom"/>
          </w:tcPr>
          <w:p>
            <w:pPr>
              <w:spacing w:after="0"/>
              <w:rPr>
                <w:sz w:val="15"/>
                <w:szCs w:val="15"/>
                <w:color w:val="auto"/>
              </w:rPr>
            </w:pPr>
          </w:p>
        </w:tc>
        <w:tc>
          <w:tcPr>
            <w:tcW w:w="1260" w:type="dxa"/>
            <w:vAlign w:val="bottom"/>
          </w:tcPr>
          <w:p>
            <w:pPr>
              <w:jc w:val="right"/>
              <w:ind w:right="112"/>
              <w:spacing w:after="0"/>
              <w:rPr>
                <w:sz w:val="20"/>
                <w:szCs w:val="20"/>
                <w:color w:val="auto"/>
              </w:rPr>
            </w:pPr>
            <w:r>
              <w:rPr>
                <w:rFonts w:ascii="Arial" w:cs="Arial" w:eastAsia="Arial" w:hAnsi="Arial"/>
                <w:sz w:val="14"/>
                <w:szCs w:val="14"/>
                <w:color w:val="auto"/>
              </w:rPr>
              <w:t>3.2</w:t>
            </w:r>
          </w:p>
        </w:tc>
        <w:tc>
          <w:tcPr>
            <w:tcW w:w="240" w:type="dxa"/>
            <w:vAlign w:val="bottom"/>
          </w:tcPr>
          <w:p>
            <w:pPr>
              <w:spacing w:after="0"/>
              <w:rPr>
                <w:sz w:val="15"/>
                <w:szCs w:val="15"/>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6.0</w:t>
            </w:r>
          </w:p>
        </w:tc>
        <w:tc>
          <w:tcPr>
            <w:tcW w:w="28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2.2</w:t>
            </w:r>
          </w:p>
        </w:tc>
        <w:tc>
          <w:tcPr>
            <w:tcW w:w="180" w:type="dxa"/>
            <w:vAlign w:val="bottom"/>
          </w:tcPr>
          <w:p>
            <w:pPr>
              <w:spacing w:after="0"/>
              <w:rPr>
                <w:sz w:val="15"/>
                <w:szCs w:val="15"/>
                <w:color w:val="auto"/>
              </w:rPr>
            </w:pPr>
          </w:p>
        </w:tc>
        <w:tc>
          <w:tcPr>
            <w:tcW w:w="10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11.4</w:t>
            </w:r>
          </w:p>
        </w:tc>
        <w:tc>
          <w:tcPr>
            <w:tcW w:w="16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0.9</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49"/>
        </w:trPr>
        <w:tc>
          <w:tcPr>
            <w:tcW w:w="328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400" w:type="dxa"/>
            <w:vAlign w:val="bottom"/>
          </w:tcPr>
          <w:p>
            <w:pPr>
              <w:spacing w:after="0"/>
              <w:rPr>
                <w:sz w:val="12"/>
                <w:szCs w:val="12"/>
                <w:color w:val="auto"/>
              </w:rPr>
            </w:pPr>
          </w:p>
        </w:tc>
        <w:tc>
          <w:tcPr>
            <w:tcW w:w="12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w:t>
            </w:r>
          </w:p>
        </w:tc>
        <w:tc>
          <w:tcPr>
            <w:tcW w:w="240" w:type="dxa"/>
            <w:vAlign w:val="bottom"/>
          </w:tcPr>
          <w:p>
            <w:pPr>
              <w:spacing w:after="0"/>
              <w:rPr>
                <w:sz w:val="12"/>
                <w:szCs w:val="12"/>
                <w:color w:val="auto"/>
              </w:rPr>
            </w:pP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0.2</w:t>
            </w:r>
          </w:p>
        </w:tc>
        <w:tc>
          <w:tcPr>
            <w:tcW w:w="28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0.2</w:t>
            </w:r>
          </w:p>
        </w:tc>
        <w:tc>
          <w:tcPr>
            <w:tcW w:w="180" w:type="dxa"/>
            <w:vAlign w:val="bottom"/>
          </w:tcPr>
          <w:p>
            <w:pPr>
              <w:spacing w:after="0"/>
              <w:rPr>
                <w:sz w:val="12"/>
                <w:szCs w:val="12"/>
                <w:color w:val="auto"/>
              </w:rPr>
            </w:pPr>
          </w:p>
        </w:tc>
        <w:tc>
          <w:tcPr>
            <w:tcW w:w="10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5.3</w:t>
            </w:r>
          </w:p>
        </w:tc>
        <w:tc>
          <w:tcPr>
            <w:tcW w:w="160" w:type="dxa"/>
            <w:vAlign w:val="bottom"/>
          </w:tcPr>
          <w:p>
            <w:pPr>
              <w:spacing w:after="0"/>
              <w:rPr>
                <w:sz w:val="12"/>
                <w:szCs w:val="12"/>
                <w:color w:val="auto"/>
              </w:rPr>
            </w:pPr>
          </w:p>
        </w:tc>
        <w:tc>
          <w:tcPr>
            <w:tcW w:w="11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1.3</w:t>
            </w: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3280" w:type="dxa"/>
            <w:vAlign w:val="bottom"/>
          </w:tcPr>
          <w:p>
            <w:pPr>
              <w:ind w:left="160"/>
              <w:spacing w:after="0" w:line="149" w:lineRule="exact"/>
              <w:rPr>
                <w:sz w:val="20"/>
                <w:szCs w:val="20"/>
                <w:color w:val="auto"/>
              </w:rPr>
            </w:pPr>
            <w:r>
              <w:rPr>
                <w:rFonts w:ascii="Arial" w:cs="Arial" w:eastAsia="Arial" w:hAnsi="Arial"/>
                <w:sz w:val="14"/>
                <w:szCs w:val="14"/>
                <w:color w:val="auto"/>
              </w:rPr>
              <w:t>Operating income (loss)</w:t>
            </w:r>
          </w:p>
        </w:tc>
        <w:tc>
          <w:tcPr>
            <w:tcW w:w="400" w:type="dxa"/>
            <w:vAlign w:val="bottom"/>
          </w:tcPr>
          <w:p>
            <w:pPr>
              <w:spacing w:after="0"/>
              <w:rPr>
                <w:sz w:val="12"/>
                <w:szCs w:val="12"/>
                <w:color w:val="auto"/>
              </w:rPr>
            </w:pPr>
          </w:p>
        </w:tc>
        <w:tc>
          <w:tcPr>
            <w:tcW w:w="12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6.9</w:t>
            </w:r>
          </w:p>
        </w:tc>
        <w:tc>
          <w:tcPr>
            <w:tcW w:w="240" w:type="dxa"/>
            <w:vAlign w:val="bottom"/>
          </w:tcPr>
          <w:p>
            <w:pPr>
              <w:spacing w:after="0"/>
              <w:rPr>
                <w:sz w:val="12"/>
                <w:szCs w:val="12"/>
                <w:color w:val="auto"/>
              </w:rPr>
            </w:pP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8.3</w:t>
            </w:r>
          </w:p>
        </w:tc>
        <w:tc>
          <w:tcPr>
            <w:tcW w:w="28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(1.5)</w:t>
            </w:r>
          </w:p>
        </w:tc>
        <w:tc>
          <w:tcPr>
            <w:tcW w:w="180" w:type="dxa"/>
            <w:vAlign w:val="bottom"/>
          </w:tcPr>
          <w:p>
            <w:pPr>
              <w:spacing w:after="0"/>
              <w:rPr>
                <w:sz w:val="12"/>
                <w:szCs w:val="12"/>
                <w:color w:val="auto"/>
              </w:rPr>
            </w:pP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(14.3)</w:t>
            </w:r>
          </w:p>
        </w:tc>
        <w:tc>
          <w:tcPr>
            <w:tcW w:w="16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(0.6)</w:t>
            </w:r>
          </w:p>
        </w:tc>
        <w:tc>
          <w:tcPr>
            <w:tcW w:w="160" w:type="dxa"/>
            <w:vAlign w:val="bottom"/>
          </w:tcPr>
          <w:p>
            <w:pPr>
              <w:spacing w:after="0"/>
              <w:rPr>
                <w:sz w:val="12"/>
                <w:szCs w:val="12"/>
                <w:color w:val="auto"/>
              </w:rPr>
            </w:pPr>
          </w:p>
        </w:tc>
        <w:tc>
          <w:tcPr>
            <w:tcW w:w="11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(0.2)</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4"/>
        </w:trPr>
        <w:tc>
          <w:tcPr>
            <w:tcW w:w="3280" w:type="dxa"/>
            <w:vAlign w:val="bottom"/>
          </w:tcPr>
          <w:p>
            <w:pPr>
              <w:ind w:left="160"/>
              <w:spacing w:after="0" w:line="144" w:lineRule="exact"/>
              <w:rPr>
                <w:sz w:val="20"/>
                <w:szCs w:val="20"/>
                <w:color w:val="auto"/>
              </w:rPr>
            </w:pPr>
            <w:r>
              <w:rPr>
                <w:rFonts w:ascii="Arial" w:cs="Arial" w:eastAsia="Arial" w:hAnsi="Arial"/>
                <w:sz w:val="14"/>
                <w:szCs w:val="14"/>
                <w:color w:val="auto"/>
                <w:w w:val="98"/>
              </w:rPr>
              <w:t>Expenditures for long-lived assets including royalty</w:t>
            </w: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3280" w:type="dxa"/>
            <w:vAlign w:val="bottom"/>
            <w:tcBorders>
              <w:bottom w:val="single" w:sz="8" w:color="808080"/>
            </w:tcBorders>
          </w:tcPr>
          <w:p>
            <w:pPr>
              <w:ind w:left="320"/>
              <w:spacing w:after="0"/>
              <w:rPr>
                <w:sz w:val="20"/>
                <w:szCs w:val="20"/>
                <w:color w:val="auto"/>
              </w:rPr>
            </w:pPr>
            <w:r>
              <w:rPr>
                <w:rFonts w:ascii="Arial" w:cs="Arial" w:eastAsia="Arial" w:hAnsi="Arial"/>
                <w:sz w:val="14"/>
                <w:szCs w:val="14"/>
                <w:color w:val="auto"/>
              </w:rPr>
              <w:t>advances</w:t>
            </w:r>
            <w:r>
              <w:rPr>
                <w:rFonts w:ascii="Arial" w:cs="Arial" w:eastAsia="Arial" w:hAnsi="Arial"/>
                <w:sz w:val="22"/>
                <w:szCs w:val="22"/>
                <w:color w:val="auto"/>
                <w:vertAlign w:val="superscript"/>
              </w:rPr>
              <w:t>(6)</w:t>
            </w:r>
          </w:p>
        </w:tc>
        <w:tc>
          <w:tcPr>
            <w:tcW w:w="40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jc w:val="right"/>
              <w:ind w:right="112"/>
              <w:spacing w:after="0"/>
              <w:rPr>
                <w:sz w:val="20"/>
                <w:szCs w:val="20"/>
                <w:color w:val="auto"/>
              </w:rPr>
            </w:pPr>
            <w:r>
              <w:rPr>
                <w:rFonts w:ascii="Arial" w:cs="Arial" w:eastAsia="Arial" w:hAnsi="Arial"/>
                <w:sz w:val="14"/>
                <w:szCs w:val="14"/>
                <w:color w:val="auto"/>
              </w:rPr>
              <w:t>8.0</w:t>
            </w:r>
          </w:p>
        </w:tc>
        <w:tc>
          <w:tcPr>
            <w:tcW w:w="2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jc w:val="right"/>
              <w:ind w:right="32"/>
              <w:spacing w:after="0"/>
              <w:rPr>
                <w:sz w:val="20"/>
                <w:szCs w:val="20"/>
                <w:color w:val="auto"/>
              </w:rPr>
            </w:pPr>
            <w:r>
              <w:rPr>
                <w:rFonts w:ascii="Arial" w:cs="Arial" w:eastAsia="Arial" w:hAnsi="Arial"/>
                <w:sz w:val="14"/>
                <w:szCs w:val="14"/>
                <w:color w:val="auto"/>
              </w:rPr>
              <w:t>7.8</w:t>
            </w:r>
          </w:p>
        </w:tc>
        <w:tc>
          <w:tcPr>
            <w:tcW w:w="2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jc w:val="right"/>
              <w:ind w:right="52"/>
              <w:spacing w:after="0"/>
              <w:rPr>
                <w:sz w:val="20"/>
                <w:szCs w:val="20"/>
                <w:color w:val="auto"/>
              </w:rPr>
            </w:pPr>
            <w:r>
              <w:rPr>
                <w:rFonts w:ascii="Arial" w:cs="Arial" w:eastAsia="Arial" w:hAnsi="Arial"/>
                <w:sz w:val="14"/>
                <w:szCs w:val="14"/>
                <w:color w:val="auto"/>
              </w:rPr>
              <w:t>1.5</w:t>
            </w:r>
          </w:p>
        </w:tc>
        <w:tc>
          <w:tcPr>
            <w:tcW w:w="1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jc w:val="right"/>
              <w:ind w:right="72"/>
              <w:spacing w:after="0"/>
              <w:rPr>
                <w:sz w:val="20"/>
                <w:szCs w:val="20"/>
                <w:color w:val="auto"/>
              </w:rPr>
            </w:pPr>
            <w:r>
              <w:rPr>
                <w:rFonts w:ascii="Arial" w:cs="Arial" w:eastAsia="Arial" w:hAnsi="Arial"/>
                <w:sz w:val="14"/>
                <w:szCs w:val="14"/>
                <w:color w:val="auto"/>
              </w:rPr>
              <w:t>8.0</w:t>
            </w:r>
          </w:p>
        </w:tc>
        <w:tc>
          <w:tcPr>
            <w:tcW w:w="1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jc w:val="right"/>
              <w:ind w:right="52"/>
              <w:spacing w:after="0"/>
              <w:rPr>
                <w:sz w:val="20"/>
                <w:szCs w:val="20"/>
                <w:color w:val="auto"/>
              </w:rPr>
            </w:pPr>
            <w:r>
              <w:rPr>
                <w:rFonts w:ascii="Arial" w:cs="Arial" w:eastAsia="Arial" w:hAnsi="Arial"/>
                <w:sz w:val="14"/>
                <w:szCs w:val="14"/>
                <w:color w:val="auto"/>
              </w:rPr>
              <w:t>25.3</w:t>
            </w:r>
          </w:p>
        </w:tc>
        <w:tc>
          <w:tcPr>
            <w:tcW w:w="1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jc w:val="right"/>
              <w:ind w:right="72"/>
              <w:spacing w:after="0"/>
              <w:rPr>
                <w:sz w:val="20"/>
                <w:szCs w:val="20"/>
                <w:color w:val="auto"/>
              </w:rPr>
            </w:pPr>
            <w:r>
              <w:rPr>
                <w:rFonts w:ascii="Arial" w:cs="Arial" w:eastAsia="Arial" w:hAnsi="Arial"/>
                <w:sz w:val="14"/>
                <w:szCs w:val="14"/>
                <w:color w:val="auto"/>
              </w:rPr>
              <w:t>3.6</w:t>
            </w:r>
          </w:p>
        </w:tc>
        <w:tc>
          <w:tcPr>
            <w:tcW w:w="700" w:type="dxa"/>
            <w:vAlign w:val="bottom"/>
            <w:tcBorders>
              <w:bottom w:val="single" w:sz="8" w:color="808080"/>
            </w:tcBorders>
          </w:tcPr>
          <w:p>
            <w:pPr>
              <w:jc w:val="right"/>
              <w:ind w:right="72"/>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Children’s Book</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132"/>
              <w:spacing w:after="0"/>
              <w:rPr>
                <w:sz w:val="20"/>
                <w:szCs w:val="20"/>
                <w:color w:val="auto"/>
              </w:rPr>
            </w:pPr>
            <w:r>
              <w:rPr>
                <w:rFonts w:ascii="Arial" w:cs="Arial" w:eastAsia="Arial" w:hAnsi="Arial"/>
                <w:sz w:val="14"/>
                <w:szCs w:val="14"/>
                <w:b w:val="1"/>
                <w:bCs w:val="1"/>
                <w:color w:val="auto"/>
                <w:w w:val="91"/>
              </w:rPr>
              <w:t>Media,</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ind w:right="92"/>
              <w:spacing w:after="0" w:line="156" w:lineRule="exact"/>
              <w:rPr>
                <w:sz w:val="20"/>
                <w:szCs w:val="20"/>
                <w:color w:val="auto"/>
              </w:rPr>
            </w:pPr>
            <w:r>
              <w:rPr>
                <w:rFonts w:ascii="Arial" w:cs="Arial" w:eastAsia="Arial" w:hAnsi="Arial"/>
                <w:sz w:val="14"/>
                <w:szCs w:val="14"/>
                <w:b w:val="1"/>
                <w:bCs w:val="1"/>
                <w:color w:val="auto"/>
                <w:w w:val="99"/>
              </w:rPr>
              <w:t>Publishing and</w:t>
            </w:r>
          </w:p>
        </w:tc>
        <w:tc>
          <w:tcPr>
            <w:tcW w:w="280" w:type="dxa"/>
            <w:vAlign w:val="bottom"/>
          </w:tcPr>
          <w:p>
            <w:pPr>
              <w:spacing w:after="0"/>
              <w:rPr>
                <w:sz w:val="13"/>
                <w:szCs w:val="13"/>
                <w:color w:val="auto"/>
              </w:rPr>
            </w:pPr>
          </w:p>
        </w:tc>
        <w:tc>
          <w:tcPr>
            <w:tcW w:w="940" w:type="dxa"/>
            <w:vAlign w:val="bottom"/>
          </w:tcPr>
          <w:p>
            <w:pPr>
              <w:jc w:val="right"/>
              <w:ind w:right="72"/>
              <w:spacing w:after="0" w:line="156" w:lineRule="exact"/>
              <w:rPr>
                <w:sz w:val="20"/>
                <w:szCs w:val="20"/>
                <w:color w:val="auto"/>
              </w:rPr>
            </w:pPr>
            <w:r>
              <w:rPr>
                <w:rFonts w:ascii="Arial" w:cs="Arial" w:eastAsia="Arial" w:hAnsi="Arial"/>
                <w:sz w:val="14"/>
                <w:szCs w:val="14"/>
                <w:b w:val="1"/>
                <w:bCs w:val="1"/>
                <w:color w:val="auto"/>
                <w:w w:val="98"/>
              </w:rPr>
              <w:t>Educational</w:t>
            </w:r>
          </w:p>
        </w:tc>
        <w:tc>
          <w:tcPr>
            <w:tcW w:w="160" w:type="dxa"/>
            <w:vAlign w:val="bottom"/>
          </w:tcPr>
          <w:p>
            <w:pPr>
              <w:spacing w:after="0"/>
              <w:rPr>
                <w:sz w:val="13"/>
                <w:szCs w:val="13"/>
                <w:color w:val="auto"/>
              </w:rPr>
            </w:pPr>
          </w:p>
        </w:tc>
        <w:tc>
          <w:tcPr>
            <w:tcW w:w="1080" w:type="dxa"/>
            <w:vAlign w:val="bottom"/>
          </w:tcPr>
          <w:p>
            <w:pPr>
              <w:jc w:val="center"/>
              <w:ind w:right="132"/>
              <w:spacing w:after="0" w:line="156" w:lineRule="exact"/>
              <w:rPr>
                <w:sz w:val="20"/>
                <w:szCs w:val="20"/>
                <w:color w:val="auto"/>
              </w:rPr>
            </w:pPr>
            <w:r>
              <w:rPr>
                <w:rFonts w:ascii="Arial" w:cs="Arial" w:eastAsia="Arial" w:hAnsi="Arial"/>
                <w:sz w:val="14"/>
                <w:szCs w:val="14"/>
                <w:b w:val="1"/>
                <w:bCs w:val="1"/>
                <w:color w:val="auto"/>
                <w:w w:val="84"/>
              </w:rPr>
              <w:t>Licensing and</w:t>
            </w:r>
          </w:p>
        </w:tc>
        <w:tc>
          <w:tcPr>
            <w:tcW w:w="160" w:type="dxa"/>
            <w:vAlign w:val="bottom"/>
          </w:tcPr>
          <w:p>
            <w:pPr>
              <w:spacing w:after="0"/>
              <w:rPr>
                <w:sz w:val="13"/>
                <w:szCs w:val="13"/>
                <w:color w:val="auto"/>
              </w:rPr>
            </w:pPr>
          </w:p>
        </w:tc>
        <w:tc>
          <w:tcPr>
            <w:tcW w:w="11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82"/>
              </w:rPr>
              <w:t xml:space="preserve">Overhead </w:t>
            </w:r>
            <w:r>
              <w:rPr>
                <w:rFonts w:ascii="Arial" w:cs="Arial" w:eastAsia="Arial" w:hAnsi="Arial"/>
                <w:sz w:val="22"/>
                <w:szCs w:val="22"/>
                <w:b w:val="1"/>
                <w:bCs w:val="1"/>
                <w:color w:val="auto"/>
                <w:w w:val="82"/>
                <w:vertAlign w:val="superscript"/>
              </w:rPr>
              <w:t>(1)(2)</w:t>
            </w:r>
          </w:p>
        </w:tc>
        <w:tc>
          <w:tcPr>
            <w:tcW w:w="160" w:type="dxa"/>
            <w:vAlign w:val="bottom"/>
          </w:tcPr>
          <w:p>
            <w:pPr>
              <w:spacing w:after="0"/>
              <w:rPr>
                <w:sz w:val="13"/>
                <w:szCs w:val="13"/>
                <w:color w:val="auto"/>
              </w:rPr>
            </w:pPr>
          </w:p>
        </w:tc>
        <w:tc>
          <w:tcPr>
            <w:tcW w:w="740" w:type="dxa"/>
            <w:vAlign w:val="bottom"/>
          </w:tcPr>
          <w:p>
            <w:pPr>
              <w:jc w:val="right"/>
              <w:ind w:right="252"/>
              <w:spacing w:after="0" w:line="156"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11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86"/>
              </w:rPr>
              <w:t>International</w:t>
            </w:r>
            <w:r>
              <w:rPr>
                <w:rFonts w:ascii="Arial" w:cs="Arial" w:eastAsia="Arial" w:hAnsi="Arial"/>
                <w:sz w:val="22"/>
                <w:szCs w:val="22"/>
                <w:b w:val="1"/>
                <w:bCs w:val="1"/>
                <w:color w:val="auto"/>
                <w:w w:val="86"/>
                <w:vertAlign w:val="superscript"/>
              </w:rPr>
              <w:t>(1)</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32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jc w:val="right"/>
              <w:ind w:right="92"/>
              <w:spacing w:after="0"/>
              <w:rPr>
                <w:sz w:val="20"/>
                <w:szCs w:val="20"/>
                <w:color w:val="auto"/>
              </w:rPr>
            </w:pPr>
            <w:r>
              <w:rPr>
                <w:rFonts w:ascii="Arial" w:cs="Arial" w:eastAsia="Arial" w:hAnsi="Arial"/>
                <w:sz w:val="14"/>
                <w:szCs w:val="14"/>
                <w:b w:val="1"/>
                <w:bCs w:val="1"/>
                <w:color w:val="auto"/>
                <w:w w:val="99"/>
              </w:rPr>
              <w:t xml:space="preserve">Distribution </w:t>
            </w:r>
            <w:r>
              <w:rPr>
                <w:rFonts w:ascii="Arial" w:cs="Arial" w:eastAsia="Arial" w:hAnsi="Arial"/>
                <w:sz w:val="22"/>
                <w:szCs w:val="22"/>
                <w:b w:val="1"/>
                <w:bCs w:val="1"/>
                <w:color w:val="auto"/>
                <w:w w:val="99"/>
                <w:vertAlign w:val="superscript"/>
              </w:rPr>
              <w:t>(1)</w:t>
            </w:r>
          </w:p>
        </w:tc>
        <w:tc>
          <w:tcPr>
            <w:tcW w:w="2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jc w:val="right"/>
              <w:ind w:right="72"/>
              <w:spacing w:after="0"/>
              <w:rPr>
                <w:sz w:val="20"/>
                <w:szCs w:val="20"/>
                <w:color w:val="auto"/>
              </w:rPr>
            </w:pPr>
            <w:r>
              <w:rPr>
                <w:rFonts w:ascii="Arial" w:cs="Arial" w:eastAsia="Arial" w:hAnsi="Arial"/>
                <w:sz w:val="14"/>
                <w:szCs w:val="14"/>
                <w:b w:val="1"/>
                <w:bCs w:val="1"/>
                <w:color w:val="auto"/>
                <w:w w:val="83"/>
              </w:rPr>
              <w:t xml:space="preserve">Publishing </w:t>
            </w:r>
            <w:r>
              <w:rPr>
                <w:rFonts w:ascii="Arial" w:cs="Arial" w:eastAsia="Arial" w:hAnsi="Arial"/>
                <w:sz w:val="22"/>
                <w:szCs w:val="22"/>
                <w:b w:val="1"/>
                <w:bCs w:val="1"/>
                <w:color w:val="auto"/>
                <w:w w:val="83"/>
                <w:vertAlign w:val="superscript"/>
              </w:rPr>
              <w:t>(1)</w:t>
            </w:r>
          </w:p>
        </w:tc>
        <w:tc>
          <w:tcPr>
            <w:tcW w:w="16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jc w:val="center"/>
              <w:ind w:right="132"/>
              <w:spacing w:after="0"/>
              <w:rPr>
                <w:sz w:val="20"/>
                <w:szCs w:val="20"/>
                <w:color w:val="auto"/>
              </w:rPr>
            </w:pPr>
            <w:r>
              <w:rPr>
                <w:rFonts w:ascii="Arial" w:cs="Arial" w:eastAsia="Arial" w:hAnsi="Arial"/>
                <w:sz w:val="14"/>
                <w:szCs w:val="14"/>
                <w:b w:val="1"/>
                <w:bCs w:val="1"/>
                <w:color w:val="auto"/>
                <w:w w:val="84"/>
              </w:rPr>
              <w:t xml:space="preserve">Advertising </w:t>
            </w:r>
            <w:r>
              <w:rPr>
                <w:rFonts w:ascii="Arial" w:cs="Arial" w:eastAsia="Arial" w:hAnsi="Arial"/>
                <w:sz w:val="22"/>
                <w:szCs w:val="22"/>
                <w:b w:val="1"/>
                <w:bCs w:val="1"/>
                <w:color w:val="auto"/>
                <w:w w:val="84"/>
                <w:vertAlign w:val="superscript"/>
              </w:rPr>
              <w:t>(1)</w:t>
            </w:r>
          </w:p>
        </w:tc>
        <w:tc>
          <w:tcPr>
            <w:tcW w:w="1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vMerge w:val="continue"/>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jc w:val="right"/>
              <w:ind w:right="132"/>
              <w:spacing w:after="0"/>
              <w:rPr>
                <w:sz w:val="20"/>
                <w:szCs w:val="20"/>
                <w:color w:val="auto"/>
              </w:rPr>
            </w:pPr>
            <w:r>
              <w:rPr>
                <w:rFonts w:ascii="Arial" w:cs="Arial" w:eastAsia="Arial" w:hAnsi="Arial"/>
                <w:sz w:val="14"/>
                <w:szCs w:val="14"/>
                <w:b w:val="1"/>
                <w:bCs w:val="1"/>
                <w:color w:val="auto"/>
                <w:w w:val="82"/>
              </w:rPr>
              <w:t>Domestic</w:t>
            </w:r>
          </w:p>
        </w:tc>
        <w:tc>
          <w:tcPr>
            <w:tcW w:w="1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vMerge w:val="continue"/>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jc w:val="right"/>
              <w:ind w:right="19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37"/>
        </w:trPr>
        <w:tc>
          <w:tcPr>
            <w:tcW w:w="3220" w:type="dxa"/>
            <w:vAlign w:val="bottom"/>
          </w:tcPr>
          <w:p>
            <w:pPr>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220" w:type="dxa"/>
            <w:vAlign w:val="bottom"/>
          </w:tcPr>
          <w:p>
            <w:pPr>
              <w:spacing w:after="0"/>
              <w:rPr>
                <w:sz w:val="20"/>
                <w:szCs w:val="20"/>
                <w:color w:val="auto"/>
              </w:rPr>
            </w:pPr>
            <w:r>
              <w:rPr>
                <w:rFonts w:ascii="Arial" w:cs="Arial" w:eastAsia="Arial" w:hAnsi="Arial"/>
                <w:sz w:val="14"/>
                <w:szCs w:val="14"/>
                <w:b w:val="1"/>
                <w:bCs w:val="1"/>
                <w:color w:val="auto"/>
              </w:rPr>
              <w:t>February 28, 2009</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2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3220" w:type="dxa"/>
            <w:vAlign w:val="bottom"/>
          </w:tcPr>
          <w:p>
            <w:pPr>
              <w:ind w:left="160"/>
              <w:spacing w:after="0"/>
              <w:rPr>
                <w:sz w:val="20"/>
                <w:szCs w:val="20"/>
                <w:color w:val="auto"/>
              </w:rPr>
            </w:pPr>
            <w:r>
              <w:rPr>
                <w:rFonts w:ascii="Arial" w:cs="Arial" w:eastAsia="Arial" w:hAnsi="Arial"/>
                <w:sz w:val="14"/>
                <w:szCs w:val="14"/>
                <w:color w:val="auto"/>
              </w:rPr>
              <w:t>Revenues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92"/>
              <w:spacing w:after="0"/>
              <w:rPr>
                <w:sz w:val="20"/>
                <w:szCs w:val="20"/>
                <w:color w:val="auto"/>
              </w:rPr>
            </w:pPr>
            <w:r>
              <w:rPr>
                <w:rFonts w:ascii="Arial" w:cs="Arial" w:eastAsia="Arial" w:hAnsi="Arial"/>
                <w:sz w:val="14"/>
                <w:szCs w:val="14"/>
                <w:color w:val="auto"/>
              </w:rPr>
              <w:t>228.7</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74.7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32.9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336.3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87.3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423.6</w:t>
            </w:r>
          </w:p>
        </w:tc>
        <w:tc>
          <w:tcPr>
            <w:tcW w:w="0" w:type="dxa"/>
            <w:vAlign w:val="bottom"/>
          </w:tcPr>
          <w:p>
            <w:pPr>
              <w:spacing w:after="0"/>
              <w:rPr>
                <w:sz w:val="1"/>
                <w:szCs w:val="1"/>
                <w:color w:val="auto"/>
              </w:rPr>
            </w:pPr>
          </w:p>
        </w:tc>
      </w:tr>
      <w:tr>
        <w:trPr>
          <w:trHeight w:val="144"/>
        </w:trPr>
        <w:tc>
          <w:tcPr>
            <w:tcW w:w="3220" w:type="dxa"/>
            <w:vAlign w:val="bottom"/>
          </w:tcPr>
          <w:p>
            <w:pPr>
              <w:ind w:left="160"/>
              <w:spacing w:after="0" w:line="144" w:lineRule="exact"/>
              <w:rPr>
                <w:sz w:val="20"/>
                <w:szCs w:val="20"/>
                <w:color w:val="auto"/>
              </w:rPr>
            </w:pPr>
            <w:r>
              <w:rPr>
                <w:rFonts w:ascii="Arial" w:cs="Arial" w:eastAsia="Arial" w:hAnsi="Arial"/>
                <w:sz w:val="14"/>
                <w:szCs w:val="14"/>
                <w:color w:val="auto"/>
              </w:rPr>
              <w:t>Bad debt expense</w:t>
            </w:r>
          </w:p>
        </w:tc>
        <w:tc>
          <w:tcPr>
            <w:tcW w:w="380" w:type="dxa"/>
            <w:vAlign w:val="bottom"/>
          </w:tcPr>
          <w:p>
            <w:pPr>
              <w:spacing w:after="0"/>
              <w:rPr>
                <w:sz w:val="12"/>
                <w:szCs w:val="12"/>
                <w:color w:val="auto"/>
              </w:rPr>
            </w:pPr>
          </w:p>
        </w:tc>
        <w:tc>
          <w:tcPr>
            <w:tcW w:w="1180" w:type="dxa"/>
            <w:vAlign w:val="bottom"/>
          </w:tcPr>
          <w:p>
            <w:pPr>
              <w:jc w:val="right"/>
              <w:ind w:right="92"/>
              <w:spacing w:after="0" w:line="144" w:lineRule="exact"/>
              <w:rPr>
                <w:sz w:val="20"/>
                <w:szCs w:val="20"/>
                <w:color w:val="auto"/>
              </w:rPr>
            </w:pPr>
            <w:r>
              <w:rPr>
                <w:rFonts w:ascii="Arial" w:cs="Arial" w:eastAsia="Arial" w:hAnsi="Arial"/>
                <w:sz w:val="14"/>
                <w:szCs w:val="14"/>
                <w:color w:val="auto"/>
              </w:rPr>
              <w:t>2.0</w:t>
            </w:r>
          </w:p>
        </w:tc>
        <w:tc>
          <w:tcPr>
            <w:tcW w:w="280" w:type="dxa"/>
            <w:vAlign w:val="bottom"/>
          </w:tcPr>
          <w:p>
            <w:pPr>
              <w:spacing w:after="0"/>
              <w:rPr>
                <w:sz w:val="12"/>
                <w:szCs w:val="12"/>
                <w:color w:val="auto"/>
              </w:rPr>
            </w:pPr>
          </w:p>
        </w:tc>
        <w:tc>
          <w:tcPr>
            <w:tcW w:w="940" w:type="dxa"/>
            <w:vAlign w:val="bottom"/>
          </w:tcPr>
          <w:p>
            <w:pPr>
              <w:jc w:val="right"/>
              <w:ind w:right="12"/>
              <w:spacing w:after="0" w:line="144" w:lineRule="exact"/>
              <w:rPr>
                <w:sz w:val="20"/>
                <w:szCs w:val="20"/>
                <w:color w:val="auto"/>
              </w:rPr>
            </w:pPr>
            <w:r>
              <w:rPr>
                <w:rFonts w:ascii="Arial" w:cs="Arial" w:eastAsia="Arial" w:hAnsi="Arial"/>
                <w:sz w:val="14"/>
                <w:szCs w:val="14"/>
                <w:color w:val="auto"/>
              </w:rPr>
              <w:t>(0.1)</w:t>
            </w:r>
          </w:p>
        </w:tc>
        <w:tc>
          <w:tcPr>
            <w:tcW w:w="160" w:type="dxa"/>
            <w:vAlign w:val="bottom"/>
          </w:tcPr>
          <w:p>
            <w:pPr>
              <w:spacing w:after="0"/>
              <w:rPr>
                <w:sz w:val="12"/>
                <w:szCs w:val="12"/>
                <w:color w:val="auto"/>
              </w:rPr>
            </w:pPr>
          </w:p>
        </w:tc>
        <w:tc>
          <w:tcPr>
            <w:tcW w:w="1080" w:type="dxa"/>
            <w:vAlign w:val="bottom"/>
          </w:tcPr>
          <w:p>
            <w:pPr>
              <w:jc w:val="right"/>
              <w:ind w:right="52"/>
              <w:spacing w:after="0" w:line="144"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00" w:type="dxa"/>
            <w:vAlign w:val="bottom"/>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ind w:right="52"/>
              <w:spacing w:after="0" w:line="144" w:lineRule="exact"/>
              <w:rPr>
                <w:sz w:val="20"/>
                <w:szCs w:val="20"/>
                <w:color w:val="auto"/>
              </w:rPr>
            </w:pPr>
            <w:r>
              <w:rPr>
                <w:rFonts w:ascii="Arial" w:cs="Arial" w:eastAsia="Arial" w:hAnsi="Arial"/>
                <w:sz w:val="14"/>
                <w:szCs w:val="14"/>
                <w:color w:val="auto"/>
              </w:rPr>
              <w:t>1.9</w:t>
            </w:r>
          </w:p>
        </w:tc>
        <w:tc>
          <w:tcPr>
            <w:tcW w:w="160" w:type="dxa"/>
            <w:vAlign w:val="bottom"/>
          </w:tcPr>
          <w:p>
            <w:pPr>
              <w:spacing w:after="0"/>
              <w:rPr>
                <w:sz w:val="12"/>
                <w:szCs w:val="12"/>
                <w:color w:val="auto"/>
              </w:rPr>
            </w:pPr>
          </w:p>
        </w:tc>
        <w:tc>
          <w:tcPr>
            <w:tcW w:w="1120" w:type="dxa"/>
            <w:vAlign w:val="bottom"/>
          </w:tcPr>
          <w:p>
            <w:pPr>
              <w:jc w:val="right"/>
              <w:ind w:right="72"/>
              <w:spacing w:after="0" w:line="144" w:lineRule="exact"/>
              <w:rPr>
                <w:sz w:val="20"/>
                <w:szCs w:val="20"/>
                <w:color w:val="auto"/>
              </w:rPr>
            </w:pPr>
            <w:r>
              <w:rPr>
                <w:rFonts w:ascii="Arial" w:cs="Arial" w:eastAsia="Arial" w:hAnsi="Arial"/>
                <w:sz w:val="14"/>
                <w:szCs w:val="14"/>
                <w:color w:val="auto"/>
              </w:rPr>
              <w:t>0.4</w:t>
            </w:r>
          </w:p>
        </w:tc>
        <w:tc>
          <w:tcPr>
            <w:tcW w:w="180" w:type="dxa"/>
            <w:vAlign w:val="bottom"/>
          </w:tcPr>
          <w:p>
            <w:pPr>
              <w:spacing w:after="0"/>
              <w:rPr>
                <w:sz w:val="12"/>
                <w:szCs w:val="12"/>
                <w:color w:val="auto"/>
              </w:rPr>
            </w:pPr>
          </w:p>
        </w:tc>
        <w:tc>
          <w:tcPr>
            <w:tcW w:w="580" w:type="dxa"/>
            <w:vAlign w:val="bottom"/>
          </w:tcPr>
          <w:p>
            <w:pPr>
              <w:jc w:val="right"/>
              <w:ind w:right="72"/>
              <w:spacing w:after="0" w:line="144"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6"/>
        </w:trPr>
        <w:tc>
          <w:tcPr>
            <w:tcW w:w="322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(3)</w:t>
            </w:r>
          </w:p>
        </w:tc>
        <w:tc>
          <w:tcPr>
            <w:tcW w:w="380" w:type="dxa"/>
            <w:vAlign w:val="bottom"/>
          </w:tcPr>
          <w:p>
            <w:pPr>
              <w:spacing w:after="0"/>
              <w:rPr>
                <w:sz w:val="15"/>
                <w:szCs w:val="15"/>
                <w:color w:val="auto"/>
              </w:rPr>
            </w:pPr>
          </w:p>
        </w:tc>
        <w:tc>
          <w:tcPr>
            <w:tcW w:w="1180" w:type="dxa"/>
            <w:vAlign w:val="bottom"/>
          </w:tcPr>
          <w:p>
            <w:pPr>
              <w:jc w:val="right"/>
              <w:ind w:right="92"/>
              <w:spacing w:after="0"/>
              <w:rPr>
                <w:sz w:val="20"/>
                <w:szCs w:val="20"/>
                <w:color w:val="auto"/>
              </w:rPr>
            </w:pPr>
            <w:r>
              <w:rPr>
                <w:rFonts w:ascii="Arial" w:cs="Arial" w:eastAsia="Arial" w:hAnsi="Arial"/>
                <w:sz w:val="14"/>
                <w:szCs w:val="14"/>
                <w:color w:val="auto"/>
              </w:rPr>
              <w:t>4.1</w:t>
            </w:r>
          </w:p>
        </w:tc>
        <w:tc>
          <w:tcPr>
            <w:tcW w:w="28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0.9</w:t>
            </w:r>
          </w:p>
        </w:tc>
        <w:tc>
          <w:tcPr>
            <w:tcW w:w="160" w:type="dxa"/>
            <w:vAlign w:val="bottom"/>
          </w:tcPr>
          <w:p>
            <w:pPr>
              <w:spacing w:after="0"/>
              <w:rPr>
                <w:sz w:val="15"/>
                <w:szCs w:val="15"/>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8.1</w:t>
            </w:r>
          </w:p>
        </w:tc>
        <w:tc>
          <w:tcPr>
            <w:tcW w:w="16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13.3</w:t>
            </w:r>
          </w:p>
        </w:tc>
        <w:tc>
          <w:tcPr>
            <w:tcW w:w="160" w:type="dxa"/>
            <w:vAlign w:val="bottom"/>
          </w:tcPr>
          <w:p>
            <w:pPr>
              <w:spacing w:after="0"/>
              <w:rPr>
                <w:sz w:val="15"/>
                <w:szCs w:val="15"/>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15"/>
                <w:szCs w:val="15"/>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76"/>
        </w:trPr>
        <w:tc>
          <w:tcPr>
            <w:tcW w:w="3220" w:type="dxa"/>
            <w:vAlign w:val="bottom"/>
          </w:tcPr>
          <w:p>
            <w:pPr>
              <w:ind w:left="160"/>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(4)</w:t>
            </w:r>
          </w:p>
        </w:tc>
        <w:tc>
          <w:tcPr>
            <w:tcW w:w="380" w:type="dxa"/>
            <w:vAlign w:val="bottom"/>
          </w:tcPr>
          <w:p>
            <w:pPr>
              <w:spacing w:after="0"/>
              <w:rPr>
                <w:sz w:val="15"/>
                <w:szCs w:val="15"/>
                <w:color w:val="auto"/>
              </w:rPr>
            </w:pPr>
          </w:p>
        </w:tc>
        <w:tc>
          <w:tcPr>
            <w:tcW w:w="1180" w:type="dxa"/>
            <w:vAlign w:val="bottom"/>
          </w:tcPr>
          <w:p>
            <w:pPr>
              <w:jc w:val="right"/>
              <w:ind w:right="92"/>
              <w:spacing w:after="0"/>
              <w:rPr>
                <w:sz w:val="20"/>
                <w:szCs w:val="20"/>
                <w:color w:val="auto"/>
              </w:rPr>
            </w:pPr>
            <w:r>
              <w:rPr>
                <w:rFonts w:ascii="Arial" w:cs="Arial" w:eastAsia="Arial" w:hAnsi="Arial"/>
                <w:sz w:val="14"/>
                <w:szCs w:val="14"/>
                <w:color w:val="auto"/>
              </w:rPr>
              <w:t>3.2</w:t>
            </w:r>
          </w:p>
        </w:tc>
        <w:tc>
          <w:tcPr>
            <w:tcW w:w="28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6.2</w:t>
            </w:r>
          </w:p>
        </w:tc>
        <w:tc>
          <w:tcPr>
            <w:tcW w:w="160" w:type="dxa"/>
            <w:vAlign w:val="bottom"/>
          </w:tcPr>
          <w:p>
            <w:pPr>
              <w:spacing w:after="0"/>
              <w:rPr>
                <w:sz w:val="15"/>
                <w:szCs w:val="15"/>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2.2</w:t>
            </w:r>
          </w:p>
        </w:tc>
        <w:tc>
          <w:tcPr>
            <w:tcW w:w="16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11.6</w:t>
            </w:r>
          </w:p>
        </w:tc>
        <w:tc>
          <w:tcPr>
            <w:tcW w:w="160" w:type="dxa"/>
            <w:vAlign w:val="bottom"/>
          </w:tcPr>
          <w:p>
            <w:pPr>
              <w:spacing w:after="0"/>
              <w:rPr>
                <w:sz w:val="15"/>
                <w:szCs w:val="15"/>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0.2</w:t>
            </w:r>
          </w:p>
        </w:tc>
        <w:tc>
          <w:tcPr>
            <w:tcW w:w="180" w:type="dxa"/>
            <w:vAlign w:val="bottom"/>
          </w:tcPr>
          <w:p>
            <w:pPr>
              <w:spacing w:after="0"/>
              <w:rPr>
                <w:sz w:val="15"/>
                <w:szCs w:val="15"/>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80"/>
        </w:trPr>
        <w:tc>
          <w:tcPr>
            <w:tcW w:w="3220" w:type="dxa"/>
            <w:vAlign w:val="bottom"/>
          </w:tcPr>
          <w:p>
            <w:pPr>
              <w:ind w:left="160"/>
              <w:spacing w:after="0" w:line="181" w:lineRule="exact"/>
              <w:rPr>
                <w:sz w:val="20"/>
                <w:szCs w:val="20"/>
                <w:color w:val="auto"/>
              </w:rPr>
            </w:pPr>
            <w:r>
              <w:rPr>
                <w:rFonts w:ascii="Arial" w:cs="Arial" w:eastAsia="Arial" w:hAnsi="Arial"/>
                <w:sz w:val="13"/>
                <w:szCs w:val="13"/>
                <w:color w:val="auto"/>
              </w:rPr>
              <w:t>Asset impairments</w:t>
            </w:r>
            <w:r>
              <w:rPr>
                <w:rFonts w:ascii="Arial" w:cs="Arial" w:eastAsia="Arial" w:hAnsi="Arial"/>
                <w:sz w:val="20"/>
                <w:szCs w:val="20"/>
                <w:color w:val="auto"/>
                <w:vertAlign w:val="superscript"/>
              </w:rPr>
              <w:t>(5)</w:t>
            </w:r>
          </w:p>
        </w:tc>
        <w:tc>
          <w:tcPr>
            <w:tcW w:w="380" w:type="dxa"/>
            <w:vAlign w:val="bottom"/>
          </w:tcPr>
          <w:p>
            <w:pPr>
              <w:spacing w:after="0"/>
              <w:rPr>
                <w:sz w:val="15"/>
                <w:szCs w:val="15"/>
                <w:color w:val="auto"/>
              </w:rPr>
            </w:pPr>
          </w:p>
        </w:tc>
        <w:tc>
          <w:tcPr>
            <w:tcW w:w="11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17.0</w:t>
            </w:r>
          </w:p>
        </w:tc>
        <w:tc>
          <w:tcPr>
            <w:tcW w:w="180" w:type="dxa"/>
            <w:vAlign w:val="bottom"/>
          </w:tcPr>
          <w:p>
            <w:pPr>
              <w:spacing w:after="0"/>
              <w:rPr>
                <w:sz w:val="15"/>
                <w:szCs w:val="15"/>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9"/>
        </w:trPr>
        <w:tc>
          <w:tcPr>
            <w:tcW w:w="322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380" w:type="dxa"/>
            <w:vAlign w:val="bottom"/>
          </w:tcPr>
          <w:p>
            <w:pPr>
              <w:spacing w:after="0"/>
              <w:rPr>
                <w:sz w:val="12"/>
                <w:szCs w:val="12"/>
                <w:color w:val="auto"/>
              </w:rPr>
            </w:pPr>
          </w:p>
        </w:tc>
        <w:tc>
          <w:tcPr>
            <w:tcW w:w="11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5.5</w:t>
            </w:r>
          </w:p>
        </w:tc>
        <w:tc>
          <w:tcPr>
            <w:tcW w:w="28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0.4</w:t>
            </w:r>
          </w:p>
        </w:tc>
        <w:tc>
          <w:tcPr>
            <w:tcW w:w="16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5.9</w:t>
            </w:r>
          </w:p>
        </w:tc>
        <w:tc>
          <w:tcPr>
            <w:tcW w:w="160" w:type="dxa"/>
            <w:vAlign w:val="bottom"/>
          </w:tcPr>
          <w:p>
            <w:pPr>
              <w:spacing w:after="0"/>
              <w:rPr>
                <w:sz w:val="12"/>
                <w:szCs w:val="12"/>
                <w:color w:val="auto"/>
              </w:rPr>
            </w:pP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0.6</w:t>
            </w:r>
          </w:p>
        </w:tc>
        <w:tc>
          <w:tcPr>
            <w:tcW w:w="18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3220" w:type="dxa"/>
            <w:vAlign w:val="bottom"/>
          </w:tcPr>
          <w:p>
            <w:pPr>
              <w:ind w:left="160"/>
              <w:spacing w:after="0" w:line="149" w:lineRule="exact"/>
              <w:rPr>
                <w:sz w:val="20"/>
                <w:szCs w:val="20"/>
                <w:color w:val="auto"/>
              </w:rPr>
            </w:pPr>
            <w:r>
              <w:rPr>
                <w:rFonts w:ascii="Arial" w:cs="Arial" w:eastAsia="Arial" w:hAnsi="Arial"/>
                <w:sz w:val="14"/>
                <w:szCs w:val="14"/>
                <w:color w:val="auto"/>
              </w:rPr>
              <w:t>Operating income (loss)</w:t>
            </w:r>
          </w:p>
        </w:tc>
        <w:tc>
          <w:tcPr>
            <w:tcW w:w="380" w:type="dxa"/>
            <w:vAlign w:val="bottom"/>
          </w:tcPr>
          <w:p>
            <w:pPr>
              <w:spacing w:after="0"/>
              <w:rPr>
                <w:sz w:val="12"/>
                <w:szCs w:val="12"/>
                <w:color w:val="auto"/>
              </w:rPr>
            </w:pPr>
          </w:p>
        </w:tc>
        <w:tc>
          <w:tcPr>
            <w:tcW w:w="11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15.1</w:t>
            </w:r>
          </w:p>
        </w:tc>
        <w:tc>
          <w:tcPr>
            <w:tcW w:w="28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0.9</w:t>
            </w:r>
          </w:p>
        </w:tc>
        <w:tc>
          <w:tcPr>
            <w:tcW w:w="160" w:type="dxa"/>
            <w:vAlign w:val="bottom"/>
          </w:tcPr>
          <w:p>
            <w:pPr>
              <w:spacing w:after="0"/>
              <w:rPr>
                <w:sz w:val="12"/>
                <w:szCs w:val="12"/>
                <w:color w:val="auto"/>
              </w:rPr>
            </w:pP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11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(23.5)</w:t>
            </w:r>
          </w:p>
        </w:tc>
        <w:tc>
          <w:tcPr>
            <w:tcW w:w="16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(8.6)</w:t>
            </w:r>
          </w:p>
        </w:tc>
        <w:tc>
          <w:tcPr>
            <w:tcW w:w="160" w:type="dxa"/>
            <w:vAlign w:val="bottom"/>
          </w:tcPr>
          <w:p>
            <w:pPr>
              <w:spacing w:after="0"/>
              <w:rPr>
                <w:sz w:val="12"/>
                <w:szCs w:val="12"/>
                <w:color w:val="auto"/>
              </w:rPr>
            </w:pPr>
          </w:p>
        </w:tc>
        <w:tc>
          <w:tcPr>
            <w:tcW w:w="11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(13.7)</w:t>
            </w:r>
          </w:p>
        </w:tc>
        <w:tc>
          <w:tcPr>
            <w:tcW w:w="18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44"/>
        </w:trPr>
        <w:tc>
          <w:tcPr>
            <w:tcW w:w="3220" w:type="dxa"/>
            <w:vAlign w:val="bottom"/>
          </w:tcPr>
          <w:p>
            <w:pPr>
              <w:ind w:left="160"/>
              <w:spacing w:after="0" w:line="144" w:lineRule="exact"/>
              <w:rPr>
                <w:sz w:val="20"/>
                <w:szCs w:val="20"/>
                <w:color w:val="auto"/>
              </w:rPr>
            </w:pPr>
            <w:r>
              <w:rPr>
                <w:rFonts w:ascii="Arial" w:cs="Arial" w:eastAsia="Arial" w:hAnsi="Arial"/>
                <w:sz w:val="14"/>
                <w:szCs w:val="14"/>
                <w:color w:val="auto"/>
                <w:w w:val="96"/>
              </w:rPr>
              <w:t>Expenditures for long-lived assets including royalty</w:t>
            </w: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3220" w:type="dxa"/>
            <w:vAlign w:val="bottom"/>
          </w:tcPr>
          <w:p>
            <w:pPr>
              <w:ind w:left="320"/>
              <w:spacing w:after="0"/>
              <w:rPr>
                <w:sz w:val="20"/>
                <w:szCs w:val="20"/>
                <w:color w:val="auto"/>
              </w:rPr>
            </w:pPr>
            <w:r>
              <w:rPr>
                <w:rFonts w:ascii="Arial" w:cs="Arial" w:eastAsia="Arial" w:hAnsi="Arial"/>
                <w:sz w:val="14"/>
                <w:szCs w:val="14"/>
                <w:color w:val="auto"/>
              </w:rPr>
              <w:t>advances</w:t>
            </w:r>
            <w:r>
              <w:rPr>
                <w:rFonts w:ascii="Arial" w:cs="Arial" w:eastAsia="Arial" w:hAnsi="Arial"/>
                <w:sz w:val="22"/>
                <w:szCs w:val="22"/>
                <w:color w:val="auto"/>
                <w:vertAlign w:val="superscript"/>
              </w:rPr>
              <w:t>(6)</w:t>
            </w:r>
          </w:p>
        </w:tc>
        <w:tc>
          <w:tcPr>
            <w:tcW w:w="38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Arial" w:cs="Arial" w:eastAsia="Arial" w:hAnsi="Arial"/>
                <w:sz w:val="14"/>
                <w:szCs w:val="14"/>
                <w:color w:val="auto"/>
              </w:rPr>
              <w:t>11.9</w:t>
            </w:r>
          </w:p>
        </w:tc>
        <w:tc>
          <w:tcPr>
            <w:tcW w:w="28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10.5</w:t>
            </w:r>
          </w:p>
        </w:tc>
        <w:tc>
          <w:tcPr>
            <w:tcW w:w="160" w:type="dxa"/>
            <w:vAlign w:val="bottom"/>
          </w:tcPr>
          <w:p>
            <w:pPr>
              <w:spacing w:after="0"/>
              <w:rPr>
                <w:sz w:val="24"/>
                <w:szCs w:val="24"/>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5.0</w:t>
            </w:r>
          </w:p>
        </w:tc>
        <w:tc>
          <w:tcPr>
            <w:tcW w:w="16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30.4</w:t>
            </w:r>
          </w:p>
        </w:tc>
        <w:tc>
          <w:tcPr>
            <w:tcW w:w="160" w:type="dxa"/>
            <w:vAlign w:val="bottom"/>
          </w:tcPr>
          <w:p>
            <w:pPr>
              <w:spacing w:after="0"/>
              <w:rPr>
                <w:sz w:val="24"/>
                <w:szCs w:val="24"/>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83"/>
        </w:trPr>
        <w:tc>
          <w:tcPr>
            <w:tcW w:w="3220" w:type="dxa"/>
            <w:vAlign w:val="bottom"/>
          </w:tcPr>
          <w:p>
            <w:pPr>
              <w:spacing w:after="0"/>
              <w:rPr>
                <w:sz w:val="20"/>
                <w:szCs w:val="20"/>
                <w:color w:val="auto"/>
              </w:rPr>
            </w:pPr>
            <w:r>
              <w:rPr>
                <w:rFonts w:ascii="Arial" w:cs="Arial" w:eastAsia="Arial" w:hAnsi="Arial"/>
                <w:sz w:val="14"/>
                <w:szCs w:val="14"/>
                <w:b w:val="1"/>
                <w:bCs w:val="1"/>
                <w:color w:val="auto"/>
              </w:rPr>
              <w:t>Nine months ended and</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220" w:type="dxa"/>
            <w:vAlign w:val="bottom"/>
          </w:tcPr>
          <w:p>
            <w:pPr>
              <w:spacing w:after="0"/>
              <w:rPr>
                <w:sz w:val="20"/>
                <w:szCs w:val="20"/>
                <w:color w:val="auto"/>
              </w:rPr>
            </w:pPr>
            <w:r>
              <w:rPr>
                <w:rFonts w:ascii="Arial" w:cs="Arial" w:eastAsia="Arial" w:hAnsi="Arial"/>
                <w:sz w:val="14"/>
                <w:szCs w:val="14"/>
                <w:b w:val="1"/>
                <w:bCs w:val="1"/>
                <w:color w:val="auto"/>
              </w:rPr>
              <w:t>as of February 28, 2010</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2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3220" w:type="dxa"/>
            <w:vAlign w:val="bottom"/>
          </w:tcPr>
          <w:p>
            <w:pPr>
              <w:ind w:left="160"/>
              <w:spacing w:after="0"/>
              <w:rPr>
                <w:sz w:val="20"/>
                <w:szCs w:val="20"/>
                <w:color w:val="auto"/>
              </w:rPr>
            </w:pPr>
            <w:r>
              <w:rPr>
                <w:rFonts w:ascii="Arial" w:cs="Arial" w:eastAsia="Arial" w:hAnsi="Arial"/>
                <w:sz w:val="14"/>
                <w:szCs w:val="14"/>
                <w:color w:val="auto"/>
              </w:rPr>
              <w:t>Revenues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92"/>
              <w:spacing w:after="0"/>
              <w:rPr>
                <w:sz w:val="20"/>
                <w:szCs w:val="20"/>
                <w:color w:val="auto"/>
              </w:rPr>
            </w:pPr>
            <w:r>
              <w:rPr>
                <w:rFonts w:ascii="Arial" w:cs="Arial" w:eastAsia="Arial" w:hAnsi="Arial"/>
                <w:sz w:val="14"/>
                <w:szCs w:val="14"/>
                <w:color w:val="auto"/>
              </w:rPr>
              <w:t>637.1</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359.3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82.9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1,079.3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295.2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72"/>
              <w:spacing w:after="0"/>
              <w:rPr>
                <w:sz w:val="20"/>
                <w:szCs w:val="20"/>
                <w:color w:val="auto"/>
              </w:rPr>
            </w:pPr>
            <w:r>
              <w:rPr>
                <w:rFonts w:ascii="Arial" w:cs="Arial" w:eastAsia="Arial" w:hAnsi="Arial"/>
                <w:sz w:val="14"/>
                <w:szCs w:val="14"/>
                <w:color w:val="auto"/>
                <w:w w:val="89"/>
              </w:rPr>
              <w:t>1,374.5</w:t>
            </w:r>
          </w:p>
        </w:tc>
        <w:tc>
          <w:tcPr>
            <w:tcW w:w="0" w:type="dxa"/>
            <w:vAlign w:val="bottom"/>
          </w:tcPr>
          <w:p>
            <w:pPr>
              <w:spacing w:after="0"/>
              <w:rPr>
                <w:sz w:val="1"/>
                <w:szCs w:val="1"/>
                <w:color w:val="auto"/>
              </w:rPr>
            </w:pPr>
          </w:p>
        </w:tc>
      </w:tr>
      <w:tr>
        <w:trPr>
          <w:trHeight w:val="144"/>
        </w:trPr>
        <w:tc>
          <w:tcPr>
            <w:tcW w:w="3220" w:type="dxa"/>
            <w:vAlign w:val="bottom"/>
          </w:tcPr>
          <w:p>
            <w:pPr>
              <w:ind w:left="160"/>
              <w:spacing w:after="0" w:line="144" w:lineRule="exact"/>
              <w:rPr>
                <w:sz w:val="20"/>
                <w:szCs w:val="20"/>
                <w:color w:val="auto"/>
              </w:rPr>
            </w:pPr>
            <w:r>
              <w:rPr>
                <w:rFonts w:ascii="Arial" w:cs="Arial" w:eastAsia="Arial" w:hAnsi="Arial"/>
                <w:sz w:val="14"/>
                <w:szCs w:val="14"/>
                <w:color w:val="auto"/>
              </w:rPr>
              <w:t>Bad debt expense</w:t>
            </w:r>
          </w:p>
        </w:tc>
        <w:tc>
          <w:tcPr>
            <w:tcW w:w="380" w:type="dxa"/>
            <w:vAlign w:val="bottom"/>
          </w:tcPr>
          <w:p>
            <w:pPr>
              <w:spacing w:after="0"/>
              <w:rPr>
                <w:sz w:val="12"/>
                <w:szCs w:val="12"/>
                <w:color w:val="auto"/>
              </w:rPr>
            </w:pPr>
          </w:p>
        </w:tc>
        <w:tc>
          <w:tcPr>
            <w:tcW w:w="1180" w:type="dxa"/>
            <w:vAlign w:val="bottom"/>
          </w:tcPr>
          <w:p>
            <w:pPr>
              <w:jc w:val="right"/>
              <w:ind w:right="92"/>
              <w:spacing w:after="0" w:line="144" w:lineRule="exact"/>
              <w:rPr>
                <w:sz w:val="20"/>
                <w:szCs w:val="20"/>
                <w:color w:val="auto"/>
              </w:rPr>
            </w:pPr>
            <w:r>
              <w:rPr>
                <w:rFonts w:ascii="Arial" w:cs="Arial" w:eastAsia="Arial" w:hAnsi="Arial"/>
                <w:sz w:val="14"/>
                <w:szCs w:val="14"/>
                <w:color w:val="auto"/>
              </w:rPr>
              <w:t>4.4</w:t>
            </w:r>
          </w:p>
        </w:tc>
        <w:tc>
          <w:tcPr>
            <w:tcW w:w="280" w:type="dxa"/>
            <w:vAlign w:val="bottom"/>
          </w:tcPr>
          <w:p>
            <w:pPr>
              <w:spacing w:after="0"/>
              <w:rPr>
                <w:sz w:val="12"/>
                <w:szCs w:val="12"/>
                <w:color w:val="auto"/>
              </w:rPr>
            </w:pPr>
          </w:p>
        </w:tc>
        <w:tc>
          <w:tcPr>
            <w:tcW w:w="940" w:type="dxa"/>
            <w:vAlign w:val="bottom"/>
          </w:tcPr>
          <w:p>
            <w:pPr>
              <w:jc w:val="right"/>
              <w:ind w:right="72"/>
              <w:spacing w:after="0" w:line="144" w:lineRule="exact"/>
              <w:rPr>
                <w:sz w:val="20"/>
                <w:szCs w:val="20"/>
                <w:color w:val="auto"/>
              </w:rPr>
            </w:pPr>
            <w:r>
              <w:rPr>
                <w:rFonts w:ascii="Arial" w:cs="Arial" w:eastAsia="Arial" w:hAnsi="Arial"/>
                <w:sz w:val="14"/>
                <w:szCs w:val="14"/>
                <w:color w:val="auto"/>
              </w:rPr>
              <w:t>1.4</w:t>
            </w:r>
          </w:p>
        </w:tc>
        <w:tc>
          <w:tcPr>
            <w:tcW w:w="160" w:type="dxa"/>
            <w:vAlign w:val="bottom"/>
          </w:tcPr>
          <w:p>
            <w:pPr>
              <w:spacing w:after="0"/>
              <w:rPr>
                <w:sz w:val="12"/>
                <w:szCs w:val="12"/>
                <w:color w:val="auto"/>
              </w:rPr>
            </w:pPr>
          </w:p>
        </w:tc>
        <w:tc>
          <w:tcPr>
            <w:tcW w:w="1080" w:type="dxa"/>
            <w:vAlign w:val="bottom"/>
          </w:tcPr>
          <w:p>
            <w:pPr>
              <w:jc w:val="right"/>
              <w:ind w:right="52"/>
              <w:spacing w:after="0" w:line="144" w:lineRule="exact"/>
              <w:rPr>
                <w:sz w:val="20"/>
                <w:szCs w:val="20"/>
                <w:color w:val="auto"/>
              </w:rPr>
            </w:pPr>
            <w:r>
              <w:rPr>
                <w:rFonts w:ascii="Arial" w:cs="Arial" w:eastAsia="Arial" w:hAnsi="Arial"/>
                <w:sz w:val="14"/>
                <w:szCs w:val="14"/>
                <w:color w:val="auto"/>
              </w:rPr>
              <w:t>0.1</w:t>
            </w:r>
          </w:p>
        </w:tc>
        <w:tc>
          <w:tcPr>
            <w:tcW w:w="160" w:type="dxa"/>
            <w:vAlign w:val="bottom"/>
          </w:tcPr>
          <w:p>
            <w:pPr>
              <w:spacing w:after="0"/>
              <w:rPr>
                <w:sz w:val="12"/>
                <w:szCs w:val="12"/>
                <w:color w:val="auto"/>
              </w:rPr>
            </w:pPr>
          </w:p>
        </w:tc>
        <w:tc>
          <w:tcPr>
            <w:tcW w:w="1100" w:type="dxa"/>
            <w:vAlign w:val="bottom"/>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ind w:right="52"/>
              <w:spacing w:after="0" w:line="144" w:lineRule="exact"/>
              <w:rPr>
                <w:sz w:val="20"/>
                <w:szCs w:val="20"/>
                <w:color w:val="auto"/>
              </w:rPr>
            </w:pPr>
            <w:r>
              <w:rPr>
                <w:rFonts w:ascii="Arial" w:cs="Arial" w:eastAsia="Arial" w:hAnsi="Arial"/>
                <w:sz w:val="14"/>
                <w:szCs w:val="14"/>
                <w:color w:val="auto"/>
              </w:rPr>
              <w:t>5.9</w:t>
            </w:r>
          </w:p>
        </w:tc>
        <w:tc>
          <w:tcPr>
            <w:tcW w:w="160" w:type="dxa"/>
            <w:vAlign w:val="bottom"/>
          </w:tcPr>
          <w:p>
            <w:pPr>
              <w:spacing w:after="0"/>
              <w:rPr>
                <w:sz w:val="12"/>
                <w:szCs w:val="12"/>
                <w:color w:val="auto"/>
              </w:rPr>
            </w:pPr>
          </w:p>
        </w:tc>
        <w:tc>
          <w:tcPr>
            <w:tcW w:w="1120" w:type="dxa"/>
            <w:vAlign w:val="bottom"/>
          </w:tcPr>
          <w:p>
            <w:pPr>
              <w:jc w:val="right"/>
              <w:ind w:right="72"/>
              <w:spacing w:after="0" w:line="144" w:lineRule="exact"/>
              <w:rPr>
                <w:sz w:val="20"/>
                <w:szCs w:val="20"/>
                <w:color w:val="auto"/>
              </w:rPr>
            </w:pPr>
            <w:r>
              <w:rPr>
                <w:rFonts w:ascii="Arial" w:cs="Arial" w:eastAsia="Arial" w:hAnsi="Arial"/>
                <w:sz w:val="14"/>
                <w:szCs w:val="14"/>
                <w:color w:val="auto"/>
              </w:rPr>
              <w:t>3.5</w:t>
            </w:r>
          </w:p>
        </w:tc>
        <w:tc>
          <w:tcPr>
            <w:tcW w:w="180" w:type="dxa"/>
            <w:vAlign w:val="bottom"/>
          </w:tcPr>
          <w:p>
            <w:pPr>
              <w:spacing w:after="0"/>
              <w:rPr>
                <w:sz w:val="12"/>
                <w:szCs w:val="12"/>
                <w:color w:val="auto"/>
              </w:rPr>
            </w:pPr>
          </w:p>
        </w:tc>
        <w:tc>
          <w:tcPr>
            <w:tcW w:w="580" w:type="dxa"/>
            <w:vAlign w:val="bottom"/>
          </w:tcPr>
          <w:p>
            <w:pPr>
              <w:jc w:val="right"/>
              <w:ind w:right="72"/>
              <w:spacing w:after="0" w:line="144"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76"/>
        </w:trPr>
        <w:tc>
          <w:tcPr>
            <w:tcW w:w="322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(3)</w:t>
            </w:r>
          </w:p>
        </w:tc>
        <w:tc>
          <w:tcPr>
            <w:tcW w:w="380" w:type="dxa"/>
            <w:vAlign w:val="bottom"/>
          </w:tcPr>
          <w:p>
            <w:pPr>
              <w:spacing w:after="0"/>
              <w:rPr>
                <w:sz w:val="15"/>
                <w:szCs w:val="15"/>
                <w:color w:val="auto"/>
              </w:rPr>
            </w:pPr>
          </w:p>
        </w:tc>
        <w:tc>
          <w:tcPr>
            <w:tcW w:w="1180" w:type="dxa"/>
            <w:vAlign w:val="bottom"/>
          </w:tcPr>
          <w:p>
            <w:pPr>
              <w:jc w:val="right"/>
              <w:ind w:right="92"/>
              <w:spacing w:after="0"/>
              <w:rPr>
                <w:sz w:val="20"/>
                <w:szCs w:val="20"/>
                <w:color w:val="auto"/>
              </w:rPr>
            </w:pPr>
            <w:r>
              <w:rPr>
                <w:rFonts w:ascii="Arial" w:cs="Arial" w:eastAsia="Arial" w:hAnsi="Arial"/>
                <w:sz w:val="14"/>
                <w:szCs w:val="14"/>
                <w:color w:val="auto"/>
              </w:rPr>
              <w:t>10.3</w:t>
            </w:r>
          </w:p>
        </w:tc>
        <w:tc>
          <w:tcPr>
            <w:tcW w:w="28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2.3</w:t>
            </w:r>
          </w:p>
        </w:tc>
        <w:tc>
          <w:tcPr>
            <w:tcW w:w="160" w:type="dxa"/>
            <w:vAlign w:val="bottom"/>
          </w:tcPr>
          <w:p>
            <w:pPr>
              <w:spacing w:after="0"/>
              <w:rPr>
                <w:sz w:val="15"/>
                <w:szCs w:val="15"/>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0.5</w:t>
            </w:r>
          </w:p>
        </w:tc>
        <w:tc>
          <w:tcPr>
            <w:tcW w:w="16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26.1</w:t>
            </w:r>
          </w:p>
        </w:tc>
        <w:tc>
          <w:tcPr>
            <w:tcW w:w="16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39.2</w:t>
            </w:r>
          </w:p>
        </w:tc>
        <w:tc>
          <w:tcPr>
            <w:tcW w:w="160" w:type="dxa"/>
            <w:vAlign w:val="bottom"/>
          </w:tcPr>
          <w:p>
            <w:pPr>
              <w:spacing w:after="0"/>
              <w:rPr>
                <w:sz w:val="15"/>
                <w:szCs w:val="15"/>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4.5</w:t>
            </w:r>
          </w:p>
        </w:tc>
        <w:tc>
          <w:tcPr>
            <w:tcW w:w="180" w:type="dxa"/>
            <w:vAlign w:val="bottom"/>
          </w:tcPr>
          <w:p>
            <w:pPr>
              <w:spacing w:after="0"/>
              <w:rPr>
                <w:sz w:val="15"/>
                <w:szCs w:val="15"/>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176"/>
        </w:trPr>
        <w:tc>
          <w:tcPr>
            <w:tcW w:w="3220" w:type="dxa"/>
            <w:vAlign w:val="bottom"/>
          </w:tcPr>
          <w:p>
            <w:pPr>
              <w:ind w:left="160"/>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(4)</w:t>
            </w:r>
          </w:p>
        </w:tc>
        <w:tc>
          <w:tcPr>
            <w:tcW w:w="380" w:type="dxa"/>
            <w:vAlign w:val="bottom"/>
          </w:tcPr>
          <w:p>
            <w:pPr>
              <w:spacing w:after="0"/>
              <w:rPr>
                <w:sz w:val="15"/>
                <w:szCs w:val="15"/>
                <w:color w:val="auto"/>
              </w:rPr>
            </w:pPr>
          </w:p>
        </w:tc>
        <w:tc>
          <w:tcPr>
            <w:tcW w:w="1180" w:type="dxa"/>
            <w:vAlign w:val="bottom"/>
          </w:tcPr>
          <w:p>
            <w:pPr>
              <w:jc w:val="right"/>
              <w:ind w:right="92"/>
              <w:spacing w:after="0"/>
              <w:rPr>
                <w:sz w:val="20"/>
                <w:szCs w:val="20"/>
                <w:color w:val="auto"/>
              </w:rPr>
            </w:pPr>
            <w:r>
              <w:rPr>
                <w:rFonts w:ascii="Arial" w:cs="Arial" w:eastAsia="Arial" w:hAnsi="Arial"/>
                <w:sz w:val="14"/>
                <w:szCs w:val="14"/>
                <w:color w:val="auto"/>
              </w:rPr>
              <w:t>8.7</w:t>
            </w:r>
          </w:p>
        </w:tc>
        <w:tc>
          <w:tcPr>
            <w:tcW w:w="28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19.4</w:t>
            </w:r>
          </w:p>
        </w:tc>
        <w:tc>
          <w:tcPr>
            <w:tcW w:w="160" w:type="dxa"/>
            <w:vAlign w:val="bottom"/>
          </w:tcPr>
          <w:p>
            <w:pPr>
              <w:spacing w:after="0"/>
              <w:rPr>
                <w:sz w:val="15"/>
                <w:szCs w:val="15"/>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6.4</w:t>
            </w:r>
          </w:p>
        </w:tc>
        <w:tc>
          <w:tcPr>
            <w:tcW w:w="16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34.5</w:t>
            </w:r>
          </w:p>
        </w:tc>
        <w:tc>
          <w:tcPr>
            <w:tcW w:w="160" w:type="dxa"/>
            <w:vAlign w:val="bottom"/>
          </w:tcPr>
          <w:p>
            <w:pPr>
              <w:spacing w:after="0"/>
              <w:rPr>
                <w:sz w:val="15"/>
                <w:szCs w:val="15"/>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5"/>
                <w:szCs w:val="15"/>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180"/>
        </w:trPr>
        <w:tc>
          <w:tcPr>
            <w:tcW w:w="3220" w:type="dxa"/>
            <w:vAlign w:val="bottom"/>
          </w:tcPr>
          <w:p>
            <w:pPr>
              <w:ind w:left="160"/>
              <w:spacing w:after="0" w:line="181" w:lineRule="exact"/>
              <w:rPr>
                <w:sz w:val="20"/>
                <w:szCs w:val="20"/>
                <w:color w:val="auto"/>
              </w:rPr>
            </w:pPr>
            <w:r>
              <w:rPr>
                <w:rFonts w:ascii="Arial" w:cs="Arial" w:eastAsia="Arial" w:hAnsi="Arial"/>
                <w:sz w:val="13"/>
                <w:szCs w:val="13"/>
                <w:color w:val="auto"/>
              </w:rPr>
              <w:t>Asset impairments</w:t>
            </w:r>
            <w:r>
              <w:rPr>
                <w:rFonts w:ascii="Arial" w:cs="Arial" w:eastAsia="Arial" w:hAnsi="Arial"/>
                <w:sz w:val="20"/>
                <w:szCs w:val="20"/>
                <w:color w:val="auto"/>
                <w:vertAlign w:val="superscript"/>
              </w:rPr>
              <w:t>(5)</w:t>
            </w:r>
          </w:p>
        </w:tc>
        <w:tc>
          <w:tcPr>
            <w:tcW w:w="380" w:type="dxa"/>
            <w:vAlign w:val="bottom"/>
          </w:tcPr>
          <w:p>
            <w:pPr>
              <w:spacing w:after="0"/>
              <w:rPr>
                <w:sz w:val="15"/>
                <w:szCs w:val="15"/>
                <w:color w:val="auto"/>
              </w:rPr>
            </w:pPr>
          </w:p>
        </w:tc>
        <w:tc>
          <w:tcPr>
            <w:tcW w:w="11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36.3</w:t>
            </w:r>
          </w:p>
        </w:tc>
        <w:tc>
          <w:tcPr>
            <w:tcW w:w="160" w:type="dxa"/>
            <w:vAlign w:val="bottom"/>
          </w:tcPr>
          <w:p>
            <w:pPr>
              <w:spacing w:after="0"/>
              <w:rPr>
                <w:sz w:val="15"/>
                <w:szCs w:val="15"/>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36.3</w:t>
            </w:r>
          </w:p>
        </w:tc>
        <w:tc>
          <w:tcPr>
            <w:tcW w:w="160" w:type="dxa"/>
            <w:vAlign w:val="bottom"/>
          </w:tcPr>
          <w:p>
            <w:pPr>
              <w:spacing w:after="0"/>
              <w:rPr>
                <w:sz w:val="15"/>
                <w:szCs w:val="15"/>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3.8</w:t>
            </w:r>
          </w:p>
        </w:tc>
        <w:tc>
          <w:tcPr>
            <w:tcW w:w="180" w:type="dxa"/>
            <w:vAlign w:val="bottom"/>
          </w:tcPr>
          <w:p>
            <w:pPr>
              <w:spacing w:after="0"/>
              <w:rPr>
                <w:sz w:val="15"/>
                <w:szCs w:val="15"/>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49"/>
        </w:trPr>
        <w:tc>
          <w:tcPr>
            <w:tcW w:w="322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380" w:type="dxa"/>
            <w:vAlign w:val="bottom"/>
          </w:tcPr>
          <w:p>
            <w:pPr>
              <w:spacing w:after="0"/>
              <w:rPr>
                <w:sz w:val="12"/>
                <w:szCs w:val="12"/>
                <w:color w:val="auto"/>
              </w:rPr>
            </w:pPr>
          </w:p>
        </w:tc>
        <w:tc>
          <w:tcPr>
            <w:tcW w:w="11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14.5</w:t>
            </w:r>
          </w:p>
        </w:tc>
        <w:tc>
          <w:tcPr>
            <w:tcW w:w="28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0.4</w:t>
            </w:r>
          </w:p>
        </w:tc>
        <w:tc>
          <w:tcPr>
            <w:tcW w:w="16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0.6</w:t>
            </w:r>
          </w:p>
        </w:tc>
        <w:tc>
          <w:tcPr>
            <w:tcW w:w="160" w:type="dxa"/>
            <w:vAlign w:val="bottom"/>
          </w:tcPr>
          <w:p>
            <w:pPr>
              <w:spacing w:after="0"/>
              <w:rPr>
                <w:sz w:val="12"/>
                <w:szCs w:val="12"/>
                <w:color w:val="auto"/>
              </w:rPr>
            </w:pPr>
          </w:p>
        </w:tc>
        <w:tc>
          <w:tcPr>
            <w:tcW w:w="11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15.5</w:t>
            </w:r>
          </w:p>
        </w:tc>
        <w:tc>
          <w:tcPr>
            <w:tcW w:w="160" w:type="dxa"/>
            <w:vAlign w:val="bottom"/>
          </w:tcPr>
          <w:p>
            <w:pPr>
              <w:spacing w:after="0"/>
              <w:rPr>
                <w:sz w:val="12"/>
                <w:szCs w:val="12"/>
                <w:color w:val="auto"/>
              </w:rPr>
            </w:pP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3.1</w:t>
            </w:r>
          </w:p>
        </w:tc>
        <w:tc>
          <w:tcPr>
            <w:tcW w:w="18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49"/>
        </w:trPr>
        <w:tc>
          <w:tcPr>
            <w:tcW w:w="3220" w:type="dxa"/>
            <w:vAlign w:val="bottom"/>
          </w:tcPr>
          <w:p>
            <w:pPr>
              <w:ind w:left="160"/>
              <w:spacing w:after="0" w:line="149" w:lineRule="exact"/>
              <w:rPr>
                <w:sz w:val="20"/>
                <w:szCs w:val="20"/>
                <w:color w:val="auto"/>
              </w:rPr>
            </w:pPr>
            <w:r>
              <w:rPr>
                <w:rFonts w:ascii="Arial" w:cs="Arial" w:eastAsia="Arial" w:hAnsi="Arial"/>
                <w:sz w:val="14"/>
                <w:szCs w:val="14"/>
                <w:color w:val="auto"/>
              </w:rPr>
              <w:t>Operating income (loss)</w:t>
            </w:r>
          </w:p>
        </w:tc>
        <w:tc>
          <w:tcPr>
            <w:tcW w:w="380" w:type="dxa"/>
            <w:vAlign w:val="bottom"/>
          </w:tcPr>
          <w:p>
            <w:pPr>
              <w:spacing w:after="0"/>
              <w:rPr>
                <w:sz w:val="12"/>
                <w:szCs w:val="12"/>
                <w:color w:val="auto"/>
              </w:rPr>
            </w:pPr>
          </w:p>
        </w:tc>
        <w:tc>
          <w:tcPr>
            <w:tcW w:w="11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67.2</w:t>
            </w:r>
          </w:p>
        </w:tc>
        <w:tc>
          <w:tcPr>
            <w:tcW w:w="28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45.5</w:t>
            </w:r>
          </w:p>
        </w:tc>
        <w:tc>
          <w:tcPr>
            <w:tcW w:w="160" w:type="dxa"/>
            <w:vAlign w:val="bottom"/>
          </w:tcPr>
          <w:p>
            <w:pPr>
              <w:spacing w:after="0"/>
              <w:rPr>
                <w:sz w:val="12"/>
                <w:szCs w:val="12"/>
                <w:color w:val="auto"/>
              </w:rPr>
            </w:pP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(2.6)</w:t>
            </w:r>
          </w:p>
        </w:tc>
        <w:tc>
          <w:tcPr>
            <w:tcW w:w="160" w:type="dxa"/>
            <w:vAlign w:val="bottom"/>
          </w:tcPr>
          <w:p>
            <w:pPr>
              <w:spacing w:after="0"/>
              <w:rPr>
                <w:sz w:val="12"/>
                <w:szCs w:val="12"/>
                <w:color w:val="auto"/>
              </w:rPr>
            </w:pPr>
          </w:p>
        </w:tc>
        <w:tc>
          <w:tcPr>
            <w:tcW w:w="11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(53.3)</w:t>
            </w:r>
          </w:p>
        </w:tc>
        <w:tc>
          <w:tcPr>
            <w:tcW w:w="16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56.8</w:t>
            </w:r>
          </w:p>
        </w:tc>
        <w:tc>
          <w:tcPr>
            <w:tcW w:w="160" w:type="dxa"/>
            <w:vAlign w:val="bottom"/>
          </w:tcPr>
          <w:p>
            <w:pPr>
              <w:spacing w:after="0"/>
              <w:rPr>
                <w:sz w:val="12"/>
                <w:szCs w:val="12"/>
                <w:color w:val="auto"/>
              </w:rPr>
            </w:pP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12.7</w:t>
            </w:r>
          </w:p>
        </w:tc>
        <w:tc>
          <w:tcPr>
            <w:tcW w:w="18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69.5</w:t>
            </w:r>
          </w:p>
        </w:tc>
        <w:tc>
          <w:tcPr>
            <w:tcW w:w="0" w:type="dxa"/>
            <w:vAlign w:val="bottom"/>
          </w:tcPr>
          <w:p>
            <w:pPr>
              <w:spacing w:after="0"/>
              <w:rPr>
                <w:sz w:val="1"/>
                <w:szCs w:val="1"/>
                <w:color w:val="auto"/>
              </w:rPr>
            </w:pPr>
          </w:p>
        </w:tc>
      </w:tr>
      <w:tr>
        <w:trPr>
          <w:trHeight w:val="149"/>
        </w:trPr>
        <w:tc>
          <w:tcPr>
            <w:tcW w:w="3220" w:type="dxa"/>
            <w:vAlign w:val="bottom"/>
          </w:tcPr>
          <w:p>
            <w:pPr>
              <w:ind w:left="160"/>
              <w:spacing w:after="0" w:line="149" w:lineRule="exact"/>
              <w:rPr>
                <w:sz w:val="20"/>
                <w:szCs w:val="20"/>
                <w:color w:val="auto"/>
              </w:rPr>
            </w:pPr>
            <w:r>
              <w:rPr>
                <w:rFonts w:ascii="Arial" w:cs="Arial" w:eastAsia="Arial" w:hAnsi="Arial"/>
                <w:sz w:val="14"/>
                <w:szCs w:val="14"/>
                <w:color w:val="auto"/>
              </w:rPr>
              <w:t>Segment assets</w:t>
            </w:r>
          </w:p>
        </w:tc>
        <w:tc>
          <w:tcPr>
            <w:tcW w:w="380" w:type="dxa"/>
            <w:vAlign w:val="bottom"/>
          </w:tcPr>
          <w:p>
            <w:pPr>
              <w:spacing w:after="0"/>
              <w:rPr>
                <w:sz w:val="12"/>
                <w:szCs w:val="12"/>
                <w:color w:val="auto"/>
              </w:rPr>
            </w:pPr>
          </w:p>
        </w:tc>
        <w:tc>
          <w:tcPr>
            <w:tcW w:w="11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478.3</w:t>
            </w:r>
          </w:p>
        </w:tc>
        <w:tc>
          <w:tcPr>
            <w:tcW w:w="28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285.6</w:t>
            </w:r>
          </w:p>
        </w:tc>
        <w:tc>
          <w:tcPr>
            <w:tcW w:w="16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51.6</w:t>
            </w:r>
          </w:p>
        </w:tc>
        <w:tc>
          <w:tcPr>
            <w:tcW w:w="160" w:type="dxa"/>
            <w:vAlign w:val="bottom"/>
          </w:tcPr>
          <w:p>
            <w:pPr>
              <w:spacing w:after="0"/>
              <w:rPr>
                <w:sz w:val="12"/>
                <w:szCs w:val="12"/>
                <w:color w:val="auto"/>
              </w:rPr>
            </w:pPr>
          </w:p>
        </w:tc>
        <w:tc>
          <w:tcPr>
            <w:tcW w:w="11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570.4</w:t>
            </w:r>
          </w:p>
        </w:tc>
        <w:tc>
          <w:tcPr>
            <w:tcW w:w="16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1,385.9</w:t>
            </w:r>
          </w:p>
        </w:tc>
        <w:tc>
          <w:tcPr>
            <w:tcW w:w="160" w:type="dxa"/>
            <w:vAlign w:val="bottom"/>
          </w:tcPr>
          <w:p>
            <w:pPr>
              <w:spacing w:after="0"/>
              <w:rPr>
                <w:sz w:val="12"/>
                <w:szCs w:val="12"/>
                <w:color w:val="auto"/>
              </w:rPr>
            </w:pP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253.1</w:t>
            </w:r>
          </w:p>
        </w:tc>
        <w:tc>
          <w:tcPr>
            <w:tcW w:w="18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w w:val="89"/>
              </w:rPr>
              <w:t>1,639.0</w:t>
            </w:r>
          </w:p>
        </w:tc>
        <w:tc>
          <w:tcPr>
            <w:tcW w:w="0" w:type="dxa"/>
            <w:vAlign w:val="bottom"/>
          </w:tcPr>
          <w:p>
            <w:pPr>
              <w:spacing w:after="0"/>
              <w:rPr>
                <w:sz w:val="1"/>
                <w:szCs w:val="1"/>
                <w:color w:val="auto"/>
              </w:rPr>
            </w:pPr>
          </w:p>
        </w:tc>
      </w:tr>
      <w:tr>
        <w:trPr>
          <w:trHeight w:val="149"/>
        </w:trPr>
        <w:tc>
          <w:tcPr>
            <w:tcW w:w="3220" w:type="dxa"/>
            <w:vAlign w:val="bottom"/>
          </w:tcPr>
          <w:p>
            <w:pPr>
              <w:ind w:left="160"/>
              <w:spacing w:after="0" w:line="149" w:lineRule="exact"/>
              <w:rPr>
                <w:sz w:val="20"/>
                <w:szCs w:val="20"/>
                <w:color w:val="auto"/>
              </w:rPr>
            </w:pPr>
            <w:r>
              <w:rPr>
                <w:rFonts w:ascii="Arial" w:cs="Arial" w:eastAsia="Arial" w:hAnsi="Arial"/>
                <w:sz w:val="14"/>
                <w:szCs w:val="14"/>
                <w:color w:val="auto"/>
              </w:rPr>
              <w:t>Goodwill</w:t>
            </w:r>
          </w:p>
        </w:tc>
        <w:tc>
          <w:tcPr>
            <w:tcW w:w="380" w:type="dxa"/>
            <w:vAlign w:val="bottom"/>
          </w:tcPr>
          <w:p>
            <w:pPr>
              <w:spacing w:after="0"/>
              <w:rPr>
                <w:sz w:val="12"/>
                <w:szCs w:val="12"/>
                <w:color w:val="auto"/>
              </w:rPr>
            </w:pPr>
          </w:p>
        </w:tc>
        <w:tc>
          <w:tcPr>
            <w:tcW w:w="11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54.3</w:t>
            </w:r>
          </w:p>
        </w:tc>
        <w:tc>
          <w:tcPr>
            <w:tcW w:w="28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88.4</w:t>
            </w:r>
          </w:p>
        </w:tc>
        <w:tc>
          <w:tcPr>
            <w:tcW w:w="16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5.9</w:t>
            </w:r>
          </w:p>
        </w:tc>
        <w:tc>
          <w:tcPr>
            <w:tcW w:w="160" w:type="dxa"/>
            <w:vAlign w:val="bottom"/>
          </w:tcPr>
          <w:p>
            <w:pPr>
              <w:spacing w:after="0"/>
              <w:rPr>
                <w:sz w:val="12"/>
                <w:szCs w:val="12"/>
                <w:color w:val="auto"/>
              </w:rPr>
            </w:pPr>
          </w:p>
        </w:tc>
        <w:tc>
          <w:tcPr>
            <w:tcW w:w="11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148.6</w:t>
            </w:r>
          </w:p>
        </w:tc>
        <w:tc>
          <w:tcPr>
            <w:tcW w:w="160" w:type="dxa"/>
            <w:vAlign w:val="bottom"/>
          </w:tcPr>
          <w:p>
            <w:pPr>
              <w:spacing w:after="0"/>
              <w:rPr>
                <w:sz w:val="12"/>
                <w:szCs w:val="12"/>
                <w:color w:val="auto"/>
              </w:rPr>
            </w:pP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8.4</w:t>
            </w:r>
          </w:p>
        </w:tc>
        <w:tc>
          <w:tcPr>
            <w:tcW w:w="18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157.0</w:t>
            </w:r>
          </w:p>
        </w:tc>
        <w:tc>
          <w:tcPr>
            <w:tcW w:w="0" w:type="dxa"/>
            <w:vAlign w:val="bottom"/>
          </w:tcPr>
          <w:p>
            <w:pPr>
              <w:spacing w:after="0"/>
              <w:rPr>
                <w:sz w:val="1"/>
                <w:szCs w:val="1"/>
                <w:color w:val="auto"/>
              </w:rPr>
            </w:pPr>
          </w:p>
        </w:tc>
      </w:tr>
      <w:tr>
        <w:trPr>
          <w:trHeight w:val="144"/>
        </w:trPr>
        <w:tc>
          <w:tcPr>
            <w:tcW w:w="3220" w:type="dxa"/>
            <w:vAlign w:val="bottom"/>
          </w:tcPr>
          <w:p>
            <w:pPr>
              <w:ind w:left="160"/>
              <w:spacing w:after="0" w:line="144" w:lineRule="exact"/>
              <w:rPr>
                <w:sz w:val="20"/>
                <w:szCs w:val="20"/>
                <w:color w:val="auto"/>
              </w:rPr>
            </w:pPr>
            <w:r>
              <w:rPr>
                <w:rFonts w:ascii="Arial" w:cs="Arial" w:eastAsia="Arial" w:hAnsi="Arial"/>
                <w:sz w:val="14"/>
                <w:szCs w:val="14"/>
                <w:color w:val="auto"/>
                <w:w w:val="96"/>
              </w:rPr>
              <w:t>Expenditures for long-lived assets including royalty</w:t>
            </w: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220" w:type="dxa"/>
            <w:vAlign w:val="bottom"/>
          </w:tcPr>
          <w:p>
            <w:pPr>
              <w:ind w:left="320"/>
              <w:spacing w:after="0" w:line="176" w:lineRule="exact"/>
              <w:rPr>
                <w:sz w:val="20"/>
                <w:szCs w:val="20"/>
                <w:color w:val="auto"/>
              </w:rPr>
            </w:pPr>
            <w:r>
              <w:rPr>
                <w:rFonts w:ascii="Arial" w:cs="Arial" w:eastAsia="Arial" w:hAnsi="Arial"/>
                <w:sz w:val="13"/>
                <w:szCs w:val="13"/>
                <w:color w:val="auto"/>
              </w:rPr>
              <w:t>advances</w:t>
            </w:r>
            <w:r>
              <w:rPr>
                <w:rFonts w:ascii="Arial" w:cs="Arial" w:eastAsia="Arial" w:hAnsi="Arial"/>
                <w:sz w:val="20"/>
                <w:szCs w:val="20"/>
                <w:color w:val="auto"/>
                <w:vertAlign w:val="superscript"/>
              </w:rPr>
              <w:t>(6)</w:t>
            </w:r>
          </w:p>
        </w:tc>
        <w:tc>
          <w:tcPr>
            <w:tcW w:w="380" w:type="dxa"/>
            <w:vAlign w:val="bottom"/>
          </w:tcPr>
          <w:p>
            <w:pPr>
              <w:spacing w:after="0"/>
              <w:rPr>
                <w:sz w:val="15"/>
                <w:szCs w:val="15"/>
                <w:color w:val="auto"/>
              </w:rPr>
            </w:pPr>
          </w:p>
        </w:tc>
        <w:tc>
          <w:tcPr>
            <w:tcW w:w="1180" w:type="dxa"/>
            <w:vAlign w:val="bottom"/>
          </w:tcPr>
          <w:p>
            <w:pPr>
              <w:jc w:val="right"/>
              <w:ind w:right="92"/>
              <w:spacing w:after="0"/>
              <w:rPr>
                <w:sz w:val="20"/>
                <w:szCs w:val="20"/>
                <w:color w:val="auto"/>
              </w:rPr>
            </w:pPr>
            <w:r>
              <w:rPr>
                <w:rFonts w:ascii="Arial" w:cs="Arial" w:eastAsia="Arial" w:hAnsi="Arial"/>
                <w:sz w:val="14"/>
                <w:szCs w:val="14"/>
                <w:color w:val="auto"/>
              </w:rPr>
              <w:t>31.7</w:t>
            </w:r>
          </w:p>
        </w:tc>
        <w:tc>
          <w:tcPr>
            <w:tcW w:w="28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20.4</w:t>
            </w:r>
          </w:p>
        </w:tc>
        <w:tc>
          <w:tcPr>
            <w:tcW w:w="160" w:type="dxa"/>
            <w:vAlign w:val="bottom"/>
          </w:tcPr>
          <w:p>
            <w:pPr>
              <w:spacing w:after="0"/>
              <w:rPr>
                <w:sz w:val="15"/>
                <w:szCs w:val="15"/>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4.6</w:t>
            </w:r>
          </w:p>
        </w:tc>
        <w:tc>
          <w:tcPr>
            <w:tcW w:w="16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15.1</w:t>
            </w:r>
          </w:p>
        </w:tc>
        <w:tc>
          <w:tcPr>
            <w:tcW w:w="16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71.8</w:t>
            </w:r>
          </w:p>
        </w:tc>
        <w:tc>
          <w:tcPr>
            <w:tcW w:w="160" w:type="dxa"/>
            <w:vAlign w:val="bottom"/>
          </w:tcPr>
          <w:p>
            <w:pPr>
              <w:spacing w:after="0"/>
              <w:rPr>
                <w:sz w:val="15"/>
                <w:szCs w:val="15"/>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8.0</w:t>
            </w:r>
          </w:p>
        </w:tc>
        <w:tc>
          <w:tcPr>
            <w:tcW w:w="180" w:type="dxa"/>
            <w:vAlign w:val="bottom"/>
          </w:tcPr>
          <w:p>
            <w:pPr>
              <w:spacing w:after="0"/>
              <w:rPr>
                <w:sz w:val="15"/>
                <w:szCs w:val="15"/>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79.8</w:t>
            </w:r>
          </w:p>
        </w:tc>
        <w:tc>
          <w:tcPr>
            <w:tcW w:w="0" w:type="dxa"/>
            <w:vAlign w:val="bottom"/>
          </w:tcPr>
          <w:p>
            <w:pPr>
              <w:spacing w:after="0"/>
              <w:rPr>
                <w:sz w:val="1"/>
                <w:szCs w:val="1"/>
                <w:color w:val="auto"/>
              </w:rPr>
            </w:pPr>
          </w:p>
        </w:tc>
      </w:tr>
      <w:tr>
        <w:trPr>
          <w:trHeight w:val="293"/>
        </w:trPr>
        <w:tc>
          <w:tcPr>
            <w:tcW w:w="3220" w:type="dxa"/>
            <w:vAlign w:val="bottom"/>
          </w:tcPr>
          <w:p>
            <w:pPr>
              <w:ind w:left="160"/>
              <w:spacing w:after="0"/>
              <w:rPr>
                <w:sz w:val="20"/>
                <w:szCs w:val="20"/>
                <w:color w:val="auto"/>
              </w:rPr>
            </w:pPr>
            <w:r>
              <w:rPr>
                <w:rFonts w:ascii="Arial" w:cs="Arial" w:eastAsia="Arial" w:hAnsi="Arial"/>
                <w:sz w:val="14"/>
                <w:szCs w:val="14"/>
                <w:color w:val="auto"/>
              </w:rPr>
              <w:t>Long-lived assets</w:t>
            </w:r>
            <w:r>
              <w:rPr>
                <w:rFonts w:ascii="Arial" w:cs="Arial" w:eastAsia="Arial" w:hAnsi="Arial"/>
                <w:sz w:val="22"/>
                <w:szCs w:val="22"/>
                <w:color w:val="auto"/>
                <w:vertAlign w:val="superscript"/>
              </w:rPr>
              <w:t>(7)</w:t>
            </w:r>
          </w:p>
        </w:tc>
        <w:tc>
          <w:tcPr>
            <w:tcW w:w="38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Arial" w:cs="Arial" w:eastAsia="Arial" w:hAnsi="Arial"/>
                <w:sz w:val="14"/>
                <w:szCs w:val="14"/>
                <w:color w:val="auto"/>
              </w:rPr>
              <w:t>177.9</w:t>
            </w:r>
          </w:p>
        </w:tc>
        <w:tc>
          <w:tcPr>
            <w:tcW w:w="28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166.0</w:t>
            </w:r>
          </w:p>
        </w:tc>
        <w:tc>
          <w:tcPr>
            <w:tcW w:w="160" w:type="dxa"/>
            <w:vAlign w:val="bottom"/>
          </w:tcPr>
          <w:p>
            <w:pPr>
              <w:spacing w:after="0"/>
              <w:rPr>
                <w:sz w:val="24"/>
                <w:szCs w:val="24"/>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23.9</w:t>
            </w:r>
          </w:p>
        </w:tc>
        <w:tc>
          <w:tcPr>
            <w:tcW w:w="16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217.5</w:t>
            </w:r>
          </w:p>
        </w:tc>
        <w:tc>
          <w:tcPr>
            <w:tcW w:w="16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585.3</w:t>
            </w:r>
          </w:p>
        </w:tc>
        <w:tc>
          <w:tcPr>
            <w:tcW w:w="160" w:type="dxa"/>
            <w:vAlign w:val="bottom"/>
          </w:tcPr>
          <w:p>
            <w:pPr>
              <w:spacing w:after="0"/>
              <w:rPr>
                <w:sz w:val="24"/>
                <w:szCs w:val="24"/>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69.4</w:t>
            </w:r>
          </w:p>
        </w:tc>
        <w:tc>
          <w:tcPr>
            <w:tcW w:w="18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654.7</w:t>
            </w:r>
          </w:p>
        </w:tc>
        <w:tc>
          <w:tcPr>
            <w:tcW w:w="0" w:type="dxa"/>
            <w:vAlign w:val="bottom"/>
          </w:tcPr>
          <w:p>
            <w:pPr>
              <w:spacing w:after="0"/>
              <w:rPr>
                <w:sz w:val="1"/>
                <w:szCs w:val="1"/>
                <w:color w:val="auto"/>
              </w:rPr>
            </w:pPr>
          </w:p>
        </w:tc>
      </w:tr>
      <w:tr>
        <w:trPr>
          <w:trHeight w:val="183"/>
        </w:trPr>
        <w:tc>
          <w:tcPr>
            <w:tcW w:w="3220" w:type="dxa"/>
            <w:vAlign w:val="bottom"/>
          </w:tcPr>
          <w:p>
            <w:pPr>
              <w:spacing w:after="0"/>
              <w:rPr>
                <w:sz w:val="20"/>
                <w:szCs w:val="20"/>
                <w:color w:val="auto"/>
              </w:rPr>
            </w:pPr>
            <w:r>
              <w:rPr>
                <w:rFonts w:ascii="Arial" w:cs="Arial" w:eastAsia="Arial" w:hAnsi="Arial"/>
                <w:sz w:val="14"/>
                <w:szCs w:val="14"/>
                <w:b w:val="1"/>
                <w:bCs w:val="1"/>
                <w:color w:val="auto"/>
              </w:rPr>
              <w:t>Nine months ended and</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220" w:type="dxa"/>
            <w:vAlign w:val="bottom"/>
          </w:tcPr>
          <w:p>
            <w:pPr>
              <w:spacing w:after="0"/>
              <w:rPr>
                <w:sz w:val="20"/>
                <w:szCs w:val="20"/>
                <w:color w:val="auto"/>
              </w:rPr>
            </w:pPr>
            <w:r>
              <w:rPr>
                <w:rFonts w:ascii="Arial" w:cs="Arial" w:eastAsia="Arial" w:hAnsi="Arial"/>
                <w:sz w:val="14"/>
                <w:szCs w:val="14"/>
                <w:b w:val="1"/>
                <w:bCs w:val="1"/>
                <w:color w:val="auto"/>
              </w:rPr>
              <w:t>as of February 28, 2009</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2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3220" w:type="dxa"/>
            <w:vAlign w:val="bottom"/>
          </w:tcPr>
          <w:p>
            <w:pPr>
              <w:ind w:left="160"/>
              <w:spacing w:after="0"/>
              <w:rPr>
                <w:sz w:val="20"/>
                <w:szCs w:val="20"/>
                <w:color w:val="auto"/>
              </w:rPr>
            </w:pPr>
            <w:r>
              <w:rPr>
                <w:rFonts w:ascii="Arial" w:cs="Arial" w:eastAsia="Arial" w:hAnsi="Arial"/>
                <w:sz w:val="14"/>
                <w:szCs w:val="14"/>
                <w:color w:val="auto"/>
              </w:rPr>
              <w:t>Revenues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92"/>
              <w:spacing w:after="0"/>
              <w:rPr>
                <w:sz w:val="20"/>
                <w:szCs w:val="20"/>
                <w:color w:val="auto"/>
              </w:rPr>
            </w:pPr>
            <w:r>
              <w:rPr>
                <w:rFonts w:ascii="Arial" w:cs="Arial" w:eastAsia="Arial" w:hAnsi="Arial"/>
                <w:sz w:val="14"/>
                <w:szCs w:val="14"/>
                <w:color w:val="auto"/>
              </w:rPr>
              <w:t>682.7</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280.8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96.4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1,059.9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293.4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72"/>
              <w:spacing w:after="0"/>
              <w:rPr>
                <w:sz w:val="20"/>
                <w:szCs w:val="20"/>
                <w:color w:val="auto"/>
              </w:rPr>
            </w:pPr>
            <w:r>
              <w:rPr>
                <w:rFonts w:ascii="Arial" w:cs="Arial" w:eastAsia="Arial" w:hAnsi="Arial"/>
                <w:sz w:val="14"/>
                <w:szCs w:val="14"/>
                <w:color w:val="auto"/>
                <w:w w:val="89"/>
              </w:rPr>
              <w:t>1,353.3</w:t>
            </w:r>
          </w:p>
        </w:tc>
        <w:tc>
          <w:tcPr>
            <w:tcW w:w="0" w:type="dxa"/>
            <w:vAlign w:val="bottom"/>
          </w:tcPr>
          <w:p>
            <w:pPr>
              <w:spacing w:after="0"/>
              <w:rPr>
                <w:sz w:val="1"/>
                <w:szCs w:val="1"/>
                <w:color w:val="auto"/>
              </w:rPr>
            </w:pPr>
          </w:p>
        </w:tc>
      </w:tr>
      <w:tr>
        <w:trPr>
          <w:trHeight w:val="144"/>
        </w:trPr>
        <w:tc>
          <w:tcPr>
            <w:tcW w:w="3220" w:type="dxa"/>
            <w:vAlign w:val="bottom"/>
          </w:tcPr>
          <w:p>
            <w:pPr>
              <w:ind w:left="160"/>
              <w:spacing w:after="0" w:line="144" w:lineRule="exact"/>
              <w:rPr>
                <w:sz w:val="20"/>
                <w:szCs w:val="20"/>
                <w:color w:val="auto"/>
              </w:rPr>
            </w:pPr>
            <w:r>
              <w:rPr>
                <w:rFonts w:ascii="Arial" w:cs="Arial" w:eastAsia="Arial" w:hAnsi="Arial"/>
                <w:sz w:val="14"/>
                <w:szCs w:val="14"/>
                <w:color w:val="auto"/>
              </w:rPr>
              <w:t>Bad debt expense</w:t>
            </w:r>
          </w:p>
        </w:tc>
        <w:tc>
          <w:tcPr>
            <w:tcW w:w="380" w:type="dxa"/>
            <w:vAlign w:val="bottom"/>
          </w:tcPr>
          <w:p>
            <w:pPr>
              <w:spacing w:after="0"/>
              <w:rPr>
                <w:sz w:val="12"/>
                <w:szCs w:val="12"/>
                <w:color w:val="auto"/>
              </w:rPr>
            </w:pPr>
          </w:p>
        </w:tc>
        <w:tc>
          <w:tcPr>
            <w:tcW w:w="1180" w:type="dxa"/>
            <w:vAlign w:val="bottom"/>
          </w:tcPr>
          <w:p>
            <w:pPr>
              <w:jc w:val="right"/>
              <w:ind w:right="92"/>
              <w:spacing w:after="0" w:line="144" w:lineRule="exact"/>
              <w:rPr>
                <w:sz w:val="20"/>
                <w:szCs w:val="20"/>
                <w:color w:val="auto"/>
              </w:rPr>
            </w:pPr>
            <w:r>
              <w:rPr>
                <w:rFonts w:ascii="Arial" w:cs="Arial" w:eastAsia="Arial" w:hAnsi="Arial"/>
                <w:sz w:val="14"/>
                <w:szCs w:val="14"/>
                <w:color w:val="auto"/>
              </w:rPr>
              <w:t>6.5</w:t>
            </w:r>
          </w:p>
        </w:tc>
        <w:tc>
          <w:tcPr>
            <w:tcW w:w="280" w:type="dxa"/>
            <w:vAlign w:val="bottom"/>
          </w:tcPr>
          <w:p>
            <w:pPr>
              <w:spacing w:after="0"/>
              <w:rPr>
                <w:sz w:val="12"/>
                <w:szCs w:val="12"/>
                <w:color w:val="auto"/>
              </w:rPr>
            </w:pPr>
          </w:p>
        </w:tc>
        <w:tc>
          <w:tcPr>
            <w:tcW w:w="940" w:type="dxa"/>
            <w:vAlign w:val="bottom"/>
          </w:tcPr>
          <w:p>
            <w:pPr>
              <w:jc w:val="right"/>
              <w:ind w:right="72"/>
              <w:spacing w:after="0" w:line="144"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2"/>
                <w:szCs w:val="12"/>
                <w:color w:val="auto"/>
              </w:rPr>
            </w:pPr>
          </w:p>
        </w:tc>
        <w:tc>
          <w:tcPr>
            <w:tcW w:w="1080" w:type="dxa"/>
            <w:vAlign w:val="bottom"/>
          </w:tcPr>
          <w:p>
            <w:pPr>
              <w:jc w:val="right"/>
              <w:ind w:right="52"/>
              <w:spacing w:after="0" w:line="144" w:lineRule="exact"/>
              <w:rPr>
                <w:sz w:val="20"/>
                <w:szCs w:val="20"/>
                <w:color w:val="auto"/>
              </w:rPr>
            </w:pPr>
            <w:r>
              <w:rPr>
                <w:rFonts w:ascii="Arial" w:cs="Arial" w:eastAsia="Arial" w:hAnsi="Arial"/>
                <w:sz w:val="14"/>
                <w:szCs w:val="14"/>
                <w:color w:val="auto"/>
              </w:rPr>
              <w:t>0.3</w:t>
            </w:r>
          </w:p>
        </w:tc>
        <w:tc>
          <w:tcPr>
            <w:tcW w:w="160" w:type="dxa"/>
            <w:vAlign w:val="bottom"/>
          </w:tcPr>
          <w:p>
            <w:pPr>
              <w:spacing w:after="0"/>
              <w:rPr>
                <w:sz w:val="12"/>
                <w:szCs w:val="12"/>
                <w:color w:val="auto"/>
              </w:rPr>
            </w:pPr>
          </w:p>
        </w:tc>
        <w:tc>
          <w:tcPr>
            <w:tcW w:w="1100" w:type="dxa"/>
            <w:vAlign w:val="bottom"/>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ind w:right="52"/>
              <w:spacing w:after="0" w:line="144" w:lineRule="exact"/>
              <w:rPr>
                <w:sz w:val="20"/>
                <w:szCs w:val="20"/>
                <w:color w:val="auto"/>
              </w:rPr>
            </w:pPr>
            <w:r>
              <w:rPr>
                <w:rFonts w:ascii="Arial" w:cs="Arial" w:eastAsia="Arial" w:hAnsi="Arial"/>
                <w:sz w:val="14"/>
                <w:szCs w:val="14"/>
                <w:color w:val="auto"/>
              </w:rPr>
              <w:t>7.8</w:t>
            </w:r>
          </w:p>
        </w:tc>
        <w:tc>
          <w:tcPr>
            <w:tcW w:w="160" w:type="dxa"/>
            <w:vAlign w:val="bottom"/>
          </w:tcPr>
          <w:p>
            <w:pPr>
              <w:spacing w:after="0"/>
              <w:rPr>
                <w:sz w:val="12"/>
                <w:szCs w:val="12"/>
                <w:color w:val="auto"/>
              </w:rPr>
            </w:pPr>
          </w:p>
        </w:tc>
        <w:tc>
          <w:tcPr>
            <w:tcW w:w="1120" w:type="dxa"/>
            <w:vAlign w:val="bottom"/>
          </w:tcPr>
          <w:p>
            <w:pPr>
              <w:jc w:val="right"/>
              <w:ind w:right="72"/>
              <w:spacing w:after="0" w:line="144" w:lineRule="exact"/>
              <w:rPr>
                <w:sz w:val="20"/>
                <w:szCs w:val="20"/>
                <w:color w:val="auto"/>
              </w:rPr>
            </w:pPr>
            <w:r>
              <w:rPr>
                <w:rFonts w:ascii="Arial" w:cs="Arial" w:eastAsia="Arial" w:hAnsi="Arial"/>
                <w:sz w:val="14"/>
                <w:szCs w:val="14"/>
                <w:color w:val="auto"/>
              </w:rPr>
              <w:t>2.8</w:t>
            </w:r>
          </w:p>
        </w:tc>
        <w:tc>
          <w:tcPr>
            <w:tcW w:w="180" w:type="dxa"/>
            <w:vAlign w:val="bottom"/>
          </w:tcPr>
          <w:p>
            <w:pPr>
              <w:spacing w:after="0"/>
              <w:rPr>
                <w:sz w:val="12"/>
                <w:szCs w:val="12"/>
                <w:color w:val="auto"/>
              </w:rPr>
            </w:pPr>
          </w:p>
        </w:tc>
        <w:tc>
          <w:tcPr>
            <w:tcW w:w="580" w:type="dxa"/>
            <w:vAlign w:val="bottom"/>
          </w:tcPr>
          <w:p>
            <w:pPr>
              <w:jc w:val="right"/>
              <w:ind w:right="72"/>
              <w:spacing w:after="0" w:line="144"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76"/>
        </w:trPr>
        <w:tc>
          <w:tcPr>
            <w:tcW w:w="322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(3)</w:t>
            </w:r>
          </w:p>
        </w:tc>
        <w:tc>
          <w:tcPr>
            <w:tcW w:w="380" w:type="dxa"/>
            <w:vAlign w:val="bottom"/>
          </w:tcPr>
          <w:p>
            <w:pPr>
              <w:spacing w:after="0"/>
              <w:rPr>
                <w:sz w:val="15"/>
                <w:szCs w:val="15"/>
                <w:color w:val="auto"/>
              </w:rPr>
            </w:pPr>
          </w:p>
        </w:tc>
        <w:tc>
          <w:tcPr>
            <w:tcW w:w="1180" w:type="dxa"/>
            <w:vAlign w:val="bottom"/>
          </w:tcPr>
          <w:p>
            <w:pPr>
              <w:jc w:val="right"/>
              <w:ind w:right="92"/>
              <w:spacing w:after="0"/>
              <w:rPr>
                <w:sz w:val="20"/>
                <w:szCs w:val="20"/>
                <w:color w:val="auto"/>
              </w:rPr>
            </w:pPr>
            <w:r>
              <w:rPr>
                <w:rFonts w:ascii="Arial" w:cs="Arial" w:eastAsia="Arial" w:hAnsi="Arial"/>
                <w:sz w:val="14"/>
                <w:szCs w:val="14"/>
                <w:color w:val="auto"/>
              </w:rPr>
              <w:t>12.2</w:t>
            </w:r>
          </w:p>
        </w:tc>
        <w:tc>
          <w:tcPr>
            <w:tcW w:w="28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2.9</w:t>
            </w:r>
          </w:p>
        </w:tc>
        <w:tc>
          <w:tcPr>
            <w:tcW w:w="160" w:type="dxa"/>
            <w:vAlign w:val="bottom"/>
          </w:tcPr>
          <w:p>
            <w:pPr>
              <w:spacing w:after="0"/>
              <w:rPr>
                <w:sz w:val="15"/>
                <w:szCs w:val="15"/>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0.7</w:t>
            </w:r>
          </w:p>
        </w:tc>
        <w:tc>
          <w:tcPr>
            <w:tcW w:w="16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24.9</w:t>
            </w:r>
          </w:p>
        </w:tc>
        <w:tc>
          <w:tcPr>
            <w:tcW w:w="16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40.7</w:t>
            </w:r>
          </w:p>
        </w:tc>
        <w:tc>
          <w:tcPr>
            <w:tcW w:w="160" w:type="dxa"/>
            <w:vAlign w:val="bottom"/>
          </w:tcPr>
          <w:p>
            <w:pPr>
              <w:spacing w:after="0"/>
              <w:rPr>
                <w:sz w:val="15"/>
                <w:szCs w:val="15"/>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4.5</w:t>
            </w:r>
          </w:p>
        </w:tc>
        <w:tc>
          <w:tcPr>
            <w:tcW w:w="180" w:type="dxa"/>
            <w:vAlign w:val="bottom"/>
          </w:tcPr>
          <w:p>
            <w:pPr>
              <w:spacing w:after="0"/>
              <w:rPr>
                <w:sz w:val="15"/>
                <w:szCs w:val="15"/>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76"/>
        </w:trPr>
        <w:tc>
          <w:tcPr>
            <w:tcW w:w="3220" w:type="dxa"/>
            <w:vAlign w:val="bottom"/>
          </w:tcPr>
          <w:p>
            <w:pPr>
              <w:ind w:left="160"/>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(4)</w:t>
            </w:r>
          </w:p>
        </w:tc>
        <w:tc>
          <w:tcPr>
            <w:tcW w:w="380" w:type="dxa"/>
            <w:vAlign w:val="bottom"/>
          </w:tcPr>
          <w:p>
            <w:pPr>
              <w:spacing w:after="0"/>
              <w:rPr>
                <w:sz w:val="15"/>
                <w:szCs w:val="15"/>
                <w:color w:val="auto"/>
              </w:rPr>
            </w:pPr>
          </w:p>
        </w:tc>
        <w:tc>
          <w:tcPr>
            <w:tcW w:w="1180" w:type="dxa"/>
            <w:vAlign w:val="bottom"/>
          </w:tcPr>
          <w:p>
            <w:pPr>
              <w:jc w:val="right"/>
              <w:ind w:right="92"/>
              <w:spacing w:after="0"/>
              <w:rPr>
                <w:sz w:val="20"/>
                <w:szCs w:val="20"/>
                <w:color w:val="auto"/>
              </w:rPr>
            </w:pPr>
            <w:r>
              <w:rPr>
                <w:rFonts w:ascii="Arial" w:cs="Arial" w:eastAsia="Arial" w:hAnsi="Arial"/>
                <w:sz w:val="14"/>
                <w:szCs w:val="14"/>
                <w:color w:val="auto"/>
              </w:rPr>
              <w:t>8.7</w:t>
            </w:r>
          </w:p>
        </w:tc>
        <w:tc>
          <w:tcPr>
            <w:tcW w:w="28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16.8</w:t>
            </w:r>
          </w:p>
        </w:tc>
        <w:tc>
          <w:tcPr>
            <w:tcW w:w="160" w:type="dxa"/>
            <w:vAlign w:val="bottom"/>
          </w:tcPr>
          <w:p>
            <w:pPr>
              <w:spacing w:after="0"/>
              <w:rPr>
                <w:sz w:val="15"/>
                <w:szCs w:val="15"/>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5.7</w:t>
            </w:r>
          </w:p>
        </w:tc>
        <w:tc>
          <w:tcPr>
            <w:tcW w:w="16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31.2</w:t>
            </w:r>
          </w:p>
        </w:tc>
        <w:tc>
          <w:tcPr>
            <w:tcW w:w="160" w:type="dxa"/>
            <w:vAlign w:val="bottom"/>
          </w:tcPr>
          <w:p>
            <w:pPr>
              <w:spacing w:after="0"/>
              <w:rPr>
                <w:sz w:val="15"/>
                <w:szCs w:val="15"/>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15"/>
                <w:szCs w:val="15"/>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80"/>
        </w:trPr>
        <w:tc>
          <w:tcPr>
            <w:tcW w:w="3220" w:type="dxa"/>
            <w:vAlign w:val="bottom"/>
          </w:tcPr>
          <w:p>
            <w:pPr>
              <w:ind w:left="160"/>
              <w:spacing w:after="0" w:line="181" w:lineRule="exact"/>
              <w:rPr>
                <w:sz w:val="20"/>
                <w:szCs w:val="20"/>
                <w:color w:val="auto"/>
              </w:rPr>
            </w:pPr>
            <w:r>
              <w:rPr>
                <w:rFonts w:ascii="Arial" w:cs="Arial" w:eastAsia="Arial" w:hAnsi="Arial"/>
                <w:sz w:val="13"/>
                <w:szCs w:val="13"/>
                <w:color w:val="auto"/>
              </w:rPr>
              <w:t>Asset impairments</w:t>
            </w:r>
            <w:r>
              <w:rPr>
                <w:rFonts w:ascii="Arial" w:cs="Arial" w:eastAsia="Arial" w:hAnsi="Arial"/>
                <w:sz w:val="20"/>
                <w:szCs w:val="20"/>
                <w:color w:val="auto"/>
                <w:vertAlign w:val="superscript"/>
              </w:rPr>
              <w:t>(5)</w:t>
            </w:r>
          </w:p>
        </w:tc>
        <w:tc>
          <w:tcPr>
            <w:tcW w:w="380" w:type="dxa"/>
            <w:vAlign w:val="bottom"/>
          </w:tcPr>
          <w:p>
            <w:pPr>
              <w:spacing w:after="0"/>
              <w:rPr>
                <w:sz w:val="15"/>
                <w:szCs w:val="15"/>
                <w:color w:val="auto"/>
              </w:rPr>
            </w:pPr>
          </w:p>
        </w:tc>
        <w:tc>
          <w:tcPr>
            <w:tcW w:w="11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17.0</w:t>
            </w:r>
          </w:p>
        </w:tc>
        <w:tc>
          <w:tcPr>
            <w:tcW w:w="180" w:type="dxa"/>
            <w:vAlign w:val="bottom"/>
          </w:tcPr>
          <w:p>
            <w:pPr>
              <w:spacing w:after="0"/>
              <w:rPr>
                <w:sz w:val="15"/>
                <w:szCs w:val="15"/>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9"/>
        </w:trPr>
        <w:tc>
          <w:tcPr>
            <w:tcW w:w="322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380" w:type="dxa"/>
            <w:vAlign w:val="bottom"/>
          </w:tcPr>
          <w:p>
            <w:pPr>
              <w:spacing w:after="0"/>
              <w:rPr>
                <w:sz w:val="12"/>
                <w:szCs w:val="12"/>
                <w:color w:val="auto"/>
              </w:rPr>
            </w:pPr>
          </w:p>
        </w:tc>
        <w:tc>
          <w:tcPr>
            <w:tcW w:w="11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17.7</w:t>
            </w:r>
          </w:p>
        </w:tc>
        <w:tc>
          <w:tcPr>
            <w:tcW w:w="28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0.9</w:t>
            </w:r>
          </w:p>
        </w:tc>
        <w:tc>
          <w:tcPr>
            <w:tcW w:w="16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0.4</w:t>
            </w:r>
          </w:p>
        </w:tc>
        <w:tc>
          <w:tcPr>
            <w:tcW w:w="160" w:type="dxa"/>
            <w:vAlign w:val="bottom"/>
          </w:tcPr>
          <w:p>
            <w:pPr>
              <w:spacing w:after="0"/>
              <w:rPr>
                <w:sz w:val="12"/>
                <w:szCs w:val="12"/>
                <w:color w:val="auto"/>
              </w:rPr>
            </w:pPr>
          </w:p>
        </w:tc>
        <w:tc>
          <w:tcPr>
            <w:tcW w:w="11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19.0</w:t>
            </w:r>
          </w:p>
        </w:tc>
        <w:tc>
          <w:tcPr>
            <w:tcW w:w="160" w:type="dxa"/>
            <w:vAlign w:val="bottom"/>
          </w:tcPr>
          <w:p>
            <w:pPr>
              <w:spacing w:after="0"/>
              <w:rPr>
                <w:sz w:val="12"/>
                <w:szCs w:val="12"/>
                <w:color w:val="auto"/>
              </w:rPr>
            </w:pP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2.7</w:t>
            </w:r>
          </w:p>
        </w:tc>
        <w:tc>
          <w:tcPr>
            <w:tcW w:w="18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49"/>
        </w:trPr>
        <w:tc>
          <w:tcPr>
            <w:tcW w:w="3220" w:type="dxa"/>
            <w:vAlign w:val="bottom"/>
          </w:tcPr>
          <w:p>
            <w:pPr>
              <w:ind w:left="160"/>
              <w:spacing w:after="0" w:line="149" w:lineRule="exact"/>
              <w:rPr>
                <w:sz w:val="20"/>
                <w:szCs w:val="20"/>
                <w:color w:val="auto"/>
              </w:rPr>
            </w:pPr>
            <w:r>
              <w:rPr>
                <w:rFonts w:ascii="Arial" w:cs="Arial" w:eastAsia="Arial" w:hAnsi="Arial"/>
                <w:sz w:val="14"/>
                <w:szCs w:val="14"/>
                <w:color w:val="auto"/>
              </w:rPr>
              <w:t>Operating income (loss)</w:t>
            </w:r>
          </w:p>
        </w:tc>
        <w:tc>
          <w:tcPr>
            <w:tcW w:w="380" w:type="dxa"/>
            <w:vAlign w:val="bottom"/>
          </w:tcPr>
          <w:p>
            <w:pPr>
              <w:spacing w:after="0"/>
              <w:rPr>
                <w:sz w:val="12"/>
                <w:szCs w:val="12"/>
                <w:color w:val="auto"/>
              </w:rPr>
            </w:pPr>
          </w:p>
        </w:tc>
        <w:tc>
          <w:tcPr>
            <w:tcW w:w="11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65.6</w:t>
            </w:r>
          </w:p>
        </w:tc>
        <w:tc>
          <w:tcPr>
            <w:tcW w:w="28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36.2</w:t>
            </w:r>
          </w:p>
        </w:tc>
        <w:tc>
          <w:tcPr>
            <w:tcW w:w="160" w:type="dxa"/>
            <w:vAlign w:val="bottom"/>
          </w:tcPr>
          <w:p>
            <w:pPr>
              <w:spacing w:after="0"/>
              <w:rPr>
                <w:sz w:val="12"/>
                <w:szCs w:val="12"/>
                <w:color w:val="auto"/>
              </w:rPr>
            </w:pP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(1.9)</w:t>
            </w:r>
          </w:p>
        </w:tc>
        <w:tc>
          <w:tcPr>
            <w:tcW w:w="160" w:type="dxa"/>
            <w:vAlign w:val="bottom"/>
          </w:tcPr>
          <w:p>
            <w:pPr>
              <w:spacing w:after="0"/>
              <w:rPr>
                <w:sz w:val="12"/>
                <w:szCs w:val="12"/>
                <w:color w:val="auto"/>
              </w:rPr>
            </w:pPr>
          </w:p>
        </w:tc>
        <w:tc>
          <w:tcPr>
            <w:tcW w:w="11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(73.5)</w:t>
            </w:r>
          </w:p>
        </w:tc>
        <w:tc>
          <w:tcPr>
            <w:tcW w:w="16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26.4</w:t>
            </w:r>
          </w:p>
        </w:tc>
        <w:tc>
          <w:tcPr>
            <w:tcW w:w="160" w:type="dxa"/>
            <w:vAlign w:val="bottom"/>
          </w:tcPr>
          <w:p>
            <w:pPr>
              <w:spacing w:after="0"/>
              <w:rPr>
                <w:sz w:val="12"/>
                <w:szCs w:val="12"/>
                <w:color w:val="auto"/>
              </w:rPr>
            </w:pPr>
          </w:p>
        </w:tc>
        <w:tc>
          <w:tcPr>
            <w:tcW w:w="11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(3.0)</w:t>
            </w:r>
          </w:p>
        </w:tc>
        <w:tc>
          <w:tcPr>
            <w:tcW w:w="18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49"/>
        </w:trPr>
        <w:tc>
          <w:tcPr>
            <w:tcW w:w="3220" w:type="dxa"/>
            <w:vAlign w:val="bottom"/>
          </w:tcPr>
          <w:p>
            <w:pPr>
              <w:ind w:left="160"/>
              <w:spacing w:after="0" w:line="149" w:lineRule="exact"/>
              <w:rPr>
                <w:sz w:val="20"/>
                <w:szCs w:val="20"/>
                <w:color w:val="auto"/>
              </w:rPr>
            </w:pPr>
            <w:r>
              <w:rPr>
                <w:rFonts w:ascii="Arial" w:cs="Arial" w:eastAsia="Arial" w:hAnsi="Arial"/>
                <w:sz w:val="14"/>
                <w:szCs w:val="14"/>
                <w:color w:val="auto"/>
              </w:rPr>
              <w:t>Segment assets</w:t>
            </w:r>
          </w:p>
        </w:tc>
        <w:tc>
          <w:tcPr>
            <w:tcW w:w="380" w:type="dxa"/>
            <w:vAlign w:val="bottom"/>
          </w:tcPr>
          <w:p>
            <w:pPr>
              <w:spacing w:after="0"/>
              <w:rPr>
                <w:sz w:val="12"/>
                <w:szCs w:val="12"/>
                <w:color w:val="auto"/>
              </w:rPr>
            </w:pPr>
          </w:p>
        </w:tc>
        <w:tc>
          <w:tcPr>
            <w:tcW w:w="11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543.0</w:t>
            </w:r>
          </w:p>
        </w:tc>
        <w:tc>
          <w:tcPr>
            <w:tcW w:w="28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319.1</w:t>
            </w:r>
          </w:p>
        </w:tc>
        <w:tc>
          <w:tcPr>
            <w:tcW w:w="16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58.4</w:t>
            </w:r>
          </w:p>
        </w:tc>
        <w:tc>
          <w:tcPr>
            <w:tcW w:w="160" w:type="dxa"/>
            <w:vAlign w:val="bottom"/>
          </w:tcPr>
          <w:p>
            <w:pPr>
              <w:spacing w:after="0"/>
              <w:rPr>
                <w:sz w:val="12"/>
                <w:szCs w:val="12"/>
                <w:color w:val="auto"/>
              </w:rPr>
            </w:pPr>
          </w:p>
        </w:tc>
        <w:tc>
          <w:tcPr>
            <w:tcW w:w="11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463.2</w:t>
            </w:r>
          </w:p>
        </w:tc>
        <w:tc>
          <w:tcPr>
            <w:tcW w:w="16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1,383.7</w:t>
            </w:r>
          </w:p>
        </w:tc>
        <w:tc>
          <w:tcPr>
            <w:tcW w:w="160" w:type="dxa"/>
            <w:vAlign w:val="bottom"/>
          </w:tcPr>
          <w:p>
            <w:pPr>
              <w:spacing w:after="0"/>
              <w:rPr>
                <w:sz w:val="12"/>
                <w:szCs w:val="12"/>
                <w:color w:val="auto"/>
              </w:rPr>
            </w:pP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225.8</w:t>
            </w:r>
          </w:p>
        </w:tc>
        <w:tc>
          <w:tcPr>
            <w:tcW w:w="18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w w:val="89"/>
              </w:rPr>
              <w:t>1,609.5</w:t>
            </w:r>
          </w:p>
        </w:tc>
        <w:tc>
          <w:tcPr>
            <w:tcW w:w="0" w:type="dxa"/>
            <w:vAlign w:val="bottom"/>
          </w:tcPr>
          <w:p>
            <w:pPr>
              <w:spacing w:after="0"/>
              <w:rPr>
                <w:sz w:val="1"/>
                <w:szCs w:val="1"/>
                <w:color w:val="auto"/>
              </w:rPr>
            </w:pPr>
          </w:p>
        </w:tc>
      </w:tr>
      <w:tr>
        <w:trPr>
          <w:trHeight w:val="149"/>
        </w:trPr>
        <w:tc>
          <w:tcPr>
            <w:tcW w:w="3220" w:type="dxa"/>
            <w:vAlign w:val="bottom"/>
          </w:tcPr>
          <w:p>
            <w:pPr>
              <w:ind w:left="160"/>
              <w:spacing w:after="0" w:line="149" w:lineRule="exact"/>
              <w:rPr>
                <w:sz w:val="20"/>
                <w:szCs w:val="20"/>
                <w:color w:val="auto"/>
              </w:rPr>
            </w:pPr>
            <w:r>
              <w:rPr>
                <w:rFonts w:ascii="Arial" w:cs="Arial" w:eastAsia="Arial" w:hAnsi="Arial"/>
                <w:sz w:val="14"/>
                <w:szCs w:val="14"/>
                <w:color w:val="auto"/>
              </w:rPr>
              <w:t>Goodwill</w:t>
            </w:r>
          </w:p>
        </w:tc>
        <w:tc>
          <w:tcPr>
            <w:tcW w:w="380" w:type="dxa"/>
            <w:vAlign w:val="bottom"/>
          </w:tcPr>
          <w:p>
            <w:pPr>
              <w:spacing w:after="0"/>
              <w:rPr>
                <w:sz w:val="12"/>
                <w:szCs w:val="12"/>
                <w:color w:val="auto"/>
              </w:rPr>
            </w:pPr>
          </w:p>
        </w:tc>
        <w:tc>
          <w:tcPr>
            <w:tcW w:w="11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38.2</w:t>
            </w:r>
          </w:p>
        </w:tc>
        <w:tc>
          <w:tcPr>
            <w:tcW w:w="28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88.4</w:t>
            </w:r>
          </w:p>
        </w:tc>
        <w:tc>
          <w:tcPr>
            <w:tcW w:w="16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5.8</w:t>
            </w:r>
          </w:p>
        </w:tc>
        <w:tc>
          <w:tcPr>
            <w:tcW w:w="160" w:type="dxa"/>
            <w:vAlign w:val="bottom"/>
          </w:tcPr>
          <w:p>
            <w:pPr>
              <w:spacing w:after="0"/>
              <w:rPr>
                <w:sz w:val="12"/>
                <w:szCs w:val="12"/>
                <w:color w:val="auto"/>
              </w:rPr>
            </w:pPr>
          </w:p>
        </w:tc>
        <w:tc>
          <w:tcPr>
            <w:tcW w:w="11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132.4</w:t>
            </w:r>
          </w:p>
        </w:tc>
        <w:tc>
          <w:tcPr>
            <w:tcW w:w="160" w:type="dxa"/>
            <w:vAlign w:val="bottom"/>
          </w:tcPr>
          <w:p>
            <w:pPr>
              <w:spacing w:after="0"/>
              <w:rPr>
                <w:sz w:val="12"/>
                <w:szCs w:val="12"/>
                <w:color w:val="auto"/>
              </w:rPr>
            </w:pPr>
          </w:p>
        </w:tc>
        <w:tc>
          <w:tcPr>
            <w:tcW w:w="11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8.6</w:t>
            </w:r>
          </w:p>
        </w:tc>
        <w:tc>
          <w:tcPr>
            <w:tcW w:w="18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141.0</w:t>
            </w:r>
          </w:p>
        </w:tc>
        <w:tc>
          <w:tcPr>
            <w:tcW w:w="0" w:type="dxa"/>
            <w:vAlign w:val="bottom"/>
          </w:tcPr>
          <w:p>
            <w:pPr>
              <w:spacing w:after="0"/>
              <w:rPr>
                <w:sz w:val="1"/>
                <w:szCs w:val="1"/>
                <w:color w:val="auto"/>
              </w:rPr>
            </w:pPr>
          </w:p>
        </w:tc>
      </w:tr>
      <w:tr>
        <w:trPr>
          <w:trHeight w:val="144"/>
        </w:trPr>
        <w:tc>
          <w:tcPr>
            <w:tcW w:w="3220" w:type="dxa"/>
            <w:vAlign w:val="bottom"/>
          </w:tcPr>
          <w:p>
            <w:pPr>
              <w:ind w:left="160"/>
              <w:spacing w:after="0" w:line="144" w:lineRule="exact"/>
              <w:rPr>
                <w:sz w:val="20"/>
                <w:szCs w:val="20"/>
                <w:color w:val="auto"/>
              </w:rPr>
            </w:pPr>
            <w:r>
              <w:rPr>
                <w:rFonts w:ascii="Arial" w:cs="Arial" w:eastAsia="Arial" w:hAnsi="Arial"/>
                <w:sz w:val="14"/>
                <w:szCs w:val="14"/>
                <w:color w:val="auto"/>
                <w:w w:val="96"/>
              </w:rPr>
              <w:t>Expenditures for long-lived assets including royalty</w:t>
            </w: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220" w:type="dxa"/>
            <w:vAlign w:val="bottom"/>
          </w:tcPr>
          <w:p>
            <w:pPr>
              <w:ind w:left="320"/>
              <w:spacing w:after="0" w:line="176" w:lineRule="exact"/>
              <w:rPr>
                <w:sz w:val="20"/>
                <w:szCs w:val="20"/>
                <w:color w:val="auto"/>
              </w:rPr>
            </w:pPr>
            <w:r>
              <w:rPr>
                <w:rFonts w:ascii="Arial" w:cs="Arial" w:eastAsia="Arial" w:hAnsi="Arial"/>
                <w:sz w:val="13"/>
                <w:szCs w:val="13"/>
                <w:color w:val="auto"/>
              </w:rPr>
              <w:t>advances</w:t>
            </w:r>
            <w:r>
              <w:rPr>
                <w:rFonts w:ascii="Arial" w:cs="Arial" w:eastAsia="Arial" w:hAnsi="Arial"/>
                <w:sz w:val="20"/>
                <w:szCs w:val="20"/>
                <w:color w:val="auto"/>
                <w:vertAlign w:val="superscript"/>
              </w:rPr>
              <w:t>(6)</w:t>
            </w:r>
          </w:p>
        </w:tc>
        <w:tc>
          <w:tcPr>
            <w:tcW w:w="380" w:type="dxa"/>
            <w:vAlign w:val="bottom"/>
          </w:tcPr>
          <w:p>
            <w:pPr>
              <w:spacing w:after="0"/>
              <w:rPr>
                <w:sz w:val="15"/>
                <w:szCs w:val="15"/>
                <w:color w:val="auto"/>
              </w:rPr>
            </w:pPr>
          </w:p>
        </w:tc>
        <w:tc>
          <w:tcPr>
            <w:tcW w:w="1180" w:type="dxa"/>
            <w:vAlign w:val="bottom"/>
          </w:tcPr>
          <w:p>
            <w:pPr>
              <w:jc w:val="right"/>
              <w:ind w:right="92"/>
              <w:spacing w:after="0"/>
              <w:rPr>
                <w:sz w:val="20"/>
                <w:szCs w:val="20"/>
                <w:color w:val="auto"/>
              </w:rPr>
            </w:pPr>
            <w:r>
              <w:rPr>
                <w:rFonts w:ascii="Arial" w:cs="Arial" w:eastAsia="Arial" w:hAnsi="Arial"/>
                <w:sz w:val="14"/>
                <w:szCs w:val="14"/>
                <w:color w:val="auto"/>
              </w:rPr>
              <w:t>36.7</w:t>
            </w:r>
          </w:p>
        </w:tc>
        <w:tc>
          <w:tcPr>
            <w:tcW w:w="28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25.9</w:t>
            </w:r>
          </w:p>
        </w:tc>
        <w:tc>
          <w:tcPr>
            <w:tcW w:w="160" w:type="dxa"/>
            <w:vAlign w:val="bottom"/>
          </w:tcPr>
          <w:p>
            <w:pPr>
              <w:spacing w:after="0"/>
              <w:rPr>
                <w:sz w:val="15"/>
                <w:szCs w:val="15"/>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9.7</w:t>
            </w:r>
          </w:p>
        </w:tc>
        <w:tc>
          <w:tcPr>
            <w:tcW w:w="16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17.8</w:t>
            </w:r>
          </w:p>
        </w:tc>
        <w:tc>
          <w:tcPr>
            <w:tcW w:w="16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90.1</w:t>
            </w:r>
          </w:p>
        </w:tc>
        <w:tc>
          <w:tcPr>
            <w:tcW w:w="160" w:type="dxa"/>
            <w:vAlign w:val="bottom"/>
          </w:tcPr>
          <w:p>
            <w:pPr>
              <w:spacing w:after="0"/>
              <w:rPr>
                <w:sz w:val="15"/>
                <w:szCs w:val="15"/>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7.4</w:t>
            </w:r>
          </w:p>
        </w:tc>
        <w:tc>
          <w:tcPr>
            <w:tcW w:w="180" w:type="dxa"/>
            <w:vAlign w:val="bottom"/>
          </w:tcPr>
          <w:p>
            <w:pPr>
              <w:spacing w:after="0"/>
              <w:rPr>
                <w:sz w:val="15"/>
                <w:szCs w:val="15"/>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97.5</w:t>
            </w:r>
          </w:p>
        </w:tc>
        <w:tc>
          <w:tcPr>
            <w:tcW w:w="0" w:type="dxa"/>
            <w:vAlign w:val="bottom"/>
          </w:tcPr>
          <w:p>
            <w:pPr>
              <w:spacing w:after="0"/>
              <w:rPr>
                <w:sz w:val="1"/>
                <w:szCs w:val="1"/>
                <w:color w:val="auto"/>
              </w:rPr>
            </w:pPr>
          </w:p>
        </w:tc>
      </w:tr>
      <w:tr>
        <w:trPr>
          <w:trHeight w:val="296"/>
        </w:trPr>
        <w:tc>
          <w:tcPr>
            <w:tcW w:w="3220" w:type="dxa"/>
            <w:vAlign w:val="bottom"/>
            <w:tcBorders>
              <w:bottom w:val="single" w:sz="8" w:color="808080"/>
            </w:tcBorders>
          </w:tcPr>
          <w:p>
            <w:pPr>
              <w:ind w:left="160"/>
              <w:spacing w:after="0"/>
              <w:rPr>
                <w:sz w:val="20"/>
                <w:szCs w:val="20"/>
                <w:color w:val="auto"/>
              </w:rPr>
            </w:pPr>
            <w:r>
              <w:rPr>
                <w:rFonts w:ascii="Arial" w:cs="Arial" w:eastAsia="Arial" w:hAnsi="Arial"/>
                <w:sz w:val="14"/>
                <w:szCs w:val="14"/>
                <w:color w:val="auto"/>
              </w:rPr>
              <w:t>Long-lived assets</w:t>
            </w:r>
            <w:r>
              <w:rPr>
                <w:rFonts w:ascii="Arial" w:cs="Arial" w:eastAsia="Arial" w:hAnsi="Arial"/>
                <w:sz w:val="22"/>
                <w:szCs w:val="22"/>
                <w:color w:val="auto"/>
                <w:vertAlign w:val="superscript"/>
              </w:rPr>
              <w:t>(7)</w:t>
            </w:r>
          </w:p>
        </w:tc>
        <w:tc>
          <w:tcPr>
            <w:tcW w:w="3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jc w:val="right"/>
              <w:ind w:right="92"/>
              <w:spacing w:after="0"/>
              <w:rPr>
                <w:sz w:val="20"/>
                <w:szCs w:val="20"/>
                <w:color w:val="auto"/>
              </w:rPr>
            </w:pPr>
            <w:r>
              <w:rPr>
                <w:rFonts w:ascii="Arial" w:cs="Arial" w:eastAsia="Arial" w:hAnsi="Arial"/>
                <w:sz w:val="14"/>
                <w:szCs w:val="14"/>
                <w:color w:val="auto"/>
              </w:rPr>
              <w:t>175.8</w:t>
            </w:r>
          </w:p>
        </w:tc>
        <w:tc>
          <w:tcPr>
            <w:tcW w:w="2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jc w:val="right"/>
              <w:ind w:right="72"/>
              <w:spacing w:after="0"/>
              <w:rPr>
                <w:sz w:val="20"/>
                <w:szCs w:val="20"/>
                <w:color w:val="auto"/>
              </w:rPr>
            </w:pPr>
            <w:r>
              <w:rPr>
                <w:rFonts w:ascii="Arial" w:cs="Arial" w:eastAsia="Arial" w:hAnsi="Arial"/>
                <w:sz w:val="14"/>
                <w:szCs w:val="14"/>
                <w:color w:val="auto"/>
              </w:rPr>
              <w:t>203.6</w:t>
            </w:r>
          </w:p>
        </w:tc>
        <w:tc>
          <w:tcPr>
            <w:tcW w:w="16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jc w:val="right"/>
              <w:ind w:right="52"/>
              <w:spacing w:after="0"/>
              <w:rPr>
                <w:sz w:val="20"/>
                <w:szCs w:val="20"/>
                <w:color w:val="auto"/>
              </w:rPr>
            </w:pPr>
            <w:r>
              <w:rPr>
                <w:rFonts w:ascii="Arial" w:cs="Arial" w:eastAsia="Arial" w:hAnsi="Arial"/>
                <w:sz w:val="14"/>
                <w:szCs w:val="14"/>
                <w:color w:val="auto"/>
              </w:rPr>
              <w:t>27.5</w:t>
            </w:r>
          </w:p>
        </w:tc>
        <w:tc>
          <w:tcPr>
            <w:tcW w:w="1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jc w:val="right"/>
              <w:ind w:right="72"/>
              <w:spacing w:after="0"/>
              <w:rPr>
                <w:sz w:val="20"/>
                <w:szCs w:val="20"/>
                <w:color w:val="auto"/>
              </w:rPr>
            </w:pPr>
            <w:r>
              <w:rPr>
                <w:rFonts w:ascii="Arial" w:cs="Arial" w:eastAsia="Arial" w:hAnsi="Arial"/>
                <w:sz w:val="14"/>
                <w:szCs w:val="14"/>
                <w:color w:val="auto"/>
              </w:rPr>
              <w:t>223.7</w:t>
            </w:r>
          </w:p>
        </w:tc>
        <w:tc>
          <w:tcPr>
            <w:tcW w:w="1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jc w:val="right"/>
              <w:ind w:right="52"/>
              <w:spacing w:after="0"/>
              <w:rPr>
                <w:sz w:val="20"/>
                <w:szCs w:val="20"/>
                <w:color w:val="auto"/>
              </w:rPr>
            </w:pPr>
            <w:r>
              <w:rPr>
                <w:rFonts w:ascii="Arial" w:cs="Arial" w:eastAsia="Arial" w:hAnsi="Arial"/>
                <w:sz w:val="14"/>
                <w:szCs w:val="14"/>
                <w:color w:val="auto"/>
              </w:rPr>
              <w:t>630.6</w:t>
            </w:r>
          </w:p>
        </w:tc>
        <w:tc>
          <w:tcPr>
            <w:tcW w:w="1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jc w:val="right"/>
              <w:ind w:right="72"/>
              <w:spacing w:after="0"/>
              <w:rPr>
                <w:sz w:val="20"/>
                <w:szCs w:val="20"/>
                <w:color w:val="auto"/>
              </w:rPr>
            </w:pPr>
            <w:r>
              <w:rPr>
                <w:rFonts w:ascii="Arial" w:cs="Arial" w:eastAsia="Arial" w:hAnsi="Arial"/>
                <w:sz w:val="14"/>
                <w:szCs w:val="14"/>
                <w:color w:val="auto"/>
              </w:rPr>
              <w:t>62.9</w:t>
            </w:r>
          </w:p>
        </w:tc>
        <w:tc>
          <w:tcPr>
            <w:tcW w:w="1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jc w:val="right"/>
              <w:ind w:right="72"/>
              <w:spacing w:after="0"/>
              <w:rPr>
                <w:sz w:val="20"/>
                <w:szCs w:val="20"/>
                <w:color w:val="auto"/>
              </w:rPr>
            </w:pPr>
            <w:r>
              <w:rPr>
                <w:rFonts w:ascii="Arial" w:cs="Arial" w:eastAsia="Arial" w:hAnsi="Arial"/>
                <w:sz w:val="14"/>
                <w:szCs w:val="14"/>
                <w:color w:val="auto"/>
              </w:rPr>
              <w:t>693.5</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3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right="100" w:hanging="452"/>
        <w:spacing w:after="0" w:line="29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During fiscal 2008, the Company determined to sell or shut down its domestic, Canadian and United Kingdom continuities businesses, and intends to sell the Maumelle Facility and the Danbury Facility. During fiscal 2009, the Company also ceased its operations in Argentina and Mexico, its door-to-door selling operations in Puerto Rico, as well as its continuities business in Australia and New Zealand, its corporate book fairs business and closed its Scarsdale, NY store. The Company also sold a trade magazine. Additionally, the Company sold a non-core market research business and a non-core on-line resource for teachers business. In fiscal 2010, the Company sold a previously discontinued non-core book distribution business. All of the above businesses are classified as discontinued operations in the Company’s financial statements and, as such, are not reflected in this table.</w:t>
      </w:r>
    </w:p>
    <w:p>
      <w:pPr>
        <w:spacing w:after="0" w:line="106" w:lineRule="exact"/>
        <w:rPr>
          <w:rFonts w:ascii="Arial" w:cs="Arial" w:eastAsia="Arial" w:hAnsi="Arial"/>
          <w:sz w:val="16"/>
          <w:szCs w:val="16"/>
          <w:color w:val="auto"/>
        </w:rPr>
      </w:pPr>
    </w:p>
    <w:p>
      <w:pPr>
        <w:ind w:left="46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Overhead includes all domestic corporate amounts not allocated to segments, including expenses and costs related to the management of corporate assets. Unallocated assets are principally comprised of deferred income taxes and property, plant and equipment related to the Company’s headquarters in the metropolitan New York area and its fulfillment and distribution facilities located in Missouri.</w:t>
      </w:r>
    </w:p>
    <w:p>
      <w:pPr>
        <w:spacing w:after="0" w:line="126"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Includes depreciation of property, plant and equipment and amortization of intangible assets.</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Includes amortization of prepublication costs and production costs.</w:t>
      </w:r>
    </w:p>
    <w:p>
      <w:pPr>
        <w:spacing w:after="0" w:line="157" w:lineRule="exact"/>
        <w:rPr>
          <w:rFonts w:ascii="Arial" w:cs="Arial" w:eastAsia="Arial" w:hAnsi="Arial"/>
          <w:sz w:val="18"/>
          <w:szCs w:val="18"/>
          <w:color w:val="auto"/>
        </w:rPr>
      </w:pPr>
    </w:p>
    <w:p>
      <w:pPr>
        <w:ind w:left="460" w:right="180" w:hanging="452"/>
        <w:spacing w:after="0" w:line="256"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During fiscal 2009, the Company recorded an impairment charge related to United Kingdom goodwill. In fiscal 2010, the Company recorded intangible asset impairments primarily related to library-specific titles, certain prepublication costs and a United Kingdom customer list acquired during the fiscal year. See Note 7, “Goodwill and Other Intangibles,” of Notes to Condensed Consolidated Financial Statements – Unaudited in Item 1, “Financial Statements.”</w:t>
      </w:r>
    </w:p>
    <w:p>
      <w:pPr>
        <w:spacing w:after="0" w:line="12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Includes property, plant and equipment, prepublication costs, royalty advances and production costs.</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Includes property, plant and equipment, prepublication costs, goodwill, other intangibles, royalty advances, production costs and long-term investments.</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382" w:right="2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debt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2240" w:type="dxa"/>
            <w:vAlign w:val="bottom"/>
            <w:gridSpan w:val="2"/>
          </w:tcPr>
          <w:p>
            <w:pPr>
              <w:jc w:val="right"/>
              <w:ind w:right="152"/>
              <w:spacing w:after="0"/>
              <w:rPr>
                <w:sz w:val="20"/>
                <w:szCs w:val="20"/>
                <w:color w:val="auto"/>
              </w:rPr>
            </w:pPr>
            <w:r>
              <w:rPr>
                <w:rFonts w:ascii="Arial" w:cs="Arial" w:eastAsia="Arial" w:hAnsi="Arial"/>
                <w:sz w:val="18"/>
                <w:szCs w:val="18"/>
                <w:b w:val="1"/>
                <w:bCs w:val="1"/>
                <w:i w:val="1"/>
                <w:iCs w:val="1"/>
                <w:color w:val="auto"/>
              </w:rPr>
              <w:t>February 28, 2010</w:t>
            </w:r>
          </w:p>
        </w:tc>
        <w:tc>
          <w:tcPr>
            <w:tcW w:w="1480" w:type="dxa"/>
            <w:vAlign w:val="bottom"/>
          </w:tcPr>
          <w:p>
            <w:pPr>
              <w:jc w:val="right"/>
              <w:ind w:right="192"/>
              <w:spacing w:after="0"/>
              <w:rPr>
                <w:sz w:val="20"/>
                <w:szCs w:val="20"/>
                <w:color w:val="auto"/>
              </w:rPr>
            </w:pPr>
            <w:r>
              <w:rPr>
                <w:rFonts w:ascii="Arial" w:cs="Arial" w:eastAsia="Arial" w:hAnsi="Arial"/>
                <w:sz w:val="18"/>
                <w:szCs w:val="18"/>
                <w:b w:val="1"/>
                <w:bCs w:val="1"/>
                <w:i w:val="1"/>
                <w:iCs w:val="1"/>
                <w:color w:val="auto"/>
              </w:rPr>
              <w:t>May 31, 2009</w:t>
            </w:r>
          </w:p>
        </w:tc>
        <w:tc>
          <w:tcPr>
            <w:tcW w:w="1900" w:type="dxa"/>
            <w:vAlign w:val="bottom"/>
            <w:gridSpan w:val="2"/>
          </w:tcPr>
          <w:p>
            <w:pPr>
              <w:jc w:val="right"/>
              <w:ind w:right="192"/>
              <w:spacing w:after="0"/>
              <w:rPr>
                <w:sz w:val="20"/>
                <w:szCs w:val="20"/>
                <w:color w:val="auto"/>
              </w:rPr>
            </w:pPr>
            <w:r>
              <w:rPr>
                <w:rFonts w:ascii="Arial" w:cs="Arial" w:eastAsia="Arial" w:hAnsi="Arial"/>
                <w:sz w:val="18"/>
                <w:szCs w:val="18"/>
                <w:b w:val="1"/>
                <w:bCs w:val="1"/>
                <w:i w:val="1"/>
                <w:iCs w:val="1"/>
                <w:color w:val="auto"/>
              </w:rPr>
              <w:t>February 28, 2009</w:t>
            </w:r>
          </w:p>
        </w:tc>
      </w:tr>
      <w:tr>
        <w:trPr>
          <w:trHeight w:val="110"/>
        </w:trPr>
        <w:tc>
          <w:tcPr>
            <w:tcW w:w="58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309"/>
        </w:trPr>
        <w:tc>
          <w:tcPr>
            <w:tcW w:w="5820" w:type="dxa"/>
            <w:vAlign w:val="bottom"/>
          </w:tcPr>
          <w:p>
            <w:pPr>
              <w:spacing w:after="0"/>
              <w:rPr>
                <w:sz w:val="20"/>
                <w:szCs w:val="20"/>
                <w:color w:val="auto"/>
              </w:rPr>
            </w:pPr>
            <w:r>
              <w:rPr>
                <w:rFonts w:ascii="Arial" w:cs="Arial" w:eastAsia="Arial" w:hAnsi="Arial"/>
                <w:sz w:val="18"/>
                <w:szCs w:val="18"/>
                <w:color w:val="auto"/>
                <w:w w:val="99"/>
              </w:rPr>
              <w:t>Lines of Credit (weighted average interest rates of 3.9%, 3.3% and 3.8%,</w:t>
            </w: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582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52"/>
              <w:spacing w:after="0"/>
              <w:rPr>
                <w:sz w:val="20"/>
                <w:szCs w:val="20"/>
                <w:color w:val="auto"/>
              </w:rPr>
            </w:pPr>
            <w:r>
              <w:rPr>
                <w:rFonts w:ascii="Arial" w:cs="Arial" w:eastAsia="Arial" w:hAnsi="Arial"/>
                <w:sz w:val="18"/>
                <w:szCs w:val="18"/>
                <w:color w:val="auto"/>
              </w:rPr>
              <w:t>9.4</w:t>
            </w:r>
          </w:p>
        </w:tc>
        <w:tc>
          <w:tcPr>
            <w:tcW w:w="1480" w:type="dxa"/>
            <w:vAlign w:val="bottom"/>
          </w:tcPr>
          <w:p>
            <w:pPr>
              <w:jc w:val="right"/>
              <w:ind w:right="372"/>
              <w:spacing w:after="0"/>
              <w:rPr>
                <w:sz w:val="20"/>
                <w:szCs w:val="20"/>
                <w:color w:val="auto"/>
              </w:rPr>
            </w:pPr>
            <w:r>
              <w:rPr>
                <w:rFonts w:ascii="Arial" w:cs="Arial" w:eastAsia="Arial" w:hAnsi="Arial"/>
                <w:sz w:val="18"/>
                <w:szCs w:val="18"/>
                <w:color w:val="auto"/>
              </w:rPr>
              <w:t>$  10.9</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32"/>
              <w:spacing w:after="0"/>
              <w:rPr>
                <w:sz w:val="20"/>
                <w:szCs w:val="20"/>
                <w:color w:val="auto"/>
              </w:rPr>
            </w:pPr>
            <w:r>
              <w:rPr>
                <w:rFonts w:ascii="Arial" w:cs="Arial" w:eastAsia="Arial" w:hAnsi="Arial"/>
                <w:sz w:val="18"/>
                <w:szCs w:val="18"/>
                <w:color w:val="auto"/>
              </w:rPr>
              <w:t>9.8</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Loan Agreement:</w:t>
            </w: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820" w:type="dxa"/>
            <w:vAlign w:val="bottom"/>
          </w:tcPr>
          <w:p>
            <w:pPr>
              <w:ind w:left="160"/>
              <w:spacing w:after="0"/>
              <w:rPr>
                <w:sz w:val="20"/>
                <w:szCs w:val="20"/>
                <w:color w:val="auto"/>
              </w:rPr>
            </w:pPr>
            <w:r>
              <w:rPr>
                <w:rFonts w:ascii="Arial" w:cs="Arial" w:eastAsia="Arial" w:hAnsi="Arial"/>
                <w:sz w:val="18"/>
                <w:szCs w:val="18"/>
                <w:color w:val="auto"/>
              </w:rPr>
              <w:t>Term Loan (interest rates of 1.0%, 1.2% and 1.4%, respectively)</w:t>
            </w:r>
          </w:p>
        </w:tc>
        <w:tc>
          <w:tcPr>
            <w:tcW w:w="1180" w:type="dxa"/>
            <w:vAlign w:val="bottom"/>
          </w:tcPr>
          <w:p>
            <w:pPr>
              <w:spacing w:after="0"/>
              <w:rPr>
                <w:sz w:val="18"/>
                <w:szCs w:val="18"/>
                <w:color w:val="auto"/>
              </w:rPr>
            </w:pPr>
          </w:p>
        </w:tc>
        <w:tc>
          <w:tcPr>
            <w:tcW w:w="1060" w:type="dxa"/>
            <w:vAlign w:val="bottom"/>
          </w:tcPr>
          <w:p>
            <w:pPr>
              <w:jc w:val="right"/>
              <w:ind w:right="452"/>
              <w:spacing w:after="0"/>
              <w:rPr>
                <w:sz w:val="20"/>
                <w:szCs w:val="20"/>
                <w:color w:val="auto"/>
              </w:rPr>
            </w:pPr>
            <w:r>
              <w:rPr>
                <w:rFonts w:ascii="Arial" w:cs="Arial" w:eastAsia="Arial" w:hAnsi="Arial"/>
                <w:sz w:val="18"/>
                <w:szCs w:val="18"/>
                <w:color w:val="auto"/>
              </w:rPr>
              <w:t>103.7</w:t>
            </w:r>
          </w:p>
        </w:tc>
        <w:tc>
          <w:tcPr>
            <w:tcW w:w="1480" w:type="dxa"/>
            <w:vAlign w:val="bottom"/>
          </w:tcPr>
          <w:p>
            <w:pPr>
              <w:jc w:val="right"/>
              <w:ind w:right="372"/>
              <w:spacing w:after="0"/>
              <w:rPr>
                <w:sz w:val="20"/>
                <w:szCs w:val="20"/>
                <w:color w:val="auto"/>
              </w:rPr>
            </w:pPr>
            <w:r>
              <w:rPr>
                <w:rFonts w:ascii="Arial" w:cs="Arial" w:eastAsia="Arial" w:hAnsi="Arial"/>
                <w:sz w:val="18"/>
                <w:szCs w:val="18"/>
                <w:color w:val="auto"/>
              </w:rPr>
              <w:t>135.8</w:t>
            </w:r>
          </w:p>
        </w:tc>
        <w:tc>
          <w:tcPr>
            <w:tcW w:w="840" w:type="dxa"/>
            <w:vAlign w:val="bottom"/>
          </w:tcPr>
          <w:p>
            <w:pPr>
              <w:spacing w:after="0"/>
              <w:rPr>
                <w:sz w:val="18"/>
                <w:szCs w:val="18"/>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color w:val="auto"/>
              </w:rPr>
              <w:t>146.5</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5% Notes due 2013, net of discount</w:t>
            </w:r>
          </w:p>
        </w:tc>
        <w:tc>
          <w:tcPr>
            <w:tcW w:w="1180" w:type="dxa"/>
            <w:vAlign w:val="bottom"/>
          </w:tcPr>
          <w:p>
            <w:pPr>
              <w:spacing w:after="0"/>
              <w:rPr>
                <w:sz w:val="19"/>
                <w:szCs w:val="19"/>
                <w:color w:val="auto"/>
              </w:rPr>
            </w:pPr>
          </w:p>
        </w:tc>
        <w:tc>
          <w:tcPr>
            <w:tcW w:w="1060" w:type="dxa"/>
            <w:vAlign w:val="bottom"/>
          </w:tcPr>
          <w:p>
            <w:pPr>
              <w:jc w:val="right"/>
              <w:ind w:right="452"/>
              <w:spacing w:after="0"/>
              <w:rPr>
                <w:sz w:val="20"/>
                <w:szCs w:val="20"/>
                <w:color w:val="auto"/>
              </w:rPr>
            </w:pPr>
            <w:r>
              <w:rPr>
                <w:rFonts w:ascii="Arial" w:cs="Arial" w:eastAsia="Arial" w:hAnsi="Arial"/>
                <w:sz w:val="18"/>
                <w:szCs w:val="18"/>
                <w:color w:val="auto"/>
              </w:rPr>
              <w:t>152.2</w:t>
            </w:r>
          </w:p>
        </w:tc>
        <w:tc>
          <w:tcPr>
            <w:tcW w:w="1480" w:type="dxa"/>
            <w:vAlign w:val="bottom"/>
          </w:tcPr>
          <w:p>
            <w:pPr>
              <w:jc w:val="right"/>
              <w:ind w:right="372"/>
              <w:spacing w:after="0"/>
              <w:rPr>
                <w:sz w:val="20"/>
                <w:szCs w:val="20"/>
                <w:color w:val="auto"/>
              </w:rPr>
            </w:pPr>
            <w:r>
              <w:rPr>
                <w:rFonts w:ascii="Arial" w:cs="Arial" w:eastAsia="Arial" w:hAnsi="Arial"/>
                <w:sz w:val="18"/>
                <w:szCs w:val="18"/>
                <w:color w:val="auto"/>
              </w:rPr>
              <w:t>157.0</w:t>
            </w:r>
          </w:p>
        </w:tc>
        <w:tc>
          <w:tcPr>
            <w:tcW w:w="84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color w:val="auto"/>
              </w:rPr>
              <w:t>159.0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Total debt</w:t>
            </w:r>
          </w:p>
        </w:tc>
        <w:tc>
          <w:tcPr>
            <w:tcW w:w="2040" w:type="dxa"/>
            <w:vAlign w:val="bottom"/>
          </w:tcPr>
          <w:p>
            <w:pPr>
              <w:jc w:val="right"/>
              <w:ind w:right="412"/>
              <w:spacing w:after="0"/>
              <w:rPr>
                <w:sz w:val="20"/>
                <w:szCs w:val="20"/>
                <w:color w:val="auto"/>
              </w:rPr>
            </w:pPr>
            <w:r>
              <w:rPr>
                <w:rFonts w:ascii="Arial" w:cs="Arial" w:eastAsia="Arial" w:hAnsi="Arial"/>
                <w:sz w:val="18"/>
                <w:szCs w:val="18"/>
                <w:b w:val="1"/>
                <w:bCs w:val="1"/>
                <w:color w:val="auto"/>
              </w:rPr>
              <w:t>265.3</w:t>
            </w:r>
          </w:p>
        </w:tc>
        <w:tc>
          <w:tcPr>
            <w:tcW w:w="1620" w:type="dxa"/>
            <w:vAlign w:val="bottom"/>
          </w:tcPr>
          <w:p>
            <w:pPr>
              <w:jc w:val="right"/>
              <w:ind w:right="472"/>
              <w:spacing w:after="0"/>
              <w:rPr>
                <w:sz w:val="20"/>
                <w:szCs w:val="20"/>
                <w:color w:val="auto"/>
              </w:rPr>
            </w:pPr>
            <w:r>
              <w:rPr>
                <w:rFonts w:ascii="Arial" w:cs="Arial" w:eastAsia="Arial" w:hAnsi="Arial"/>
                <w:sz w:val="18"/>
                <w:szCs w:val="18"/>
                <w:b w:val="1"/>
                <w:bCs w:val="1"/>
                <w:color w:val="auto"/>
              </w:rPr>
              <w:t>303.7</w:t>
            </w:r>
          </w:p>
        </w:tc>
        <w:tc>
          <w:tcPr>
            <w:tcW w:w="74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315.3</w:t>
            </w:r>
          </w:p>
        </w:tc>
      </w:tr>
      <w:tr>
        <w:trPr>
          <w:trHeight w:val="365"/>
        </w:trPr>
        <w:tc>
          <w:tcPr>
            <w:tcW w:w="5980" w:type="dxa"/>
            <w:vAlign w:val="bottom"/>
          </w:tcPr>
          <w:p>
            <w:pPr>
              <w:spacing w:after="0"/>
              <w:rPr>
                <w:sz w:val="20"/>
                <w:szCs w:val="20"/>
                <w:color w:val="auto"/>
              </w:rPr>
            </w:pPr>
            <w:r>
              <w:rPr>
                <w:rFonts w:ascii="Arial" w:cs="Arial" w:eastAsia="Arial" w:hAnsi="Arial"/>
                <w:sz w:val="18"/>
                <w:szCs w:val="18"/>
                <w:color w:val="auto"/>
              </w:rPr>
              <w:t>Less lines of credit, short-term debt and current portion of long-term debt</w:t>
            </w:r>
          </w:p>
        </w:tc>
        <w:tc>
          <w:tcPr>
            <w:tcW w:w="2040" w:type="dxa"/>
            <w:vAlign w:val="bottom"/>
          </w:tcPr>
          <w:p>
            <w:pPr>
              <w:jc w:val="right"/>
              <w:ind w:right="352"/>
              <w:spacing w:after="0"/>
              <w:rPr>
                <w:sz w:val="20"/>
                <w:szCs w:val="20"/>
                <w:color w:val="auto"/>
              </w:rPr>
            </w:pPr>
            <w:r>
              <w:rPr>
                <w:rFonts w:ascii="Arial" w:cs="Arial" w:eastAsia="Arial" w:hAnsi="Arial"/>
                <w:sz w:val="18"/>
                <w:szCs w:val="18"/>
                <w:color w:val="auto"/>
              </w:rPr>
              <w:t>(52.2)</w:t>
            </w:r>
          </w:p>
        </w:tc>
        <w:tc>
          <w:tcPr>
            <w:tcW w:w="1620" w:type="dxa"/>
            <w:vAlign w:val="bottom"/>
          </w:tcPr>
          <w:p>
            <w:pPr>
              <w:jc w:val="right"/>
              <w:ind w:right="432"/>
              <w:spacing w:after="0"/>
              <w:rPr>
                <w:sz w:val="20"/>
                <w:szCs w:val="20"/>
                <w:color w:val="auto"/>
              </w:rPr>
            </w:pPr>
            <w:r>
              <w:rPr>
                <w:rFonts w:ascii="Arial" w:cs="Arial" w:eastAsia="Arial" w:hAnsi="Arial"/>
                <w:sz w:val="18"/>
                <w:szCs w:val="18"/>
                <w:color w:val="auto"/>
              </w:rPr>
              <w:t>(53.7)</w:t>
            </w:r>
          </w:p>
        </w:tc>
        <w:tc>
          <w:tcPr>
            <w:tcW w:w="740" w:type="dxa"/>
            <w:vAlign w:val="bottom"/>
          </w:tcPr>
          <w:p>
            <w:pPr>
              <w:spacing w:after="0"/>
              <w:rPr>
                <w:sz w:val="24"/>
                <w:szCs w:val="24"/>
                <w:color w:val="auto"/>
              </w:rPr>
            </w:pPr>
          </w:p>
        </w:tc>
        <w:tc>
          <w:tcPr>
            <w:tcW w:w="1060" w:type="dxa"/>
            <w:vAlign w:val="bottom"/>
          </w:tcPr>
          <w:p>
            <w:pPr>
              <w:jc w:val="right"/>
              <w:ind w:right="372"/>
              <w:spacing w:after="0"/>
              <w:rPr>
                <w:sz w:val="20"/>
                <w:szCs w:val="20"/>
                <w:color w:val="auto"/>
              </w:rPr>
            </w:pPr>
            <w:r>
              <w:rPr>
                <w:rFonts w:ascii="Arial" w:cs="Arial" w:eastAsia="Arial" w:hAnsi="Arial"/>
                <w:sz w:val="18"/>
                <w:szCs w:val="18"/>
                <w:color w:val="auto"/>
              </w:rPr>
              <w:t>(52.6)</w:t>
            </w:r>
          </w:p>
        </w:tc>
      </w:tr>
      <w:tr>
        <w:trPr>
          <w:trHeight w:val="259"/>
        </w:trPr>
        <w:tc>
          <w:tcPr>
            <w:tcW w:w="5980" w:type="dxa"/>
            <w:vAlign w:val="bottom"/>
            <w:tcBorders>
              <w:bottom w:val="single" w:sz="8" w:color="808080"/>
            </w:tcBorders>
          </w:tcPr>
          <w:p>
            <w:pPr>
              <w:spacing w:after="0"/>
              <w:rPr>
                <w:sz w:val="22"/>
                <w:szCs w:val="22"/>
                <w:color w:val="auto"/>
              </w:rPr>
            </w:pPr>
          </w:p>
        </w:tc>
        <w:tc>
          <w:tcPr>
            <w:tcW w:w="2040" w:type="dxa"/>
            <w:vAlign w:val="bottom"/>
            <w:tcBorders>
              <w:bottom w:val="single" w:sz="8" w:color="808080"/>
            </w:tcBorders>
          </w:tcPr>
          <w:p>
            <w:pPr>
              <w:spacing w:after="0"/>
              <w:rPr>
                <w:sz w:val="22"/>
                <w:szCs w:val="22"/>
                <w:color w:val="auto"/>
              </w:rPr>
            </w:pPr>
          </w:p>
        </w:tc>
        <w:tc>
          <w:tcPr>
            <w:tcW w:w="162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1060" w:type="dxa"/>
            <w:vAlign w:val="bottom"/>
            <w:tcBorders>
              <w:bottom w:val="single" w:sz="8" w:color="808080"/>
            </w:tcBorders>
          </w:tcPr>
          <w:p>
            <w:pPr>
              <w:spacing w:after="0"/>
              <w:rPr>
                <w:sz w:val="22"/>
                <w:szCs w:val="22"/>
                <w:color w:val="auto"/>
              </w:rPr>
            </w:pPr>
          </w:p>
        </w:tc>
      </w:tr>
      <w:tr>
        <w:trPr>
          <w:trHeight w:val="316"/>
        </w:trPr>
        <w:tc>
          <w:tcPr>
            <w:tcW w:w="5980" w:type="dxa"/>
            <w:vAlign w:val="bottom"/>
          </w:tcPr>
          <w:p>
            <w:pPr>
              <w:spacing w:after="0"/>
              <w:rPr>
                <w:sz w:val="20"/>
                <w:szCs w:val="20"/>
                <w:color w:val="auto"/>
              </w:rPr>
            </w:pPr>
            <w:r>
              <w:rPr>
                <w:rFonts w:ascii="Arial" w:cs="Arial" w:eastAsia="Arial" w:hAnsi="Arial"/>
                <w:sz w:val="18"/>
                <w:szCs w:val="18"/>
                <w:b w:val="1"/>
                <w:bCs w:val="1"/>
                <w:color w:val="auto"/>
              </w:rPr>
              <w:t>Total long-term debt</w:t>
            </w:r>
          </w:p>
        </w:tc>
        <w:tc>
          <w:tcPr>
            <w:tcW w:w="2040" w:type="dxa"/>
            <w:vAlign w:val="bottom"/>
          </w:tcPr>
          <w:p>
            <w:pPr>
              <w:jc w:val="right"/>
              <w:ind w:right="412"/>
              <w:spacing w:after="0"/>
              <w:rPr>
                <w:sz w:val="20"/>
                <w:szCs w:val="20"/>
                <w:color w:val="auto"/>
              </w:rPr>
            </w:pPr>
            <w:r>
              <w:rPr>
                <w:rFonts w:ascii="Arial" w:cs="Arial" w:eastAsia="Arial" w:hAnsi="Arial"/>
                <w:sz w:val="18"/>
                <w:szCs w:val="18"/>
                <w:b w:val="1"/>
                <w:bCs w:val="1"/>
                <w:color w:val="auto"/>
              </w:rPr>
              <w:t>$   213.1</w:t>
            </w:r>
          </w:p>
        </w:tc>
        <w:tc>
          <w:tcPr>
            <w:tcW w:w="1620" w:type="dxa"/>
            <w:vAlign w:val="bottom"/>
          </w:tcPr>
          <w:p>
            <w:pPr>
              <w:jc w:val="right"/>
              <w:ind w:right="472"/>
              <w:spacing w:after="0"/>
              <w:rPr>
                <w:sz w:val="20"/>
                <w:szCs w:val="20"/>
                <w:color w:val="auto"/>
              </w:rPr>
            </w:pPr>
            <w:r>
              <w:rPr>
                <w:rFonts w:ascii="Arial" w:cs="Arial" w:eastAsia="Arial" w:hAnsi="Arial"/>
                <w:sz w:val="18"/>
                <w:szCs w:val="18"/>
                <w:b w:val="1"/>
                <w:bCs w:val="1"/>
                <w:color w:val="auto"/>
              </w:rPr>
              <w:t>$ 250.0</w:t>
            </w:r>
          </w:p>
        </w:tc>
        <w:tc>
          <w:tcPr>
            <w:tcW w:w="7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262.7</w:t>
            </w:r>
          </w:p>
        </w:tc>
      </w:tr>
      <w:tr>
        <w:trPr>
          <w:trHeight w:val="110"/>
        </w:trPr>
        <w:tc>
          <w:tcPr>
            <w:tcW w:w="598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maturities of the Company’s debt obligations as of February 28, 2010 for the remainder of fiscal 2010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55911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2010</w:t>
            </w:r>
          </w:p>
        </w:tc>
        <w:tc>
          <w:tcPr>
            <w:tcW w:w="42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20.1</w:t>
            </w:r>
          </w:p>
        </w:tc>
        <w:tc>
          <w:tcPr>
            <w:tcW w:w="2640" w:type="dxa"/>
            <w:vAlign w:val="bottom"/>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Fiscal years ending May 31:</w:t>
            </w:r>
          </w:p>
        </w:tc>
        <w:tc>
          <w:tcPr>
            <w:tcW w:w="4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2011</w:t>
            </w:r>
          </w:p>
        </w:tc>
        <w:tc>
          <w:tcPr>
            <w:tcW w:w="422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42.8</w:t>
            </w:r>
          </w:p>
        </w:tc>
        <w:tc>
          <w:tcPr>
            <w:tcW w:w="2640" w:type="dxa"/>
            <w:vAlign w:val="bottom"/>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2012</w:t>
            </w:r>
          </w:p>
        </w:tc>
        <w:tc>
          <w:tcPr>
            <w:tcW w:w="422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42.8</w:t>
            </w:r>
          </w:p>
        </w:tc>
        <w:tc>
          <w:tcPr>
            <w:tcW w:w="2640" w:type="dxa"/>
            <w:vAlign w:val="bottom"/>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2013</w:t>
            </w:r>
          </w:p>
        </w:tc>
        <w:tc>
          <w:tcPr>
            <w:tcW w:w="422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159.6</w:t>
            </w:r>
          </w:p>
        </w:tc>
        <w:tc>
          <w:tcPr>
            <w:tcW w:w="2640" w:type="dxa"/>
            <w:vAlign w:val="bottom"/>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2014</w:t>
            </w:r>
          </w:p>
        </w:tc>
        <w:tc>
          <w:tcPr>
            <w:tcW w:w="422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40" w:type="dxa"/>
            <w:vAlign w:val="bottom"/>
          </w:tcPr>
          <w:p>
            <w:pPr>
              <w:spacing w:after="0"/>
              <w:rPr>
                <w:sz w:val="18"/>
                <w:szCs w:val="18"/>
                <w:color w:val="auto"/>
              </w:rPr>
            </w:pP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Thereafter</w:t>
            </w:r>
          </w:p>
        </w:tc>
        <w:tc>
          <w:tcPr>
            <w:tcW w:w="422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40" w:type="dxa"/>
            <w:vAlign w:val="bottom"/>
          </w:tcPr>
          <w:p>
            <w:pPr>
              <w:spacing w:after="0"/>
              <w:rPr>
                <w:sz w:val="19"/>
                <w:szCs w:val="19"/>
                <w:color w:val="auto"/>
              </w:rPr>
            </w:pPr>
          </w:p>
        </w:tc>
      </w:tr>
      <w:tr>
        <w:trPr>
          <w:trHeight w:val="110"/>
        </w:trPr>
        <w:tc>
          <w:tcPr>
            <w:tcW w:w="3820" w:type="dxa"/>
            <w:vAlign w:val="bottom"/>
            <w:tcBorders>
              <w:bottom w:val="single" w:sz="8" w:color="808080"/>
            </w:tcBorders>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640" w:type="dxa"/>
            <w:vAlign w:val="bottom"/>
          </w:tcPr>
          <w:p>
            <w:pPr>
              <w:spacing w:after="0"/>
              <w:rPr>
                <w:sz w:val="9"/>
                <w:szCs w:val="9"/>
                <w:color w:val="auto"/>
              </w:rPr>
            </w:pPr>
          </w:p>
        </w:tc>
      </w:tr>
      <w:tr>
        <w:trPr>
          <w:trHeight w:val="464"/>
        </w:trPr>
        <w:tc>
          <w:tcPr>
            <w:tcW w:w="3820" w:type="dxa"/>
            <w:vAlign w:val="bottom"/>
          </w:tcPr>
          <w:p>
            <w:pPr>
              <w:spacing w:after="0"/>
              <w:rPr>
                <w:sz w:val="20"/>
                <w:szCs w:val="20"/>
                <w:color w:val="auto"/>
              </w:rPr>
            </w:pPr>
            <w:r>
              <w:rPr>
                <w:rFonts w:ascii="Arial" w:cs="Arial" w:eastAsia="Arial" w:hAnsi="Arial"/>
                <w:sz w:val="18"/>
                <w:szCs w:val="18"/>
                <w:b w:val="1"/>
                <w:bCs w:val="1"/>
                <w:color w:val="auto"/>
              </w:rPr>
              <w:t>Total debt</w:t>
            </w:r>
          </w:p>
        </w:tc>
        <w:tc>
          <w:tcPr>
            <w:tcW w:w="422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b w:val="1"/>
                <w:bCs w:val="1"/>
                <w:color w:val="auto"/>
              </w:rPr>
              <w:t>265.3</w:t>
            </w:r>
          </w:p>
        </w:tc>
        <w:tc>
          <w:tcPr>
            <w:tcW w:w="2640" w:type="dxa"/>
            <w:vAlign w:val="bottom"/>
          </w:tcPr>
          <w:p>
            <w:pPr>
              <w:spacing w:after="0"/>
              <w:rPr>
                <w:sz w:val="24"/>
                <w:szCs w:val="24"/>
                <w:color w:val="auto"/>
              </w:rPr>
            </w:pPr>
          </w:p>
        </w:tc>
      </w:tr>
      <w:tr>
        <w:trPr>
          <w:trHeight w:val="110"/>
        </w:trPr>
        <w:tc>
          <w:tcPr>
            <w:tcW w:w="3820" w:type="dxa"/>
            <w:vAlign w:val="bottom"/>
            <w:tcBorders>
              <w:bottom w:val="single" w:sz="8" w:color="808080"/>
            </w:tcBorders>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640" w:type="dxa"/>
            <w:vAlign w:val="bottom"/>
          </w:tcPr>
          <w:p>
            <w:pPr>
              <w:spacing w:after="0"/>
              <w:rPr>
                <w:sz w:val="9"/>
                <w:szCs w:val="9"/>
                <w:color w:val="auto"/>
              </w:rPr>
            </w:pPr>
          </w:p>
        </w:tc>
      </w:tr>
      <w:tr>
        <w:trPr>
          <w:trHeight w:val="532"/>
        </w:trPr>
        <w:tc>
          <w:tcPr>
            <w:tcW w:w="3820" w:type="dxa"/>
            <w:vAlign w:val="bottom"/>
          </w:tcPr>
          <w:p>
            <w:pPr>
              <w:spacing w:after="0"/>
              <w:rPr>
                <w:sz w:val="24"/>
                <w:szCs w:val="24"/>
                <w:color w:val="auto"/>
              </w:rPr>
            </w:pPr>
          </w:p>
        </w:tc>
        <w:tc>
          <w:tcPr>
            <w:tcW w:w="4220" w:type="dxa"/>
            <w:vAlign w:val="bottom"/>
          </w:tcPr>
          <w:p>
            <w:pPr>
              <w:jc w:val="right"/>
              <w:ind w:right="2152"/>
              <w:spacing w:after="0"/>
              <w:rPr>
                <w:sz w:val="20"/>
                <w:szCs w:val="20"/>
                <w:color w:val="auto"/>
              </w:rPr>
            </w:pPr>
            <w:r>
              <w:rPr>
                <w:rFonts w:ascii="Arial" w:cs="Arial" w:eastAsia="Arial" w:hAnsi="Arial"/>
                <w:sz w:val="18"/>
                <w:szCs w:val="18"/>
                <w:color w:val="auto"/>
              </w:rPr>
              <w:t>11</w:t>
            </w:r>
          </w:p>
        </w:tc>
        <w:tc>
          <w:tcPr>
            <w:tcW w:w="78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15"/>
        </w:trPr>
        <w:tc>
          <w:tcPr>
            <w:tcW w:w="38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61"/>
        </w:trPr>
        <w:tc>
          <w:tcPr>
            <w:tcW w:w="3820" w:type="dxa"/>
            <w:vAlign w:val="bottom"/>
            <w:shd w:val="clear" w:color="auto" w:fill="808080"/>
          </w:tcPr>
          <w:p>
            <w:pPr>
              <w:spacing w:after="0"/>
              <w:rPr>
                <w:sz w:val="5"/>
                <w:szCs w:val="5"/>
                <w:color w:val="auto"/>
              </w:rPr>
            </w:pPr>
          </w:p>
        </w:tc>
        <w:tc>
          <w:tcPr>
            <w:tcW w:w="42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6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82" w:right="1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25"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As of February 28, 2010, the Company’s domestic credit line available under an unsecured money market bid rate credit line totaled $20.0. There were no outstanding borrowings under this credit line at February 28, 2010, May 31, 2009 and February 28, 2009. All loans made under the credit line are at the sole discretion of the lender and at an interest rate and term, not to exceed 365 days, agreed to at the time each loan is made.</w:t>
      </w:r>
    </w:p>
    <w:p>
      <w:pPr>
        <w:spacing w:after="0" w:line="16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As of February 28, 2010, the Company’s foreign operations had various local currency credit lines, with maximum available borrowings in amounts equivalent to $29.1, underwritten by banks primarily in the United States, Canada and the United Kingdom. These credit lines are typically available for overdraft borrowings or loans up to 364 days and may be renewed, if requested by the Company, at the sole option of the lender. There were borrowings outstanding under these facilities equivalent to $9.4 at February 28, 2010 at a weighted average interest rate of 3.9%; $10.9 at May 31, 2009 at a weighted average interest rate of 3.3%; and $9.8 at February 28, 2009 at a weighted average interest rate of 3.8%.</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Company’s lines of credit carrying value approximated fair value as of February 28, 2010, May 31, 2009 and February 28, 2009, respectively.</w:t>
      </w:r>
    </w:p>
    <w:p>
      <w:pPr>
        <w:spacing w:after="0" w:line="24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of February 28, 2010 and May 31, 2009, the Company had open standby letters of credit of $7.4 issued under certain credit lines, compared to $7.6 as of February 28, 2009. These letters of credit are scheduled to expire within one year; however, the Company expects that substantially all of these letters of credit will be renewed, at similar terms, prior to expiration.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On June 1, 2007, Scholastic Corporation and Scholastic Inc. (each, a “Borrower” and together, the “Borrowers”) entered into a $525.0 credit facility with certain banks (the “Loan Agreement”), consisting of a $325.0 revolving credit component (the “Revolving Loan”) and a $200.0 amortizing term loan component (the “Term Loan”). The Loan Agreement is a contractually committed unsecured credit facility that is scheduled to expire on June 1, 2012. The $325.0 Revolving Loan component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 The Term Loan, which may be prepaid at any time without penalty, requires quarterly principal payments of $10.7, with the first payment on December 31, 2007, and a final payment of $7.4 due on June 1, 2012.</w:t>
      </w:r>
    </w:p>
    <w:p>
      <w:pPr>
        <w:spacing w:after="0" w:line="17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Interest on both the Term Loan and Revolving Loan is due and payable in arrears on the last day of the interest period (defined as the period commencing on the date of the advance and ending on the last day of the period selected by the Borrower at the time each advance is made). At the election of the Borrower, the interest rate charged for each loan made under the Loan Agreement is based on (1) a rate equal to the higher of (a) the prime rate or (b) the prevailing federal funds rate plus 0.500% or (2) an adjusted LIBOR rate plus an applicable margin, ranging from 0.500% to 1.250% based on the Company’s prevailing consolidated debt to total capital ratio. As of February 28, 2010, the applicable margin of the Term Loan was 0.750% and the applicable margin on the Revolving Loan was 0.600%. The Loan Agreement also provides for the payment of a facility fee ranging from 0.125% to 0.250% per annum on the Revolving Loan only, which at February 28, 2010 was 0.150%.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Loan Agreement approximates its carrying value due to its variable interest rate and the Company’s stable credit rating.</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February 28, 2010, there was $0.5 of outstanding standby letters of credit issued under the Loan Agreement. The Loan Agreement contains certain covenants, including interest coverage and leverage ratio tests and certain limitations on the amount of dividends and other distributions. As of February 28, 2010, the Company was in compliance with these covenants.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Notes due 2013</w:t>
      </w:r>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April 2003, Scholastic Corporation issued $175.0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 (ii) the sum of the present values of the remaining scheduled payments of principal and interest discounted to the date of redemption.</w:t>
      </w:r>
    </w:p>
    <w:p>
      <w:pPr>
        <w:spacing w:after="0" w:line="16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fair value of the 5% Notes was $146.9 as of February 28, 2010, $129.6 as of May 31, 2009 and $130.8 as of February 28, 2009, respectively. The fair value of the 5% Notes was estimated based on market quotes, where available, or dealer quotes.</w:t>
      </w:r>
    </w:p>
    <w:p>
      <w:pPr>
        <w:spacing w:after="0" w:line="186"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For the nine months ended February 28, 2010, the Company repurchased an additional $5.0 of the 5% Notes on the open market for $4.1. The Company repurchased $2.5 of the 5% Notes on the open market in fiscal 2009.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Comprehensive (Loss) Income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comprehensive (loss) income for the periods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0" w:type="dxa"/>
            <w:vAlign w:val="bottom"/>
            <w:gridSpan w:val="3"/>
          </w:tcPr>
          <w:p>
            <w:pPr>
              <w:jc w:val="right"/>
              <w:ind w:right="232"/>
              <w:spacing w:after="0"/>
              <w:rPr>
                <w:sz w:val="20"/>
                <w:szCs w:val="20"/>
                <w:color w:val="auto"/>
              </w:rPr>
            </w:pPr>
            <w:r>
              <w:rPr>
                <w:rFonts w:ascii="Arial" w:cs="Arial" w:eastAsia="Arial" w:hAnsi="Arial"/>
                <w:sz w:val="18"/>
                <w:szCs w:val="18"/>
                <w:b w:val="1"/>
                <w:bCs w:val="1"/>
                <w:i w:val="1"/>
                <w:iCs w:val="1"/>
                <w:color w:val="auto"/>
                <w:w w:val="85"/>
              </w:rPr>
              <w:t>Three months ended February 28,</w:t>
            </w:r>
          </w:p>
        </w:tc>
        <w:tc>
          <w:tcPr>
            <w:tcW w:w="260" w:type="dxa"/>
            <w:vAlign w:val="bottom"/>
          </w:tcPr>
          <w:p>
            <w:pPr>
              <w:spacing w:after="0"/>
              <w:rPr>
                <w:sz w:val="19"/>
                <w:szCs w:val="19"/>
                <w:color w:val="auto"/>
              </w:rPr>
            </w:pPr>
          </w:p>
        </w:tc>
        <w:tc>
          <w:tcPr>
            <w:tcW w:w="2740" w:type="dxa"/>
            <w:vAlign w:val="bottom"/>
            <w:gridSpan w:val="3"/>
          </w:tcPr>
          <w:p>
            <w:pPr>
              <w:jc w:val="right"/>
              <w:ind w:right="212"/>
              <w:spacing w:after="0"/>
              <w:rPr>
                <w:sz w:val="20"/>
                <w:szCs w:val="20"/>
                <w:color w:val="auto"/>
              </w:rPr>
            </w:pPr>
            <w:r>
              <w:rPr>
                <w:rFonts w:ascii="Arial" w:cs="Arial" w:eastAsia="Arial" w:hAnsi="Arial"/>
                <w:sz w:val="18"/>
                <w:szCs w:val="18"/>
                <w:b w:val="1"/>
                <w:bCs w:val="1"/>
                <w:i w:val="1"/>
                <w:iCs w:val="1"/>
                <w:color w:val="auto"/>
                <w:w w:val="86"/>
              </w:rPr>
              <w:t>Nine months ended February 28,</w:t>
            </w:r>
          </w:p>
        </w:tc>
        <w:tc>
          <w:tcPr>
            <w:tcW w:w="20" w:type="dxa"/>
            <w:vAlign w:val="bottom"/>
          </w:tcPr>
          <w:p>
            <w:pPr>
              <w:spacing w:after="0"/>
              <w:rPr>
                <w:sz w:val="19"/>
                <w:szCs w:val="19"/>
                <w:color w:val="auto"/>
              </w:rPr>
            </w:pPr>
          </w:p>
        </w:tc>
      </w:tr>
      <w:tr>
        <w:trPr>
          <w:trHeight w:val="110"/>
        </w:trPr>
        <w:tc>
          <w:tcPr>
            <w:tcW w:w="49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730" w:type="dxa"/>
            <w:vAlign w:val="bottom"/>
            <w:tcBorders>
              <w:bottom w:val="single" w:sz="8" w:color="808080"/>
            </w:tcBorders>
          </w:tcPr>
          <w:p>
            <w:pPr>
              <w:spacing w:after="0"/>
              <w:rPr>
                <w:sz w:val="9"/>
                <w:szCs w:val="9"/>
                <w:color w:val="auto"/>
              </w:rPr>
            </w:pPr>
          </w:p>
        </w:tc>
        <w:tc>
          <w:tcPr>
            <w:tcW w:w="79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tcPr>
          <w:p>
            <w:pPr>
              <w:jc w:val="right"/>
              <w:ind w:right="772"/>
              <w:spacing w:after="0"/>
              <w:rPr>
                <w:sz w:val="20"/>
                <w:szCs w:val="20"/>
                <w:color w:val="auto"/>
              </w:rPr>
            </w:pPr>
            <w:r>
              <w:rPr>
                <w:rFonts w:ascii="Arial" w:cs="Arial" w:eastAsia="Arial" w:hAnsi="Arial"/>
                <w:sz w:val="18"/>
                <w:szCs w:val="18"/>
                <w:b w:val="1"/>
                <w:bCs w:val="1"/>
                <w:color w:val="auto"/>
                <w:w w:val="99"/>
              </w:rPr>
              <w:t>2010</w:t>
            </w:r>
          </w:p>
        </w:tc>
        <w:tc>
          <w:tcPr>
            <w:tcW w:w="730" w:type="dxa"/>
            <w:vAlign w:val="bottom"/>
          </w:tcPr>
          <w:p>
            <w:pPr>
              <w:spacing w:after="0"/>
              <w:rPr>
                <w:sz w:val="24"/>
                <w:szCs w:val="24"/>
                <w:color w:val="auto"/>
              </w:rPr>
            </w:pPr>
          </w:p>
        </w:tc>
        <w:tc>
          <w:tcPr>
            <w:tcW w:w="790" w:type="dxa"/>
            <w:vAlign w:val="bottom"/>
          </w:tcPr>
          <w:p>
            <w:pPr>
              <w:jc w:val="right"/>
              <w:ind w:right="292"/>
              <w:spacing w:after="0"/>
              <w:rPr>
                <w:sz w:val="20"/>
                <w:szCs w:val="20"/>
                <w:color w:val="auto"/>
              </w:rPr>
            </w:pPr>
            <w:r>
              <w:rPr>
                <w:rFonts w:ascii="Arial" w:cs="Arial" w:eastAsia="Arial" w:hAnsi="Arial"/>
                <w:sz w:val="18"/>
                <w:szCs w:val="18"/>
                <w:b w:val="1"/>
                <w:bCs w:val="1"/>
                <w:color w:val="auto"/>
                <w:w w:val="94"/>
              </w:rPr>
              <w:t>2009</w:t>
            </w:r>
          </w:p>
        </w:tc>
        <w:tc>
          <w:tcPr>
            <w:tcW w:w="26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b w:val="1"/>
                <w:bCs w:val="1"/>
                <w:color w:val="auto"/>
                <w:w w:val="99"/>
              </w:rPr>
              <w:t>2010</w:t>
            </w:r>
          </w:p>
        </w:tc>
        <w:tc>
          <w:tcPr>
            <w:tcW w:w="1400" w:type="dxa"/>
            <w:vAlign w:val="bottom"/>
          </w:tcPr>
          <w:p>
            <w:pPr>
              <w:spacing w:after="0"/>
              <w:rPr>
                <w:sz w:val="24"/>
                <w:szCs w:val="24"/>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b w:val="1"/>
                <w:bCs w:val="1"/>
                <w:color w:val="auto"/>
                <w:w w:val="94"/>
              </w:rPr>
              <w:t>2009</w:t>
            </w:r>
          </w:p>
        </w:tc>
        <w:tc>
          <w:tcPr>
            <w:tcW w:w="20" w:type="dxa"/>
            <w:vAlign w:val="bottom"/>
          </w:tcPr>
          <w:p>
            <w:pPr>
              <w:spacing w:after="0"/>
              <w:rPr>
                <w:sz w:val="24"/>
                <w:szCs w:val="24"/>
                <w:color w:val="auto"/>
              </w:rPr>
            </w:pPr>
          </w:p>
        </w:tc>
      </w:tr>
      <w:tr>
        <w:trPr>
          <w:trHeight w:val="110"/>
        </w:trPr>
        <w:tc>
          <w:tcPr>
            <w:tcW w:w="49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730" w:type="dxa"/>
            <w:vAlign w:val="bottom"/>
            <w:tcBorders>
              <w:bottom w:val="single" w:sz="8" w:color="808080"/>
            </w:tcBorders>
          </w:tcPr>
          <w:p>
            <w:pPr>
              <w:spacing w:after="0"/>
              <w:rPr>
                <w:sz w:val="9"/>
                <w:szCs w:val="9"/>
                <w:color w:val="auto"/>
              </w:rPr>
            </w:pPr>
          </w:p>
        </w:tc>
        <w:tc>
          <w:tcPr>
            <w:tcW w:w="79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4920" w:type="dxa"/>
            <w:vAlign w:val="bottom"/>
          </w:tcPr>
          <w:p>
            <w:pPr>
              <w:spacing w:after="0"/>
              <w:rPr>
                <w:sz w:val="20"/>
                <w:szCs w:val="20"/>
                <w:color w:val="auto"/>
              </w:rPr>
            </w:pPr>
            <w:r>
              <w:rPr>
                <w:rFonts w:ascii="Arial" w:cs="Arial" w:eastAsia="Arial" w:hAnsi="Arial"/>
                <w:sz w:val="18"/>
                <w:szCs w:val="18"/>
                <w:color w:val="auto"/>
              </w:rPr>
              <w:t>Net (loss) income</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32"/>
              <w:spacing w:after="0"/>
              <w:rPr>
                <w:sz w:val="20"/>
                <w:szCs w:val="20"/>
                <w:color w:val="auto"/>
              </w:rPr>
            </w:pPr>
            <w:r>
              <w:rPr>
                <w:rFonts w:ascii="Arial" w:cs="Arial" w:eastAsia="Arial" w:hAnsi="Arial"/>
                <w:sz w:val="18"/>
                <w:szCs w:val="18"/>
                <w:color w:val="auto"/>
              </w:rPr>
              <w:t>(5.6)</w:t>
            </w:r>
          </w:p>
        </w:tc>
        <w:tc>
          <w:tcPr>
            <w:tcW w:w="730" w:type="dxa"/>
            <w:vAlign w:val="bottom"/>
          </w:tcPr>
          <w:p>
            <w:pPr>
              <w:jc w:val="right"/>
              <w:spacing w:after="0"/>
              <w:rPr>
                <w:sz w:val="20"/>
                <w:szCs w:val="20"/>
                <w:color w:val="auto"/>
              </w:rPr>
            </w:pPr>
            <w:r>
              <w:rPr>
                <w:rFonts w:ascii="Arial" w:cs="Arial" w:eastAsia="Arial" w:hAnsi="Arial"/>
                <w:sz w:val="18"/>
                <w:szCs w:val="18"/>
                <w:color w:val="auto"/>
              </w:rPr>
              <w:t>$</w:t>
            </w:r>
          </w:p>
        </w:tc>
        <w:tc>
          <w:tcPr>
            <w:tcW w:w="790" w:type="dxa"/>
            <w:vAlign w:val="bottom"/>
          </w:tcPr>
          <w:p>
            <w:pPr>
              <w:jc w:val="right"/>
              <w:ind w:right="52"/>
              <w:spacing w:after="0"/>
              <w:rPr>
                <w:sz w:val="20"/>
                <w:szCs w:val="20"/>
                <w:color w:val="auto"/>
              </w:rPr>
            </w:pPr>
            <w:r>
              <w:rPr>
                <w:rFonts w:ascii="Arial" w:cs="Arial" w:eastAsia="Arial" w:hAnsi="Arial"/>
                <w:sz w:val="18"/>
                <w:szCs w:val="18"/>
                <w:color w:val="auto"/>
              </w:rPr>
              <w:t>(36.0)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26.9</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(42.0)</w:t>
            </w:r>
          </w:p>
        </w:tc>
        <w:tc>
          <w:tcPr>
            <w:tcW w:w="20" w:type="dxa"/>
            <w:vAlign w:val="bottom"/>
          </w:tcPr>
          <w:p>
            <w:pPr>
              <w:spacing w:after="0"/>
              <w:rPr>
                <w:sz w:val="24"/>
                <w:szCs w:val="24"/>
                <w:color w:val="auto"/>
              </w:rPr>
            </w:pPr>
          </w:p>
        </w:tc>
      </w:tr>
      <w:tr>
        <w:trPr>
          <w:trHeight w:val="358"/>
        </w:trPr>
        <w:tc>
          <w:tcPr>
            <w:tcW w:w="492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79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92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720" w:type="dxa"/>
            <w:vAlign w:val="bottom"/>
          </w:tcPr>
          <w:p>
            <w:pPr>
              <w:spacing w:after="0"/>
              <w:rPr>
                <w:sz w:val="18"/>
                <w:szCs w:val="18"/>
                <w:color w:val="auto"/>
              </w:rPr>
            </w:pPr>
          </w:p>
        </w:tc>
        <w:tc>
          <w:tcPr>
            <w:tcW w:w="1280" w:type="dxa"/>
            <w:vAlign w:val="bottom"/>
          </w:tcPr>
          <w:p>
            <w:pPr>
              <w:jc w:val="right"/>
              <w:ind w:right="532"/>
              <w:spacing w:after="0"/>
              <w:rPr>
                <w:sz w:val="20"/>
                <w:szCs w:val="20"/>
                <w:color w:val="auto"/>
              </w:rPr>
            </w:pPr>
            <w:r>
              <w:rPr>
                <w:rFonts w:ascii="Arial" w:cs="Arial" w:eastAsia="Arial" w:hAnsi="Arial"/>
                <w:sz w:val="18"/>
                <w:szCs w:val="18"/>
                <w:color w:val="auto"/>
              </w:rPr>
              <w:t>(1.1)</w:t>
            </w:r>
          </w:p>
        </w:tc>
        <w:tc>
          <w:tcPr>
            <w:tcW w:w="730" w:type="dxa"/>
            <w:vAlign w:val="bottom"/>
          </w:tcPr>
          <w:p>
            <w:pPr>
              <w:spacing w:after="0"/>
              <w:rPr>
                <w:sz w:val="18"/>
                <w:szCs w:val="18"/>
                <w:color w:val="auto"/>
              </w:rPr>
            </w:pPr>
          </w:p>
        </w:tc>
        <w:tc>
          <w:tcPr>
            <w:tcW w:w="790" w:type="dxa"/>
            <w:vAlign w:val="bottom"/>
          </w:tcPr>
          <w:p>
            <w:pPr>
              <w:jc w:val="right"/>
              <w:ind w:right="52"/>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1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18"/>
                <w:szCs w:val="18"/>
                <w:color w:val="auto"/>
              </w:rPr>
            </w:pPr>
          </w:p>
        </w:tc>
      </w:tr>
      <w:tr>
        <w:trPr>
          <w:trHeight w:val="222"/>
        </w:trPr>
        <w:tc>
          <w:tcPr>
            <w:tcW w:w="4920" w:type="dxa"/>
            <w:vAlign w:val="bottom"/>
          </w:tcPr>
          <w:p>
            <w:pPr>
              <w:ind w:left="160"/>
              <w:spacing w:after="0"/>
              <w:rPr>
                <w:sz w:val="20"/>
                <w:szCs w:val="20"/>
                <w:color w:val="auto"/>
              </w:rPr>
            </w:pPr>
            <w:r>
              <w:rPr>
                <w:rFonts w:ascii="Arial" w:cs="Arial" w:eastAsia="Arial" w:hAnsi="Arial"/>
                <w:sz w:val="18"/>
                <w:szCs w:val="18"/>
                <w:color w:val="auto"/>
              </w:rPr>
              <w:t>Retirement plans and post-retirement healthcare, net of tax</w:t>
            </w:r>
          </w:p>
        </w:tc>
        <w:tc>
          <w:tcPr>
            <w:tcW w:w="720" w:type="dxa"/>
            <w:vAlign w:val="bottom"/>
          </w:tcPr>
          <w:p>
            <w:pPr>
              <w:spacing w:after="0"/>
              <w:rPr>
                <w:sz w:val="19"/>
                <w:szCs w:val="19"/>
                <w:color w:val="auto"/>
              </w:rPr>
            </w:pPr>
          </w:p>
        </w:tc>
        <w:tc>
          <w:tcPr>
            <w:tcW w:w="1280" w:type="dxa"/>
            <w:vAlign w:val="bottom"/>
          </w:tcPr>
          <w:p>
            <w:pPr>
              <w:jc w:val="right"/>
              <w:ind w:right="592"/>
              <w:spacing w:after="0"/>
              <w:rPr>
                <w:sz w:val="20"/>
                <w:szCs w:val="20"/>
                <w:color w:val="auto"/>
              </w:rPr>
            </w:pPr>
            <w:r>
              <w:rPr>
                <w:rFonts w:ascii="Arial" w:cs="Arial" w:eastAsia="Arial" w:hAnsi="Arial"/>
                <w:sz w:val="18"/>
                <w:szCs w:val="18"/>
                <w:color w:val="auto"/>
              </w:rPr>
              <w:t>1.0</w:t>
            </w:r>
          </w:p>
        </w:tc>
        <w:tc>
          <w:tcPr>
            <w:tcW w:w="730" w:type="dxa"/>
            <w:vAlign w:val="bottom"/>
          </w:tcPr>
          <w:p>
            <w:pPr>
              <w:spacing w:after="0"/>
              <w:rPr>
                <w:sz w:val="19"/>
                <w:szCs w:val="19"/>
                <w:color w:val="auto"/>
              </w:rPr>
            </w:pPr>
          </w:p>
        </w:tc>
        <w:tc>
          <w:tcPr>
            <w:tcW w:w="790" w:type="dxa"/>
            <w:vAlign w:val="bottom"/>
          </w:tcPr>
          <w:p>
            <w:pPr>
              <w:jc w:val="right"/>
              <w:ind w:right="112"/>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1400" w:type="dxa"/>
            <w:vAlign w:val="bottom"/>
          </w:tcPr>
          <w:p>
            <w:pPr>
              <w:spacing w:after="0"/>
              <w:rPr>
                <w:sz w:val="19"/>
                <w:szCs w:val="19"/>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r>
      <w:tr>
        <w:trPr>
          <w:trHeight w:val="110"/>
        </w:trPr>
        <w:tc>
          <w:tcPr>
            <w:tcW w:w="49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730" w:type="dxa"/>
            <w:vAlign w:val="bottom"/>
            <w:tcBorders>
              <w:bottom w:val="single" w:sz="8" w:color="808080"/>
            </w:tcBorders>
          </w:tcPr>
          <w:p>
            <w:pPr>
              <w:spacing w:after="0"/>
              <w:rPr>
                <w:sz w:val="9"/>
                <w:szCs w:val="9"/>
                <w:color w:val="auto"/>
              </w:rPr>
            </w:pPr>
          </w:p>
        </w:tc>
        <w:tc>
          <w:tcPr>
            <w:tcW w:w="79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920" w:type="dxa"/>
            <w:vAlign w:val="bottom"/>
          </w:tcPr>
          <w:p>
            <w:pPr>
              <w:ind w:left="160"/>
              <w:spacing w:after="0"/>
              <w:rPr>
                <w:sz w:val="20"/>
                <w:szCs w:val="20"/>
                <w:color w:val="auto"/>
              </w:rPr>
            </w:pPr>
            <w:r>
              <w:rPr>
                <w:rFonts w:ascii="Arial" w:cs="Arial" w:eastAsia="Arial" w:hAnsi="Arial"/>
                <w:sz w:val="18"/>
                <w:szCs w:val="18"/>
                <w:b w:val="1"/>
                <w:bCs w:val="1"/>
                <w:color w:val="auto"/>
              </w:rPr>
              <w:t>Comprehensive (loss) income</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532"/>
              <w:spacing w:after="0"/>
              <w:rPr>
                <w:sz w:val="20"/>
                <w:szCs w:val="20"/>
                <w:color w:val="auto"/>
              </w:rPr>
            </w:pPr>
            <w:r>
              <w:rPr>
                <w:rFonts w:ascii="Arial" w:cs="Arial" w:eastAsia="Arial" w:hAnsi="Arial"/>
                <w:sz w:val="18"/>
                <w:szCs w:val="18"/>
                <w:b w:val="1"/>
                <w:bCs w:val="1"/>
                <w:color w:val="auto"/>
              </w:rPr>
              <w:t>(5.7)</w:t>
            </w:r>
          </w:p>
        </w:tc>
        <w:tc>
          <w:tcPr>
            <w:tcW w:w="73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90" w:type="dxa"/>
            <w:vAlign w:val="bottom"/>
          </w:tcPr>
          <w:p>
            <w:pPr>
              <w:jc w:val="right"/>
              <w:ind w:right="52"/>
              <w:spacing w:after="0"/>
              <w:rPr>
                <w:sz w:val="20"/>
                <w:szCs w:val="20"/>
                <w:color w:val="auto"/>
              </w:rPr>
            </w:pPr>
            <w:r>
              <w:rPr>
                <w:rFonts w:ascii="Arial" w:cs="Arial" w:eastAsia="Arial" w:hAnsi="Arial"/>
                <w:sz w:val="18"/>
                <w:szCs w:val="18"/>
                <w:b w:val="1"/>
                <w:bCs w:val="1"/>
                <w:color w:val="auto"/>
              </w:rPr>
              <w:t>(42.2)</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33.5</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(79.2)</w:t>
            </w:r>
          </w:p>
        </w:tc>
        <w:tc>
          <w:tcPr>
            <w:tcW w:w="20" w:type="dxa"/>
            <w:vAlign w:val="bottom"/>
          </w:tcPr>
          <w:p>
            <w:pPr>
              <w:spacing w:after="0"/>
              <w:rPr>
                <w:sz w:val="24"/>
                <w:szCs w:val="24"/>
                <w:color w:val="auto"/>
              </w:rPr>
            </w:pPr>
          </w:p>
        </w:tc>
      </w:tr>
      <w:tr>
        <w:trPr>
          <w:trHeight w:val="134"/>
        </w:trPr>
        <w:tc>
          <w:tcPr>
            <w:tcW w:w="4920" w:type="dxa"/>
            <w:vAlign w:val="bottom"/>
            <w:tcBorders>
              <w:bottom w:val="single" w:sz="8" w:color="808080"/>
            </w:tcBorders>
          </w:tcPr>
          <w:p>
            <w:pPr>
              <w:spacing w:after="0"/>
              <w:rPr>
                <w:sz w:val="11"/>
                <w:szCs w:val="11"/>
                <w:color w:val="auto"/>
              </w:rPr>
            </w:pPr>
          </w:p>
        </w:tc>
        <w:tc>
          <w:tcPr>
            <w:tcW w:w="2000" w:type="dxa"/>
            <w:vAlign w:val="bottom"/>
            <w:tcBorders>
              <w:bottom w:val="single" w:sz="8" w:color="808080"/>
            </w:tcBorders>
            <w:gridSpan w:val="2"/>
          </w:tcPr>
          <w:p>
            <w:pPr>
              <w:spacing w:after="0"/>
              <w:rPr>
                <w:sz w:val="11"/>
                <w:szCs w:val="11"/>
                <w:color w:val="auto"/>
              </w:rPr>
            </w:pPr>
          </w:p>
        </w:tc>
        <w:tc>
          <w:tcPr>
            <w:tcW w:w="730" w:type="dxa"/>
            <w:vAlign w:val="bottom"/>
            <w:tcBorders>
              <w:bottom w:val="single" w:sz="8" w:color="808080"/>
            </w:tcBorders>
          </w:tcPr>
          <w:p>
            <w:pPr>
              <w:spacing w:after="0"/>
              <w:rPr>
                <w:sz w:val="11"/>
                <w:szCs w:val="11"/>
                <w:color w:val="auto"/>
              </w:rPr>
            </w:pPr>
          </w:p>
        </w:tc>
        <w:tc>
          <w:tcPr>
            <w:tcW w:w="79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r>
        <w:trPr>
          <w:trHeight w:val="535"/>
        </w:trPr>
        <w:tc>
          <w:tcPr>
            <w:tcW w:w="4920" w:type="dxa"/>
            <w:vAlign w:val="bottom"/>
          </w:tcPr>
          <w:p>
            <w:pPr>
              <w:spacing w:after="0"/>
              <w:rPr>
                <w:sz w:val="24"/>
                <w:szCs w:val="24"/>
                <w:color w:val="auto"/>
              </w:rPr>
            </w:pPr>
          </w:p>
        </w:tc>
        <w:tc>
          <w:tcPr>
            <w:tcW w:w="2000" w:type="dxa"/>
            <w:vAlign w:val="bottom"/>
            <w:gridSpan w:val="2"/>
          </w:tcPr>
          <w:p>
            <w:pPr>
              <w:jc w:val="right"/>
              <w:ind w:right="1032"/>
              <w:spacing w:after="0"/>
              <w:rPr>
                <w:sz w:val="20"/>
                <w:szCs w:val="20"/>
                <w:color w:val="auto"/>
              </w:rPr>
            </w:pPr>
            <w:r>
              <w:rPr>
                <w:rFonts w:ascii="Arial" w:cs="Arial" w:eastAsia="Arial" w:hAnsi="Arial"/>
                <w:sz w:val="18"/>
                <w:szCs w:val="18"/>
                <w:color w:val="auto"/>
              </w:rPr>
              <w:t>13</w:t>
            </w:r>
          </w:p>
        </w:tc>
        <w:tc>
          <w:tcPr>
            <w:tcW w:w="730" w:type="dxa"/>
            <w:vAlign w:val="bottom"/>
          </w:tcPr>
          <w:p>
            <w:pPr>
              <w:spacing w:after="0"/>
              <w:rPr>
                <w:sz w:val="24"/>
                <w:szCs w:val="24"/>
                <w:color w:val="auto"/>
              </w:rPr>
            </w:pPr>
          </w:p>
        </w:tc>
        <w:tc>
          <w:tcPr>
            <w:tcW w:w="79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30" w:type="dxa"/>
            <w:vAlign w:val="bottom"/>
          </w:tcPr>
          <w:p>
            <w:pPr>
              <w:spacing w:after="0"/>
              <w:rPr>
                <w:sz w:val="18"/>
                <w:szCs w:val="18"/>
                <w:color w:val="auto"/>
              </w:rPr>
            </w:pPr>
          </w:p>
        </w:tc>
        <w:tc>
          <w:tcPr>
            <w:tcW w:w="79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49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730" w:type="dxa"/>
            <w:vAlign w:val="bottom"/>
            <w:shd w:val="clear" w:color="auto" w:fill="808080"/>
          </w:tcPr>
          <w:p>
            <w:pPr>
              <w:spacing w:after="0"/>
              <w:rPr>
                <w:sz w:val="5"/>
                <w:szCs w:val="5"/>
                <w:color w:val="auto"/>
              </w:rPr>
            </w:pPr>
          </w:p>
        </w:tc>
        <w:tc>
          <w:tcPr>
            <w:tcW w:w="79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-543560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-543560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-543560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-543560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-543560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-543560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-543560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-543560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-543560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-543560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-543560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-543560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-543560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-543560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-543560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82" w:right="1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(Loss) Earnings Per Share</w:t>
      </w:r>
    </w:p>
    <w:p>
      <w:pPr>
        <w:spacing w:after="0" w:line="23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Basic (loss) earnings per share is computed by dividing net (loss) earnings by the weighted average Shares of Class A Stock and Common Stock outstanding during the period. Diluted (loss) earnings per share is calculated to give effect to potentially dilutive options to purchase Class A and Common Stock and restricted stock units granted pursuant to the Company’s stock-based compensation plans that were outstanding during the period. In a period in which the Company reports a discontinued operation, (loss) earnings from continuing operations is used as the “control number” in determining whether potentially dilutive common shares are dilutive or anti-dilutive. The Company calculates per share figures prior to rounding in millions. The following table summarizes the reconciliation of the numerators and denominators for the basic and diluted (loss) earnings per share computation for the periods indicated: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20" w:type="dxa"/>
            <w:vAlign w:val="bottom"/>
          </w:tcPr>
          <w:p>
            <w:pPr>
              <w:spacing w:after="0"/>
              <w:rPr>
                <w:sz w:val="19"/>
                <w:szCs w:val="19"/>
                <w:color w:val="auto"/>
              </w:rPr>
            </w:pPr>
          </w:p>
        </w:tc>
        <w:tc>
          <w:tcPr>
            <w:tcW w:w="3020" w:type="dxa"/>
            <w:vAlign w:val="bottom"/>
            <w:gridSpan w:val="4"/>
          </w:tcPr>
          <w:p>
            <w:pPr>
              <w:jc w:val="right"/>
              <w:ind w:right="292"/>
              <w:spacing w:after="0"/>
              <w:rPr>
                <w:sz w:val="20"/>
                <w:szCs w:val="20"/>
                <w:color w:val="auto"/>
              </w:rPr>
            </w:pPr>
            <w:r>
              <w:rPr>
                <w:rFonts w:ascii="Arial" w:cs="Arial" w:eastAsia="Arial" w:hAnsi="Arial"/>
                <w:sz w:val="18"/>
                <w:szCs w:val="18"/>
                <w:b w:val="1"/>
                <w:bCs w:val="1"/>
                <w:i w:val="1"/>
                <w:iCs w:val="1"/>
                <w:color w:val="auto"/>
                <w:w w:val="90"/>
              </w:rPr>
              <w:t>Three months ended February 28,</w:t>
            </w:r>
          </w:p>
        </w:tc>
        <w:tc>
          <w:tcPr>
            <w:tcW w:w="340" w:type="dxa"/>
            <w:vAlign w:val="bottom"/>
          </w:tcPr>
          <w:p>
            <w:pPr>
              <w:spacing w:after="0"/>
              <w:rPr>
                <w:sz w:val="19"/>
                <w:szCs w:val="19"/>
                <w:color w:val="auto"/>
              </w:rPr>
            </w:pPr>
          </w:p>
        </w:tc>
        <w:tc>
          <w:tcPr>
            <w:tcW w:w="2660" w:type="dxa"/>
            <w:vAlign w:val="bottom"/>
            <w:gridSpan w:val="3"/>
          </w:tcPr>
          <w:p>
            <w:pPr>
              <w:jc w:val="right"/>
              <w:ind w:right="152"/>
              <w:spacing w:after="0"/>
              <w:rPr>
                <w:sz w:val="20"/>
                <w:szCs w:val="20"/>
                <w:color w:val="auto"/>
              </w:rPr>
            </w:pPr>
            <w:r>
              <w:rPr>
                <w:rFonts w:ascii="Arial" w:cs="Arial" w:eastAsia="Arial" w:hAnsi="Arial"/>
                <w:sz w:val="18"/>
                <w:szCs w:val="18"/>
                <w:b w:val="1"/>
                <w:bCs w:val="1"/>
                <w:i w:val="1"/>
                <w:iCs w:val="1"/>
                <w:color w:val="auto"/>
                <w:w w:val="85"/>
              </w:rPr>
              <w:t>Nine months ended February 28,</w:t>
            </w:r>
          </w:p>
        </w:tc>
      </w:tr>
      <w:tr>
        <w:trPr>
          <w:trHeight w:val="110"/>
        </w:trPr>
        <w:tc>
          <w:tcPr>
            <w:tcW w:w="54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316"/>
        </w:trPr>
        <w:tc>
          <w:tcPr>
            <w:tcW w:w="5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ind w:right="712"/>
              <w:spacing w:after="0"/>
              <w:rPr>
                <w:sz w:val="20"/>
                <w:szCs w:val="20"/>
                <w:color w:val="auto"/>
              </w:rPr>
            </w:pPr>
            <w:r>
              <w:rPr>
                <w:rFonts w:ascii="Arial" w:cs="Arial" w:eastAsia="Arial" w:hAnsi="Arial"/>
                <w:sz w:val="18"/>
                <w:szCs w:val="18"/>
                <w:b w:val="1"/>
                <w:bCs w:val="1"/>
                <w:color w:val="auto"/>
                <w:w w:val="89"/>
              </w:rPr>
              <w:t>2010</w:t>
            </w:r>
          </w:p>
        </w:tc>
        <w:tc>
          <w:tcPr>
            <w:tcW w:w="680" w:type="dxa"/>
            <w:vAlign w:val="bottom"/>
          </w:tcPr>
          <w:p>
            <w:pPr>
              <w:spacing w:after="0"/>
              <w:rPr>
                <w:sz w:val="24"/>
                <w:szCs w:val="24"/>
                <w:color w:val="auto"/>
              </w:rPr>
            </w:pPr>
          </w:p>
        </w:tc>
        <w:tc>
          <w:tcPr>
            <w:tcW w:w="900" w:type="dxa"/>
            <w:vAlign w:val="bottom"/>
          </w:tcPr>
          <w:p>
            <w:pPr>
              <w:jc w:val="right"/>
              <w:ind w:right="432"/>
              <w:spacing w:after="0"/>
              <w:rPr>
                <w:sz w:val="20"/>
                <w:szCs w:val="20"/>
                <w:color w:val="auto"/>
              </w:rPr>
            </w:pPr>
            <w:r>
              <w:rPr>
                <w:rFonts w:ascii="Arial" w:cs="Arial" w:eastAsia="Arial" w:hAnsi="Arial"/>
                <w:sz w:val="18"/>
                <w:szCs w:val="18"/>
                <w:b w:val="1"/>
                <w:bCs w:val="1"/>
                <w:color w:val="auto"/>
                <w:w w:val="89"/>
              </w:rPr>
              <w:t>2009</w:t>
            </w:r>
          </w:p>
        </w:tc>
        <w:tc>
          <w:tcPr>
            <w:tcW w:w="340" w:type="dxa"/>
            <w:vAlign w:val="bottom"/>
          </w:tcPr>
          <w:p>
            <w:pPr>
              <w:spacing w:after="0"/>
              <w:rPr>
                <w:sz w:val="24"/>
                <w:szCs w:val="24"/>
                <w:color w:val="auto"/>
              </w:rPr>
            </w:pPr>
          </w:p>
        </w:tc>
        <w:tc>
          <w:tcPr>
            <w:tcW w:w="1240" w:type="dxa"/>
            <w:vAlign w:val="bottom"/>
          </w:tcPr>
          <w:p>
            <w:pPr>
              <w:jc w:val="right"/>
              <w:ind w:right="712"/>
              <w:spacing w:after="0"/>
              <w:rPr>
                <w:sz w:val="20"/>
                <w:szCs w:val="20"/>
                <w:color w:val="auto"/>
              </w:rPr>
            </w:pPr>
            <w:r>
              <w:rPr>
                <w:rFonts w:ascii="Arial" w:cs="Arial" w:eastAsia="Arial" w:hAnsi="Arial"/>
                <w:sz w:val="18"/>
                <w:szCs w:val="18"/>
                <w:b w:val="1"/>
                <w:bCs w:val="1"/>
                <w:color w:val="auto"/>
              </w:rPr>
              <w:t>2010</w:t>
            </w:r>
          </w:p>
        </w:tc>
        <w:tc>
          <w:tcPr>
            <w:tcW w:w="700" w:type="dxa"/>
            <w:vAlign w:val="bottom"/>
          </w:tcPr>
          <w:p>
            <w:pPr>
              <w:spacing w:after="0"/>
              <w:rPr>
                <w:sz w:val="24"/>
                <w:szCs w:val="24"/>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b w:val="1"/>
                <w:bCs w:val="1"/>
                <w:color w:val="auto"/>
                <w:w w:val="94"/>
              </w:rPr>
              <w:t>2009</w:t>
            </w:r>
          </w:p>
        </w:tc>
      </w:tr>
      <w:tr>
        <w:trPr>
          <w:trHeight w:val="110"/>
        </w:trPr>
        <w:tc>
          <w:tcPr>
            <w:tcW w:w="54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458"/>
        </w:trPr>
        <w:tc>
          <w:tcPr>
            <w:tcW w:w="5420" w:type="dxa"/>
            <w:vAlign w:val="bottom"/>
          </w:tcPr>
          <w:p>
            <w:pPr>
              <w:spacing w:after="0"/>
              <w:rPr>
                <w:sz w:val="20"/>
                <w:szCs w:val="20"/>
                <w:color w:val="auto"/>
              </w:rPr>
            </w:pPr>
            <w:r>
              <w:rPr>
                <w:rFonts w:ascii="Arial" w:cs="Arial" w:eastAsia="Arial" w:hAnsi="Arial"/>
                <w:sz w:val="18"/>
                <w:szCs w:val="18"/>
                <w:color w:val="auto"/>
              </w:rPr>
              <w:t>(Loss) earnings from continuing operations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72"/>
              <w:spacing w:after="0"/>
              <w:rPr>
                <w:sz w:val="20"/>
                <w:szCs w:val="20"/>
                <w:color w:val="auto"/>
              </w:rPr>
            </w:pPr>
            <w:r>
              <w:rPr>
                <w:rFonts w:ascii="Arial" w:cs="Arial" w:eastAsia="Arial" w:hAnsi="Arial"/>
                <w:sz w:val="18"/>
                <w:szCs w:val="18"/>
                <w:color w:val="auto"/>
              </w:rPr>
              <w:t>(4.6)</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(34.5)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32"/>
              <w:spacing w:after="0"/>
              <w:rPr>
                <w:sz w:val="20"/>
                <w:szCs w:val="20"/>
                <w:color w:val="auto"/>
              </w:rPr>
            </w:pPr>
            <w:r>
              <w:rPr>
                <w:rFonts w:ascii="Arial" w:cs="Arial" w:eastAsia="Arial" w:hAnsi="Arial"/>
                <w:sz w:val="18"/>
                <w:szCs w:val="18"/>
                <w:color w:val="auto"/>
              </w:rPr>
              <w:t>27.6</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Pr>
          <w:p>
            <w:pPr>
              <w:spacing w:after="0"/>
              <w:rPr>
                <w:sz w:val="18"/>
                <w:szCs w:val="18"/>
                <w:color w:val="auto"/>
              </w:rPr>
            </w:pPr>
          </w:p>
        </w:tc>
        <w:tc>
          <w:tcPr>
            <w:tcW w:w="1180" w:type="dxa"/>
            <w:vAlign w:val="bottom"/>
          </w:tcPr>
          <w:p>
            <w:pPr>
              <w:jc w:val="right"/>
              <w:ind w:right="472"/>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18"/>
                <w:szCs w:val="18"/>
                <w:color w:val="auto"/>
              </w:rPr>
            </w:pP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240" w:type="dxa"/>
            <w:vAlign w:val="bottom"/>
          </w:tcPr>
          <w:p>
            <w:pPr>
              <w:jc w:val="right"/>
              <w:ind w:right="472"/>
              <w:spacing w:after="0"/>
              <w:rPr>
                <w:sz w:val="20"/>
                <w:szCs w:val="20"/>
                <w:color w:val="auto"/>
              </w:rPr>
            </w:pPr>
            <w:r>
              <w:rPr>
                <w:rFonts w:ascii="Arial" w:cs="Arial" w:eastAsia="Arial" w:hAnsi="Arial"/>
                <w:sz w:val="18"/>
                <w:szCs w:val="18"/>
                <w:color w:val="auto"/>
              </w:rPr>
              <w:t>(0.7)</w:t>
            </w:r>
          </w:p>
        </w:tc>
        <w:tc>
          <w:tcPr>
            <w:tcW w:w="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(loss) earnings</w:t>
            </w:r>
          </w:p>
        </w:tc>
        <w:tc>
          <w:tcPr>
            <w:tcW w:w="260" w:type="dxa"/>
            <w:vAlign w:val="bottom"/>
          </w:tcPr>
          <w:p>
            <w:pPr>
              <w:spacing w:after="0"/>
              <w:rPr>
                <w:sz w:val="18"/>
                <w:szCs w:val="18"/>
                <w:color w:val="auto"/>
              </w:rPr>
            </w:pPr>
          </w:p>
        </w:tc>
        <w:tc>
          <w:tcPr>
            <w:tcW w:w="1180" w:type="dxa"/>
            <w:vAlign w:val="bottom"/>
          </w:tcPr>
          <w:p>
            <w:pPr>
              <w:jc w:val="right"/>
              <w:ind w:right="472"/>
              <w:spacing w:after="0"/>
              <w:rPr>
                <w:sz w:val="20"/>
                <w:szCs w:val="20"/>
                <w:color w:val="auto"/>
              </w:rPr>
            </w:pPr>
            <w:r>
              <w:rPr>
                <w:rFonts w:ascii="Arial" w:cs="Arial" w:eastAsia="Arial" w:hAnsi="Arial"/>
                <w:sz w:val="18"/>
                <w:szCs w:val="18"/>
                <w:color w:val="auto"/>
              </w:rPr>
              <w:t>(5.6)</w:t>
            </w:r>
          </w:p>
        </w:tc>
        <w:tc>
          <w:tcPr>
            <w:tcW w:w="680" w:type="dxa"/>
            <w:vAlign w:val="bottom"/>
          </w:tcPr>
          <w:p>
            <w:pPr>
              <w:spacing w:after="0"/>
              <w:rPr>
                <w:sz w:val="18"/>
                <w:szCs w:val="18"/>
                <w:color w:val="auto"/>
              </w:rPr>
            </w:pP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(36.0)</w:t>
            </w:r>
          </w:p>
        </w:tc>
        <w:tc>
          <w:tcPr>
            <w:tcW w:w="340" w:type="dxa"/>
            <w:vAlign w:val="bottom"/>
          </w:tcPr>
          <w:p>
            <w:pPr>
              <w:spacing w:after="0"/>
              <w:rPr>
                <w:sz w:val="18"/>
                <w:szCs w:val="18"/>
                <w:color w:val="auto"/>
              </w:rPr>
            </w:pPr>
          </w:p>
        </w:tc>
        <w:tc>
          <w:tcPr>
            <w:tcW w:w="1240" w:type="dxa"/>
            <w:vAlign w:val="bottom"/>
          </w:tcPr>
          <w:p>
            <w:pPr>
              <w:jc w:val="right"/>
              <w:ind w:right="532"/>
              <w:spacing w:after="0"/>
              <w:rPr>
                <w:sz w:val="20"/>
                <w:szCs w:val="20"/>
                <w:color w:val="auto"/>
              </w:rPr>
            </w:pPr>
            <w:r>
              <w:rPr>
                <w:rFonts w:ascii="Arial" w:cs="Arial" w:eastAsia="Arial" w:hAnsi="Arial"/>
                <w:sz w:val="18"/>
                <w:szCs w:val="18"/>
                <w:color w:val="auto"/>
              </w:rPr>
              <w:t>26.9</w:t>
            </w:r>
          </w:p>
        </w:tc>
        <w:tc>
          <w:tcPr>
            <w:tcW w:w="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w w:val="89"/>
              </w:rPr>
              <w:t>Weighted average Shares of Class A Stock and Common Stock outstanding</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420" w:type="dxa"/>
            <w:vAlign w:val="bottom"/>
          </w:tcPr>
          <w:p>
            <w:pPr>
              <w:ind w:left="160"/>
              <w:spacing w:after="0"/>
              <w:rPr>
                <w:sz w:val="20"/>
                <w:szCs w:val="20"/>
                <w:color w:val="auto"/>
              </w:rPr>
            </w:pPr>
            <w:r>
              <w:rPr>
                <w:rFonts w:ascii="Arial" w:cs="Arial" w:eastAsia="Arial" w:hAnsi="Arial"/>
                <w:sz w:val="18"/>
                <w:szCs w:val="18"/>
                <w:color w:val="auto"/>
              </w:rPr>
              <w:t>for basic earnings per share (in millions)</w:t>
            </w:r>
          </w:p>
        </w:tc>
        <w:tc>
          <w:tcPr>
            <w:tcW w:w="260" w:type="dxa"/>
            <w:vAlign w:val="bottom"/>
          </w:tcPr>
          <w:p>
            <w:pPr>
              <w:spacing w:after="0"/>
              <w:rPr>
                <w:sz w:val="18"/>
                <w:szCs w:val="18"/>
                <w:color w:val="auto"/>
              </w:rPr>
            </w:pPr>
          </w:p>
        </w:tc>
        <w:tc>
          <w:tcPr>
            <w:tcW w:w="1180" w:type="dxa"/>
            <w:vAlign w:val="bottom"/>
          </w:tcPr>
          <w:p>
            <w:pPr>
              <w:jc w:val="right"/>
              <w:ind w:right="532"/>
              <w:spacing w:after="0"/>
              <w:rPr>
                <w:sz w:val="20"/>
                <w:szCs w:val="20"/>
                <w:color w:val="auto"/>
              </w:rPr>
            </w:pPr>
            <w:r>
              <w:rPr>
                <w:rFonts w:ascii="Arial" w:cs="Arial" w:eastAsia="Arial" w:hAnsi="Arial"/>
                <w:sz w:val="18"/>
                <w:szCs w:val="18"/>
                <w:color w:val="auto"/>
              </w:rPr>
              <w:t>36.6</w:t>
            </w:r>
          </w:p>
        </w:tc>
        <w:tc>
          <w:tcPr>
            <w:tcW w:w="680" w:type="dxa"/>
            <w:vAlign w:val="bottom"/>
          </w:tcPr>
          <w:p>
            <w:pPr>
              <w:spacing w:after="0"/>
              <w:rPr>
                <w:sz w:val="18"/>
                <w:szCs w:val="18"/>
                <w:color w:val="auto"/>
              </w:rPr>
            </w:pPr>
          </w:p>
        </w:tc>
        <w:tc>
          <w:tcPr>
            <w:tcW w:w="900" w:type="dxa"/>
            <w:vAlign w:val="bottom"/>
          </w:tcPr>
          <w:p>
            <w:pPr>
              <w:jc w:val="right"/>
              <w:ind w:right="252"/>
              <w:spacing w:after="0"/>
              <w:rPr>
                <w:sz w:val="20"/>
                <w:szCs w:val="20"/>
                <w:color w:val="auto"/>
              </w:rPr>
            </w:pPr>
            <w:r>
              <w:rPr>
                <w:rFonts w:ascii="Arial" w:cs="Arial" w:eastAsia="Arial" w:hAnsi="Arial"/>
                <w:sz w:val="18"/>
                <w:szCs w:val="18"/>
                <w:color w:val="auto"/>
              </w:rPr>
              <w:t>36.9</w:t>
            </w:r>
          </w:p>
        </w:tc>
        <w:tc>
          <w:tcPr>
            <w:tcW w:w="340" w:type="dxa"/>
            <w:vAlign w:val="bottom"/>
          </w:tcPr>
          <w:p>
            <w:pPr>
              <w:spacing w:after="0"/>
              <w:rPr>
                <w:sz w:val="18"/>
                <w:szCs w:val="18"/>
                <w:color w:val="auto"/>
              </w:rPr>
            </w:pPr>
          </w:p>
        </w:tc>
        <w:tc>
          <w:tcPr>
            <w:tcW w:w="1240" w:type="dxa"/>
            <w:vAlign w:val="bottom"/>
          </w:tcPr>
          <w:p>
            <w:pPr>
              <w:jc w:val="right"/>
              <w:ind w:right="532"/>
              <w:spacing w:after="0"/>
              <w:rPr>
                <w:sz w:val="20"/>
                <w:szCs w:val="20"/>
                <w:color w:val="auto"/>
              </w:rPr>
            </w:pPr>
            <w:r>
              <w:rPr>
                <w:rFonts w:ascii="Arial" w:cs="Arial" w:eastAsia="Arial" w:hAnsi="Arial"/>
                <w:sz w:val="18"/>
                <w:szCs w:val="18"/>
                <w:color w:val="auto"/>
              </w:rPr>
              <w:t>36.5</w:t>
            </w:r>
          </w:p>
        </w:tc>
        <w:tc>
          <w:tcPr>
            <w:tcW w:w="70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37.5</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w w:val="95"/>
              </w:rPr>
              <w:t>Dilutive effect of Class A Stock and Common Stock potentially issuable</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420" w:type="dxa"/>
            <w:vAlign w:val="bottom"/>
          </w:tcPr>
          <w:p>
            <w:pPr>
              <w:ind w:left="160"/>
              <w:spacing w:after="0"/>
              <w:rPr>
                <w:sz w:val="20"/>
                <w:szCs w:val="20"/>
                <w:color w:val="auto"/>
              </w:rPr>
            </w:pPr>
            <w:r>
              <w:rPr>
                <w:rFonts w:ascii="Arial" w:cs="Arial" w:eastAsia="Arial" w:hAnsi="Arial"/>
                <w:sz w:val="18"/>
                <w:szCs w:val="18"/>
                <w:color w:val="auto"/>
              </w:rPr>
              <w:t>pursuant to stock-based compensation plans (in millions)</w:t>
            </w:r>
          </w:p>
        </w:tc>
        <w:tc>
          <w:tcPr>
            <w:tcW w:w="260" w:type="dxa"/>
            <w:vAlign w:val="bottom"/>
          </w:tcPr>
          <w:p>
            <w:pPr>
              <w:spacing w:after="0"/>
              <w:rPr>
                <w:sz w:val="18"/>
                <w:szCs w:val="18"/>
                <w:color w:val="auto"/>
              </w:rPr>
            </w:pPr>
          </w:p>
        </w:tc>
        <w:tc>
          <w:tcPr>
            <w:tcW w:w="118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40" w:type="dxa"/>
            <w:vAlign w:val="bottom"/>
          </w:tcPr>
          <w:p>
            <w:pPr>
              <w:jc w:val="right"/>
              <w:ind w:right="532"/>
              <w:spacing w:after="0"/>
              <w:rPr>
                <w:sz w:val="20"/>
                <w:szCs w:val="20"/>
                <w:color w:val="auto"/>
              </w:rPr>
            </w:pPr>
            <w:r>
              <w:rPr>
                <w:rFonts w:ascii="Arial" w:cs="Arial" w:eastAsia="Arial" w:hAnsi="Arial"/>
                <w:sz w:val="18"/>
                <w:szCs w:val="18"/>
                <w:color w:val="auto"/>
              </w:rPr>
              <w:t>0.3</w:t>
            </w:r>
          </w:p>
        </w:tc>
        <w:tc>
          <w:tcPr>
            <w:tcW w:w="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w w:val="93"/>
              </w:rPr>
              <w:t>Adjusted weighted average Shares of Class A Stock and Common Stock</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5420" w:type="dxa"/>
            <w:vAlign w:val="bottom"/>
          </w:tcPr>
          <w:p>
            <w:pPr>
              <w:ind w:left="160"/>
              <w:spacing w:after="0"/>
              <w:rPr>
                <w:sz w:val="20"/>
                <w:szCs w:val="20"/>
                <w:color w:val="auto"/>
              </w:rPr>
            </w:pPr>
            <w:r>
              <w:rPr>
                <w:rFonts w:ascii="Arial" w:cs="Arial" w:eastAsia="Arial" w:hAnsi="Arial"/>
                <w:sz w:val="18"/>
                <w:szCs w:val="18"/>
                <w:color w:val="auto"/>
              </w:rPr>
              <w:t>outstanding for diluted earnings per share (in millions)</w:t>
            </w:r>
          </w:p>
        </w:tc>
        <w:tc>
          <w:tcPr>
            <w:tcW w:w="260" w:type="dxa"/>
            <w:vAlign w:val="bottom"/>
          </w:tcPr>
          <w:p>
            <w:pPr>
              <w:spacing w:after="0"/>
              <w:rPr>
                <w:sz w:val="19"/>
                <w:szCs w:val="19"/>
                <w:color w:val="auto"/>
              </w:rPr>
            </w:pPr>
          </w:p>
        </w:tc>
        <w:tc>
          <w:tcPr>
            <w:tcW w:w="118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ind w:right="532"/>
              <w:spacing w:after="0"/>
              <w:rPr>
                <w:sz w:val="20"/>
                <w:szCs w:val="20"/>
                <w:color w:val="auto"/>
              </w:rPr>
            </w:pPr>
            <w:r>
              <w:rPr>
                <w:rFonts w:ascii="Arial" w:cs="Arial" w:eastAsia="Arial" w:hAnsi="Arial"/>
                <w:sz w:val="18"/>
                <w:szCs w:val="18"/>
                <w:color w:val="auto"/>
              </w:rPr>
              <w:t>36.8</w:t>
            </w:r>
          </w:p>
        </w:tc>
        <w:tc>
          <w:tcPr>
            <w:tcW w:w="7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52"/>
        </w:trPr>
        <w:tc>
          <w:tcPr>
            <w:tcW w:w="5420" w:type="dxa"/>
            <w:vAlign w:val="bottom"/>
          </w:tcPr>
          <w:p>
            <w:pPr>
              <w:spacing w:after="0"/>
              <w:rPr>
                <w:sz w:val="20"/>
                <w:szCs w:val="20"/>
                <w:color w:val="auto"/>
              </w:rPr>
            </w:pPr>
            <w:r>
              <w:rPr>
                <w:rFonts w:ascii="Arial" w:cs="Arial" w:eastAsia="Arial" w:hAnsi="Arial"/>
                <w:sz w:val="18"/>
                <w:szCs w:val="18"/>
                <w:b w:val="1"/>
                <w:bCs w:val="1"/>
                <w:color w:val="auto"/>
                <w:w w:val="98"/>
              </w:rPr>
              <w:t>(Loss) earnings per share of Class A Stock and Common Stock:</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2"/>
        </w:trPr>
        <w:tc>
          <w:tcPr>
            <w:tcW w:w="5420" w:type="dxa"/>
            <w:vAlign w:val="bottom"/>
          </w:tcPr>
          <w:p>
            <w:pPr>
              <w:ind w:left="160"/>
              <w:spacing w:after="0"/>
              <w:rPr>
                <w:sz w:val="20"/>
                <w:szCs w:val="20"/>
                <w:color w:val="auto"/>
              </w:rPr>
            </w:pPr>
            <w:r>
              <w:rPr>
                <w:rFonts w:ascii="Arial" w:cs="Arial" w:eastAsia="Arial" w:hAnsi="Arial"/>
                <w:sz w:val="18"/>
                <w:szCs w:val="18"/>
                <w:b w:val="1"/>
                <w:bCs w:val="1"/>
                <w:color w:val="auto"/>
              </w:rPr>
              <w:t>Basic (loss) earnings per share:</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6"/>
        </w:trPr>
        <w:tc>
          <w:tcPr>
            <w:tcW w:w="5420" w:type="dxa"/>
            <w:vAlign w:val="bottom"/>
          </w:tcPr>
          <w:p>
            <w:pPr>
              <w:ind w:left="320"/>
              <w:spacing w:after="0"/>
              <w:rPr>
                <w:sz w:val="20"/>
                <w:szCs w:val="20"/>
                <w:color w:val="auto"/>
              </w:rPr>
            </w:pPr>
            <w:r>
              <w:rPr>
                <w:rFonts w:ascii="Arial" w:cs="Arial" w:eastAsia="Arial" w:hAnsi="Arial"/>
                <w:sz w:val="18"/>
                <w:szCs w:val="18"/>
                <w:color w:val="auto"/>
              </w:rPr>
              <w:t>(Loss) earnings from continuing operations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72"/>
              <w:spacing w:after="0"/>
              <w:rPr>
                <w:sz w:val="20"/>
                <w:szCs w:val="20"/>
                <w:color w:val="auto"/>
              </w:rPr>
            </w:pPr>
            <w:r>
              <w:rPr>
                <w:rFonts w:ascii="Arial" w:cs="Arial" w:eastAsia="Arial" w:hAnsi="Arial"/>
                <w:sz w:val="18"/>
                <w:szCs w:val="18"/>
                <w:color w:val="auto"/>
              </w:rPr>
              <w:t>(0.12)</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(0.93)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32"/>
              <w:spacing w:after="0"/>
              <w:rPr>
                <w:sz w:val="20"/>
                <w:szCs w:val="20"/>
                <w:color w:val="auto"/>
              </w:rPr>
            </w:pPr>
            <w:r>
              <w:rPr>
                <w:rFonts w:ascii="Arial" w:cs="Arial" w:eastAsia="Arial" w:hAnsi="Arial"/>
                <w:sz w:val="18"/>
                <w:szCs w:val="18"/>
                <w:color w:val="auto"/>
              </w:rPr>
              <w:t>0.76</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16"/>
        </w:trPr>
        <w:tc>
          <w:tcPr>
            <w:tcW w:w="5420" w:type="dxa"/>
            <w:vAlign w:val="bottom"/>
          </w:tcPr>
          <w:p>
            <w:pPr>
              <w:ind w:left="32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72"/>
              <w:spacing w:after="0"/>
              <w:rPr>
                <w:sz w:val="20"/>
                <w:szCs w:val="20"/>
                <w:color w:val="auto"/>
              </w:rPr>
            </w:pPr>
            <w:r>
              <w:rPr>
                <w:rFonts w:ascii="Arial" w:cs="Arial" w:eastAsia="Arial" w:hAnsi="Arial"/>
                <w:sz w:val="18"/>
                <w:szCs w:val="18"/>
                <w:color w:val="auto"/>
              </w:rPr>
              <w:t>(0.03)</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(0.05)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72"/>
              <w:spacing w:after="0"/>
              <w:rPr>
                <w:sz w:val="20"/>
                <w:szCs w:val="20"/>
                <w:color w:val="auto"/>
              </w:rPr>
            </w:pPr>
            <w:r>
              <w:rPr>
                <w:rFonts w:ascii="Arial" w:cs="Arial" w:eastAsia="Arial" w:hAnsi="Arial"/>
                <w:sz w:val="18"/>
                <w:szCs w:val="18"/>
                <w:color w:val="auto"/>
              </w:rPr>
              <w:t>(0.02)</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(0.62)</w:t>
            </w:r>
          </w:p>
        </w:tc>
      </w:tr>
      <w:tr>
        <w:trPr>
          <w:trHeight w:val="222"/>
        </w:trPr>
        <w:tc>
          <w:tcPr>
            <w:tcW w:w="5420" w:type="dxa"/>
            <w:vAlign w:val="bottom"/>
          </w:tcPr>
          <w:p>
            <w:pPr>
              <w:ind w:left="320"/>
              <w:spacing w:after="0"/>
              <w:rPr>
                <w:sz w:val="20"/>
                <w:szCs w:val="20"/>
                <w:color w:val="auto"/>
              </w:rPr>
            </w:pPr>
            <w:r>
              <w:rPr>
                <w:rFonts w:ascii="Arial" w:cs="Arial" w:eastAsia="Arial" w:hAnsi="Arial"/>
                <w:sz w:val="18"/>
                <w:szCs w:val="18"/>
                <w:color w:val="auto"/>
              </w:rPr>
              <w:t>Net (loss) earnings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72"/>
              <w:spacing w:after="0"/>
              <w:rPr>
                <w:sz w:val="20"/>
                <w:szCs w:val="20"/>
                <w:color w:val="auto"/>
              </w:rPr>
            </w:pPr>
            <w:r>
              <w:rPr>
                <w:rFonts w:ascii="Arial" w:cs="Arial" w:eastAsia="Arial" w:hAnsi="Arial"/>
                <w:sz w:val="18"/>
                <w:szCs w:val="18"/>
                <w:color w:val="auto"/>
              </w:rPr>
              <w:t>(0.15)</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(0.98)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32"/>
              <w:spacing w:after="0"/>
              <w:rPr>
                <w:sz w:val="20"/>
                <w:szCs w:val="20"/>
                <w:color w:val="auto"/>
              </w:rPr>
            </w:pPr>
            <w:r>
              <w:rPr>
                <w:rFonts w:ascii="Arial" w:cs="Arial" w:eastAsia="Arial" w:hAnsi="Arial"/>
                <w:sz w:val="18"/>
                <w:szCs w:val="18"/>
                <w:color w:val="auto"/>
              </w:rPr>
              <w:t>0.74</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58"/>
        </w:trPr>
        <w:tc>
          <w:tcPr>
            <w:tcW w:w="5420" w:type="dxa"/>
            <w:vAlign w:val="bottom"/>
          </w:tcPr>
          <w:p>
            <w:pPr>
              <w:spacing w:after="0"/>
              <w:rPr>
                <w:sz w:val="20"/>
                <w:szCs w:val="20"/>
                <w:color w:val="auto"/>
              </w:rPr>
            </w:pPr>
            <w:r>
              <w:rPr>
                <w:rFonts w:ascii="Arial" w:cs="Arial" w:eastAsia="Arial" w:hAnsi="Arial"/>
                <w:sz w:val="18"/>
                <w:szCs w:val="18"/>
                <w:b w:val="1"/>
                <w:bCs w:val="1"/>
                <w:color w:val="auto"/>
              </w:rPr>
              <w:t>Diluted (loss) earnings per share:</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5420" w:type="dxa"/>
            <w:vAlign w:val="bottom"/>
          </w:tcPr>
          <w:p>
            <w:pPr>
              <w:ind w:left="320"/>
              <w:spacing w:after="0"/>
              <w:rPr>
                <w:sz w:val="20"/>
                <w:szCs w:val="20"/>
                <w:color w:val="auto"/>
              </w:rPr>
            </w:pPr>
            <w:r>
              <w:rPr>
                <w:rFonts w:ascii="Arial" w:cs="Arial" w:eastAsia="Arial" w:hAnsi="Arial"/>
                <w:sz w:val="18"/>
                <w:szCs w:val="18"/>
                <w:color w:val="auto"/>
              </w:rPr>
              <w:t>(Loss) earnings from continuing operations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72"/>
              <w:spacing w:after="0"/>
              <w:rPr>
                <w:sz w:val="20"/>
                <w:szCs w:val="20"/>
                <w:color w:val="auto"/>
              </w:rPr>
            </w:pPr>
            <w:r>
              <w:rPr>
                <w:rFonts w:ascii="Arial" w:cs="Arial" w:eastAsia="Arial" w:hAnsi="Arial"/>
                <w:sz w:val="18"/>
                <w:szCs w:val="18"/>
                <w:color w:val="auto"/>
              </w:rPr>
              <w:t>(0.12)</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(0.93)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32"/>
              <w:spacing w:after="0"/>
              <w:rPr>
                <w:sz w:val="20"/>
                <w:szCs w:val="20"/>
                <w:color w:val="auto"/>
              </w:rPr>
            </w:pPr>
            <w:r>
              <w:rPr>
                <w:rFonts w:ascii="Arial" w:cs="Arial" w:eastAsia="Arial" w:hAnsi="Arial"/>
                <w:sz w:val="18"/>
                <w:szCs w:val="18"/>
                <w:color w:val="auto"/>
              </w:rPr>
              <w:t>0.75</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16"/>
        </w:trPr>
        <w:tc>
          <w:tcPr>
            <w:tcW w:w="5420" w:type="dxa"/>
            <w:vAlign w:val="bottom"/>
          </w:tcPr>
          <w:p>
            <w:pPr>
              <w:ind w:left="32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72"/>
              <w:spacing w:after="0"/>
              <w:rPr>
                <w:sz w:val="20"/>
                <w:szCs w:val="20"/>
                <w:color w:val="auto"/>
              </w:rPr>
            </w:pPr>
            <w:r>
              <w:rPr>
                <w:rFonts w:ascii="Arial" w:cs="Arial" w:eastAsia="Arial" w:hAnsi="Arial"/>
                <w:sz w:val="18"/>
                <w:szCs w:val="18"/>
                <w:color w:val="auto"/>
              </w:rPr>
              <w:t>(0.03)</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(0.05)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72"/>
              <w:spacing w:after="0"/>
              <w:rPr>
                <w:sz w:val="20"/>
                <w:szCs w:val="20"/>
                <w:color w:val="auto"/>
              </w:rPr>
            </w:pPr>
            <w:r>
              <w:rPr>
                <w:rFonts w:ascii="Arial" w:cs="Arial" w:eastAsia="Arial" w:hAnsi="Arial"/>
                <w:sz w:val="18"/>
                <w:szCs w:val="18"/>
                <w:color w:val="auto"/>
              </w:rPr>
              <w:t>(0.02)</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(0.62)</w:t>
            </w:r>
          </w:p>
        </w:tc>
      </w:tr>
      <w:tr>
        <w:trPr>
          <w:trHeight w:val="222"/>
        </w:trPr>
        <w:tc>
          <w:tcPr>
            <w:tcW w:w="5420" w:type="dxa"/>
            <w:vAlign w:val="bottom"/>
          </w:tcPr>
          <w:p>
            <w:pPr>
              <w:ind w:left="320"/>
              <w:spacing w:after="0"/>
              <w:rPr>
                <w:sz w:val="20"/>
                <w:szCs w:val="20"/>
                <w:color w:val="auto"/>
              </w:rPr>
            </w:pPr>
            <w:r>
              <w:rPr>
                <w:rFonts w:ascii="Arial" w:cs="Arial" w:eastAsia="Arial" w:hAnsi="Arial"/>
                <w:sz w:val="18"/>
                <w:szCs w:val="18"/>
                <w:color w:val="auto"/>
              </w:rPr>
              <w:t>Net (loss) earnings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72"/>
              <w:spacing w:after="0"/>
              <w:rPr>
                <w:sz w:val="20"/>
                <w:szCs w:val="20"/>
                <w:color w:val="auto"/>
              </w:rPr>
            </w:pPr>
            <w:r>
              <w:rPr>
                <w:rFonts w:ascii="Arial" w:cs="Arial" w:eastAsia="Arial" w:hAnsi="Arial"/>
                <w:sz w:val="18"/>
                <w:szCs w:val="18"/>
                <w:color w:val="auto"/>
              </w:rPr>
              <w:t>(0.15)</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(0.98)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32"/>
              <w:spacing w:after="0"/>
              <w:rPr>
                <w:sz w:val="20"/>
                <w:szCs w:val="20"/>
                <w:color w:val="auto"/>
              </w:rPr>
            </w:pPr>
            <w:r>
              <w:rPr>
                <w:rFonts w:ascii="Arial" w:cs="Arial" w:eastAsia="Arial" w:hAnsi="Arial"/>
                <w:sz w:val="18"/>
                <w:szCs w:val="18"/>
                <w:color w:val="auto"/>
              </w:rPr>
              <w:t>0.73</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110"/>
        </w:trPr>
        <w:tc>
          <w:tcPr>
            <w:tcW w:w="54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80" w:firstLine="8"/>
        <w:spacing w:after="0" w:line="254" w:lineRule="auto"/>
        <w:tabs>
          <w:tab w:leader="none" w:pos="132"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three months ended February 28, 2010 and 2009, and the nine months ended February 28, 2009, the Company experienced a loss from continuing operations and therefore did not reflect anti-dilutive share impact. The number of potentially dilutive options with market prices exceeding exercise prices to purchase Class A and Common Stock and restricted stock units excluded from the computation of diluted earnings per share, because they were anti-dilutive due to a loss from continuing operations, was approximately 0.5 million and 0.2 million for the three months ended February 28, 2010 and 2009, respectively, and 0.2 million for the nine months ended February 28, 2009. Options outstanding pursuant to compensation plans were 5.6 million and 6.1 million as of February 28, 2010 and 2009, respectively.</w:t>
      </w:r>
    </w:p>
    <w:p>
      <w:pPr>
        <w:spacing w:after="0" w:line="19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During the nine months ended February 28, 2010, the Company repurchased 71,003 shares of its Common Stock for approximately $1.5 pursuant to share buy-back programs authorized by the Board of Directors.</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Goodwill and other intangible assets with indefinite lives are reviewed annually for impairment or more frequently if impairment indicators arise.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Goodwill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3640" w:type="dxa"/>
            <w:vAlign w:val="bottom"/>
            <w:gridSpan w:val="2"/>
          </w:tcPr>
          <w:p>
            <w:pPr>
              <w:jc w:val="right"/>
              <w:ind w:right="252"/>
              <w:spacing w:after="0"/>
              <w:rPr>
                <w:sz w:val="20"/>
                <w:szCs w:val="20"/>
                <w:color w:val="auto"/>
              </w:rPr>
            </w:pPr>
            <w:r>
              <w:rPr>
                <w:rFonts w:ascii="Arial" w:cs="Arial" w:eastAsia="Arial" w:hAnsi="Arial"/>
                <w:sz w:val="18"/>
                <w:szCs w:val="18"/>
                <w:b w:val="1"/>
                <w:bCs w:val="1"/>
                <w:i w:val="1"/>
                <w:iCs w:val="1"/>
                <w:color w:val="auto"/>
              </w:rPr>
              <w:t>Nine months ended</w:t>
            </w:r>
          </w:p>
        </w:tc>
        <w:tc>
          <w:tcPr>
            <w:tcW w:w="2240" w:type="dxa"/>
            <w:vAlign w:val="bottom"/>
            <w:gridSpan w:val="2"/>
          </w:tcPr>
          <w:p>
            <w:pPr>
              <w:jc w:val="right"/>
              <w:ind w:right="252"/>
              <w:spacing w:after="0"/>
              <w:rPr>
                <w:sz w:val="20"/>
                <w:szCs w:val="20"/>
                <w:color w:val="auto"/>
              </w:rPr>
            </w:pPr>
            <w:r>
              <w:rPr>
                <w:rFonts w:ascii="Arial" w:cs="Arial" w:eastAsia="Arial" w:hAnsi="Arial"/>
                <w:sz w:val="18"/>
                <w:szCs w:val="18"/>
                <w:b w:val="1"/>
                <w:bCs w:val="1"/>
                <w:i w:val="1"/>
                <w:iCs w:val="1"/>
                <w:color w:val="auto"/>
                <w:w w:val="99"/>
              </w:rPr>
              <w:t>Twelve months ended</w:t>
            </w:r>
          </w:p>
        </w:tc>
        <w:tc>
          <w:tcPr>
            <w:tcW w:w="1960" w:type="dxa"/>
            <w:vAlign w:val="bottom"/>
            <w:gridSpan w:val="2"/>
          </w:tcPr>
          <w:p>
            <w:pPr>
              <w:jc w:val="right"/>
              <w:ind w:right="152"/>
              <w:spacing w:after="0"/>
              <w:rPr>
                <w:sz w:val="20"/>
                <w:szCs w:val="20"/>
                <w:color w:val="auto"/>
              </w:rPr>
            </w:pPr>
            <w:r>
              <w:rPr>
                <w:rFonts w:ascii="Arial" w:cs="Arial" w:eastAsia="Arial" w:hAnsi="Arial"/>
                <w:sz w:val="18"/>
                <w:szCs w:val="18"/>
                <w:b w:val="1"/>
                <w:bCs w:val="1"/>
                <w:i w:val="1"/>
                <w:iCs w:val="1"/>
                <w:color w:val="auto"/>
              </w:rPr>
              <w:t>Nine months ended</w:t>
            </w:r>
          </w:p>
        </w:tc>
      </w:tr>
      <w:tr>
        <w:trPr>
          <w:trHeight w:val="222"/>
        </w:trPr>
        <w:tc>
          <w:tcPr>
            <w:tcW w:w="3600" w:type="dxa"/>
            <w:vAlign w:val="bottom"/>
          </w:tcPr>
          <w:p>
            <w:pPr>
              <w:spacing w:after="0"/>
              <w:rPr>
                <w:sz w:val="19"/>
                <w:szCs w:val="19"/>
                <w:color w:val="auto"/>
              </w:rPr>
            </w:pPr>
          </w:p>
        </w:tc>
        <w:tc>
          <w:tcPr>
            <w:tcW w:w="3640" w:type="dxa"/>
            <w:vAlign w:val="bottom"/>
            <w:gridSpan w:val="2"/>
          </w:tcPr>
          <w:p>
            <w:pPr>
              <w:jc w:val="right"/>
              <w:ind w:right="272"/>
              <w:spacing w:after="0"/>
              <w:rPr>
                <w:sz w:val="20"/>
                <w:szCs w:val="20"/>
                <w:color w:val="auto"/>
              </w:rPr>
            </w:pPr>
            <w:r>
              <w:rPr>
                <w:rFonts w:ascii="Arial" w:cs="Arial" w:eastAsia="Arial" w:hAnsi="Arial"/>
                <w:sz w:val="18"/>
                <w:szCs w:val="18"/>
                <w:b w:val="1"/>
                <w:bCs w:val="1"/>
                <w:i w:val="1"/>
                <w:iCs w:val="1"/>
                <w:color w:val="auto"/>
              </w:rPr>
              <w:t>February 28, 2010</w:t>
            </w:r>
          </w:p>
        </w:tc>
        <w:tc>
          <w:tcPr>
            <w:tcW w:w="2240" w:type="dxa"/>
            <w:vAlign w:val="bottom"/>
            <w:gridSpan w:val="2"/>
          </w:tcPr>
          <w:p>
            <w:pPr>
              <w:jc w:val="right"/>
              <w:ind w:right="532"/>
              <w:spacing w:after="0"/>
              <w:rPr>
                <w:sz w:val="20"/>
                <w:szCs w:val="20"/>
                <w:color w:val="auto"/>
              </w:rPr>
            </w:pPr>
            <w:r>
              <w:rPr>
                <w:rFonts w:ascii="Arial" w:cs="Arial" w:eastAsia="Arial" w:hAnsi="Arial"/>
                <w:sz w:val="18"/>
                <w:szCs w:val="18"/>
                <w:b w:val="1"/>
                <w:bCs w:val="1"/>
                <w:i w:val="1"/>
                <w:iCs w:val="1"/>
                <w:color w:val="auto"/>
              </w:rPr>
              <w:t>May 31, 2009</w:t>
            </w:r>
          </w:p>
        </w:tc>
        <w:tc>
          <w:tcPr>
            <w:tcW w:w="1960" w:type="dxa"/>
            <w:vAlign w:val="bottom"/>
            <w:gridSpan w:val="2"/>
          </w:tcPr>
          <w:p>
            <w:pPr>
              <w:jc w:val="right"/>
              <w:ind w:right="172"/>
              <w:spacing w:after="0"/>
              <w:rPr>
                <w:sz w:val="20"/>
                <w:szCs w:val="20"/>
                <w:color w:val="auto"/>
              </w:rPr>
            </w:pPr>
            <w:r>
              <w:rPr>
                <w:rFonts w:ascii="Arial" w:cs="Arial" w:eastAsia="Arial" w:hAnsi="Arial"/>
                <w:sz w:val="18"/>
                <w:szCs w:val="18"/>
                <w:b w:val="1"/>
                <w:bCs w:val="1"/>
                <w:i w:val="1"/>
                <w:iCs w:val="1"/>
                <w:color w:val="auto"/>
              </w:rPr>
              <w:t>February 28, 2009</w:t>
            </w:r>
          </w:p>
        </w:tc>
      </w:tr>
      <w:tr>
        <w:trPr>
          <w:trHeight w:val="110"/>
        </w:trPr>
        <w:tc>
          <w:tcPr>
            <w:tcW w:w="3600" w:type="dxa"/>
            <w:vAlign w:val="bottom"/>
            <w:tcBorders>
              <w:bottom w:val="single" w:sz="8" w:color="808080"/>
            </w:tcBorders>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458"/>
        </w:trPr>
        <w:tc>
          <w:tcPr>
            <w:tcW w:w="3600" w:type="dxa"/>
            <w:vAlign w:val="bottom"/>
          </w:tcPr>
          <w:p>
            <w:pPr>
              <w:spacing w:after="0"/>
              <w:rPr>
                <w:sz w:val="20"/>
                <w:szCs w:val="20"/>
                <w:color w:val="auto"/>
              </w:rPr>
            </w:pPr>
            <w:r>
              <w:rPr>
                <w:rFonts w:ascii="Arial" w:cs="Arial" w:eastAsia="Arial" w:hAnsi="Arial"/>
                <w:sz w:val="18"/>
                <w:szCs w:val="18"/>
                <w:color w:val="auto"/>
              </w:rPr>
              <w:t>Beginning balance</w:t>
            </w:r>
          </w:p>
        </w:tc>
        <w:tc>
          <w:tcPr>
            <w:tcW w:w="2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92"/>
              <w:spacing w:after="0"/>
              <w:rPr>
                <w:sz w:val="20"/>
                <w:szCs w:val="20"/>
                <w:color w:val="auto"/>
              </w:rPr>
            </w:pPr>
            <w:r>
              <w:rPr>
                <w:rFonts w:ascii="Arial" w:cs="Arial" w:eastAsia="Arial" w:hAnsi="Arial"/>
                <w:sz w:val="18"/>
                <w:szCs w:val="18"/>
                <w:color w:val="auto"/>
              </w:rPr>
              <w:t>157.0</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672"/>
              <w:spacing w:after="0"/>
              <w:rPr>
                <w:sz w:val="20"/>
                <w:szCs w:val="20"/>
                <w:color w:val="auto"/>
              </w:rPr>
            </w:pPr>
            <w:r>
              <w:rPr>
                <w:rFonts w:ascii="Arial" w:cs="Arial" w:eastAsia="Arial" w:hAnsi="Arial"/>
                <w:sz w:val="18"/>
                <w:szCs w:val="18"/>
                <w:color w:val="auto"/>
              </w:rPr>
              <w:t>164.4</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52"/>
              <w:spacing w:after="0"/>
              <w:rPr>
                <w:sz w:val="20"/>
                <w:szCs w:val="20"/>
                <w:color w:val="auto"/>
              </w:rPr>
            </w:pPr>
            <w:r>
              <w:rPr>
                <w:rFonts w:ascii="Arial" w:cs="Arial" w:eastAsia="Arial" w:hAnsi="Arial"/>
                <w:sz w:val="18"/>
                <w:szCs w:val="18"/>
                <w:color w:val="auto"/>
                <w:w w:val="97"/>
              </w:rPr>
              <w:t>164.4</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Impairment charge</w:t>
            </w:r>
          </w:p>
        </w:tc>
        <w:tc>
          <w:tcPr>
            <w:tcW w:w="2440" w:type="dxa"/>
            <w:vAlign w:val="bottom"/>
          </w:tcPr>
          <w:p>
            <w:pPr>
              <w:spacing w:after="0"/>
              <w:rPr>
                <w:sz w:val="18"/>
                <w:szCs w:val="18"/>
                <w:color w:val="auto"/>
              </w:rPr>
            </w:pPr>
          </w:p>
        </w:tc>
        <w:tc>
          <w:tcPr>
            <w:tcW w:w="1200" w:type="dxa"/>
            <w:vAlign w:val="bottom"/>
          </w:tcPr>
          <w:p>
            <w:pPr>
              <w:jc w:val="right"/>
              <w:ind w:right="592"/>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280" w:type="dxa"/>
            <w:vAlign w:val="bottom"/>
          </w:tcPr>
          <w:p>
            <w:pPr>
              <w:jc w:val="right"/>
              <w:ind w:right="612"/>
              <w:spacing w:after="0"/>
              <w:rPr>
                <w:sz w:val="20"/>
                <w:szCs w:val="20"/>
                <w:color w:val="auto"/>
              </w:rPr>
            </w:pPr>
            <w:r>
              <w:rPr>
                <w:rFonts w:ascii="Arial" w:cs="Arial" w:eastAsia="Arial" w:hAnsi="Arial"/>
                <w:sz w:val="18"/>
                <w:szCs w:val="18"/>
                <w:color w:val="auto"/>
              </w:rPr>
              <w:t>(17.0)</w:t>
            </w:r>
          </w:p>
        </w:tc>
        <w:tc>
          <w:tcPr>
            <w:tcW w:w="860" w:type="dxa"/>
            <w:vAlign w:val="bottom"/>
          </w:tcPr>
          <w:p>
            <w:pPr>
              <w:spacing w:after="0"/>
              <w:rPr>
                <w:sz w:val="18"/>
                <w:szCs w:val="18"/>
                <w:color w:val="auto"/>
              </w:rPr>
            </w:pP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(17.0)</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Deferred tax adjustment</w:t>
            </w:r>
          </w:p>
        </w:tc>
        <w:tc>
          <w:tcPr>
            <w:tcW w:w="2440" w:type="dxa"/>
            <w:vAlign w:val="bottom"/>
          </w:tcPr>
          <w:p>
            <w:pPr>
              <w:spacing w:after="0"/>
              <w:rPr>
                <w:sz w:val="18"/>
                <w:szCs w:val="18"/>
                <w:color w:val="auto"/>
              </w:rPr>
            </w:pPr>
          </w:p>
        </w:tc>
        <w:tc>
          <w:tcPr>
            <w:tcW w:w="1200" w:type="dxa"/>
            <w:vAlign w:val="bottom"/>
          </w:tcPr>
          <w:p>
            <w:pPr>
              <w:jc w:val="right"/>
              <w:ind w:right="592"/>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280" w:type="dxa"/>
            <w:vAlign w:val="bottom"/>
          </w:tcPr>
          <w:p>
            <w:pPr>
              <w:jc w:val="right"/>
              <w:ind w:right="672"/>
              <w:spacing w:after="0"/>
              <w:rPr>
                <w:sz w:val="20"/>
                <w:szCs w:val="20"/>
                <w:color w:val="auto"/>
              </w:rPr>
            </w:pPr>
            <w:r>
              <w:rPr>
                <w:rFonts w:ascii="Arial" w:cs="Arial" w:eastAsia="Arial" w:hAnsi="Arial"/>
                <w:sz w:val="18"/>
                <w:szCs w:val="18"/>
                <w:color w:val="auto"/>
              </w:rPr>
              <w:t>16.1</w:t>
            </w:r>
          </w:p>
        </w:tc>
        <w:tc>
          <w:tcPr>
            <w:tcW w:w="860" w:type="dxa"/>
            <w:vAlign w:val="bottom"/>
          </w:tcPr>
          <w:p>
            <w:pPr>
              <w:spacing w:after="0"/>
              <w:rPr>
                <w:sz w:val="18"/>
                <w:szCs w:val="18"/>
                <w:color w:val="auto"/>
              </w:rPr>
            </w:pPr>
          </w:p>
        </w:tc>
        <w:tc>
          <w:tcPr>
            <w:tcW w:w="1100" w:type="dxa"/>
            <w:vAlign w:val="bottom"/>
          </w:tcPr>
          <w:p>
            <w:pPr>
              <w:jc w:val="right"/>
              <w:ind w:right="552"/>
              <w:spacing w:after="0"/>
              <w:rPr>
                <w:sz w:val="20"/>
                <w:szCs w:val="20"/>
                <w:color w:val="auto"/>
              </w:rPr>
            </w:pPr>
            <w:r>
              <w:rPr>
                <w:rFonts w:ascii="Arial" w:cs="Arial" w:eastAsia="Arial" w:hAnsi="Arial"/>
                <w:sz w:val="18"/>
                <w:szCs w:val="18"/>
                <w:color w:val="auto"/>
              </w:rPr>
              <w:t>—</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Purchase adjustment</w:t>
            </w:r>
          </w:p>
        </w:tc>
        <w:tc>
          <w:tcPr>
            <w:tcW w:w="2440" w:type="dxa"/>
            <w:vAlign w:val="bottom"/>
          </w:tcPr>
          <w:p>
            <w:pPr>
              <w:spacing w:after="0"/>
              <w:rPr>
                <w:sz w:val="18"/>
                <w:szCs w:val="18"/>
                <w:color w:val="auto"/>
              </w:rPr>
            </w:pPr>
          </w:p>
        </w:tc>
        <w:tc>
          <w:tcPr>
            <w:tcW w:w="1200" w:type="dxa"/>
            <w:vAlign w:val="bottom"/>
          </w:tcPr>
          <w:p>
            <w:pPr>
              <w:jc w:val="right"/>
              <w:ind w:right="592"/>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280" w:type="dxa"/>
            <w:vAlign w:val="bottom"/>
          </w:tcPr>
          <w:p>
            <w:pPr>
              <w:jc w:val="right"/>
              <w:ind w:right="612"/>
              <w:spacing w:after="0"/>
              <w:rPr>
                <w:sz w:val="20"/>
                <w:szCs w:val="20"/>
                <w:color w:val="auto"/>
              </w:rPr>
            </w:pPr>
            <w:r>
              <w:rPr>
                <w:rFonts w:ascii="Arial" w:cs="Arial" w:eastAsia="Arial" w:hAnsi="Arial"/>
                <w:sz w:val="18"/>
                <w:szCs w:val="18"/>
                <w:color w:val="auto"/>
              </w:rPr>
              <w:t>(0.7)</w:t>
            </w:r>
          </w:p>
        </w:tc>
        <w:tc>
          <w:tcPr>
            <w:tcW w:w="860" w:type="dxa"/>
            <w:vAlign w:val="bottom"/>
          </w:tcPr>
          <w:p>
            <w:pPr>
              <w:spacing w:after="0"/>
              <w:rPr>
                <w:sz w:val="18"/>
                <w:szCs w:val="18"/>
                <w:color w:val="auto"/>
              </w:rPr>
            </w:pP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(0.6)</w:t>
            </w:r>
          </w:p>
        </w:tc>
      </w:t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Translation adjustment</w:t>
            </w:r>
          </w:p>
        </w:tc>
        <w:tc>
          <w:tcPr>
            <w:tcW w:w="2440" w:type="dxa"/>
            <w:vAlign w:val="bottom"/>
          </w:tcPr>
          <w:p>
            <w:pPr>
              <w:spacing w:after="0"/>
              <w:rPr>
                <w:sz w:val="19"/>
                <w:szCs w:val="19"/>
                <w:color w:val="auto"/>
              </w:rPr>
            </w:pPr>
          </w:p>
        </w:tc>
        <w:tc>
          <w:tcPr>
            <w:tcW w:w="1200" w:type="dxa"/>
            <w:vAlign w:val="bottom"/>
          </w:tcPr>
          <w:p>
            <w:pPr>
              <w:jc w:val="right"/>
              <w:ind w:right="592"/>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1280" w:type="dxa"/>
            <w:vAlign w:val="bottom"/>
          </w:tcPr>
          <w:p>
            <w:pPr>
              <w:jc w:val="right"/>
              <w:ind w:right="612"/>
              <w:spacing w:after="0"/>
              <w:rPr>
                <w:sz w:val="20"/>
                <w:szCs w:val="20"/>
                <w:color w:val="auto"/>
              </w:rPr>
            </w:pPr>
            <w:r>
              <w:rPr>
                <w:rFonts w:ascii="Arial" w:cs="Arial" w:eastAsia="Arial" w:hAnsi="Arial"/>
                <w:sz w:val="18"/>
                <w:szCs w:val="18"/>
                <w:color w:val="auto"/>
              </w:rPr>
              <w:t>(5.8)</w:t>
            </w:r>
          </w:p>
        </w:tc>
        <w:tc>
          <w:tcPr>
            <w:tcW w:w="860" w:type="dxa"/>
            <w:vAlign w:val="bottom"/>
          </w:tcPr>
          <w:p>
            <w:pPr>
              <w:spacing w:after="0"/>
              <w:rPr>
                <w:sz w:val="19"/>
                <w:szCs w:val="19"/>
                <w:color w:val="auto"/>
              </w:rPr>
            </w:pP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(5.8)</w:t>
            </w:r>
          </w:p>
        </w:tc>
      </w:tr>
      <w:tr>
        <w:trPr>
          <w:trHeight w:val="110"/>
        </w:trPr>
        <w:tc>
          <w:tcPr>
            <w:tcW w:w="3600" w:type="dxa"/>
            <w:vAlign w:val="bottom"/>
            <w:tcBorders>
              <w:bottom w:val="single" w:sz="8" w:color="808080"/>
            </w:tcBorders>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316"/>
        </w:trPr>
        <w:tc>
          <w:tcPr>
            <w:tcW w:w="360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24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592"/>
              <w:spacing w:after="0"/>
              <w:rPr>
                <w:sz w:val="20"/>
                <w:szCs w:val="20"/>
                <w:color w:val="auto"/>
              </w:rPr>
            </w:pPr>
            <w:r>
              <w:rPr>
                <w:rFonts w:ascii="Arial" w:cs="Arial" w:eastAsia="Arial" w:hAnsi="Arial"/>
                <w:sz w:val="18"/>
                <w:szCs w:val="18"/>
                <w:b w:val="1"/>
                <w:bCs w:val="1"/>
                <w:color w:val="auto"/>
              </w:rPr>
              <w:t>157.0</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672"/>
              <w:spacing w:after="0"/>
              <w:rPr>
                <w:sz w:val="20"/>
                <w:szCs w:val="20"/>
                <w:color w:val="auto"/>
              </w:rPr>
            </w:pPr>
            <w:r>
              <w:rPr>
                <w:rFonts w:ascii="Arial" w:cs="Arial" w:eastAsia="Arial" w:hAnsi="Arial"/>
                <w:sz w:val="18"/>
                <w:szCs w:val="18"/>
                <w:b w:val="1"/>
                <w:bCs w:val="1"/>
                <w:color w:val="auto"/>
              </w:rPr>
              <w:t>157.0</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52"/>
              <w:spacing w:after="0"/>
              <w:rPr>
                <w:sz w:val="20"/>
                <w:szCs w:val="20"/>
                <w:color w:val="auto"/>
              </w:rPr>
            </w:pPr>
            <w:r>
              <w:rPr>
                <w:rFonts w:ascii="Arial" w:cs="Arial" w:eastAsia="Arial" w:hAnsi="Arial"/>
                <w:sz w:val="18"/>
                <w:szCs w:val="18"/>
                <w:b w:val="1"/>
                <w:bCs w:val="1"/>
                <w:color w:val="auto"/>
                <w:w w:val="97"/>
              </w:rPr>
              <w:t>141.0</w:t>
            </w:r>
          </w:p>
        </w:tc>
      </w:tr>
      <w:tr>
        <w:trPr>
          <w:trHeight w:val="110"/>
        </w:trPr>
        <w:tc>
          <w:tcPr>
            <w:tcW w:w="3600" w:type="dxa"/>
            <w:vAlign w:val="bottom"/>
            <w:tcBorders>
              <w:bottom w:val="single" w:sz="8" w:color="808080"/>
            </w:tcBorders>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At February 28, 2009, the total market value of the Company’s outstanding Common and Class A shares was less than the carrying value of the Company’s net assets. Due to the reduced total market value of the Company’s Common Stock, the Company evaluated the goodwill for its reporting units for impairment as of February 28, 2009. The Company employed internally developed discounted cash flow forecasts to determine the fair values of its reporting units, based upon the best available financial data. The Company concluded that goodwill associated with the Company’s United Kingdom operations was impaired as of February 28, 2009, and recognized a goodwill impairment of $17.0.</w:t>
      </w:r>
    </w:p>
    <w:p>
      <w:pPr>
        <w:spacing w:after="0" w:line="19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 xml:space="preserve">The purchase adjustments in fiscal 2009 are related to the acquisition of a school consulting and professional development services company in fiscal 2007. The deferred tax adjustment relates to a prior acquisition included in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intangibles subject to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760" w:type="dxa"/>
            <w:vAlign w:val="bottom"/>
            <w:gridSpan w:val="2"/>
          </w:tcPr>
          <w:p>
            <w:pPr>
              <w:jc w:val="right"/>
              <w:ind w:right="212"/>
              <w:spacing w:after="0"/>
              <w:rPr>
                <w:sz w:val="20"/>
                <w:szCs w:val="20"/>
                <w:color w:val="auto"/>
              </w:rPr>
            </w:pPr>
            <w:r>
              <w:rPr>
                <w:rFonts w:ascii="Arial" w:cs="Arial" w:eastAsia="Arial" w:hAnsi="Arial"/>
                <w:sz w:val="18"/>
                <w:szCs w:val="18"/>
                <w:b w:val="1"/>
                <w:bCs w:val="1"/>
                <w:i w:val="1"/>
                <w:iCs w:val="1"/>
                <w:color w:val="auto"/>
              </w:rPr>
              <w:t>Nine months ended</w:t>
            </w:r>
          </w:p>
        </w:tc>
        <w:tc>
          <w:tcPr>
            <w:tcW w:w="2180" w:type="dxa"/>
            <w:vAlign w:val="bottom"/>
            <w:gridSpan w:val="2"/>
          </w:tcPr>
          <w:p>
            <w:pPr>
              <w:jc w:val="right"/>
              <w:ind w:right="252"/>
              <w:spacing w:after="0"/>
              <w:rPr>
                <w:sz w:val="20"/>
                <w:szCs w:val="20"/>
                <w:color w:val="auto"/>
              </w:rPr>
            </w:pPr>
            <w:r>
              <w:rPr>
                <w:rFonts w:ascii="Arial" w:cs="Arial" w:eastAsia="Arial" w:hAnsi="Arial"/>
                <w:sz w:val="18"/>
                <w:szCs w:val="18"/>
                <w:b w:val="1"/>
                <w:bCs w:val="1"/>
                <w:i w:val="1"/>
                <w:iCs w:val="1"/>
                <w:color w:val="auto"/>
                <w:w w:val="96"/>
              </w:rPr>
              <w:t>Twelve months ended</w:t>
            </w:r>
          </w:p>
        </w:tc>
        <w:tc>
          <w:tcPr>
            <w:tcW w:w="1980" w:type="dxa"/>
            <w:vAlign w:val="bottom"/>
            <w:gridSpan w:val="2"/>
          </w:tcPr>
          <w:p>
            <w:pPr>
              <w:jc w:val="right"/>
              <w:ind w:right="132"/>
              <w:spacing w:after="0"/>
              <w:rPr>
                <w:sz w:val="20"/>
                <w:szCs w:val="20"/>
                <w:color w:val="auto"/>
              </w:rPr>
            </w:pPr>
            <w:r>
              <w:rPr>
                <w:rFonts w:ascii="Arial" w:cs="Arial" w:eastAsia="Arial" w:hAnsi="Arial"/>
                <w:sz w:val="18"/>
                <w:szCs w:val="18"/>
                <w:b w:val="1"/>
                <w:bCs w:val="1"/>
                <w:i w:val="1"/>
                <w:iCs w:val="1"/>
                <w:color w:val="auto"/>
              </w:rPr>
              <w:t>Nine months ended</w:t>
            </w:r>
          </w:p>
        </w:tc>
      </w:tr>
      <w:tr>
        <w:trPr>
          <w:trHeight w:val="222"/>
        </w:trPr>
        <w:tc>
          <w:tcPr>
            <w:tcW w:w="4520" w:type="dxa"/>
            <w:vAlign w:val="bottom"/>
          </w:tcPr>
          <w:p>
            <w:pPr>
              <w:spacing w:after="0"/>
              <w:rPr>
                <w:sz w:val="19"/>
                <w:szCs w:val="19"/>
                <w:color w:val="auto"/>
              </w:rPr>
            </w:pPr>
          </w:p>
        </w:tc>
        <w:tc>
          <w:tcPr>
            <w:tcW w:w="2760" w:type="dxa"/>
            <w:vAlign w:val="bottom"/>
            <w:gridSpan w:val="2"/>
          </w:tcPr>
          <w:p>
            <w:pPr>
              <w:jc w:val="right"/>
              <w:ind w:right="252"/>
              <w:spacing w:after="0"/>
              <w:rPr>
                <w:sz w:val="20"/>
                <w:szCs w:val="20"/>
                <w:color w:val="auto"/>
              </w:rPr>
            </w:pPr>
            <w:r>
              <w:rPr>
                <w:rFonts w:ascii="Arial" w:cs="Arial" w:eastAsia="Arial" w:hAnsi="Arial"/>
                <w:sz w:val="18"/>
                <w:szCs w:val="18"/>
                <w:b w:val="1"/>
                <w:bCs w:val="1"/>
                <w:i w:val="1"/>
                <w:iCs w:val="1"/>
                <w:color w:val="auto"/>
              </w:rPr>
              <w:t>February 28, 2010</w:t>
            </w:r>
          </w:p>
        </w:tc>
        <w:tc>
          <w:tcPr>
            <w:tcW w:w="2180" w:type="dxa"/>
            <w:vAlign w:val="bottom"/>
            <w:gridSpan w:val="2"/>
          </w:tcPr>
          <w:p>
            <w:pPr>
              <w:jc w:val="right"/>
              <w:ind w:right="532"/>
              <w:spacing w:after="0"/>
              <w:rPr>
                <w:sz w:val="20"/>
                <w:szCs w:val="20"/>
                <w:color w:val="auto"/>
              </w:rPr>
            </w:pPr>
            <w:r>
              <w:rPr>
                <w:rFonts w:ascii="Arial" w:cs="Arial" w:eastAsia="Arial" w:hAnsi="Arial"/>
                <w:sz w:val="18"/>
                <w:szCs w:val="18"/>
                <w:b w:val="1"/>
                <w:bCs w:val="1"/>
                <w:i w:val="1"/>
                <w:iCs w:val="1"/>
                <w:color w:val="auto"/>
              </w:rPr>
              <w:t>May 31, 2009</w:t>
            </w:r>
          </w:p>
        </w:tc>
        <w:tc>
          <w:tcPr>
            <w:tcW w:w="1980" w:type="dxa"/>
            <w:vAlign w:val="bottom"/>
            <w:gridSpan w:val="2"/>
          </w:tcPr>
          <w:p>
            <w:pPr>
              <w:jc w:val="right"/>
              <w:ind w:right="172"/>
              <w:spacing w:after="0"/>
              <w:rPr>
                <w:sz w:val="20"/>
                <w:szCs w:val="20"/>
                <w:color w:val="auto"/>
              </w:rPr>
            </w:pPr>
            <w:r>
              <w:rPr>
                <w:rFonts w:ascii="Arial" w:cs="Arial" w:eastAsia="Arial" w:hAnsi="Arial"/>
                <w:sz w:val="18"/>
                <w:szCs w:val="18"/>
                <w:b w:val="1"/>
                <w:bCs w:val="1"/>
                <w:i w:val="1"/>
                <w:iCs w:val="1"/>
                <w:color w:val="auto"/>
              </w:rPr>
              <w:t>February 28, 2009</w:t>
            </w:r>
          </w:p>
        </w:tc>
      </w:tr>
      <w:tr>
        <w:trPr>
          <w:trHeight w:val="110"/>
        </w:trPr>
        <w:tc>
          <w:tcPr>
            <w:tcW w:w="45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r>
      <w:tr>
        <w:trPr>
          <w:trHeight w:val="309"/>
        </w:trPr>
        <w:tc>
          <w:tcPr>
            <w:tcW w:w="4520" w:type="dxa"/>
            <w:vAlign w:val="bottom"/>
          </w:tcPr>
          <w:p>
            <w:pPr>
              <w:spacing w:after="0"/>
              <w:rPr>
                <w:sz w:val="20"/>
                <w:szCs w:val="20"/>
                <w:color w:val="auto"/>
              </w:rPr>
            </w:pPr>
            <w:r>
              <w:rPr>
                <w:rFonts w:ascii="Arial" w:cs="Arial" w:eastAsia="Arial" w:hAnsi="Arial"/>
                <w:sz w:val="18"/>
                <w:szCs w:val="18"/>
                <w:color w:val="auto"/>
              </w:rPr>
              <w:t>Beginning balance</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72"/>
              <w:spacing w:after="0"/>
              <w:rPr>
                <w:sz w:val="20"/>
                <w:szCs w:val="20"/>
                <w:color w:val="auto"/>
              </w:rPr>
            </w:pPr>
            <w:r>
              <w:rPr>
                <w:rFonts w:ascii="Arial" w:cs="Arial" w:eastAsia="Arial" w:hAnsi="Arial"/>
                <w:sz w:val="18"/>
                <w:szCs w:val="18"/>
                <w:color w:val="auto"/>
              </w:rPr>
              <w:t>0.1</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872"/>
              <w:spacing w:after="0"/>
              <w:rPr>
                <w:sz w:val="20"/>
                <w:szCs w:val="20"/>
                <w:color w:val="auto"/>
              </w:rPr>
            </w:pPr>
            <w:r>
              <w:rPr>
                <w:rFonts w:ascii="Arial" w:cs="Arial" w:eastAsia="Arial" w:hAnsi="Arial"/>
                <w:sz w:val="18"/>
                <w:szCs w:val="18"/>
                <w:color w:val="auto"/>
              </w:rPr>
              <w:t>0.2</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52"/>
              <w:spacing w:after="0"/>
              <w:rPr>
                <w:sz w:val="20"/>
                <w:szCs w:val="20"/>
                <w:color w:val="auto"/>
              </w:rPr>
            </w:pPr>
            <w:r>
              <w:rPr>
                <w:rFonts w:ascii="Arial" w:cs="Arial" w:eastAsia="Arial" w:hAnsi="Arial"/>
                <w:sz w:val="18"/>
                <w:szCs w:val="18"/>
                <w:color w:val="auto"/>
              </w:rPr>
              <w:t>0.2</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Additions</w:t>
            </w:r>
          </w:p>
        </w:tc>
        <w:tc>
          <w:tcPr>
            <w:tcW w:w="1720" w:type="dxa"/>
            <w:vAlign w:val="bottom"/>
          </w:tcPr>
          <w:p>
            <w:pPr>
              <w:spacing w:after="0"/>
              <w:rPr>
                <w:sz w:val="18"/>
                <w:szCs w:val="18"/>
                <w:color w:val="auto"/>
              </w:rPr>
            </w:pPr>
          </w:p>
        </w:tc>
        <w:tc>
          <w:tcPr>
            <w:tcW w:w="1040" w:type="dxa"/>
            <w:vAlign w:val="bottom"/>
          </w:tcPr>
          <w:p>
            <w:pPr>
              <w:jc w:val="right"/>
              <w:ind w:right="572"/>
              <w:spacing w:after="0"/>
              <w:rPr>
                <w:sz w:val="20"/>
                <w:szCs w:val="20"/>
                <w:color w:val="auto"/>
              </w:rPr>
            </w:pPr>
            <w:r>
              <w:rPr>
                <w:rFonts w:ascii="Arial" w:cs="Arial" w:eastAsia="Arial" w:hAnsi="Arial"/>
                <w:sz w:val="18"/>
                <w:szCs w:val="18"/>
                <w:color w:val="auto"/>
              </w:rPr>
              <w:t>5.1</w:t>
            </w:r>
          </w:p>
        </w:tc>
        <w:tc>
          <w:tcPr>
            <w:tcW w:w="840" w:type="dxa"/>
            <w:vAlign w:val="bottom"/>
          </w:tcPr>
          <w:p>
            <w:pPr>
              <w:spacing w:after="0"/>
              <w:rPr>
                <w:sz w:val="18"/>
                <w:szCs w:val="18"/>
                <w:color w:val="auto"/>
              </w:rPr>
            </w:pPr>
          </w:p>
        </w:tc>
        <w:tc>
          <w:tcPr>
            <w:tcW w:w="1340" w:type="dxa"/>
            <w:vAlign w:val="bottom"/>
          </w:tcPr>
          <w:p>
            <w:pPr>
              <w:jc w:val="right"/>
              <w:ind w:right="872"/>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040" w:type="dxa"/>
            <w:vAlign w:val="bottom"/>
          </w:tcPr>
          <w:p>
            <w:pPr>
              <w:jc w:val="right"/>
              <w:ind w:right="552"/>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Impairment charge</w:t>
            </w:r>
          </w:p>
        </w:tc>
        <w:tc>
          <w:tcPr>
            <w:tcW w:w="1720" w:type="dxa"/>
            <w:vAlign w:val="bottom"/>
          </w:tcPr>
          <w:p>
            <w:pPr>
              <w:spacing w:after="0"/>
              <w:rPr>
                <w:sz w:val="18"/>
                <w:szCs w:val="18"/>
                <w:color w:val="auto"/>
              </w:rPr>
            </w:pPr>
          </w:p>
        </w:tc>
        <w:tc>
          <w:tcPr>
            <w:tcW w:w="1040" w:type="dxa"/>
            <w:vAlign w:val="bottom"/>
          </w:tcPr>
          <w:p>
            <w:pPr>
              <w:jc w:val="right"/>
              <w:ind w:right="512"/>
              <w:spacing w:after="0"/>
              <w:rPr>
                <w:sz w:val="20"/>
                <w:szCs w:val="20"/>
                <w:color w:val="auto"/>
              </w:rPr>
            </w:pPr>
            <w:r>
              <w:rPr>
                <w:rFonts w:ascii="Arial" w:cs="Arial" w:eastAsia="Arial" w:hAnsi="Arial"/>
                <w:sz w:val="18"/>
                <w:szCs w:val="18"/>
                <w:color w:val="auto"/>
              </w:rPr>
              <w:t>(3.8)</w:t>
            </w:r>
          </w:p>
        </w:tc>
        <w:tc>
          <w:tcPr>
            <w:tcW w:w="840" w:type="dxa"/>
            <w:vAlign w:val="bottom"/>
          </w:tcPr>
          <w:p>
            <w:pPr>
              <w:spacing w:after="0"/>
              <w:rPr>
                <w:sz w:val="18"/>
                <w:szCs w:val="18"/>
                <w:color w:val="auto"/>
              </w:rPr>
            </w:pPr>
          </w:p>
        </w:tc>
        <w:tc>
          <w:tcPr>
            <w:tcW w:w="1340" w:type="dxa"/>
            <w:vAlign w:val="bottom"/>
          </w:tcPr>
          <w:p>
            <w:pPr>
              <w:jc w:val="right"/>
              <w:ind w:right="872"/>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040" w:type="dxa"/>
            <w:vAlign w:val="bottom"/>
          </w:tcPr>
          <w:p>
            <w:pPr>
              <w:jc w:val="right"/>
              <w:ind w:right="552"/>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Other adjustments</w:t>
            </w:r>
          </w:p>
        </w:tc>
        <w:tc>
          <w:tcPr>
            <w:tcW w:w="1720" w:type="dxa"/>
            <w:vAlign w:val="bottom"/>
          </w:tcPr>
          <w:p>
            <w:pPr>
              <w:spacing w:after="0"/>
              <w:rPr>
                <w:sz w:val="18"/>
                <w:szCs w:val="18"/>
                <w:color w:val="auto"/>
              </w:rPr>
            </w:pPr>
          </w:p>
        </w:tc>
        <w:tc>
          <w:tcPr>
            <w:tcW w:w="1040" w:type="dxa"/>
            <w:vAlign w:val="bottom"/>
          </w:tcPr>
          <w:p>
            <w:pPr>
              <w:jc w:val="right"/>
              <w:ind w:right="512"/>
              <w:spacing w:after="0"/>
              <w:rPr>
                <w:sz w:val="20"/>
                <w:szCs w:val="20"/>
                <w:color w:val="auto"/>
              </w:rPr>
            </w:pPr>
            <w:r>
              <w:rPr>
                <w:rFonts w:ascii="Arial" w:cs="Arial" w:eastAsia="Arial" w:hAnsi="Arial"/>
                <w:sz w:val="18"/>
                <w:szCs w:val="18"/>
                <w:color w:val="auto"/>
              </w:rPr>
              <w:t>(0.3)</w:t>
            </w:r>
          </w:p>
        </w:tc>
        <w:tc>
          <w:tcPr>
            <w:tcW w:w="840" w:type="dxa"/>
            <w:vAlign w:val="bottom"/>
          </w:tcPr>
          <w:p>
            <w:pPr>
              <w:spacing w:after="0"/>
              <w:rPr>
                <w:sz w:val="18"/>
                <w:szCs w:val="18"/>
                <w:color w:val="auto"/>
              </w:rPr>
            </w:pPr>
          </w:p>
        </w:tc>
        <w:tc>
          <w:tcPr>
            <w:tcW w:w="1340" w:type="dxa"/>
            <w:vAlign w:val="bottom"/>
          </w:tcPr>
          <w:p>
            <w:pPr>
              <w:jc w:val="right"/>
              <w:ind w:right="872"/>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040" w:type="dxa"/>
            <w:vAlign w:val="bottom"/>
          </w:tcPr>
          <w:p>
            <w:pPr>
              <w:jc w:val="right"/>
              <w:ind w:right="552"/>
              <w:spacing w:after="0"/>
              <w:rPr>
                <w:sz w:val="20"/>
                <w:szCs w:val="20"/>
                <w:color w:val="auto"/>
              </w:rPr>
            </w:pPr>
            <w:r>
              <w:rPr>
                <w:rFonts w:ascii="Arial" w:cs="Arial" w:eastAsia="Arial" w:hAnsi="Arial"/>
                <w:sz w:val="18"/>
                <w:szCs w:val="18"/>
                <w:color w:val="auto"/>
              </w:rPr>
              <w:t>—</w:t>
            </w: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Amortization expense</w:t>
            </w:r>
          </w:p>
        </w:tc>
        <w:tc>
          <w:tcPr>
            <w:tcW w:w="1720" w:type="dxa"/>
            <w:vAlign w:val="bottom"/>
          </w:tcPr>
          <w:p>
            <w:pPr>
              <w:spacing w:after="0"/>
              <w:rPr>
                <w:sz w:val="19"/>
                <w:szCs w:val="19"/>
                <w:color w:val="auto"/>
              </w:rPr>
            </w:pPr>
          </w:p>
        </w:tc>
        <w:tc>
          <w:tcPr>
            <w:tcW w:w="10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340" w:type="dxa"/>
            <w:vAlign w:val="bottom"/>
          </w:tcPr>
          <w:p>
            <w:pPr>
              <w:jc w:val="right"/>
              <w:ind w:right="812"/>
              <w:spacing w:after="0"/>
              <w:rPr>
                <w:sz w:val="20"/>
                <w:szCs w:val="20"/>
                <w:color w:val="auto"/>
              </w:rPr>
            </w:pPr>
            <w:r>
              <w:rPr>
                <w:rFonts w:ascii="Arial" w:cs="Arial" w:eastAsia="Arial" w:hAnsi="Arial"/>
                <w:sz w:val="18"/>
                <w:szCs w:val="18"/>
                <w:color w:val="auto"/>
              </w:rPr>
              <w:t>(0.1)</w:t>
            </w:r>
          </w:p>
        </w:tc>
        <w:tc>
          <w:tcPr>
            <w:tcW w:w="940" w:type="dxa"/>
            <w:vAlign w:val="bottom"/>
          </w:tcPr>
          <w:p>
            <w:pPr>
              <w:spacing w:after="0"/>
              <w:rPr>
                <w:sz w:val="19"/>
                <w:szCs w:val="19"/>
                <w:color w:val="auto"/>
              </w:rPr>
            </w:pPr>
          </w:p>
        </w:tc>
        <w:tc>
          <w:tcPr>
            <w:tcW w:w="1040" w:type="dxa"/>
            <w:vAlign w:val="bottom"/>
          </w:tcPr>
          <w:p>
            <w:pPr>
              <w:jc w:val="right"/>
              <w:ind w:right="492"/>
              <w:spacing w:after="0"/>
              <w:rPr>
                <w:sz w:val="20"/>
                <w:szCs w:val="20"/>
                <w:color w:val="auto"/>
              </w:rPr>
            </w:pPr>
            <w:r>
              <w:rPr>
                <w:rFonts w:ascii="Arial" w:cs="Arial" w:eastAsia="Arial" w:hAnsi="Arial"/>
                <w:sz w:val="18"/>
                <w:szCs w:val="18"/>
                <w:color w:val="auto"/>
              </w:rPr>
              <w:t>(0.1)</w:t>
            </w:r>
          </w:p>
        </w:tc>
      </w:tr>
      <w:tr>
        <w:trPr>
          <w:trHeight w:val="110"/>
        </w:trPr>
        <w:tc>
          <w:tcPr>
            <w:tcW w:w="45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r>
      <w:tr>
        <w:trPr>
          <w:trHeight w:val="464"/>
        </w:trPr>
        <w:tc>
          <w:tcPr>
            <w:tcW w:w="4520" w:type="dxa"/>
            <w:vAlign w:val="bottom"/>
          </w:tcPr>
          <w:p>
            <w:pPr>
              <w:ind w:left="160"/>
              <w:spacing w:after="0"/>
              <w:rPr>
                <w:sz w:val="20"/>
                <w:szCs w:val="20"/>
                <w:color w:val="auto"/>
              </w:rPr>
            </w:pPr>
            <w:r>
              <w:rPr>
                <w:rFonts w:ascii="Arial" w:cs="Arial" w:eastAsia="Arial" w:hAnsi="Arial"/>
                <w:sz w:val="18"/>
                <w:szCs w:val="18"/>
                <w:color w:val="auto"/>
              </w:rPr>
              <w:t>Net customer lists</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72"/>
              <w:spacing w:after="0"/>
              <w:rPr>
                <w:sz w:val="20"/>
                <w:szCs w:val="20"/>
                <w:color w:val="auto"/>
              </w:rPr>
            </w:pPr>
            <w:r>
              <w:rPr>
                <w:rFonts w:ascii="Arial" w:cs="Arial" w:eastAsia="Arial" w:hAnsi="Arial"/>
                <w:sz w:val="18"/>
                <w:szCs w:val="18"/>
                <w:color w:val="auto"/>
              </w:rPr>
              <w:t>1.1</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872"/>
              <w:spacing w:after="0"/>
              <w:rPr>
                <w:sz w:val="20"/>
                <w:szCs w:val="20"/>
                <w:color w:val="auto"/>
              </w:rPr>
            </w:pPr>
            <w:r>
              <w:rPr>
                <w:rFonts w:ascii="Arial" w:cs="Arial" w:eastAsia="Arial" w:hAnsi="Arial"/>
                <w:sz w:val="18"/>
                <w:szCs w:val="18"/>
                <w:color w:val="auto"/>
              </w:rPr>
              <w:t>0.1</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52"/>
              <w:spacing w:after="0"/>
              <w:rPr>
                <w:sz w:val="20"/>
                <w:szCs w:val="20"/>
                <w:color w:val="auto"/>
              </w:rPr>
            </w:pPr>
            <w:r>
              <w:rPr>
                <w:rFonts w:ascii="Arial" w:cs="Arial" w:eastAsia="Arial" w:hAnsi="Arial"/>
                <w:sz w:val="18"/>
                <w:szCs w:val="18"/>
                <w:color w:val="auto"/>
              </w:rPr>
              <w:t>0.1</w:t>
            </w:r>
          </w:p>
        </w:tc>
      </w:tr>
      <w:tr>
        <w:trPr>
          <w:trHeight w:val="110"/>
        </w:trPr>
        <w:tc>
          <w:tcPr>
            <w:tcW w:w="45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r>
      <w:tr>
        <w:trPr>
          <w:trHeight w:val="458"/>
        </w:trPr>
        <w:tc>
          <w:tcPr>
            <w:tcW w:w="4520" w:type="dxa"/>
            <w:vAlign w:val="bottom"/>
          </w:tcPr>
          <w:p>
            <w:pPr>
              <w:spacing w:after="0"/>
              <w:rPr>
                <w:sz w:val="20"/>
                <w:szCs w:val="20"/>
                <w:color w:val="auto"/>
              </w:rPr>
            </w:pPr>
            <w:r>
              <w:rPr>
                <w:rFonts w:ascii="Arial" w:cs="Arial" w:eastAsia="Arial" w:hAnsi="Arial"/>
                <w:sz w:val="18"/>
                <w:szCs w:val="18"/>
                <w:color w:val="auto"/>
              </w:rPr>
              <w:t>Beginning balance</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72"/>
              <w:spacing w:after="0"/>
              <w:rPr>
                <w:sz w:val="20"/>
                <w:szCs w:val="20"/>
                <w:color w:val="auto"/>
              </w:rPr>
            </w:pPr>
            <w:r>
              <w:rPr>
                <w:rFonts w:ascii="Arial" w:cs="Arial" w:eastAsia="Arial" w:hAnsi="Arial"/>
                <w:sz w:val="18"/>
                <w:szCs w:val="18"/>
                <w:color w:val="auto"/>
              </w:rPr>
              <w:t>2.8</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872"/>
              <w:spacing w:after="0"/>
              <w:rPr>
                <w:sz w:val="20"/>
                <w:szCs w:val="20"/>
                <w:color w:val="auto"/>
              </w:rPr>
            </w:pPr>
            <w:r>
              <w:rPr>
                <w:rFonts w:ascii="Arial" w:cs="Arial" w:eastAsia="Arial" w:hAnsi="Arial"/>
                <w:sz w:val="18"/>
                <w:szCs w:val="18"/>
                <w:color w:val="auto"/>
              </w:rPr>
              <w:t>3.3</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52"/>
              <w:spacing w:after="0"/>
              <w:rPr>
                <w:sz w:val="20"/>
                <w:szCs w:val="20"/>
                <w:color w:val="auto"/>
              </w:rPr>
            </w:pPr>
            <w:r>
              <w:rPr>
                <w:rFonts w:ascii="Arial" w:cs="Arial" w:eastAsia="Arial" w:hAnsi="Arial"/>
                <w:sz w:val="18"/>
                <w:szCs w:val="18"/>
                <w:color w:val="auto"/>
              </w:rPr>
              <w:t>3.3</w:t>
            </w: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Amortization expense</w:t>
            </w:r>
          </w:p>
        </w:tc>
        <w:tc>
          <w:tcPr>
            <w:tcW w:w="1720" w:type="dxa"/>
            <w:vAlign w:val="bottom"/>
          </w:tcPr>
          <w:p>
            <w:pPr>
              <w:spacing w:after="0"/>
              <w:rPr>
                <w:sz w:val="19"/>
                <w:szCs w:val="19"/>
                <w:color w:val="auto"/>
              </w:rPr>
            </w:pPr>
          </w:p>
        </w:tc>
        <w:tc>
          <w:tcPr>
            <w:tcW w:w="1040" w:type="dxa"/>
            <w:vAlign w:val="bottom"/>
          </w:tcPr>
          <w:p>
            <w:pPr>
              <w:jc w:val="right"/>
              <w:ind w:right="512"/>
              <w:spacing w:after="0"/>
              <w:rPr>
                <w:sz w:val="20"/>
                <w:szCs w:val="20"/>
                <w:color w:val="auto"/>
              </w:rPr>
            </w:pPr>
            <w:r>
              <w:rPr>
                <w:rFonts w:ascii="Arial" w:cs="Arial" w:eastAsia="Arial" w:hAnsi="Arial"/>
                <w:sz w:val="18"/>
                <w:szCs w:val="18"/>
                <w:color w:val="auto"/>
              </w:rPr>
              <w:t>(0.5)</w:t>
            </w:r>
          </w:p>
        </w:tc>
        <w:tc>
          <w:tcPr>
            <w:tcW w:w="840" w:type="dxa"/>
            <w:vAlign w:val="bottom"/>
          </w:tcPr>
          <w:p>
            <w:pPr>
              <w:spacing w:after="0"/>
              <w:rPr>
                <w:sz w:val="19"/>
                <w:szCs w:val="19"/>
                <w:color w:val="auto"/>
              </w:rPr>
            </w:pPr>
          </w:p>
        </w:tc>
        <w:tc>
          <w:tcPr>
            <w:tcW w:w="1340" w:type="dxa"/>
            <w:vAlign w:val="bottom"/>
          </w:tcPr>
          <w:p>
            <w:pPr>
              <w:jc w:val="right"/>
              <w:ind w:right="812"/>
              <w:spacing w:after="0"/>
              <w:rPr>
                <w:sz w:val="20"/>
                <w:szCs w:val="20"/>
                <w:color w:val="auto"/>
              </w:rPr>
            </w:pPr>
            <w:r>
              <w:rPr>
                <w:rFonts w:ascii="Arial" w:cs="Arial" w:eastAsia="Arial" w:hAnsi="Arial"/>
                <w:sz w:val="18"/>
                <w:szCs w:val="18"/>
                <w:color w:val="auto"/>
              </w:rPr>
              <w:t>(0.5)</w:t>
            </w:r>
          </w:p>
        </w:tc>
        <w:tc>
          <w:tcPr>
            <w:tcW w:w="940" w:type="dxa"/>
            <w:vAlign w:val="bottom"/>
          </w:tcPr>
          <w:p>
            <w:pPr>
              <w:spacing w:after="0"/>
              <w:rPr>
                <w:sz w:val="19"/>
                <w:szCs w:val="19"/>
                <w:color w:val="auto"/>
              </w:rPr>
            </w:pPr>
          </w:p>
        </w:tc>
        <w:tc>
          <w:tcPr>
            <w:tcW w:w="1040" w:type="dxa"/>
            <w:vAlign w:val="bottom"/>
          </w:tcPr>
          <w:p>
            <w:pPr>
              <w:jc w:val="right"/>
              <w:ind w:right="492"/>
              <w:spacing w:after="0"/>
              <w:rPr>
                <w:sz w:val="20"/>
                <w:szCs w:val="20"/>
                <w:color w:val="auto"/>
              </w:rPr>
            </w:pPr>
            <w:r>
              <w:rPr>
                <w:rFonts w:ascii="Arial" w:cs="Arial" w:eastAsia="Arial" w:hAnsi="Arial"/>
                <w:sz w:val="18"/>
                <w:szCs w:val="18"/>
                <w:color w:val="auto"/>
              </w:rPr>
              <w:t>(0.4)</w:t>
            </w:r>
          </w:p>
        </w:tc>
      </w:tr>
      <w:tr>
        <w:trPr>
          <w:trHeight w:val="110"/>
        </w:trPr>
        <w:tc>
          <w:tcPr>
            <w:tcW w:w="45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r>
      <w:tr>
        <w:trPr>
          <w:trHeight w:val="464"/>
        </w:trPr>
        <w:tc>
          <w:tcPr>
            <w:tcW w:w="4520" w:type="dxa"/>
            <w:vAlign w:val="bottom"/>
          </w:tcPr>
          <w:p>
            <w:pPr>
              <w:ind w:left="160"/>
              <w:spacing w:after="0"/>
              <w:rPr>
                <w:sz w:val="20"/>
                <w:szCs w:val="20"/>
                <w:color w:val="auto"/>
              </w:rPr>
            </w:pPr>
            <w:r>
              <w:rPr>
                <w:rFonts w:ascii="Arial" w:cs="Arial" w:eastAsia="Arial" w:hAnsi="Arial"/>
                <w:sz w:val="18"/>
                <w:szCs w:val="18"/>
                <w:color w:val="auto"/>
              </w:rPr>
              <w:t>Net other intangibles</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72"/>
              <w:spacing w:after="0"/>
              <w:rPr>
                <w:sz w:val="20"/>
                <w:szCs w:val="20"/>
                <w:color w:val="auto"/>
              </w:rPr>
            </w:pPr>
            <w:r>
              <w:rPr>
                <w:rFonts w:ascii="Arial" w:cs="Arial" w:eastAsia="Arial" w:hAnsi="Arial"/>
                <w:sz w:val="18"/>
                <w:szCs w:val="18"/>
                <w:color w:val="auto"/>
              </w:rPr>
              <w:t>2.3</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872"/>
              <w:spacing w:after="0"/>
              <w:rPr>
                <w:sz w:val="20"/>
                <w:szCs w:val="20"/>
                <w:color w:val="auto"/>
              </w:rPr>
            </w:pPr>
            <w:r>
              <w:rPr>
                <w:rFonts w:ascii="Arial" w:cs="Arial" w:eastAsia="Arial" w:hAnsi="Arial"/>
                <w:sz w:val="18"/>
                <w:szCs w:val="18"/>
                <w:color w:val="auto"/>
              </w:rPr>
              <w:t>2.8</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52"/>
              <w:spacing w:after="0"/>
              <w:rPr>
                <w:sz w:val="20"/>
                <w:szCs w:val="20"/>
                <w:color w:val="auto"/>
              </w:rPr>
            </w:pPr>
            <w:r>
              <w:rPr>
                <w:rFonts w:ascii="Arial" w:cs="Arial" w:eastAsia="Arial" w:hAnsi="Arial"/>
                <w:sz w:val="18"/>
                <w:szCs w:val="18"/>
                <w:color w:val="auto"/>
              </w:rPr>
              <w:t>2.9</w:t>
            </w:r>
          </w:p>
        </w:tc>
      </w:tr>
      <w:tr>
        <w:trPr>
          <w:trHeight w:val="110"/>
        </w:trPr>
        <w:tc>
          <w:tcPr>
            <w:tcW w:w="45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r>
      <w:tr>
        <w:trPr>
          <w:trHeight w:val="464"/>
        </w:trPr>
        <w:tc>
          <w:tcPr>
            <w:tcW w:w="4520" w:type="dxa"/>
            <w:vAlign w:val="bottom"/>
          </w:tcPr>
          <w:p>
            <w:pPr>
              <w:spacing w:after="0"/>
              <w:rPr>
                <w:sz w:val="20"/>
                <w:szCs w:val="20"/>
                <w:color w:val="auto"/>
              </w:rPr>
            </w:pPr>
            <w:r>
              <w:rPr>
                <w:rFonts w:ascii="Arial" w:cs="Arial" w:eastAsia="Arial" w:hAnsi="Arial"/>
                <w:sz w:val="18"/>
                <w:szCs w:val="18"/>
                <w:b w:val="1"/>
                <w:bCs w:val="1"/>
                <w:color w:val="auto"/>
              </w:rPr>
              <w:t>Total other intangibles subject to amortization</w:t>
            </w:r>
          </w:p>
        </w:tc>
        <w:tc>
          <w:tcPr>
            <w:tcW w:w="172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72"/>
              <w:spacing w:after="0"/>
              <w:rPr>
                <w:sz w:val="20"/>
                <w:szCs w:val="20"/>
                <w:color w:val="auto"/>
              </w:rPr>
            </w:pPr>
            <w:r>
              <w:rPr>
                <w:rFonts w:ascii="Arial" w:cs="Arial" w:eastAsia="Arial" w:hAnsi="Arial"/>
                <w:sz w:val="18"/>
                <w:szCs w:val="18"/>
                <w:b w:val="1"/>
                <w:bCs w:val="1"/>
                <w:color w:val="auto"/>
              </w:rPr>
              <w:t>3.4</w:t>
            </w: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872"/>
              <w:spacing w:after="0"/>
              <w:rPr>
                <w:sz w:val="20"/>
                <w:szCs w:val="20"/>
                <w:color w:val="auto"/>
              </w:rPr>
            </w:pPr>
            <w:r>
              <w:rPr>
                <w:rFonts w:ascii="Arial" w:cs="Arial" w:eastAsia="Arial" w:hAnsi="Arial"/>
                <w:sz w:val="18"/>
                <w:szCs w:val="18"/>
                <w:b w:val="1"/>
                <w:bCs w:val="1"/>
                <w:color w:val="auto"/>
              </w:rPr>
              <w:t>2.9</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52"/>
              <w:spacing w:after="0"/>
              <w:rPr>
                <w:sz w:val="20"/>
                <w:szCs w:val="20"/>
                <w:color w:val="auto"/>
              </w:rPr>
            </w:pPr>
            <w:r>
              <w:rPr>
                <w:rFonts w:ascii="Arial" w:cs="Arial" w:eastAsia="Arial" w:hAnsi="Arial"/>
                <w:sz w:val="18"/>
                <w:szCs w:val="18"/>
                <w:b w:val="1"/>
                <w:bCs w:val="1"/>
                <w:color w:val="auto"/>
              </w:rPr>
              <w:t>3.0</w:t>
            </w:r>
          </w:p>
        </w:tc>
      </w:tr>
      <w:tr>
        <w:trPr>
          <w:trHeight w:val="110"/>
        </w:trPr>
        <w:tc>
          <w:tcPr>
            <w:tcW w:w="45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Amortization expense for Other intangibles totaled $0.5 and $0.5 for the nine months ended February 28, 2010 and 2009, respectively, and $0.6 for the twelve months ended May 31, 2009.</w:t>
      </w:r>
    </w:p>
    <w:p>
      <w:pPr>
        <w:spacing w:after="0" w:line="18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During the first quarter of fiscal 2010, the Company and its joint venture partner terminated a book distribution joint venture in the United Kingdom. As a result of this transaction, the Company received a portion of the business and a related customer list previously held by the joint venture, in exchange for the partial forgiveness of amounts owed to the Company by the joint venture and related entities. The Company recognized this customer list in the first quarter of fiscal 2010 with a carrying value of $5.1, which the Company intended to operate apart from its existing customer list. In the second quarter of fiscal 2010, the Company determined that, to maximize profitability, the acquired customer list should ultimately be combined with its existing customer list.</w:t>
      </w:r>
    </w:p>
    <w:p>
      <w:pPr>
        <w:sectPr>
          <w:pgSz w:w="11900" w:h="16838" w:orient="portrait"/>
          <w:cols w:equalWidth="0" w:num="1">
            <w:col w:w="11440"/>
          </w:cols>
          <w:pgMar w:left="240" w:top="382" w:right="219" w:bottom="711" w:gutter="0" w:footer="0" w:header="0"/>
        </w:sectPr>
      </w:pP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711"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assessed this customer list for impairment and determined that the customer list was impaired based upon the highest and best use for this asset. This assessment incorporated internally developed cash flow projections to measure fair value, as market data for this asset is not readily available. Accordingly, the Company recognized an impairment charge in the second quarter related to this asset of $3.8.</w:t>
      </w:r>
    </w:p>
    <w:p>
      <w:pPr>
        <w:spacing w:after="0" w:line="194"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 xml:space="preserve">The Company implemented certain strategic initiatives during fiscal 2010 to centralize publishing efforts within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These initiatives included the elimination of the front list for certain library-specific titles. The Company will continue to serve the library market through other channels, notably the trade channel within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As a result of these initiatives, and in tandem with reduced expectations in certain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print businesses, the Company determined that the titles and intangible assets of $28.7 and prepublication costs of $7.6 associated with such businesses, totaling $36.3, were impaired. The Company employed qualitative and internally developed quantitative methods, including discounted cash flow models, to determine the fair value of the asset a market participant would receive upon sale of the asset. Significant inputs included a best use analysis of the existing market for the asset, including uses for the asset other than its current usage, resulting in a determination that the market for the asset had declined significantly.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intangibles not subject to amortization at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3640" w:type="dxa"/>
            <w:vAlign w:val="bottom"/>
            <w:gridSpan w:val="2"/>
          </w:tcPr>
          <w:p>
            <w:pPr>
              <w:jc w:val="right"/>
              <w:ind w:right="192"/>
              <w:spacing w:after="0"/>
              <w:rPr>
                <w:sz w:val="20"/>
                <w:szCs w:val="20"/>
                <w:color w:val="auto"/>
              </w:rPr>
            </w:pPr>
            <w:r>
              <w:rPr>
                <w:rFonts w:ascii="Arial" w:cs="Arial" w:eastAsia="Arial" w:hAnsi="Arial"/>
                <w:sz w:val="18"/>
                <w:szCs w:val="18"/>
                <w:b w:val="1"/>
                <w:bCs w:val="1"/>
                <w:i w:val="1"/>
                <w:iCs w:val="1"/>
                <w:color w:val="auto"/>
              </w:rPr>
              <w:t>Nine months ended</w:t>
            </w:r>
          </w:p>
        </w:tc>
        <w:tc>
          <w:tcPr>
            <w:tcW w:w="2120" w:type="dxa"/>
            <w:vAlign w:val="bottom"/>
            <w:gridSpan w:val="2"/>
          </w:tcPr>
          <w:p>
            <w:pPr>
              <w:jc w:val="right"/>
              <w:ind w:right="212"/>
              <w:spacing w:after="0"/>
              <w:rPr>
                <w:sz w:val="20"/>
                <w:szCs w:val="20"/>
                <w:color w:val="auto"/>
              </w:rPr>
            </w:pPr>
            <w:r>
              <w:rPr>
                <w:rFonts w:ascii="Arial" w:cs="Arial" w:eastAsia="Arial" w:hAnsi="Arial"/>
                <w:sz w:val="18"/>
                <w:szCs w:val="18"/>
                <w:b w:val="1"/>
                <w:bCs w:val="1"/>
                <w:i w:val="1"/>
                <w:iCs w:val="1"/>
                <w:color w:val="auto"/>
                <w:w w:val="95"/>
              </w:rPr>
              <w:t>Twelve months ended</w:t>
            </w:r>
          </w:p>
        </w:tc>
        <w:tc>
          <w:tcPr>
            <w:tcW w:w="2000" w:type="dxa"/>
            <w:vAlign w:val="bottom"/>
            <w:gridSpan w:val="2"/>
          </w:tcPr>
          <w:p>
            <w:pPr>
              <w:jc w:val="right"/>
              <w:ind w:right="232"/>
              <w:spacing w:after="0"/>
              <w:rPr>
                <w:sz w:val="20"/>
                <w:szCs w:val="20"/>
                <w:color w:val="auto"/>
              </w:rPr>
            </w:pPr>
            <w:r>
              <w:rPr>
                <w:rFonts w:ascii="Arial" w:cs="Arial" w:eastAsia="Arial" w:hAnsi="Arial"/>
                <w:sz w:val="18"/>
                <w:szCs w:val="18"/>
                <w:b w:val="1"/>
                <w:bCs w:val="1"/>
                <w:i w:val="1"/>
                <w:iCs w:val="1"/>
                <w:color w:val="auto"/>
                <w:w w:val="99"/>
              </w:rPr>
              <w:t>Nine months ended</w:t>
            </w:r>
          </w:p>
        </w:tc>
      </w:tr>
      <w:tr>
        <w:trPr>
          <w:trHeight w:val="222"/>
        </w:trPr>
        <w:tc>
          <w:tcPr>
            <w:tcW w:w="3680" w:type="dxa"/>
            <w:vAlign w:val="bottom"/>
          </w:tcPr>
          <w:p>
            <w:pPr>
              <w:spacing w:after="0"/>
              <w:rPr>
                <w:sz w:val="19"/>
                <w:szCs w:val="19"/>
                <w:color w:val="auto"/>
              </w:rPr>
            </w:pPr>
          </w:p>
        </w:tc>
        <w:tc>
          <w:tcPr>
            <w:tcW w:w="3640" w:type="dxa"/>
            <w:vAlign w:val="bottom"/>
            <w:gridSpan w:val="2"/>
          </w:tcPr>
          <w:p>
            <w:pPr>
              <w:jc w:val="right"/>
              <w:ind w:right="232"/>
              <w:spacing w:after="0"/>
              <w:rPr>
                <w:sz w:val="20"/>
                <w:szCs w:val="20"/>
                <w:color w:val="auto"/>
              </w:rPr>
            </w:pPr>
            <w:r>
              <w:rPr>
                <w:rFonts w:ascii="Arial" w:cs="Arial" w:eastAsia="Arial" w:hAnsi="Arial"/>
                <w:sz w:val="18"/>
                <w:szCs w:val="18"/>
                <w:b w:val="1"/>
                <w:bCs w:val="1"/>
                <w:i w:val="1"/>
                <w:iCs w:val="1"/>
                <w:color w:val="auto"/>
              </w:rPr>
              <w:t>February 28, 2010</w:t>
            </w:r>
          </w:p>
        </w:tc>
        <w:tc>
          <w:tcPr>
            <w:tcW w:w="2120" w:type="dxa"/>
            <w:vAlign w:val="bottom"/>
            <w:gridSpan w:val="2"/>
          </w:tcPr>
          <w:p>
            <w:pPr>
              <w:jc w:val="right"/>
              <w:ind w:right="492"/>
              <w:spacing w:after="0"/>
              <w:rPr>
                <w:sz w:val="20"/>
                <w:szCs w:val="20"/>
                <w:color w:val="auto"/>
              </w:rPr>
            </w:pPr>
            <w:r>
              <w:rPr>
                <w:rFonts w:ascii="Arial" w:cs="Arial" w:eastAsia="Arial" w:hAnsi="Arial"/>
                <w:sz w:val="18"/>
                <w:szCs w:val="18"/>
                <w:b w:val="1"/>
                <w:bCs w:val="1"/>
                <w:i w:val="1"/>
                <w:iCs w:val="1"/>
                <w:color w:val="auto"/>
              </w:rPr>
              <w:t>May 31, 2009</w:t>
            </w:r>
          </w:p>
        </w:tc>
        <w:tc>
          <w:tcPr>
            <w:tcW w:w="2000" w:type="dxa"/>
            <w:vAlign w:val="bottom"/>
            <w:gridSpan w:val="2"/>
          </w:tcPr>
          <w:p>
            <w:pPr>
              <w:jc w:val="right"/>
              <w:ind w:right="252"/>
              <w:spacing w:after="0"/>
              <w:rPr>
                <w:sz w:val="20"/>
                <w:szCs w:val="20"/>
                <w:color w:val="auto"/>
              </w:rPr>
            </w:pPr>
            <w:r>
              <w:rPr>
                <w:rFonts w:ascii="Arial" w:cs="Arial" w:eastAsia="Arial" w:hAnsi="Arial"/>
                <w:sz w:val="18"/>
                <w:szCs w:val="18"/>
                <w:b w:val="1"/>
                <w:bCs w:val="1"/>
                <w:i w:val="1"/>
                <w:iCs w:val="1"/>
                <w:color w:val="auto"/>
              </w:rPr>
              <w:t>February 28, 2009</w:t>
            </w:r>
          </w:p>
        </w:tc>
      </w:tr>
      <w:tr>
        <w:trPr>
          <w:trHeight w:val="110"/>
        </w:trPr>
        <w:tc>
          <w:tcPr>
            <w:tcW w:w="3680" w:type="dxa"/>
            <w:vAlign w:val="bottom"/>
            <w:tcBorders>
              <w:bottom w:val="single" w:sz="8" w:color="808080"/>
            </w:tcBorders>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458"/>
        </w:trPr>
        <w:tc>
          <w:tcPr>
            <w:tcW w:w="3680" w:type="dxa"/>
            <w:vAlign w:val="bottom"/>
          </w:tcPr>
          <w:p>
            <w:pPr>
              <w:ind w:left="160"/>
              <w:spacing w:after="0"/>
              <w:rPr>
                <w:sz w:val="20"/>
                <w:szCs w:val="20"/>
                <w:color w:val="auto"/>
              </w:rPr>
            </w:pPr>
            <w:r>
              <w:rPr>
                <w:rFonts w:ascii="Arial" w:cs="Arial" w:eastAsia="Arial" w:hAnsi="Arial"/>
                <w:sz w:val="18"/>
                <w:szCs w:val="18"/>
                <w:color w:val="auto"/>
              </w:rPr>
              <w:t>Titles</w:t>
            </w:r>
          </w:p>
        </w:tc>
        <w:tc>
          <w:tcPr>
            <w:tcW w:w="2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52"/>
              <w:spacing w:after="0"/>
              <w:rPr>
                <w:sz w:val="20"/>
                <w:szCs w:val="20"/>
                <w:color w:val="auto"/>
              </w:rPr>
            </w:pPr>
            <w:r>
              <w:rPr>
                <w:rFonts w:ascii="Arial" w:cs="Arial" w:eastAsia="Arial" w:hAnsi="Arial"/>
                <w:sz w:val="18"/>
                <w:szCs w:val="18"/>
                <w:color w:val="auto"/>
              </w:rPr>
              <w:t>28.7</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52"/>
              <w:spacing w:after="0"/>
              <w:rPr>
                <w:sz w:val="20"/>
                <w:szCs w:val="20"/>
                <w:color w:val="auto"/>
              </w:rPr>
            </w:pPr>
            <w:r>
              <w:rPr>
                <w:rFonts w:ascii="Arial" w:cs="Arial" w:eastAsia="Arial" w:hAnsi="Arial"/>
                <w:sz w:val="18"/>
                <w:szCs w:val="18"/>
                <w:color w:val="auto"/>
              </w:rPr>
              <w:t>28.7</w:t>
            </w:r>
          </w:p>
        </w:tc>
      </w:tr>
      <w:tr>
        <w:trPr>
          <w:trHeight w:val="222"/>
        </w:trPr>
        <w:tc>
          <w:tcPr>
            <w:tcW w:w="3680" w:type="dxa"/>
            <w:vAlign w:val="bottom"/>
          </w:tcPr>
          <w:p>
            <w:pPr>
              <w:ind w:left="160"/>
              <w:spacing w:after="0"/>
              <w:rPr>
                <w:sz w:val="20"/>
                <w:szCs w:val="20"/>
                <w:color w:val="auto"/>
              </w:rPr>
            </w:pPr>
            <w:r>
              <w:rPr>
                <w:rFonts w:ascii="Arial" w:cs="Arial" w:eastAsia="Arial" w:hAnsi="Arial"/>
                <w:sz w:val="18"/>
                <w:szCs w:val="18"/>
                <w:color w:val="auto"/>
              </w:rPr>
              <w:t>Trademarks and Other</w:t>
            </w:r>
          </w:p>
        </w:tc>
        <w:tc>
          <w:tcPr>
            <w:tcW w:w="2620" w:type="dxa"/>
            <w:vAlign w:val="bottom"/>
          </w:tcPr>
          <w:p>
            <w:pPr>
              <w:spacing w:after="0"/>
              <w:rPr>
                <w:sz w:val="19"/>
                <w:szCs w:val="19"/>
                <w:color w:val="auto"/>
              </w:rPr>
            </w:pPr>
          </w:p>
        </w:tc>
        <w:tc>
          <w:tcPr>
            <w:tcW w:w="1020" w:type="dxa"/>
            <w:vAlign w:val="bottom"/>
          </w:tcPr>
          <w:p>
            <w:pPr>
              <w:jc w:val="right"/>
              <w:ind w:right="532"/>
              <w:spacing w:after="0"/>
              <w:rPr>
                <w:sz w:val="20"/>
                <w:szCs w:val="20"/>
                <w:color w:val="auto"/>
              </w:rPr>
            </w:pPr>
            <w:r>
              <w:rPr>
                <w:rFonts w:ascii="Arial" w:cs="Arial" w:eastAsia="Arial" w:hAnsi="Arial"/>
                <w:sz w:val="18"/>
                <w:szCs w:val="18"/>
                <w:color w:val="auto"/>
              </w:rPr>
              <w:t>15.1</w:t>
            </w:r>
          </w:p>
        </w:tc>
        <w:tc>
          <w:tcPr>
            <w:tcW w:w="880" w:type="dxa"/>
            <w:vAlign w:val="bottom"/>
          </w:tcPr>
          <w:p>
            <w:pPr>
              <w:spacing w:after="0"/>
              <w:rPr>
                <w:sz w:val="19"/>
                <w:szCs w:val="19"/>
                <w:color w:val="auto"/>
              </w:rPr>
            </w:pPr>
          </w:p>
        </w:tc>
        <w:tc>
          <w:tcPr>
            <w:tcW w:w="1240" w:type="dxa"/>
            <w:vAlign w:val="bottom"/>
          </w:tcPr>
          <w:p>
            <w:pPr>
              <w:jc w:val="right"/>
              <w:ind w:right="752"/>
              <w:spacing w:after="0"/>
              <w:rPr>
                <w:sz w:val="20"/>
                <w:szCs w:val="20"/>
                <w:color w:val="auto"/>
              </w:rPr>
            </w:pPr>
            <w:r>
              <w:rPr>
                <w:rFonts w:ascii="Arial" w:cs="Arial" w:eastAsia="Arial" w:hAnsi="Arial"/>
                <w:sz w:val="18"/>
                <w:szCs w:val="18"/>
                <w:color w:val="auto"/>
              </w:rPr>
              <w:t>15.2</w:t>
            </w:r>
          </w:p>
        </w:tc>
        <w:tc>
          <w:tcPr>
            <w:tcW w:w="940" w:type="dxa"/>
            <w:vAlign w:val="bottom"/>
          </w:tcPr>
          <w:p>
            <w:pPr>
              <w:spacing w:after="0"/>
              <w:rPr>
                <w:sz w:val="19"/>
                <w:szCs w:val="19"/>
                <w:color w:val="auto"/>
              </w:rPr>
            </w:pPr>
          </w:p>
        </w:tc>
        <w:tc>
          <w:tcPr>
            <w:tcW w:w="1060" w:type="dxa"/>
            <w:vAlign w:val="bottom"/>
          </w:tcPr>
          <w:p>
            <w:pPr>
              <w:jc w:val="right"/>
              <w:ind w:right="552"/>
              <w:spacing w:after="0"/>
              <w:rPr>
                <w:sz w:val="20"/>
                <w:szCs w:val="20"/>
                <w:color w:val="auto"/>
              </w:rPr>
            </w:pPr>
            <w:r>
              <w:rPr>
                <w:rFonts w:ascii="Arial" w:cs="Arial" w:eastAsia="Arial" w:hAnsi="Arial"/>
                <w:sz w:val="18"/>
                <w:szCs w:val="18"/>
                <w:color w:val="auto"/>
              </w:rPr>
              <w:t>15.2</w:t>
            </w:r>
          </w:p>
        </w:tc>
      </w:tr>
      <w:tr>
        <w:trPr>
          <w:trHeight w:val="110"/>
        </w:trPr>
        <w:tc>
          <w:tcPr>
            <w:tcW w:w="3680" w:type="dxa"/>
            <w:vAlign w:val="bottom"/>
            <w:tcBorders>
              <w:bottom w:val="single" w:sz="8" w:color="808080"/>
            </w:tcBorders>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464"/>
        </w:trPr>
        <w:tc>
          <w:tcPr>
            <w:tcW w:w="36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62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532"/>
              <w:spacing w:after="0"/>
              <w:rPr>
                <w:sz w:val="20"/>
                <w:szCs w:val="20"/>
                <w:color w:val="auto"/>
              </w:rPr>
            </w:pPr>
            <w:r>
              <w:rPr>
                <w:rFonts w:ascii="Arial" w:cs="Arial" w:eastAsia="Arial" w:hAnsi="Arial"/>
                <w:sz w:val="18"/>
                <w:szCs w:val="18"/>
                <w:b w:val="1"/>
                <w:bCs w:val="1"/>
                <w:color w:val="auto"/>
              </w:rPr>
              <w:t>15.1</w:t>
            </w: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752"/>
              <w:spacing w:after="0"/>
              <w:rPr>
                <w:sz w:val="20"/>
                <w:szCs w:val="20"/>
                <w:color w:val="auto"/>
              </w:rPr>
            </w:pPr>
            <w:r>
              <w:rPr>
                <w:rFonts w:ascii="Arial" w:cs="Arial" w:eastAsia="Arial" w:hAnsi="Arial"/>
                <w:sz w:val="18"/>
                <w:szCs w:val="18"/>
                <w:b w:val="1"/>
                <w:bCs w:val="1"/>
                <w:color w:val="auto"/>
              </w:rPr>
              <w:t>43.9</w:t>
            </w: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552"/>
              <w:spacing w:after="0"/>
              <w:rPr>
                <w:sz w:val="20"/>
                <w:szCs w:val="20"/>
                <w:color w:val="auto"/>
              </w:rPr>
            </w:pPr>
            <w:r>
              <w:rPr>
                <w:rFonts w:ascii="Arial" w:cs="Arial" w:eastAsia="Arial" w:hAnsi="Arial"/>
                <w:sz w:val="18"/>
                <w:szCs w:val="18"/>
                <w:b w:val="1"/>
                <w:bCs w:val="1"/>
                <w:color w:val="auto"/>
              </w:rPr>
              <w:t>43.9</w:t>
            </w:r>
          </w:p>
        </w:tc>
      </w:tr>
      <w:tr>
        <w:trPr>
          <w:trHeight w:val="110"/>
        </w:trPr>
        <w:tc>
          <w:tcPr>
            <w:tcW w:w="3680" w:type="dxa"/>
            <w:vAlign w:val="bottom"/>
            <w:tcBorders>
              <w:bottom w:val="single" w:sz="8" w:color="808080"/>
            </w:tcBorders>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w:t>
      </w:r>
    </w:p>
    <w:p>
      <w:pPr>
        <w:spacing w:after="0" w:line="23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Company owns a non-controlling interest in a book distribution business located in the United Kingdom. Results of these operations have been negatively impacted by overall market conditions, and in fiscal 2009 the Company determined that these assets were other than temporarily impaired. In the three-month period ended February 28, 2009, the Company recorded impairments on investments related to these operations of $13.5. The carrying value of these assets is $9.1 as of February 28, 2010. The United Kingdom publishing and distribution market continues to experience difficulties, and the Company is monitoring this investment for future indicators of impairment.</w:t>
      </w:r>
    </w:p>
    <w:p>
      <w:pPr>
        <w:spacing w:after="0" w:line="19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February 2010, the Company determined that a cost-basis investment in a U.S. based internet company was other than temporarily impaired. Accordingly, the Company recognized a loss of $1.5 for the three months ended February 28, 2010.</w:t>
      </w:r>
    </w:p>
    <w:p>
      <w:pPr>
        <w:spacing w:after="0" w:line="18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Company’s aggregate carrying amount of all cost method investments is $9.1, $10.6 and $10.6 for the periods ended February 28, 2010, May 31, 2009 and February 28, 2009, respectively.</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231"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The following table sets forth components of the net periodic benefit costs under the Company’s cash balance retirement plan for its United States employees meeting certain eligibility requirements (the “U.S. Pension Plan”), the defined benefit pension plan of Scholastic Ltd., an indirect subsidiary of Scholastic Corporation located in the United Kingdom (the “UK Pension Plan”), the defined benefit pension plan of Grolier Ltd., an indirect subsidiary of Scholastic Corporation located in Canada (the “Canadian Pension Plan” and together with the U.S. Pension Plan and the UK Pension Plan, the “Pension Plans”), and the post-retirement benefits consisting of certain healthcare and life insurance benefits provided by the Company to its retired United States based employees, including participants associated with both continuing operations and discontinued operations, for the periods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Pr>
          <w:p>
            <w:pPr>
              <w:jc w:val="center"/>
              <w:ind w:right="132"/>
              <w:spacing w:after="0"/>
              <w:rPr>
                <w:sz w:val="20"/>
                <w:szCs w:val="20"/>
                <w:color w:val="auto"/>
              </w:rPr>
            </w:pPr>
            <w:r>
              <w:rPr>
                <w:rFonts w:ascii="Arial" w:cs="Arial" w:eastAsia="Arial" w:hAnsi="Arial"/>
                <w:sz w:val="18"/>
                <w:szCs w:val="18"/>
                <w:b w:val="1"/>
                <w:bCs w:val="1"/>
                <w:color w:val="auto"/>
                <w:w w:val="84"/>
              </w:rPr>
              <w:t>Pension Plans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20" w:type="dxa"/>
            <w:vAlign w:val="bottom"/>
            <w:gridSpan w:val="3"/>
          </w:tcPr>
          <w:p>
            <w:pPr>
              <w:jc w:val="center"/>
              <w:ind w:right="132"/>
              <w:spacing w:after="0"/>
              <w:rPr>
                <w:sz w:val="20"/>
                <w:szCs w:val="20"/>
                <w:color w:val="auto"/>
              </w:rPr>
            </w:pPr>
            <w:r>
              <w:rPr>
                <w:rFonts w:ascii="Arial" w:cs="Arial" w:eastAsia="Arial" w:hAnsi="Arial"/>
                <w:sz w:val="18"/>
                <w:szCs w:val="18"/>
                <w:b w:val="1"/>
                <w:bCs w:val="1"/>
                <w:color w:val="auto"/>
                <w:w w:val="86"/>
              </w:rPr>
              <w:t>Post-Retirement Benefits</w:t>
            </w:r>
          </w:p>
        </w:tc>
        <w:tc>
          <w:tcPr>
            <w:tcW w:w="20" w:type="dxa"/>
            <w:vAlign w:val="bottom"/>
          </w:tcPr>
          <w:p>
            <w:pPr>
              <w:spacing w:after="0"/>
              <w:rPr>
                <w:sz w:val="19"/>
                <w:szCs w:val="19"/>
                <w:color w:val="auto"/>
              </w:rPr>
            </w:pPr>
          </w:p>
        </w:tc>
      </w:tr>
      <w:tr>
        <w:trPr>
          <w:trHeight w:val="222"/>
        </w:trPr>
        <w:tc>
          <w:tcPr>
            <w:tcW w:w="4180" w:type="dxa"/>
            <w:vAlign w:val="bottom"/>
          </w:tcPr>
          <w:p>
            <w:pPr>
              <w:spacing w:after="0"/>
              <w:rPr>
                <w:sz w:val="19"/>
                <w:szCs w:val="19"/>
                <w:color w:val="auto"/>
              </w:rPr>
            </w:pPr>
          </w:p>
        </w:tc>
        <w:tc>
          <w:tcPr>
            <w:tcW w:w="4180" w:type="dxa"/>
            <w:vAlign w:val="bottom"/>
            <w:gridSpan w:val="4"/>
          </w:tcPr>
          <w:p>
            <w:pPr>
              <w:jc w:val="center"/>
              <w:ind w:left="832"/>
              <w:spacing w:after="0"/>
              <w:rPr>
                <w:sz w:val="20"/>
                <w:szCs w:val="20"/>
                <w:color w:val="auto"/>
              </w:rPr>
            </w:pPr>
            <w:r>
              <w:rPr>
                <w:rFonts w:ascii="Arial" w:cs="Arial" w:eastAsia="Arial" w:hAnsi="Arial"/>
                <w:sz w:val="18"/>
                <w:szCs w:val="18"/>
                <w:b w:val="1"/>
                <w:bCs w:val="1"/>
                <w:i w:val="1"/>
                <w:iCs w:val="1"/>
                <w:color w:val="auto"/>
                <w:w w:val="85"/>
              </w:rPr>
              <w:t>Three months ended February 28,</w:t>
            </w:r>
          </w:p>
        </w:tc>
        <w:tc>
          <w:tcPr>
            <w:tcW w:w="360" w:type="dxa"/>
            <w:vAlign w:val="bottom"/>
          </w:tcPr>
          <w:p>
            <w:pPr>
              <w:spacing w:after="0"/>
              <w:rPr>
                <w:sz w:val="19"/>
                <w:szCs w:val="19"/>
                <w:color w:val="auto"/>
              </w:rPr>
            </w:pPr>
          </w:p>
        </w:tc>
        <w:tc>
          <w:tcPr>
            <w:tcW w:w="2720" w:type="dxa"/>
            <w:vAlign w:val="bottom"/>
            <w:gridSpan w:val="3"/>
          </w:tcPr>
          <w:p>
            <w:pPr>
              <w:jc w:val="center"/>
              <w:ind w:right="132"/>
              <w:spacing w:after="0"/>
              <w:rPr>
                <w:sz w:val="20"/>
                <w:szCs w:val="20"/>
                <w:color w:val="auto"/>
              </w:rPr>
            </w:pPr>
            <w:r>
              <w:rPr>
                <w:rFonts w:ascii="Arial" w:cs="Arial" w:eastAsia="Arial" w:hAnsi="Arial"/>
                <w:sz w:val="18"/>
                <w:szCs w:val="18"/>
                <w:b w:val="1"/>
                <w:bCs w:val="1"/>
                <w:i w:val="1"/>
                <w:iCs w:val="1"/>
                <w:color w:val="auto"/>
                <w:w w:val="85"/>
              </w:rPr>
              <w:t>Three months ended February 28,</w:t>
            </w:r>
          </w:p>
        </w:tc>
        <w:tc>
          <w:tcPr>
            <w:tcW w:w="20" w:type="dxa"/>
            <w:vAlign w:val="bottom"/>
          </w:tcPr>
          <w:p>
            <w:pPr>
              <w:spacing w:after="0"/>
              <w:rPr>
                <w:sz w:val="19"/>
                <w:szCs w:val="19"/>
                <w:color w:val="auto"/>
              </w:rPr>
            </w:pPr>
          </w:p>
        </w:tc>
      </w:tr>
      <w:tr>
        <w:trPr>
          <w:trHeight w:val="110"/>
        </w:trPr>
        <w:tc>
          <w:tcPr>
            <w:tcW w:w="41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b w:val="1"/>
                <w:bCs w:val="1"/>
                <w:color w:val="auto"/>
              </w:rPr>
              <w:t>2010</w:t>
            </w:r>
          </w:p>
        </w:tc>
        <w:tc>
          <w:tcPr>
            <w:tcW w:w="1260" w:type="dxa"/>
            <w:vAlign w:val="bottom"/>
          </w:tcPr>
          <w:p>
            <w:pPr>
              <w:spacing w:after="0"/>
              <w:rPr>
                <w:sz w:val="24"/>
                <w:szCs w:val="24"/>
                <w:color w:val="auto"/>
              </w:rPr>
            </w:pPr>
          </w:p>
        </w:tc>
        <w:tc>
          <w:tcPr>
            <w:tcW w:w="900" w:type="dxa"/>
            <w:vAlign w:val="bottom"/>
          </w:tcPr>
          <w:p>
            <w:pPr>
              <w:jc w:val="right"/>
              <w:ind w:right="412"/>
              <w:spacing w:after="0"/>
              <w:rPr>
                <w:sz w:val="20"/>
                <w:szCs w:val="20"/>
                <w:color w:val="auto"/>
              </w:rPr>
            </w:pPr>
            <w:r>
              <w:rPr>
                <w:rFonts w:ascii="Arial" w:cs="Arial" w:eastAsia="Arial" w:hAnsi="Arial"/>
                <w:sz w:val="18"/>
                <w:szCs w:val="18"/>
                <w:b w:val="1"/>
                <w:bCs w:val="1"/>
                <w:color w:val="auto"/>
                <w:w w:val="94"/>
              </w:rPr>
              <w:t>2009</w:t>
            </w:r>
          </w:p>
        </w:tc>
        <w:tc>
          <w:tcPr>
            <w:tcW w:w="360" w:type="dxa"/>
            <w:vAlign w:val="bottom"/>
          </w:tcPr>
          <w:p>
            <w:pPr>
              <w:spacing w:after="0"/>
              <w:rPr>
                <w:sz w:val="24"/>
                <w:szCs w:val="24"/>
                <w:color w:val="auto"/>
              </w:rPr>
            </w:pPr>
          </w:p>
        </w:tc>
        <w:tc>
          <w:tcPr>
            <w:tcW w:w="1280" w:type="dxa"/>
            <w:vAlign w:val="bottom"/>
          </w:tcPr>
          <w:p>
            <w:pPr>
              <w:jc w:val="right"/>
              <w:ind w:right="732"/>
              <w:spacing w:after="0"/>
              <w:rPr>
                <w:sz w:val="20"/>
                <w:szCs w:val="20"/>
                <w:color w:val="auto"/>
              </w:rPr>
            </w:pPr>
            <w:r>
              <w:rPr>
                <w:rFonts w:ascii="Arial" w:cs="Arial" w:eastAsia="Arial" w:hAnsi="Arial"/>
                <w:sz w:val="18"/>
                <w:szCs w:val="18"/>
                <w:b w:val="1"/>
                <w:bCs w:val="1"/>
                <w:color w:val="auto"/>
              </w:rPr>
              <w:t>2010</w:t>
            </w:r>
          </w:p>
        </w:tc>
        <w:tc>
          <w:tcPr>
            <w:tcW w:w="700" w:type="dxa"/>
            <w:vAlign w:val="bottom"/>
          </w:tcPr>
          <w:p>
            <w:pPr>
              <w:spacing w:after="0"/>
              <w:rPr>
                <w:sz w:val="24"/>
                <w:szCs w:val="24"/>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b w:val="1"/>
                <w:bCs w:val="1"/>
                <w:color w:val="auto"/>
                <w:w w:val="94"/>
              </w:rPr>
              <w:t>2009</w:t>
            </w:r>
          </w:p>
        </w:tc>
        <w:tc>
          <w:tcPr>
            <w:tcW w:w="20" w:type="dxa"/>
            <w:vAlign w:val="bottom"/>
          </w:tcPr>
          <w:p>
            <w:pPr>
              <w:spacing w:after="0"/>
              <w:rPr>
                <w:sz w:val="24"/>
                <w:szCs w:val="24"/>
                <w:color w:val="auto"/>
              </w:rPr>
            </w:pPr>
          </w:p>
        </w:tc>
      </w:tr>
      <w:tr>
        <w:trPr>
          <w:trHeight w:val="110"/>
        </w:trPr>
        <w:tc>
          <w:tcPr>
            <w:tcW w:w="41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8"/>
        </w:trPr>
        <w:tc>
          <w:tcPr>
            <w:tcW w:w="4180" w:type="dxa"/>
            <w:vAlign w:val="bottom"/>
          </w:tcPr>
          <w:p>
            <w:pPr>
              <w:spacing w:after="0"/>
              <w:rPr>
                <w:sz w:val="20"/>
                <w:szCs w:val="20"/>
                <w:color w:val="auto"/>
              </w:rPr>
            </w:pPr>
            <w:r>
              <w:rPr>
                <w:rFonts w:ascii="Arial" w:cs="Arial" w:eastAsia="Arial" w:hAnsi="Arial"/>
                <w:sz w:val="18"/>
                <w:szCs w:val="18"/>
                <w:color w:val="auto"/>
              </w:rPr>
              <w:t>Components of net periodic benefit costs:</w:t>
            </w: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180" w:type="dxa"/>
            <w:vAlign w:val="bottom"/>
          </w:tcPr>
          <w:p>
            <w:pPr>
              <w:ind w:left="160"/>
              <w:spacing w:after="0"/>
              <w:rPr>
                <w:sz w:val="20"/>
                <w:szCs w:val="20"/>
                <w:color w:val="auto"/>
              </w:rPr>
            </w:pPr>
            <w:r>
              <w:rPr>
                <w:rFonts w:ascii="Arial" w:cs="Arial" w:eastAsia="Arial" w:hAnsi="Arial"/>
                <w:sz w:val="18"/>
                <w:szCs w:val="18"/>
                <w:color w:val="auto"/>
              </w:rPr>
              <w:t>Service cost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2.0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18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1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126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8"/>
                <w:szCs w:val="18"/>
                <w:color w:val="auto"/>
              </w:rPr>
            </w:pPr>
          </w:p>
        </w:tc>
        <w:tc>
          <w:tcPr>
            <w:tcW w:w="1280" w:type="dxa"/>
            <w:vAlign w:val="bottom"/>
          </w:tcPr>
          <w:p>
            <w:pPr>
              <w:jc w:val="right"/>
              <w:ind w:right="552"/>
              <w:spacing w:after="0"/>
              <w:rPr>
                <w:sz w:val="20"/>
                <w:szCs w:val="20"/>
                <w:color w:val="auto"/>
              </w:rPr>
            </w:pPr>
            <w:r>
              <w:rPr>
                <w:rFonts w:ascii="Arial" w:cs="Arial" w:eastAsia="Arial" w:hAnsi="Arial"/>
                <w:sz w:val="18"/>
                <w:szCs w:val="18"/>
                <w:color w:val="auto"/>
              </w:rPr>
              <w:t>0.4</w:t>
            </w:r>
          </w:p>
        </w:tc>
        <w:tc>
          <w:tcPr>
            <w:tcW w:w="70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r>
      <w:tr>
        <w:trPr>
          <w:trHeight w:val="216"/>
        </w:trPr>
        <w:tc>
          <w:tcPr>
            <w:tcW w:w="4180" w:type="dxa"/>
            <w:vAlign w:val="bottom"/>
          </w:tcPr>
          <w:p>
            <w:pPr>
              <w:ind w:left="160"/>
              <w:spacing w:after="0"/>
              <w:rPr>
                <w:sz w:val="20"/>
                <w:szCs w:val="20"/>
                <w:color w:val="auto"/>
              </w:rPr>
            </w:pPr>
            <w:r>
              <w:rPr>
                <w:rFonts w:ascii="Arial" w:cs="Arial" w:eastAsia="Arial" w:hAnsi="Arial"/>
                <w:sz w:val="18"/>
                <w:szCs w:val="18"/>
                <w:color w:val="auto"/>
              </w:rPr>
              <w:t>Expected return on assets</w:t>
            </w:r>
          </w:p>
        </w:tc>
        <w:tc>
          <w:tcPr>
            <w:tcW w:w="1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1260" w:type="dxa"/>
            <w:vAlign w:val="bottom"/>
          </w:tcPr>
          <w:p>
            <w:pPr>
              <w:spacing w:after="0"/>
              <w:rPr>
                <w:sz w:val="18"/>
                <w:szCs w:val="18"/>
                <w:color w:val="auto"/>
              </w:rPr>
            </w:pP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8"/>
                <w:szCs w:val="18"/>
                <w:color w:val="auto"/>
              </w:rPr>
            </w:pPr>
          </w:p>
        </w:tc>
        <w:tc>
          <w:tcPr>
            <w:tcW w:w="128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180" w:type="dxa"/>
            <w:vAlign w:val="bottom"/>
          </w:tcPr>
          <w:p>
            <w:pPr>
              <w:ind w:left="160"/>
              <w:spacing w:after="0"/>
              <w:rPr>
                <w:sz w:val="20"/>
                <w:szCs w:val="20"/>
                <w:color w:val="auto"/>
              </w:rPr>
            </w:pPr>
            <w:r>
              <w:rPr>
                <w:rFonts w:ascii="Arial" w:cs="Arial" w:eastAsia="Arial" w:hAnsi="Arial"/>
                <w:sz w:val="18"/>
                <w:szCs w:val="18"/>
                <w:color w:val="auto"/>
              </w:rPr>
              <w:t>Net amortization of prior service credit</w:t>
            </w:r>
          </w:p>
        </w:tc>
        <w:tc>
          <w:tcPr>
            <w:tcW w:w="1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80" w:type="dxa"/>
            <w:vAlign w:val="bottom"/>
          </w:tcPr>
          <w:p>
            <w:pPr>
              <w:jc w:val="right"/>
              <w:ind w:right="492"/>
              <w:spacing w:after="0"/>
              <w:rPr>
                <w:sz w:val="20"/>
                <w:szCs w:val="20"/>
                <w:color w:val="auto"/>
              </w:rPr>
            </w:pPr>
            <w:r>
              <w:rPr>
                <w:rFonts w:ascii="Arial" w:cs="Arial" w:eastAsia="Arial" w:hAnsi="Arial"/>
                <w:sz w:val="18"/>
                <w:szCs w:val="18"/>
                <w:color w:val="auto"/>
              </w:rPr>
              <w:t>(0.2)</w:t>
            </w:r>
          </w:p>
        </w:tc>
        <w:tc>
          <w:tcPr>
            <w:tcW w:w="7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r>
      <w:tr>
        <w:trPr>
          <w:trHeight w:val="222"/>
        </w:trPr>
        <w:tc>
          <w:tcPr>
            <w:tcW w:w="4180" w:type="dxa"/>
            <w:vAlign w:val="bottom"/>
          </w:tcPr>
          <w:p>
            <w:pPr>
              <w:ind w:left="160"/>
              <w:spacing w:after="0"/>
              <w:rPr>
                <w:sz w:val="20"/>
                <w:szCs w:val="20"/>
                <w:color w:val="auto"/>
              </w:rPr>
            </w:pPr>
            <w:r>
              <w:rPr>
                <w:rFonts w:ascii="Arial" w:cs="Arial" w:eastAsia="Arial" w:hAnsi="Arial"/>
                <w:sz w:val="18"/>
                <w:szCs w:val="18"/>
                <w:color w:val="auto"/>
              </w:rPr>
              <w:t>Amortization of loss</w:t>
            </w:r>
          </w:p>
        </w:tc>
        <w:tc>
          <w:tcPr>
            <w:tcW w:w="1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1260" w:type="dxa"/>
            <w:vAlign w:val="bottom"/>
          </w:tcPr>
          <w:p>
            <w:pPr>
              <w:spacing w:after="0"/>
              <w:rPr>
                <w:sz w:val="19"/>
                <w:szCs w:val="19"/>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19"/>
                <w:szCs w:val="19"/>
                <w:color w:val="auto"/>
              </w:rPr>
            </w:pPr>
          </w:p>
        </w:tc>
        <w:tc>
          <w:tcPr>
            <w:tcW w:w="1280" w:type="dxa"/>
            <w:vAlign w:val="bottom"/>
          </w:tcPr>
          <w:p>
            <w:pPr>
              <w:jc w:val="right"/>
              <w:ind w:right="552"/>
              <w:spacing w:after="0"/>
              <w:rPr>
                <w:sz w:val="20"/>
                <w:szCs w:val="20"/>
                <w:color w:val="auto"/>
              </w:rPr>
            </w:pPr>
            <w:r>
              <w:rPr>
                <w:rFonts w:ascii="Arial" w:cs="Arial" w:eastAsia="Arial" w:hAnsi="Arial"/>
                <w:sz w:val="18"/>
                <w:szCs w:val="18"/>
                <w:color w:val="auto"/>
              </w:rPr>
              <w:t>0.2</w:t>
            </w:r>
          </w:p>
        </w:tc>
        <w:tc>
          <w:tcPr>
            <w:tcW w:w="70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r>
      <w:tr>
        <w:trPr>
          <w:trHeight w:val="110"/>
        </w:trPr>
        <w:tc>
          <w:tcPr>
            <w:tcW w:w="41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180" w:type="dxa"/>
            <w:vAlign w:val="bottom"/>
          </w:tcPr>
          <w:p>
            <w:pPr>
              <w:ind w:left="320"/>
              <w:spacing w:after="0"/>
              <w:rPr>
                <w:sz w:val="20"/>
                <w:szCs w:val="20"/>
                <w:color w:val="auto"/>
              </w:rPr>
            </w:pPr>
            <w:r>
              <w:rPr>
                <w:rFonts w:ascii="Arial" w:cs="Arial" w:eastAsia="Arial" w:hAnsi="Arial"/>
                <w:sz w:val="18"/>
                <w:szCs w:val="18"/>
                <w:b w:val="1"/>
                <w:bCs w:val="1"/>
                <w:color w:val="auto"/>
              </w:rPr>
              <w:t>Net periodic benefit costs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232"/>
              <w:spacing w:after="0"/>
              <w:rPr>
                <w:sz w:val="20"/>
                <w:szCs w:val="20"/>
                <w:color w:val="auto"/>
              </w:rPr>
            </w:pPr>
            <w:r>
              <w:rPr>
                <w:rFonts w:ascii="Arial" w:cs="Arial" w:eastAsia="Arial" w:hAnsi="Arial"/>
                <w:sz w:val="18"/>
                <w:szCs w:val="18"/>
                <w:b w:val="1"/>
                <w:bCs w:val="1"/>
                <w:color w:val="auto"/>
              </w:rPr>
              <w:t>2.2</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552"/>
              <w:spacing w:after="0"/>
              <w:rPr>
                <w:sz w:val="20"/>
                <w:szCs w:val="20"/>
                <w:color w:val="auto"/>
              </w:rPr>
            </w:pPr>
            <w:r>
              <w:rPr>
                <w:rFonts w:ascii="Arial" w:cs="Arial" w:eastAsia="Arial" w:hAnsi="Arial"/>
                <w:sz w:val="18"/>
                <w:szCs w:val="18"/>
                <w:b w:val="1"/>
                <w:bCs w:val="1"/>
                <w:color w:val="auto"/>
              </w:rPr>
              <w:t>0.4</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b w:val="1"/>
                <w:bCs w:val="1"/>
                <w:color w:val="auto"/>
              </w:rPr>
              <w:t>0.7</w:t>
            </w:r>
          </w:p>
        </w:tc>
        <w:tc>
          <w:tcPr>
            <w:tcW w:w="20" w:type="dxa"/>
            <w:vAlign w:val="bottom"/>
          </w:tcPr>
          <w:p>
            <w:pPr>
              <w:spacing w:after="0"/>
              <w:rPr>
                <w:sz w:val="24"/>
                <w:szCs w:val="24"/>
                <w:color w:val="auto"/>
              </w:rPr>
            </w:pPr>
          </w:p>
        </w:tc>
      </w:tr>
      <w:tr>
        <w:trPr>
          <w:trHeight w:val="134"/>
        </w:trPr>
        <w:tc>
          <w:tcPr>
            <w:tcW w:w="418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28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r>
        <w:trPr>
          <w:trHeight w:val="610"/>
        </w:trPr>
        <w:tc>
          <w:tcPr>
            <w:tcW w:w="4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jc w:val="center"/>
              <w:ind w:right="132"/>
              <w:spacing w:after="0"/>
              <w:rPr>
                <w:sz w:val="20"/>
                <w:szCs w:val="20"/>
                <w:color w:val="auto"/>
              </w:rPr>
            </w:pPr>
            <w:r>
              <w:rPr>
                <w:rFonts w:ascii="Arial" w:cs="Arial" w:eastAsia="Arial" w:hAnsi="Arial"/>
                <w:sz w:val="18"/>
                <w:szCs w:val="18"/>
                <w:b w:val="1"/>
                <w:bCs w:val="1"/>
                <w:color w:val="auto"/>
                <w:w w:val="84"/>
              </w:rPr>
              <w:t>Pension Plans</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20" w:type="dxa"/>
            <w:vAlign w:val="bottom"/>
            <w:gridSpan w:val="3"/>
          </w:tcPr>
          <w:p>
            <w:pPr>
              <w:jc w:val="center"/>
              <w:ind w:right="132"/>
              <w:spacing w:after="0"/>
              <w:rPr>
                <w:sz w:val="20"/>
                <w:szCs w:val="20"/>
                <w:color w:val="auto"/>
              </w:rPr>
            </w:pPr>
            <w:r>
              <w:rPr>
                <w:rFonts w:ascii="Arial" w:cs="Arial" w:eastAsia="Arial" w:hAnsi="Arial"/>
                <w:sz w:val="18"/>
                <w:szCs w:val="18"/>
                <w:b w:val="1"/>
                <w:bCs w:val="1"/>
                <w:color w:val="auto"/>
                <w:w w:val="86"/>
              </w:rPr>
              <w:t>Post-Retirement Benefits</w:t>
            </w:r>
          </w:p>
        </w:tc>
        <w:tc>
          <w:tcPr>
            <w:tcW w:w="20" w:type="dxa"/>
            <w:vAlign w:val="bottom"/>
          </w:tcPr>
          <w:p>
            <w:pPr>
              <w:spacing w:after="0"/>
              <w:rPr>
                <w:sz w:val="24"/>
                <w:szCs w:val="24"/>
                <w:color w:val="auto"/>
              </w:rPr>
            </w:pPr>
          </w:p>
        </w:tc>
      </w:tr>
      <w:tr>
        <w:trPr>
          <w:trHeight w:val="222"/>
        </w:trPr>
        <w:tc>
          <w:tcPr>
            <w:tcW w:w="4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40" w:type="dxa"/>
            <w:vAlign w:val="bottom"/>
            <w:gridSpan w:val="3"/>
          </w:tcPr>
          <w:p>
            <w:pPr>
              <w:jc w:val="center"/>
              <w:ind w:right="352"/>
              <w:spacing w:after="0"/>
              <w:rPr>
                <w:sz w:val="20"/>
                <w:szCs w:val="20"/>
                <w:color w:val="auto"/>
              </w:rPr>
            </w:pPr>
            <w:r>
              <w:rPr>
                <w:rFonts w:ascii="Arial" w:cs="Arial" w:eastAsia="Arial" w:hAnsi="Arial"/>
                <w:sz w:val="18"/>
                <w:szCs w:val="18"/>
                <w:b w:val="1"/>
                <w:bCs w:val="1"/>
                <w:i w:val="1"/>
                <w:iCs w:val="1"/>
                <w:color w:val="auto"/>
                <w:w w:val="85"/>
              </w:rPr>
              <w:t>Nine months ended February 28,</w:t>
            </w:r>
          </w:p>
        </w:tc>
        <w:tc>
          <w:tcPr>
            <w:tcW w:w="360" w:type="dxa"/>
            <w:vAlign w:val="bottom"/>
          </w:tcPr>
          <w:p>
            <w:pPr>
              <w:spacing w:after="0"/>
              <w:rPr>
                <w:sz w:val="19"/>
                <w:szCs w:val="19"/>
                <w:color w:val="auto"/>
              </w:rPr>
            </w:pPr>
          </w:p>
        </w:tc>
        <w:tc>
          <w:tcPr>
            <w:tcW w:w="2720" w:type="dxa"/>
            <w:vAlign w:val="bottom"/>
            <w:gridSpan w:val="3"/>
          </w:tcPr>
          <w:p>
            <w:pPr>
              <w:jc w:val="center"/>
              <w:ind w:right="132"/>
              <w:spacing w:after="0"/>
              <w:rPr>
                <w:sz w:val="20"/>
                <w:szCs w:val="20"/>
                <w:color w:val="auto"/>
              </w:rPr>
            </w:pPr>
            <w:r>
              <w:rPr>
                <w:rFonts w:ascii="Arial" w:cs="Arial" w:eastAsia="Arial" w:hAnsi="Arial"/>
                <w:sz w:val="18"/>
                <w:szCs w:val="18"/>
                <w:b w:val="1"/>
                <w:bCs w:val="1"/>
                <w:i w:val="1"/>
                <w:iCs w:val="1"/>
                <w:color w:val="auto"/>
                <w:w w:val="85"/>
              </w:rPr>
              <w:t>Nine months ended February 28,</w:t>
            </w:r>
          </w:p>
        </w:tc>
        <w:tc>
          <w:tcPr>
            <w:tcW w:w="20" w:type="dxa"/>
            <w:vAlign w:val="bottom"/>
          </w:tcPr>
          <w:p>
            <w:pPr>
              <w:spacing w:after="0"/>
              <w:rPr>
                <w:sz w:val="19"/>
                <w:szCs w:val="19"/>
                <w:color w:val="auto"/>
              </w:rPr>
            </w:pPr>
          </w:p>
        </w:tc>
      </w:tr>
      <w:tr>
        <w:trPr>
          <w:trHeight w:val="110"/>
        </w:trPr>
        <w:tc>
          <w:tcPr>
            <w:tcW w:w="41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b w:val="1"/>
                <w:bCs w:val="1"/>
                <w:color w:val="auto"/>
              </w:rPr>
              <w:t>2010</w:t>
            </w:r>
          </w:p>
        </w:tc>
        <w:tc>
          <w:tcPr>
            <w:tcW w:w="1260" w:type="dxa"/>
            <w:vAlign w:val="bottom"/>
          </w:tcPr>
          <w:p>
            <w:pPr>
              <w:spacing w:after="0"/>
              <w:rPr>
                <w:sz w:val="24"/>
                <w:szCs w:val="24"/>
                <w:color w:val="auto"/>
              </w:rPr>
            </w:pPr>
          </w:p>
        </w:tc>
        <w:tc>
          <w:tcPr>
            <w:tcW w:w="900" w:type="dxa"/>
            <w:vAlign w:val="bottom"/>
          </w:tcPr>
          <w:p>
            <w:pPr>
              <w:jc w:val="right"/>
              <w:ind w:right="412"/>
              <w:spacing w:after="0"/>
              <w:rPr>
                <w:sz w:val="20"/>
                <w:szCs w:val="20"/>
                <w:color w:val="auto"/>
              </w:rPr>
            </w:pPr>
            <w:r>
              <w:rPr>
                <w:rFonts w:ascii="Arial" w:cs="Arial" w:eastAsia="Arial" w:hAnsi="Arial"/>
                <w:sz w:val="18"/>
                <w:szCs w:val="18"/>
                <w:b w:val="1"/>
                <w:bCs w:val="1"/>
                <w:color w:val="auto"/>
                <w:w w:val="94"/>
              </w:rPr>
              <w:t>2009</w:t>
            </w:r>
          </w:p>
        </w:tc>
        <w:tc>
          <w:tcPr>
            <w:tcW w:w="360" w:type="dxa"/>
            <w:vAlign w:val="bottom"/>
          </w:tcPr>
          <w:p>
            <w:pPr>
              <w:spacing w:after="0"/>
              <w:rPr>
                <w:sz w:val="24"/>
                <w:szCs w:val="24"/>
                <w:color w:val="auto"/>
              </w:rPr>
            </w:pPr>
          </w:p>
        </w:tc>
        <w:tc>
          <w:tcPr>
            <w:tcW w:w="1280" w:type="dxa"/>
            <w:vAlign w:val="bottom"/>
          </w:tcPr>
          <w:p>
            <w:pPr>
              <w:jc w:val="right"/>
              <w:ind w:right="732"/>
              <w:spacing w:after="0"/>
              <w:rPr>
                <w:sz w:val="20"/>
                <w:szCs w:val="20"/>
                <w:color w:val="auto"/>
              </w:rPr>
            </w:pPr>
            <w:r>
              <w:rPr>
                <w:rFonts w:ascii="Arial" w:cs="Arial" w:eastAsia="Arial" w:hAnsi="Arial"/>
                <w:sz w:val="18"/>
                <w:szCs w:val="18"/>
                <w:b w:val="1"/>
                <w:bCs w:val="1"/>
                <w:color w:val="auto"/>
              </w:rPr>
              <w:t>2010</w:t>
            </w:r>
          </w:p>
        </w:tc>
        <w:tc>
          <w:tcPr>
            <w:tcW w:w="700" w:type="dxa"/>
            <w:vAlign w:val="bottom"/>
          </w:tcPr>
          <w:p>
            <w:pPr>
              <w:spacing w:after="0"/>
              <w:rPr>
                <w:sz w:val="24"/>
                <w:szCs w:val="24"/>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b w:val="1"/>
                <w:bCs w:val="1"/>
                <w:color w:val="auto"/>
                <w:w w:val="94"/>
              </w:rPr>
              <w:t>2009</w:t>
            </w:r>
          </w:p>
        </w:tc>
        <w:tc>
          <w:tcPr>
            <w:tcW w:w="20" w:type="dxa"/>
            <w:vAlign w:val="bottom"/>
          </w:tcPr>
          <w:p>
            <w:pPr>
              <w:spacing w:after="0"/>
              <w:rPr>
                <w:sz w:val="24"/>
                <w:szCs w:val="24"/>
                <w:color w:val="auto"/>
              </w:rPr>
            </w:pPr>
          </w:p>
        </w:tc>
      </w:tr>
      <w:tr>
        <w:trPr>
          <w:trHeight w:val="110"/>
        </w:trPr>
        <w:tc>
          <w:tcPr>
            <w:tcW w:w="41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8"/>
        </w:trPr>
        <w:tc>
          <w:tcPr>
            <w:tcW w:w="4180" w:type="dxa"/>
            <w:vAlign w:val="bottom"/>
          </w:tcPr>
          <w:p>
            <w:pPr>
              <w:spacing w:after="0"/>
              <w:rPr>
                <w:sz w:val="20"/>
                <w:szCs w:val="20"/>
                <w:color w:val="auto"/>
              </w:rPr>
            </w:pPr>
            <w:r>
              <w:rPr>
                <w:rFonts w:ascii="Arial" w:cs="Arial" w:eastAsia="Arial" w:hAnsi="Arial"/>
                <w:sz w:val="18"/>
                <w:szCs w:val="18"/>
                <w:color w:val="auto"/>
              </w:rPr>
              <w:t>Components of net periodic benefit costs:</w:t>
            </w: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180" w:type="dxa"/>
            <w:vAlign w:val="bottom"/>
          </w:tcPr>
          <w:p>
            <w:pPr>
              <w:ind w:left="160"/>
              <w:spacing w:after="0"/>
              <w:rPr>
                <w:sz w:val="20"/>
                <w:szCs w:val="20"/>
                <w:color w:val="auto"/>
              </w:rPr>
            </w:pPr>
            <w:r>
              <w:rPr>
                <w:rFonts w:ascii="Arial" w:cs="Arial" w:eastAsia="Arial" w:hAnsi="Arial"/>
                <w:sz w:val="18"/>
                <w:szCs w:val="18"/>
                <w:color w:val="auto"/>
              </w:rPr>
              <w:t>Service cost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6.0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16"/>
        </w:trPr>
        <w:tc>
          <w:tcPr>
            <w:tcW w:w="418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1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c>
          <w:tcPr>
            <w:tcW w:w="126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8"/>
                <w:szCs w:val="18"/>
                <w:color w:val="auto"/>
              </w:rPr>
            </w:pPr>
          </w:p>
        </w:tc>
        <w:tc>
          <w:tcPr>
            <w:tcW w:w="1280" w:type="dxa"/>
            <w:vAlign w:val="bottom"/>
          </w:tcPr>
          <w:p>
            <w:pPr>
              <w:jc w:val="right"/>
              <w:ind w:right="552"/>
              <w:spacing w:after="0"/>
              <w:rPr>
                <w:sz w:val="20"/>
                <w:szCs w:val="20"/>
                <w:color w:val="auto"/>
              </w:rPr>
            </w:pPr>
            <w:r>
              <w:rPr>
                <w:rFonts w:ascii="Arial" w:cs="Arial" w:eastAsia="Arial" w:hAnsi="Arial"/>
                <w:sz w:val="18"/>
                <w:szCs w:val="18"/>
                <w:color w:val="auto"/>
              </w:rPr>
              <w:t>1.1</w:t>
            </w:r>
          </w:p>
        </w:tc>
        <w:tc>
          <w:tcPr>
            <w:tcW w:w="70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16"/>
        </w:trPr>
        <w:tc>
          <w:tcPr>
            <w:tcW w:w="4180" w:type="dxa"/>
            <w:vAlign w:val="bottom"/>
          </w:tcPr>
          <w:p>
            <w:pPr>
              <w:ind w:left="160"/>
              <w:spacing w:after="0"/>
              <w:rPr>
                <w:sz w:val="20"/>
                <w:szCs w:val="20"/>
                <w:color w:val="auto"/>
              </w:rPr>
            </w:pPr>
            <w:r>
              <w:rPr>
                <w:rFonts w:ascii="Arial" w:cs="Arial" w:eastAsia="Arial" w:hAnsi="Arial"/>
                <w:sz w:val="18"/>
                <w:szCs w:val="18"/>
                <w:color w:val="auto"/>
              </w:rPr>
              <w:t>Expected return on assets</w:t>
            </w:r>
          </w:p>
        </w:tc>
        <w:tc>
          <w:tcPr>
            <w:tcW w:w="1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1260" w:type="dxa"/>
            <w:vAlign w:val="bottom"/>
          </w:tcPr>
          <w:p>
            <w:pPr>
              <w:spacing w:after="0"/>
              <w:rPr>
                <w:sz w:val="18"/>
                <w:szCs w:val="18"/>
                <w:color w:val="auto"/>
              </w:rPr>
            </w:pP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(8.3)</w:t>
            </w:r>
          </w:p>
        </w:tc>
        <w:tc>
          <w:tcPr>
            <w:tcW w:w="360" w:type="dxa"/>
            <w:vAlign w:val="bottom"/>
          </w:tcPr>
          <w:p>
            <w:pPr>
              <w:spacing w:after="0"/>
              <w:rPr>
                <w:sz w:val="18"/>
                <w:szCs w:val="18"/>
                <w:color w:val="auto"/>
              </w:rPr>
            </w:pPr>
          </w:p>
        </w:tc>
        <w:tc>
          <w:tcPr>
            <w:tcW w:w="128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180" w:type="dxa"/>
            <w:vAlign w:val="bottom"/>
          </w:tcPr>
          <w:p>
            <w:pPr>
              <w:ind w:left="160"/>
              <w:spacing w:after="0"/>
              <w:rPr>
                <w:sz w:val="20"/>
                <w:szCs w:val="20"/>
                <w:color w:val="auto"/>
              </w:rPr>
            </w:pPr>
            <w:r>
              <w:rPr>
                <w:rFonts w:ascii="Arial" w:cs="Arial" w:eastAsia="Arial" w:hAnsi="Arial"/>
                <w:sz w:val="18"/>
                <w:szCs w:val="18"/>
                <w:color w:val="auto"/>
              </w:rPr>
              <w:t>Net amortization of prior service credit</w:t>
            </w:r>
          </w:p>
        </w:tc>
        <w:tc>
          <w:tcPr>
            <w:tcW w:w="1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8"/>
                <w:szCs w:val="18"/>
                <w:color w:val="auto"/>
              </w:rPr>
            </w:pPr>
          </w:p>
        </w:tc>
        <w:tc>
          <w:tcPr>
            <w:tcW w:w="1280" w:type="dxa"/>
            <w:vAlign w:val="bottom"/>
          </w:tcPr>
          <w:p>
            <w:pPr>
              <w:jc w:val="right"/>
              <w:ind w:right="492"/>
              <w:spacing w:after="0"/>
              <w:rPr>
                <w:sz w:val="20"/>
                <w:szCs w:val="20"/>
                <w:color w:val="auto"/>
              </w:rPr>
            </w:pPr>
            <w:r>
              <w:rPr>
                <w:rFonts w:ascii="Arial" w:cs="Arial" w:eastAsia="Arial" w:hAnsi="Arial"/>
                <w:sz w:val="18"/>
                <w:szCs w:val="18"/>
                <w:color w:val="auto"/>
              </w:rPr>
              <w:t>(0.5)</w:t>
            </w:r>
          </w:p>
        </w:tc>
        <w:tc>
          <w:tcPr>
            <w:tcW w:w="7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r>
      <w:tr>
        <w:trPr>
          <w:trHeight w:val="222"/>
        </w:trPr>
        <w:tc>
          <w:tcPr>
            <w:tcW w:w="4180" w:type="dxa"/>
            <w:vAlign w:val="bottom"/>
          </w:tcPr>
          <w:p>
            <w:pPr>
              <w:ind w:left="160"/>
              <w:spacing w:after="0"/>
              <w:rPr>
                <w:sz w:val="20"/>
                <w:szCs w:val="20"/>
                <w:color w:val="auto"/>
              </w:rPr>
            </w:pPr>
            <w:r>
              <w:rPr>
                <w:rFonts w:ascii="Arial" w:cs="Arial" w:eastAsia="Arial" w:hAnsi="Arial"/>
                <w:sz w:val="18"/>
                <w:szCs w:val="18"/>
                <w:color w:val="auto"/>
              </w:rPr>
              <w:t>Amortization of loss</w:t>
            </w:r>
          </w:p>
        </w:tc>
        <w:tc>
          <w:tcPr>
            <w:tcW w:w="1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1260" w:type="dxa"/>
            <w:vAlign w:val="bottom"/>
          </w:tcPr>
          <w:p>
            <w:pPr>
              <w:spacing w:after="0"/>
              <w:rPr>
                <w:sz w:val="19"/>
                <w:szCs w:val="19"/>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9"/>
                <w:szCs w:val="19"/>
                <w:color w:val="auto"/>
              </w:rPr>
            </w:pPr>
          </w:p>
        </w:tc>
        <w:tc>
          <w:tcPr>
            <w:tcW w:w="1280" w:type="dxa"/>
            <w:vAlign w:val="bottom"/>
          </w:tcPr>
          <w:p>
            <w:pPr>
              <w:jc w:val="right"/>
              <w:ind w:right="552"/>
              <w:spacing w:after="0"/>
              <w:rPr>
                <w:sz w:val="20"/>
                <w:szCs w:val="20"/>
                <w:color w:val="auto"/>
              </w:rPr>
            </w:pPr>
            <w:r>
              <w:rPr>
                <w:rFonts w:ascii="Arial" w:cs="Arial" w:eastAsia="Arial" w:hAnsi="Arial"/>
                <w:sz w:val="18"/>
                <w:szCs w:val="18"/>
                <w:color w:val="auto"/>
              </w:rPr>
              <w:t>0.5</w:t>
            </w:r>
          </w:p>
        </w:tc>
        <w:tc>
          <w:tcPr>
            <w:tcW w:w="70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r>
      <w:tr>
        <w:trPr>
          <w:trHeight w:val="110"/>
        </w:trPr>
        <w:tc>
          <w:tcPr>
            <w:tcW w:w="41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180" w:type="dxa"/>
            <w:vAlign w:val="bottom"/>
          </w:tcPr>
          <w:p>
            <w:pPr>
              <w:ind w:left="320"/>
              <w:spacing w:after="0"/>
              <w:rPr>
                <w:sz w:val="20"/>
                <w:szCs w:val="20"/>
                <w:color w:val="auto"/>
              </w:rPr>
            </w:pPr>
            <w:r>
              <w:rPr>
                <w:rFonts w:ascii="Arial" w:cs="Arial" w:eastAsia="Arial" w:hAnsi="Arial"/>
                <w:sz w:val="18"/>
                <w:szCs w:val="18"/>
                <w:b w:val="1"/>
                <w:bCs w:val="1"/>
                <w:color w:val="auto"/>
              </w:rPr>
              <w:t>Net periodic benefit costs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232"/>
              <w:spacing w:after="0"/>
              <w:rPr>
                <w:sz w:val="20"/>
                <w:szCs w:val="20"/>
                <w:color w:val="auto"/>
              </w:rPr>
            </w:pPr>
            <w:r>
              <w:rPr>
                <w:rFonts w:ascii="Arial" w:cs="Arial" w:eastAsia="Arial" w:hAnsi="Arial"/>
                <w:sz w:val="18"/>
                <w:szCs w:val="18"/>
                <w:b w:val="1"/>
                <w:bCs w:val="1"/>
                <w:color w:val="auto"/>
              </w:rPr>
              <w:t>6.6</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552"/>
              <w:spacing w:after="0"/>
              <w:rPr>
                <w:sz w:val="20"/>
                <w:szCs w:val="20"/>
                <w:color w:val="auto"/>
              </w:rPr>
            </w:pPr>
            <w:r>
              <w:rPr>
                <w:rFonts w:ascii="Arial" w:cs="Arial" w:eastAsia="Arial" w:hAnsi="Arial"/>
                <w:sz w:val="18"/>
                <w:szCs w:val="18"/>
                <w:b w:val="1"/>
                <w:bCs w:val="1"/>
                <w:color w:val="auto"/>
              </w:rPr>
              <w:t>1.1</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b w:val="1"/>
                <w:bCs w:val="1"/>
                <w:color w:val="auto"/>
              </w:rPr>
              <w:t>1.1</w:t>
            </w:r>
          </w:p>
        </w:tc>
        <w:tc>
          <w:tcPr>
            <w:tcW w:w="20" w:type="dxa"/>
            <w:vAlign w:val="bottom"/>
          </w:tcPr>
          <w:p>
            <w:pPr>
              <w:spacing w:after="0"/>
              <w:rPr>
                <w:sz w:val="24"/>
                <w:szCs w:val="24"/>
                <w:color w:val="auto"/>
              </w:rPr>
            </w:pPr>
          </w:p>
        </w:tc>
      </w:tr>
      <w:tr>
        <w:trPr>
          <w:trHeight w:val="134"/>
        </w:trPr>
        <w:tc>
          <w:tcPr>
            <w:tcW w:w="418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2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-2284730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-2284730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-2284730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-2284730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-2284730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-2284730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-2284730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-2284730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-2284730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-2284730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-2284730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-2284730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-2284730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-2284730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-2284730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Effective June 1, 2009, the Company modified the U.S. Pension Plan, such that no further benefits will accrue to employees under the plan. Accordingly, the Company recognized a curtailment loss of $0.5 associated with this action in fiscal 2009. This action was taken by the Company as a cost reduction measure. As the majority of plan participants are no longer active participants, the Company has determined that actuarial losses, previously recognized as a component of Other Comprehensive Income, should now be amortized over the remaining expected lives of participants, rather than the remaining expected service period.</w:t>
      </w:r>
    </w:p>
    <w:p>
      <w:pPr>
        <w:spacing w:after="0" w:line="152"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Effective June 1, 2009, the Company modified the terms of the Post-Retirement Benefits, effectively excluding a large percentage of current employees from the plan. Under the plan amendments, only employees with 10 or more years of service to the Company and whose age plus service is at least 65 as of June 1, 2009 will be eligible to receive post-retirement benefits upon retirement. Accordingly, the Company recognized a $3.0 curtailment gain associated with this action in fiscal 2009, resulting from recognition of an unamortized prior service credit. This action was taken by the Company as a cost reduction measure.</w:t>
      </w:r>
    </w:p>
    <w:p>
      <w:pPr>
        <w:spacing w:after="0" w:line="16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Company’s funding practice with respect to the Pension Plans is to contribute on an annual basis at least the minimum amounts required by applicable laws. For the nine months ended February 28, 2010, the Company contributed $7.2 to the U.S. Pension Plan, $0.4 to the UK Pension Plan and $0.7 to the Canadian Pension Plan. The Company expects, based on actuarial calculations, to contribute cash of approximately $10.8 in the aggregate to the U.S. Pension Plan, the UK Pension Plan and the Canadian Pension Plan for the fiscal year ending May 31, 2010.</w:t>
      </w:r>
    </w:p>
    <w:p>
      <w:pPr>
        <w:sectPr>
          <w:pgSz w:w="11900" w:h="16838" w:orient="portrait"/>
          <w:cols w:equalWidth="0" w:num="1">
            <w:col w:w="11460"/>
          </w:cols>
          <w:pgMar w:left="240" w:top="382" w:right="199" w:bottom="1440" w:gutter="0" w:footer="0" w:header="0"/>
        </w:sectPr>
      </w:pP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382" w:right="19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Payments</w:t>
      </w:r>
    </w:p>
    <w:p>
      <w:pPr>
        <w:spacing w:after="0" w:line="231"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The Company provides for equity-based incentives to be awarded to key employees and non-employee directors. These incentives are administered through various plans, and currently consist of stock options and restricted stock units. The Company also provides a management and an employee stock purchase plan. The following table summarizes compensation expense for share-based awards included in Selling, general and administrative expenses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40" w:type="dxa"/>
            <w:vAlign w:val="bottom"/>
          </w:tcPr>
          <w:p>
            <w:pPr>
              <w:spacing w:after="0"/>
              <w:rPr>
                <w:sz w:val="19"/>
                <w:szCs w:val="19"/>
                <w:color w:val="auto"/>
              </w:rPr>
            </w:pPr>
          </w:p>
        </w:tc>
        <w:tc>
          <w:tcPr>
            <w:tcW w:w="4440" w:type="dxa"/>
            <w:vAlign w:val="bottom"/>
            <w:gridSpan w:val="4"/>
          </w:tcPr>
          <w:p>
            <w:pPr>
              <w:jc w:val="right"/>
              <w:ind w:right="272"/>
              <w:spacing w:after="0"/>
              <w:rPr>
                <w:sz w:val="20"/>
                <w:szCs w:val="20"/>
                <w:color w:val="auto"/>
              </w:rPr>
            </w:pPr>
            <w:r>
              <w:rPr>
                <w:rFonts w:ascii="Arial" w:cs="Arial" w:eastAsia="Arial" w:hAnsi="Arial"/>
                <w:sz w:val="18"/>
                <w:szCs w:val="18"/>
                <w:b w:val="1"/>
                <w:bCs w:val="1"/>
                <w:i w:val="1"/>
                <w:iCs w:val="1"/>
                <w:color w:val="auto"/>
              </w:rPr>
              <w:t>Three months ended February 28,</w:t>
            </w:r>
          </w:p>
        </w:tc>
        <w:tc>
          <w:tcPr>
            <w:tcW w:w="400" w:type="dxa"/>
            <w:vAlign w:val="bottom"/>
          </w:tcPr>
          <w:p>
            <w:pPr>
              <w:spacing w:after="0"/>
              <w:rPr>
                <w:sz w:val="19"/>
                <w:szCs w:val="19"/>
                <w:color w:val="auto"/>
              </w:rPr>
            </w:pPr>
          </w:p>
        </w:tc>
        <w:tc>
          <w:tcPr>
            <w:tcW w:w="2660" w:type="dxa"/>
            <w:vAlign w:val="bottom"/>
            <w:gridSpan w:val="3"/>
          </w:tcPr>
          <w:p>
            <w:pPr>
              <w:jc w:val="right"/>
              <w:ind w:right="172"/>
              <w:spacing w:after="0"/>
              <w:rPr>
                <w:sz w:val="20"/>
                <w:szCs w:val="20"/>
                <w:color w:val="auto"/>
              </w:rPr>
            </w:pPr>
            <w:r>
              <w:rPr>
                <w:rFonts w:ascii="Arial" w:cs="Arial" w:eastAsia="Arial" w:hAnsi="Arial"/>
                <w:sz w:val="18"/>
                <w:szCs w:val="18"/>
                <w:b w:val="1"/>
                <w:bCs w:val="1"/>
                <w:i w:val="1"/>
                <w:iCs w:val="1"/>
                <w:color w:val="auto"/>
                <w:w w:val="85"/>
              </w:rPr>
              <w:t>Nine months ended February 28,</w:t>
            </w:r>
          </w:p>
        </w:tc>
        <w:tc>
          <w:tcPr>
            <w:tcW w:w="20" w:type="dxa"/>
            <w:vAlign w:val="bottom"/>
          </w:tcPr>
          <w:p>
            <w:pPr>
              <w:spacing w:after="0"/>
              <w:rPr>
                <w:sz w:val="19"/>
                <w:szCs w:val="19"/>
                <w:color w:val="auto"/>
              </w:rPr>
            </w:pPr>
          </w:p>
        </w:tc>
      </w:tr>
      <w:tr>
        <w:trPr>
          <w:trHeight w:val="110"/>
        </w:trPr>
        <w:tc>
          <w:tcPr>
            <w:tcW w:w="39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3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60" w:type="dxa"/>
            <w:vAlign w:val="bottom"/>
          </w:tcPr>
          <w:p>
            <w:pPr>
              <w:jc w:val="right"/>
              <w:ind w:right="672"/>
              <w:spacing w:after="0"/>
              <w:rPr>
                <w:sz w:val="20"/>
                <w:szCs w:val="20"/>
                <w:color w:val="auto"/>
              </w:rPr>
            </w:pPr>
            <w:r>
              <w:rPr>
                <w:rFonts w:ascii="Arial" w:cs="Arial" w:eastAsia="Arial" w:hAnsi="Arial"/>
                <w:sz w:val="18"/>
                <w:szCs w:val="18"/>
                <w:b w:val="1"/>
                <w:bCs w:val="1"/>
                <w:color w:val="auto"/>
                <w:w w:val="94"/>
              </w:rPr>
              <w:t>2010</w:t>
            </w:r>
          </w:p>
        </w:tc>
        <w:tc>
          <w:tcPr>
            <w:tcW w:w="740" w:type="dxa"/>
            <w:vAlign w:val="bottom"/>
          </w:tcPr>
          <w:p>
            <w:pPr>
              <w:spacing w:after="0"/>
              <w:rPr>
                <w:sz w:val="24"/>
                <w:szCs w:val="24"/>
                <w:color w:val="auto"/>
              </w:rPr>
            </w:pPr>
          </w:p>
        </w:tc>
        <w:tc>
          <w:tcPr>
            <w:tcW w:w="860" w:type="dxa"/>
            <w:vAlign w:val="bottom"/>
          </w:tcPr>
          <w:p>
            <w:pPr>
              <w:jc w:val="right"/>
              <w:ind w:right="392"/>
              <w:spacing w:after="0"/>
              <w:rPr>
                <w:sz w:val="20"/>
                <w:szCs w:val="20"/>
                <w:color w:val="auto"/>
              </w:rPr>
            </w:pPr>
            <w:r>
              <w:rPr>
                <w:rFonts w:ascii="Arial" w:cs="Arial" w:eastAsia="Arial" w:hAnsi="Arial"/>
                <w:sz w:val="18"/>
                <w:szCs w:val="18"/>
                <w:b w:val="1"/>
                <w:bCs w:val="1"/>
                <w:color w:val="auto"/>
                <w:w w:val="89"/>
              </w:rPr>
              <w:t>2009</w:t>
            </w:r>
          </w:p>
        </w:tc>
        <w:tc>
          <w:tcPr>
            <w:tcW w:w="40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b w:val="1"/>
                <w:bCs w:val="1"/>
                <w:color w:val="auto"/>
                <w:w w:val="99"/>
              </w:rPr>
              <w:t>2010</w:t>
            </w:r>
          </w:p>
        </w:tc>
        <w:tc>
          <w:tcPr>
            <w:tcW w:w="1320" w:type="dxa"/>
            <w:vAlign w:val="bottom"/>
          </w:tcPr>
          <w:p>
            <w:pPr>
              <w:spacing w:after="0"/>
              <w:rPr>
                <w:sz w:val="24"/>
                <w:szCs w:val="24"/>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b w:val="1"/>
                <w:bCs w:val="1"/>
                <w:color w:val="auto"/>
                <w:w w:val="94"/>
              </w:rPr>
              <w:t>2009</w:t>
            </w:r>
          </w:p>
        </w:tc>
        <w:tc>
          <w:tcPr>
            <w:tcW w:w="20" w:type="dxa"/>
            <w:vAlign w:val="bottom"/>
          </w:tcPr>
          <w:p>
            <w:pPr>
              <w:spacing w:after="0"/>
              <w:rPr>
                <w:sz w:val="24"/>
                <w:szCs w:val="24"/>
                <w:color w:val="auto"/>
              </w:rPr>
            </w:pPr>
          </w:p>
        </w:tc>
      </w:tr>
      <w:tr>
        <w:trPr>
          <w:trHeight w:val="110"/>
        </w:trPr>
        <w:tc>
          <w:tcPr>
            <w:tcW w:w="39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3940" w:type="dxa"/>
            <w:vAlign w:val="bottom"/>
          </w:tcPr>
          <w:p>
            <w:pPr>
              <w:spacing w:after="0"/>
              <w:rPr>
                <w:sz w:val="20"/>
                <w:szCs w:val="20"/>
                <w:color w:val="auto"/>
              </w:rPr>
            </w:pPr>
            <w:r>
              <w:rPr>
                <w:rFonts w:ascii="Arial" w:cs="Arial" w:eastAsia="Arial" w:hAnsi="Arial"/>
                <w:sz w:val="18"/>
                <w:szCs w:val="18"/>
                <w:color w:val="auto"/>
              </w:rPr>
              <w:t>Stock option expense</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92"/>
              <w:spacing w:after="0"/>
              <w:rPr>
                <w:sz w:val="20"/>
                <w:szCs w:val="20"/>
                <w:color w:val="auto"/>
              </w:rPr>
            </w:pPr>
            <w:r>
              <w:rPr>
                <w:rFonts w:ascii="Arial" w:cs="Arial" w:eastAsia="Arial" w:hAnsi="Arial"/>
                <w:sz w:val="18"/>
                <w:szCs w:val="18"/>
                <w:color w:val="auto"/>
              </w:rPr>
              <w:t>1.7</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1.5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4"/>
                <w:szCs w:val="24"/>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Restricted stock unit expense</w:t>
            </w:r>
          </w:p>
        </w:tc>
        <w:tc>
          <w:tcPr>
            <w:tcW w:w="1680" w:type="dxa"/>
            <w:vAlign w:val="bottom"/>
          </w:tcPr>
          <w:p>
            <w:pPr>
              <w:spacing w:after="0"/>
              <w:rPr>
                <w:sz w:val="18"/>
                <w:szCs w:val="18"/>
                <w:color w:val="auto"/>
              </w:rPr>
            </w:pPr>
          </w:p>
        </w:tc>
        <w:tc>
          <w:tcPr>
            <w:tcW w:w="1160" w:type="dxa"/>
            <w:vAlign w:val="bottom"/>
          </w:tcPr>
          <w:p>
            <w:pPr>
              <w:jc w:val="right"/>
              <w:ind w:right="492"/>
              <w:spacing w:after="0"/>
              <w:rPr>
                <w:sz w:val="20"/>
                <w:szCs w:val="20"/>
                <w:color w:val="auto"/>
              </w:rPr>
            </w:pPr>
            <w:r>
              <w:rPr>
                <w:rFonts w:ascii="Arial" w:cs="Arial" w:eastAsia="Arial" w:hAnsi="Arial"/>
                <w:sz w:val="18"/>
                <w:szCs w:val="18"/>
                <w:color w:val="auto"/>
              </w:rPr>
              <w:t>0.9</w:t>
            </w:r>
          </w:p>
        </w:tc>
        <w:tc>
          <w:tcPr>
            <w:tcW w:w="740" w:type="dxa"/>
            <w:vAlign w:val="bottom"/>
          </w:tcPr>
          <w:p>
            <w:pPr>
              <w:spacing w:after="0"/>
              <w:rPr>
                <w:sz w:val="18"/>
                <w:szCs w:val="18"/>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132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Management stock purchase plan</w:t>
            </w:r>
          </w:p>
        </w:tc>
        <w:tc>
          <w:tcPr>
            <w:tcW w:w="1680" w:type="dxa"/>
            <w:vAlign w:val="bottom"/>
          </w:tcPr>
          <w:p>
            <w:pPr>
              <w:spacing w:after="0"/>
              <w:rPr>
                <w:sz w:val="18"/>
                <w:szCs w:val="18"/>
                <w:color w:val="auto"/>
              </w:rPr>
            </w:pPr>
          </w:p>
        </w:tc>
        <w:tc>
          <w:tcPr>
            <w:tcW w:w="116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c>
          <w:tcPr>
            <w:tcW w:w="132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680" w:type="dxa"/>
            <w:vAlign w:val="bottom"/>
          </w:tcPr>
          <w:p>
            <w:pPr>
              <w:spacing w:after="0"/>
              <w:rPr>
                <w:sz w:val="19"/>
                <w:szCs w:val="19"/>
                <w:color w:val="auto"/>
              </w:rPr>
            </w:pPr>
          </w:p>
        </w:tc>
        <w:tc>
          <w:tcPr>
            <w:tcW w:w="1160" w:type="dxa"/>
            <w:vAlign w:val="bottom"/>
          </w:tcPr>
          <w:p>
            <w:pPr>
              <w:jc w:val="right"/>
              <w:ind w:right="492"/>
              <w:spacing w:after="0"/>
              <w:rPr>
                <w:sz w:val="20"/>
                <w:szCs w:val="20"/>
                <w:color w:val="auto"/>
              </w:rPr>
            </w:pPr>
            <w:r>
              <w:rPr>
                <w:rFonts w:ascii="Arial" w:cs="Arial" w:eastAsia="Arial" w:hAnsi="Arial"/>
                <w:sz w:val="18"/>
                <w:szCs w:val="18"/>
                <w:color w:val="auto"/>
              </w:rPr>
              <w:t>0.1</w:t>
            </w:r>
          </w:p>
        </w:tc>
        <w:tc>
          <w:tcPr>
            <w:tcW w:w="740" w:type="dxa"/>
            <w:vAlign w:val="bottom"/>
          </w:tcPr>
          <w:p>
            <w:pPr>
              <w:spacing w:after="0"/>
              <w:rPr>
                <w:sz w:val="19"/>
                <w:szCs w:val="19"/>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1320" w:type="dxa"/>
            <w:vAlign w:val="bottom"/>
          </w:tcPr>
          <w:p>
            <w:pPr>
              <w:spacing w:after="0"/>
              <w:rPr>
                <w:sz w:val="19"/>
                <w:szCs w:val="19"/>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r>
      <w:tr>
        <w:trPr>
          <w:trHeight w:val="110"/>
        </w:trPr>
        <w:tc>
          <w:tcPr>
            <w:tcW w:w="39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3940" w:type="dxa"/>
            <w:vAlign w:val="bottom"/>
          </w:tcPr>
          <w:p>
            <w:pPr>
              <w:spacing w:after="0"/>
              <w:rPr>
                <w:sz w:val="20"/>
                <w:szCs w:val="20"/>
                <w:color w:val="auto"/>
              </w:rPr>
            </w:pPr>
            <w:r>
              <w:rPr>
                <w:rFonts w:ascii="Arial" w:cs="Arial" w:eastAsia="Arial" w:hAnsi="Arial"/>
                <w:sz w:val="18"/>
                <w:szCs w:val="18"/>
                <w:b w:val="1"/>
                <w:bCs w:val="1"/>
                <w:color w:val="auto"/>
              </w:rPr>
              <w:t>Total stock-based compensation</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492"/>
              <w:spacing w:after="0"/>
              <w:rPr>
                <w:sz w:val="20"/>
                <w:szCs w:val="20"/>
                <w:color w:val="auto"/>
              </w:rPr>
            </w:pPr>
            <w:r>
              <w:rPr>
                <w:rFonts w:ascii="Arial" w:cs="Arial" w:eastAsia="Arial" w:hAnsi="Arial"/>
                <w:sz w:val="18"/>
                <w:szCs w:val="18"/>
                <w:b w:val="1"/>
                <w:bCs w:val="1"/>
                <w:color w:val="auto"/>
              </w:rPr>
              <w:t>2.7</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212"/>
              <w:spacing w:after="0"/>
              <w:rPr>
                <w:sz w:val="20"/>
                <w:szCs w:val="20"/>
                <w:color w:val="auto"/>
              </w:rPr>
            </w:pPr>
            <w:r>
              <w:rPr>
                <w:rFonts w:ascii="Arial" w:cs="Arial" w:eastAsia="Arial" w:hAnsi="Arial"/>
                <w:sz w:val="18"/>
                <w:szCs w:val="18"/>
                <w:b w:val="1"/>
                <w:bCs w:val="1"/>
                <w:color w:val="auto"/>
              </w:rPr>
              <w:t>2.6</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b w:val="1"/>
                <w:bCs w:val="1"/>
                <w:color w:val="auto"/>
              </w:rPr>
              <w:t>9.4</w:t>
            </w:r>
          </w:p>
        </w:tc>
        <w:tc>
          <w:tcPr>
            <w:tcW w:w="20" w:type="dxa"/>
            <w:vAlign w:val="bottom"/>
          </w:tcPr>
          <w:p>
            <w:pPr>
              <w:spacing w:after="0"/>
              <w:rPr>
                <w:sz w:val="24"/>
                <w:szCs w:val="24"/>
                <w:color w:val="auto"/>
              </w:rPr>
            </w:pPr>
          </w:p>
        </w:tc>
      </w:tr>
      <w:tr>
        <w:trPr>
          <w:trHeight w:val="134"/>
        </w:trPr>
        <w:tc>
          <w:tcPr>
            <w:tcW w:w="3940" w:type="dxa"/>
            <w:vAlign w:val="bottom"/>
            <w:tcBorders>
              <w:bottom w:val="single" w:sz="8" w:color="808080"/>
            </w:tcBorders>
          </w:tcPr>
          <w:p>
            <w:pPr>
              <w:spacing w:after="0"/>
              <w:rPr>
                <w:sz w:val="11"/>
                <w:szCs w:val="11"/>
                <w:color w:val="auto"/>
              </w:rPr>
            </w:pPr>
          </w:p>
        </w:tc>
        <w:tc>
          <w:tcPr>
            <w:tcW w:w="168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During each of the nine months ended February 28, 2010 and 2009, shares of Common Stock issued by the Corporation pursuant to its stock-based compensation plans were not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Accrued Severance</w:t>
      </w:r>
    </w:p>
    <w:p>
      <w:pPr>
        <w:spacing w:after="0" w:line="231"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 xml:space="preserve">In the second quarter of fiscal 2010, the Company initiated restructuring activities in the United Kingdom operations within the Company’s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 For the nine months ended February 28, 2010, the Company recorded severance expense of $1.3 related to this initiative.</w:t>
      </w:r>
    </w:p>
    <w:p>
      <w:pPr>
        <w:spacing w:after="0" w:line="13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table below provides information regarding severance costs appearing on the Company’s Condensed Consolidated Statements of Operations associated with its cost reduction measures. Accrued severance of $1.9 as of February 28, 2010 is included in Other accrued expenses on the Company’s Condensed Consolidated Balance Sheets.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900" w:type="dxa"/>
            <w:vAlign w:val="bottom"/>
            <w:gridSpan w:val="2"/>
          </w:tcPr>
          <w:p>
            <w:pPr>
              <w:jc w:val="right"/>
              <w:ind w:right="292"/>
              <w:spacing w:after="0"/>
              <w:rPr>
                <w:sz w:val="20"/>
                <w:szCs w:val="20"/>
                <w:color w:val="auto"/>
              </w:rPr>
            </w:pPr>
            <w:r>
              <w:rPr>
                <w:rFonts w:ascii="Arial" w:cs="Arial" w:eastAsia="Arial" w:hAnsi="Arial"/>
                <w:sz w:val="18"/>
                <w:szCs w:val="18"/>
                <w:b w:val="1"/>
                <w:bCs w:val="1"/>
                <w:i w:val="1"/>
                <w:iCs w:val="1"/>
                <w:color w:val="auto"/>
                <w:w w:val="89"/>
              </w:rPr>
              <w:t>Nine months ended</w:t>
            </w:r>
          </w:p>
        </w:tc>
        <w:tc>
          <w:tcPr>
            <w:tcW w:w="2080" w:type="dxa"/>
            <w:vAlign w:val="bottom"/>
            <w:gridSpan w:val="2"/>
          </w:tcPr>
          <w:p>
            <w:pPr>
              <w:jc w:val="right"/>
              <w:ind w:right="292"/>
              <w:spacing w:after="0"/>
              <w:rPr>
                <w:sz w:val="20"/>
                <w:szCs w:val="20"/>
                <w:color w:val="auto"/>
              </w:rPr>
            </w:pPr>
            <w:r>
              <w:rPr>
                <w:rFonts w:ascii="Arial" w:cs="Arial" w:eastAsia="Arial" w:hAnsi="Arial"/>
                <w:sz w:val="18"/>
                <w:szCs w:val="18"/>
                <w:b w:val="1"/>
                <w:bCs w:val="1"/>
                <w:i w:val="1"/>
                <w:iCs w:val="1"/>
                <w:color w:val="auto"/>
                <w:w w:val="89"/>
              </w:rPr>
              <w:t>Twelve months ended</w:t>
            </w:r>
          </w:p>
        </w:tc>
        <w:tc>
          <w:tcPr>
            <w:tcW w:w="2080" w:type="dxa"/>
            <w:vAlign w:val="bottom"/>
            <w:gridSpan w:val="2"/>
          </w:tcPr>
          <w:p>
            <w:pPr>
              <w:jc w:val="right"/>
              <w:ind w:right="192"/>
              <w:spacing w:after="0"/>
              <w:rPr>
                <w:sz w:val="20"/>
                <w:szCs w:val="20"/>
                <w:color w:val="auto"/>
              </w:rPr>
            </w:pPr>
            <w:r>
              <w:rPr>
                <w:rFonts w:ascii="Arial" w:cs="Arial" w:eastAsia="Arial" w:hAnsi="Arial"/>
                <w:sz w:val="18"/>
                <w:szCs w:val="18"/>
                <w:b w:val="1"/>
                <w:bCs w:val="1"/>
                <w:i w:val="1"/>
                <w:iCs w:val="1"/>
                <w:color w:val="auto"/>
              </w:rPr>
              <w:t>Nine months ended</w:t>
            </w:r>
          </w:p>
        </w:tc>
      </w:tr>
      <w:tr>
        <w:trPr>
          <w:trHeight w:val="222"/>
        </w:trPr>
        <w:tc>
          <w:tcPr>
            <w:tcW w:w="3100" w:type="dxa"/>
            <w:vAlign w:val="bottom"/>
          </w:tcPr>
          <w:p>
            <w:pPr>
              <w:spacing w:after="0"/>
              <w:rPr>
                <w:sz w:val="19"/>
                <w:szCs w:val="19"/>
                <w:color w:val="auto"/>
              </w:rPr>
            </w:pPr>
          </w:p>
        </w:tc>
        <w:tc>
          <w:tcPr>
            <w:tcW w:w="1900" w:type="dxa"/>
            <w:vAlign w:val="bottom"/>
            <w:gridSpan w:val="2"/>
          </w:tcPr>
          <w:p>
            <w:pPr>
              <w:jc w:val="right"/>
              <w:ind w:right="332"/>
              <w:spacing w:after="0"/>
              <w:rPr>
                <w:sz w:val="20"/>
                <w:szCs w:val="20"/>
                <w:color w:val="auto"/>
              </w:rPr>
            </w:pPr>
            <w:r>
              <w:rPr>
                <w:rFonts w:ascii="Arial" w:cs="Arial" w:eastAsia="Arial" w:hAnsi="Arial"/>
                <w:sz w:val="18"/>
                <w:szCs w:val="18"/>
                <w:b w:val="1"/>
                <w:bCs w:val="1"/>
                <w:i w:val="1"/>
                <w:iCs w:val="1"/>
                <w:color w:val="auto"/>
                <w:w w:val="95"/>
              </w:rPr>
              <w:t>February 28, 2010</w:t>
            </w:r>
          </w:p>
        </w:tc>
        <w:tc>
          <w:tcPr>
            <w:tcW w:w="2080" w:type="dxa"/>
            <w:vAlign w:val="bottom"/>
            <w:gridSpan w:val="2"/>
          </w:tcPr>
          <w:p>
            <w:pPr>
              <w:jc w:val="right"/>
              <w:ind w:right="592"/>
              <w:spacing w:after="0"/>
              <w:rPr>
                <w:sz w:val="20"/>
                <w:szCs w:val="20"/>
                <w:color w:val="auto"/>
              </w:rPr>
            </w:pPr>
            <w:r>
              <w:rPr>
                <w:rFonts w:ascii="Arial" w:cs="Arial" w:eastAsia="Arial" w:hAnsi="Arial"/>
                <w:sz w:val="18"/>
                <w:szCs w:val="18"/>
                <w:b w:val="1"/>
                <w:bCs w:val="1"/>
                <w:i w:val="1"/>
                <w:iCs w:val="1"/>
                <w:color w:val="auto"/>
              </w:rPr>
              <w:t>May 31, 2009</w:t>
            </w:r>
          </w:p>
        </w:tc>
        <w:tc>
          <w:tcPr>
            <w:tcW w:w="2080" w:type="dxa"/>
            <w:vAlign w:val="bottom"/>
            <w:gridSpan w:val="2"/>
          </w:tcPr>
          <w:p>
            <w:pPr>
              <w:jc w:val="right"/>
              <w:ind w:right="232"/>
              <w:spacing w:after="0"/>
              <w:rPr>
                <w:sz w:val="20"/>
                <w:szCs w:val="20"/>
                <w:color w:val="auto"/>
              </w:rPr>
            </w:pPr>
            <w:r>
              <w:rPr>
                <w:rFonts w:ascii="Arial" w:cs="Arial" w:eastAsia="Arial" w:hAnsi="Arial"/>
                <w:sz w:val="18"/>
                <w:szCs w:val="18"/>
                <w:b w:val="1"/>
                <w:bCs w:val="1"/>
                <w:i w:val="1"/>
                <w:iCs w:val="1"/>
                <w:color w:val="auto"/>
              </w:rPr>
              <w:t>February 28, 2009</w:t>
            </w:r>
          </w:p>
        </w:tc>
      </w:tr>
      <w:tr>
        <w:trPr>
          <w:trHeight w:val="110"/>
        </w:trPr>
        <w:tc>
          <w:tcPr>
            <w:tcW w:w="3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730" w:type="dxa"/>
            <w:vAlign w:val="bottom"/>
            <w:tcBorders>
              <w:bottom w:val="single" w:sz="8" w:color="808080"/>
            </w:tcBorders>
          </w:tcPr>
          <w:p>
            <w:pPr>
              <w:spacing w:after="0"/>
              <w:rPr>
                <w:sz w:val="9"/>
                <w:szCs w:val="9"/>
                <w:color w:val="auto"/>
              </w:rPr>
            </w:pPr>
          </w:p>
        </w:tc>
        <w:tc>
          <w:tcPr>
            <w:tcW w:w="135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309"/>
        </w:trPr>
        <w:tc>
          <w:tcPr>
            <w:tcW w:w="3100" w:type="dxa"/>
            <w:vAlign w:val="bottom"/>
          </w:tcPr>
          <w:p>
            <w:pPr>
              <w:spacing w:after="0"/>
              <w:rPr>
                <w:sz w:val="20"/>
                <w:szCs w:val="20"/>
                <w:color w:val="auto"/>
              </w:rPr>
            </w:pPr>
            <w:r>
              <w:rPr>
                <w:rFonts w:ascii="Arial" w:cs="Arial" w:eastAsia="Arial" w:hAnsi="Arial"/>
                <w:sz w:val="18"/>
                <w:szCs w:val="18"/>
                <w:color w:val="auto"/>
              </w:rPr>
              <w:t>Beginning balance</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52"/>
              <w:spacing w:after="0"/>
              <w:rPr>
                <w:sz w:val="20"/>
                <w:szCs w:val="20"/>
                <w:color w:val="auto"/>
              </w:rPr>
            </w:pPr>
            <w:r>
              <w:rPr>
                <w:rFonts w:ascii="Arial" w:cs="Arial" w:eastAsia="Arial" w:hAnsi="Arial"/>
                <w:sz w:val="18"/>
                <w:szCs w:val="18"/>
                <w:color w:val="auto"/>
              </w:rPr>
              <w:t>3.4</w:t>
            </w:r>
          </w:p>
        </w:tc>
        <w:tc>
          <w:tcPr>
            <w:tcW w:w="730" w:type="dxa"/>
            <w:vAlign w:val="bottom"/>
          </w:tcPr>
          <w:p>
            <w:pPr>
              <w:jc w:val="right"/>
              <w:spacing w:after="0"/>
              <w:rPr>
                <w:sz w:val="20"/>
                <w:szCs w:val="20"/>
                <w:color w:val="auto"/>
              </w:rPr>
            </w:pPr>
            <w:r>
              <w:rPr>
                <w:rFonts w:ascii="Arial" w:cs="Arial" w:eastAsia="Arial" w:hAnsi="Arial"/>
                <w:sz w:val="18"/>
                <w:szCs w:val="18"/>
                <w:color w:val="auto"/>
              </w:rPr>
              <w:t>$</w:t>
            </w:r>
          </w:p>
        </w:tc>
        <w:tc>
          <w:tcPr>
            <w:tcW w:w="1350" w:type="dxa"/>
            <w:vAlign w:val="bottom"/>
          </w:tcPr>
          <w:p>
            <w:pPr>
              <w:jc w:val="right"/>
              <w:ind w:right="772"/>
              <w:spacing w:after="0"/>
              <w:rPr>
                <w:sz w:val="20"/>
                <w:szCs w:val="20"/>
                <w:color w:val="auto"/>
              </w:rPr>
            </w:pPr>
            <w:r>
              <w:rPr>
                <w:rFonts w:ascii="Arial" w:cs="Arial" w:eastAsia="Arial" w:hAnsi="Arial"/>
                <w:sz w:val="18"/>
                <w:szCs w:val="18"/>
                <w:color w:val="auto"/>
              </w:rPr>
              <w:t>0.4</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72"/>
              <w:spacing w:after="0"/>
              <w:rPr>
                <w:sz w:val="20"/>
                <w:szCs w:val="20"/>
                <w:color w:val="auto"/>
              </w:rPr>
            </w:pPr>
            <w:r>
              <w:rPr>
                <w:rFonts w:ascii="Arial" w:cs="Arial" w:eastAsia="Arial" w:hAnsi="Arial"/>
                <w:sz w:val="18"/>
                <w:szCs w:val="18"/>
                <w:color w:val="auto"/>
              </w:rPr>
              <w:t>0.4</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Accruals</w:t>
            </w:r>
          </w:p>
        </w:tc>
        <w:tc>
          <w:tcPr>
            <w:tcW w:w="700" w:type="dxa"/>
            <w:vAlign w:val="bottom"/>
          </w:tcPr>
          <w:p>
            <w:pPr>
              <w:spacing w:after="0"/>
              <w:rPr>
                <w:sz w:val="18"/>
                <w:szCs w:val="18"/>
                <w:color w:val="auto"/>
              </w:rPr>
            </w:pPr>
          </w:p>
        </w:tc>
        <w:tc>
          <w:tcPr>
            <w:tcW w:w="1200" w:type="dxa"/>
            <w:vAlign w:val="bottom"/>
          </w:tcPr>
          <w:p>
            <w:pPr>
              <w:jc w:val="right"/>
              <w:ind w:right="752"/>
              <w:spacing w:after="0"/>
              <w:rPr>
                <w:sz w:val="20"/>
                <w:szCs w:val="20"/>
                <w:color w:val="auto"/>
              </w:rPr>
            </w:pPr>
            <w:r>
              <w:rPr>
                <w:rFonts w:ascii="Arial" w:cs="Arial" w:eastAsia="Arial" w:hAnsi="Arial"/>
                <w:sz w:val="18"/>
                <w:szCs w:val="18"/>
                <w:color w:val="auto"/>
              </w:rPr>
              <w:t>7.3</w:t>
            </w:r>
          </w:p>
        </w:tc>
        <w:tc>
          <w:tcPr>
            <w:tcW w:w="730" w:type="dxa"/>
            <w:vAlign w:val="bottom"/>
          </w:tcPr>
          <w:p>
            <w:pPr>
              <w:spacing w:after="0"/>
              <w:rPr>
                <w:sz w:val="18"/>
                <w:szCs w:val="18"/>
                <w:color w:val="auto"/>
              </w:rPr>
            </w:pPr>
          </w:p>
        </w:tc>
        <w:tc>
          <w:tcPr>
            <w:tcW w:w="1350" w:type="dxa"/>
            <w:vAlign w:val="bottom"/>
          </w:tcPr>
          <w:p>
            <w:pPr>
              <w:jc w:val="right"/>
              <w:ind w:right="772"/>
              <w:spacing w:after="0"/>
              <w:rPr>
                <w:sz w:val="20"/>
                <w:szCs w:val="20"/>
                <w:color w:val="auto"/>
              </w:rPr>
            </w:pPr>
            <w:r>
              <w:rPr>
                <w:rFonts w:ascii="Arial" w:cs="Arial" w:eastAsia="Arial" w:hAnsi="Arial"/>
                <w:sz w:val="18"/>
                <w:szCs w:val="18"/>
                <w:color w:val="auto"/>
              </w:rPr>
              <w:t>23.9</w:t>
            </w:r>
          </w:p>
        </w:tc>
        <w:tc>
          <w:tcPr>
            <w:tcW w:w="1020" w:type="dxa"/>
            <w:vAlign w:val="bottom"/>
          </w:tcPr>
          <w:p>
            <w:pPr>
              <w:spacing w:after="0"/>
              <w:rPr>
                <w:sz w:val="18"/>
                <w:szCs w:val="18"/>
                <w:color w:val="auto"/>
              </w:rPr>
            </w:pPr>
          </w:p>
        </w:tc>
        <w:tc>
          <w:tcPr>
            <w:tcW w:w="1060" w:type="dxa"/>
            <w:vAlign w:val="bottom"/>
          </w:tcPr>
          <w:p>
            <w:pPr>
              <w:jc w:val="right"/>
              <w:ind w:right="472"/>
              <w:spacing w:after="0"/>
              <w:rPr>
                <w:sz w:val="20"/>
                <w:szCs w:val="20"/>
                <w:color w:val="auto"/>
              </w:rPr>
            </w:pPr>
            <w:r>
              <w:rPr>
                <w:rFonts w:ascii="Arial" w:cs="Arial" w:eastAsia="Arial" w:hAnsi="Arial"/>
                <w:sz w:val="18"/>
                <w:szCs w:val="18"/>
                <w:color w:val="auto"/>
              </w:rPr>
              <w:t>20.4</w:t>
            </w:r>
          </w:p>
        </w:tc>
      </w:tr>
      <w:tr>
        <w:trPr>
          <w:trHeight w:val="222"/>
        </w:trPr>
        <w:tc>
          <w:tcPr>
            <w:tcW w:w="3100" w:type="dxa"/>
            <w:vAlign w:val="bottom"/>
          </w:tcPr>
          <w:p>
            <w:pPr>
              <w:spacing w:after="0"/>
              <w:rPr>
                <w:sz w:val="20"/>
                <w:szCs w:val="20"/>
                <w:color w:val="auto"/>
              </w:rPr>
            </w:pPr>
            <w:r>
              <w:rPr>
                <w:rFonts w:ascii="Arial" w:cs="Arial" w:eastAsia="Arial" w:hAnsi="Arial"/>
                <w:sz w:val="18"/>
                <w:szCs w:val="18"/>
                <w:color w:val="auto"/>
              </w:rPr>
              <w:t>Payments</w:t>
            </w:r>
          </w:p>
        </w:tc>
        <w:tc>
          <w:tcPr>
            <w:tcW w:w="700" w:type="dxa"/>
            <w:vAlign w:val="bottom"/>
          </w:tcPr>
          <w:p>
            <w:pPr>
              <w:spacing w:after="0"/>
              <w:rPr>
                <w:sz w:val="19"/>
                <w:szCs w:val="19"/>
                <w:color w:val="auto"/>
              </w:rPr>
            </w:pPr>
          </w:p>
        </w:tc>
        <w:tc>
          <w:tcPr>
            <w:tcW w:w="1200" w:type="dxa"/>
            <w:vAlign w:val="bottom"/>
          </w:tcPr>
          <w:p>
            <w:pPr>
              <w:jc w:val="right"/>
              <w:ind w:right="692"/>
              <w:spacing w:after="0"/>
              <w:rPr>
                <w:sz w:val="20"/>
                <w:szCs w:val="20"/>
                <w:color w:val="auto"/>
              </w:rPr>
            </w:pPr>
            <w:r>
              <w:rPr>
                <w:rFonts w:ascii="Arial" w:cs="Arial" w:eastAsia="Arial" w:hAnsi="Arial"/>
                <w:sz w:val="18"/>
                <w:szCs w:val="18"/>
                <w:color w:val="auto"/>
              </w:rPr>
              <w:t>(8.8)</w:t>
            </w:r>
          </w:p>
        </w:tc>
        <w:tc>
          <w:tcPr>
            <w:tcW w:w="730" w:type="dxa"/>
            <w:vAlign w:val="bottom"/>
          </w:tcPr>
          <w:p>
            <w:pPr>
              <w:spacing w:after="0"/>
              <w:rPr>
                <w:sz w:val="19"/>
                <w:szCs w:val="19"/>
                <w:color w:val="auto"/>
              </w:rPr>
            </w:pPr>
          </w:p>
        </w:tc>
        <w:tc>
          <w:tcPr>
            <w:tcW w:w="1350" w:type="dxa"/>
            <w:vAlign w:val="bottom"/>
          </w:tcPr>
          <w:p>
            <w:pPr>
              <w:jc w:val="right"/>
              <w:ind w:right="712"/>
              <w:spacing w:after="0"/>
              <w:rPr>
                <w:sz w:val="20"/>
                <w:szCs w:val="20"/>
                <w:color w:val="auto"/>
              </w:rPr>
            </w:pPr>
            <w:r>
              <w:rPr>
                <w:rFonts w:ascii="Arial" w:cs="Arial" w:eastAsia="Arial" w:hAnsi="Arial"/>
                <w:sz w:val="18"/>
                <w:szCs w:val="18"/>
                <w:color w:val="auto"/>
              </w:rPr>
              <w:t>(20.9)</w:t>
            </w:r>
          </w:p>
        </w:tc>
        <w:tc>
          <w:tcPr>
            <w:tcW w:w="1020" w:type="dxa"/>
            <w:vAlign w:val="bottom"/>
          </w:tcPr>
          <w:p>
            <w:pPr>
              <w:spacing w:after="0"/>
              <w:rPr>
                <w:sz w:val="19"/>
                <w:szCs w:val="19"/>
                <w:color w:val="auto"/>
              </w:rPr>
            </w:pPr>
          </w:p>
        </w:tc>
        <w:tc>
          <w:tcPr>
            <w:tcW w:w="1060" w:type="dxa"/>
            <w:vAlign w:val="bottom"/>
          </w:tcPr>
          <w:p>
            <w:pPr>
              <w:jc w:val="right"/>
              <w:ind w:right="412"/>
              <w:spacing w:after="0"/>
              <w:rPr>
                <w:sz w:val="20"/>
                <w:szCs w:val="20"/>
                <w:color w:val="auto"/>
              </w:rPr>
            </w:pPr>
            <w:r>
              <w:rPr>
                <w:rFonts w:ascii="Arial" w:cs="Arial" w:eastAsia="Arial" w:hAnsi="Arial"/>
                <w:sz w:val="18"/>
                <w:szCs w:val="18"/>
                <w:color w:val="auto"/>
              </w:rPr>
              <w:t>(17.9)</w:t>
            </w:r>
          </w:p>
        </w:tc>
      </w:tr>
      <w:tr>
        <w:trPr>
          <w:trHeight w:val="110"/>
        </w:trPr>
        <w:tc>
          <w:tcPr>
            <w:tcW w:w="3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730" w:type="dxa"/>
            <w:vAlign w:val="bottom"/>
            <w:tcBorders>
              <w:bottom w:val="single" w:sz="8" w:color="808080"/>
            </w:tcBorders>
          </w:tcPr>
          <w:p>
            <w:pPr>
              <w:spacing w:after="0"/>
              <w:rPr>
                <w:sz w:val="9"/>
                <w:szCs w:val="9"/>
                <w:color w:val="auto"/>
              </w:rPr>
            </w:pPr>
          </w:p>
        </w:tc>
        <w:tc>
          <w:tcPr>
            <w:tcW w:w="135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316"/>
        </w:trPr>
        <w:tc>
          <w:tcPr>
            <w:tcW w:w="3100" w:type="dxa"/>
            <w:vAlign w:val="bottom"/>
          </w:tcPr>
          <w:p>
            <w:pPr>
              <w:ind w:left="160"/>
              <w:spacing w:after="0"/>
              <w:rPr>
                <w:sz w:val="20"/>
                <w:szCs w:val="20"/>
                <w:color w:val="auto"/>
              </w:rPr>
            </w:pPr>
            <w:r>
              <w:rPr>
                <w:rFonts w:ascii="Arial" w:cs="Arial" w:eastAsia="Arial" w:hAnsi="Arial"/>
                <w:sz w:val="18"/>
                <w:szCs w:val="18"/>
                <w:b w:val="1"/>
                <w:bCs w:val="1"/>
                <w:color w:val="auto"/>
              </w:rPr>
              <w:t>Ending balance</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52"/>
              <w:spacing w:after="0"/>
              <w:rPr>
                <w:sz w:val="20"/>
                <w:szCs w:val="20"/>
                <w:color w:val="auto"/>
              </w:rPr>
            </w:pPr>
            <w:r>
              <w:rPr>
                <w:rFonts w:ascii="Arial" w:cs="Arial" w:eastAsia="Arial" w:hAnsi="Arial"/>
                <w:sz w:val="18"/>
                <w:szCs w:val="18"/>
                <w:b w:val="1"/>
                <w:bCs w:val="1"/>
                <w:color w:val="auto"/>
              </w:rPr>
              <w:t>1.9</w:t>
            </w:r>
          </w:p>
        </w:tc>
        <w:tc>
          <w:tcPr>
            <w:tcW w:w="73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50" w:type="dxa"/>
            <w:vAlign w:val="bottom"/>
          </w:tcPr>
          <w:p>
            <w:pPr>
              <w:jc w:val="right"/>
              <w:ind w:right="772"/>
              <w:spacing w:after="0"/>
              <w:rPr>
                <w:sz w:val="20"/>
                <w:szCs w:val="20"/>
                <w:color w:val="auto"/>
              </w:rPr>
            </w:pPr>
            <w:r>
              <w:rPr>
                <w:rFonts w:ascii="Arial" w:cs="Arial" w:eastAsia="Arial" w:hAnsi="Arial"/>
                <w:sz w:val="18"/>
                <w:szCs w:val="18"/>
                <w:b w:val="1"/>
                <w:bCs w:val="1"/>
                <w:color w:val="auto"/>
              </w:rPr>
              <w:t>3.4</w:t>
            </w: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72"/>
              <w:spacing w:after="0"/>
              <w:rPr>
                <w:sz w:val="20"/>
                <w:szCs w:val="20"/>
                <w:color w:val="auto"/>
              </w:rPr>
            </w:pPr>
            <w:r>
              <w:rPr>
                <w:rFonts w:ascii="Arial" w:cs="Arial" w:eastAsia="Arial" w:hAnsi="Arial"/>
                <w:sz w:val="18"/>
                <w:szCs w:val="18"/>
                <w:b w:val="1"/>
                <w:bCs w:val="1"/>
                <w:color w:val="auto"/>
              </w:rPr>
              <w:t>2.9</w:t>
            </w:r>
          </w:p>
        </w:tc>
      </w:tr>
      <w:tr>
        <w:trPr>
          <w:trHeight w:val="134"/>
        </w:trPr>
        <w:tc>
          <w:tcPr>
            <w:tcW w:w="3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730" w:type="dxa"/>
            <w:vAlign w:val="bottom"/>
            <w:tcBorders>
              <w:bottom w:val="single" w:sz="8" w:color="808080"/>
            </w:tcBorders>
          </w:tcPr>
          <w:p>
            <w:pPr>
              <w:spacing w:after="0"/>
              <w:rPr>
                <w:sz w:val="11"/>
                <w:szCs w:val="11"/>
                <w:color w:val="auto"/>
              </w:rPr>
            </w:pPr>
          </w:p>
        </w:tc>
        <w:tc>
          <w:tcPr>
            <w:tcW w:w="135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Treasury Stock</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On May 28, 2008, the Company announced that its Board of Directors had authorized a new program to repurchase up to $20.0 of Common Stock as conditions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allow, on the open market or through negotiated private transactions. On November 20, 2008, the Board of Directors authorized a further program to repurchase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 to an additional $10.0 of its Common Stock and, on February 4, 2009, the Board of Directors authorized an additional program to repurchase up to another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 of its Common Stock, to be funded with available cash, pursuant to which the Company could purchase shares, from time to time as conditions allow,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open market. As of September 30, 2009, these repurchase programs were virtually completed.</w:t>
      </w:r>
    </w:p>
    <w:p>
      <w:pPr>
        <w:spacing w:after="0" w:line="21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On December 16, 2009, the Company announced that its Board of Directors had authorized a further program to repurchase up to $20.0 of its Common Stock, from time to time as conditions allow, on the open market or in negotiated private transactions. As of February 28, 2010, $19.5 remains available for future purchases.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February 28, 2010, the Company repurchased 71,003 shares on the open market for approximately $1.5 at an average cost of</w:t>
      </w:r>
    </w:p>
    <w:p>
      <w:pPr>
        <w:spacing w:after="0" w:line="3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$21.62 per share. See Part II, “Other Information,” Item 2, “Unregistered Sales of Equity Securities and Use of Proceeds,” for additional details on the share buy-back program.</w:t>
      </w:r>
    </w:p>
    <w:p>
      <w:pPr>
        <w:sectPr>
          <w:pgSz w:w="11900" w:h="16838" w:orient="portrait"/>
          <w:cols w:equalWidth="0" w:num="1">
            <w:col w:w="11460"/>
          </w:cols>
          <w:pgMar w:left="240" w:top="382" w:right="199" w:bottom="1440" w:gutter="0" w:footer="0" w:header="0"/>
        </w:sectPr>
      </w:pP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382" w:right="19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0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31" w:lineRule="exact"/>
        <w:rPr>
          <w:sz w:val="20"/>
          <w:szCs w:val="20"/>
          <w:color w:val="auto"/>
        </w:rPr>
      </w:pPr>
    </w:p>
    <w:p>
      <w:pPr>
        <w:jc w:val="both"/>
        <w:ind w:right="80"/>
        <w:spacing w:after="0" w:line="314" w:lineRule="auto"/>
        <w:rPr>
          <w:sz w:val="20"/>
          <w:szCs w:val="20"/>
          <w:color w:val="auto"/>
        </w:rPr>
      </w:pPr>
      <w:r>
        <w:rPr>
          <w:rFonts w:ascii="Arial" w:cs="Arial" w:eastAsia="Arial" w:hAnsi="Arial"/>
          <w:sz w:val="15"/>
          <w:szCs w:val="15"/>
          <w:color w:val="auto"/>
        </w:rPr>
        <w:t>On June 1, 2008, the Company adopted a new accounting standard regarding fair value measurements for financial assets and liabilities, as well as for any other assets and liabilities that are carried at fair value on a recurring basis in the Company’s financial statements. The Financial Accounting Standards Board issued a one year deferral of the fair value measurement requirements for non financial assets and liabilities that are not required or permitted to be measured at fair value on a recurring basis at the time of issuance. The Company adopted the remainder of the new standard on June 1, 2009. The accounting standard requires that the Company determine the appropriate level in the fair value hierarchy for each fair value measurement. The fair value hierarchy prioritizes the inputs, which refer to assumptions that market participants would use in pricing an asset or liability, based upon the highest and best use, into three levels as follows:</w:t>
      </w:r>
    </w:p>
    <w:p>
      <w:pPr>
        <w:spacing w:after="0" w:line="172" w:lineRule="exact"/>
        <w:rPr>
          <w:sz w:val="20"/>
          <w:szCs w:val="20"/>
          <w:color w:val="auto"/>
        </w:rPr>
      </w:pPr>
    </w:p>
    <w:p>
      <w:pPr>
        <w:ind w:left="920" w:hanging="453"/>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Unadjusted quoted prices in active markets for identical assets or liabilities at the measurement date.</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Observable inputs other than unadjusted quoted prices in active markets for identical assets or liabilities such as</w:t>
      </w:r>
    </w:p>
    <w:p>
      <w:pPr>
        <w:spacing w:after="0" w:line="158" w:lineRule="exact"/>
        <w:rPr>
          <w:sz w:val="20"/>
          <w:szCs w:val="20"/>
          <w:color w:val="auto"/>
        </w:rPr>
      </w:pPr>
    </w:p>
    <w:p>
      <w:pPr>
        <w:ind w:left="1380" w:hanging="268"/>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5" w:lineRule="exact"/>
        <w:rPr>
          <w:rFonts w:ascii="Arial" w:cs="Arial" w:eastAsia="Arial" w:hAnsi="Arial"/>
          <w:sz w:val="18"/>
          <w:szCs w:val="18"/>
          <w:color w:val="auto"/>
        </w:rPr>
      </w:pPr>
    </w:p>
    <w:p>
      <w:pPr>
        <w:ind w:left="1380" w:hanging="268"/>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380" w:hanging="268"/>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1380" w:hanging="268"/>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151" w:lineRule="exact"/>
        <w:rPr>
          <w:rFonts w:ascii="Arial" w:cs="Arial" w:eastAsia="Arial" w:hAnsi="Arial"/>
          <w:sz w:val="18"/>
          <w:szCs w:val="18"/>
          <w:color w:val="auto"/>
        </w:rPr>
      </w:pPr>
    </w:p>
    <w:p>
      <w:pPr>
        <w:ind w:left="920" w:right="140" w:hanging="453"/>
        <w:spacing w:after="0" w:line="268"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Unobservable inputs in which there is little or no market data available, which are significant to the fair value measurement and require the Company to develop its own assumptions.</w:t>
      </w:r>
    </w:p>
    <w:p>
      <w:pPr>
        <w:spacing w:after="0" w:line="18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financial assets and liabilities measured at fair value consisted of cash and cash equivalents, debt and foreign currency forward contracts, which were not material as of the reporting date. Cash and cash equivalents are comprised of bank deposits and short-term investments, such as money market funds, the fair value of which is based on quoted market prices, a Level 1 fair value measure. The Company employs Level 1 fair value measurements for its 5% Notes and Level 2 inputs for its various lines of credit. For a more complete description, see Note 4, “Debt.” The fair values of foreign currency forward contracts, used by the Company to manage the impact of foreign exchange rate changes to the financial statements, are based on quotations from financial institutions, a Level 2 fair value measure.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 financial assets and liabilities for which the Company employs fair value measures on a non-recurring basis include:</w:t>
      </w:r>
    </w:p>
    <w:p>
      <w:pPr>
        <w:spacing w:after="0" w:line="239" w:lineRule="exact"/>
        <w:rPr>
          <w:sz w:val="20"/>
          <w:szCs w:val="20"/>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long-lived assets when impaired,</w:t>
      </w:r>
    </w:p>
    <w:p>
      <w:pPr>
        <w:spacing w:after="0" w:line="15" w:lineRule="exact"/>
        <w:rPr>
          <w:rFonts w:ascii="Arial" w:cs="Arial" w:eastAsia="Arial" w:hAnsi="Arial"/>
          <w:sz w:val="18"/>
          <w:szCs w:val="18"/>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assets acquired in a business combination,</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goodwill and indefinite-lived intangible assets and</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long-lived assets held for sale.</w:t>
      </w:r>
    </w:p>
    <w:p>
      <w:pPr>
        <w:spacing w:after="0" w:line="21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Level 2 and Level 3 inputs are employed by the Company in the fair value measurement of these assets and liabilities. In the nine months ended February 28, 2010, the Company recognized impairments of indefinite-lived and long-lived assets totaling $40.1. The Company used Level 3 inputs in its determination of the fair value of these impaired assets. See Note 7, “Goodwill and Other Intangibles,” for a discussion of the fair value measures employed in these asset impairment analyses.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3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calculates its interim income tax provision in accordance with the accounting standards covering interim financial reporting and accounting for income taxes in interim periods. In calculating the provision for income taxes on an interim basis, the Company uses an estimate of the annual effective tax rate based upon the facts and circumstances known and applies that rate to its ordinary year to date earnings or losses. The Company’s effective tax rate is based on expected income and statutory tax rates and takes into consideration permanent differences between financial statement and tax return income applicable to the Company in the various jurisdictions in which the Company operates. The effect of discrete items, such as changes in estimates, changes in enacted tax laws or rates or tax status and unusual or infrequently occurring events, is recognized in the interim period in which the discrete item occurs. The accounting estimates used to compute the provision for income taxes may change as new events occur, additional information is obtained or as the result of new judicial interpretations or regulatory or tax law changes.</w:t>
      </w:r>
    </w:p>
    <w:p>
      <w:pPr>
        <w:spacing w:after="0" w:line="172"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Company’s annual effective tax rate for the fiscal year ended May 31, 2010 is currently expected to be approximately 46%. The Company’s expected full year effective tax rate exceeds statutory rates primarily as a result of net operating losses in foreign jurisdictions, mainly in the United Kingdom, where the Company does not expect to realize future tax benefits. As a result, valuation allowances are provided for the net operating loss carry forwards in these jurisdictions.</w:t>
      </w:r>
    </w:p>
    <w:p>
      <w:pPr>
        <w:spacing w:after="0" w:line="19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Company recognizes tax benefits of uncertain tax positions in accordance with the current accounting guidance pertaining to uncertainty in income taxes. The Company does not currently anticipate a material change to its unrecognized tax benefits within twelve months of February 28, 2010; however, actual developments can change these expectations, including settlement of audits.</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Corporation, including its domestic subsidiaries, files a consolidated U.S. income tax return, and also files tax returns in various states and other local jurisdictions. Also, certain subsidiaries of the Corporation file income tax returns in foreign jurisdictions. The Company is routinely audited by various tax authorities. The Company is currently engaged in an IRS examination for the fiscal years ended May 31, 2003, 2004, 2005 and 2006. The Company is also currently under audit by both New York State and New York City for its fiscal years ended May 31, 2002, 2003 and 2004. It is possible that federal, state and foreign tax examinations will be settled during the next twelve months. If any of these tax examinations are settled within that period, the Company will make any necessary adjustments to its unrecognized tax benefits.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Derivatives and Hedging</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enters into foreign currency derivative contracts to economically hedge the exposure to foreign currency fluctuations associated with the forecasted purchase of inventory. These derivative contracts are economic hedges and are not designated as cash flow hedges. The Company marks-to-market these instruments and records the changes in the fair value of these items in current earnings and the unrealized gain or loss is recognized in other current liabilities. Unrealized gains were $0.1 and $1.4 at February 28, 2010 and 2009, respectively.</w:t>
      </w:r>
    </w:p>
    <w:p>
      <w:pPr>
        <w:spacing w:after="0" w:line="19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also enters into foreign currency derivative contracts to hedge the foreign exchange risk associated with certain receivables denominated in foreign currencies. The Company marks-to-market these instruments and records the changes in the fair value of these items in current earnings offsetting the foreign exchange gains and losses arising from the effect of changes in exchange rates used to measure the related assets. Unrealized gains related to these derivatives were $0.5 and $0.1 at February 28, 2010 and 2009,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March 31, 2010, the Company announced that the Board of Directors had declared a quarterly cash dividend of $0.075 per share payable on June 15, 2010, to shareholders of record of the Corporation’s Class A Stock and Common Stock as of April 30, 2010.</w:t>
      </w:r>
    </w:p>
    <w:p>
      <w:pPr>
        <w:spacing w:after="0" w:line="18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From March 1, 2010 through April 1, 2010, the Company repurchased 111,422 shares on the open market for approximately $3.2 at an average cost of $29.14 per share. As of April 1, 2010, approximately $16.3 remains available for future purchases.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23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 xml:space="preserve">During the third quarter ended February 28, 2010, the Company generated strong results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 which offset declines in revenue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The Company also continued to reduce costs and drive improved cash flow.</w:t>
      </w:r>
    </w:p>
    <w:p>
      <w:pPr>
        <w:spacing w:after="0" w:line="139"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 xml:space="preserve">For the quarter, revenue from continuing operations was $398.8 million compared to $423.6 million in the prior year period, primarily reflecting strong Harry Potter-related trade sales in the prior year. Revenue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 rose 18% in the quarter, driven by continued growth in sales of educational technology and related services. The decline in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revenue reflected lower trade sales relative to the prior year quarter, when the Company released </w:t>
      </w:r>
      <w:r>
        <w:rPr>
          <w:rFonts w:ascii="Arial" w:cs="Arial" w:eastAsia="Arial" w:hAnsi="Arial"/>
          <w:sz w:val="16"/>
          <w:szCs w:val="16"/>
          <w:i w:val="1"/>
          <w:iCs w:val="1"/>
          <w:color w:val="auto"/>
        </w:rPr>
        <w:t>The Tales of Beedle the Bard</w:t>
      </w:r>
      <w:r>
        <w:rPr>
          <w:rFonts w:ascii="Arial" w:cs="Arial" w:eastAsia="Arial" w:hAnsi="Arial"/>
          <w:sz w:val="16"/>
          <w:szCs w:val="16"/>
          <w:color w:val="auto"/>
        </w:rPr>
        <w:t xml:space="preserve"> by J.K. Rowling. This segment was also impacted by a decline in revenues, which continued from the previous quarter, in the School book club business.</w:t>
      </w:r>
    </w:p>
    <w:p>
      <w:pPr>
        <w:spacing w:after="0" w:line="17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Loss from continuing operations, net of tax, was $4.6 million compared to a loss in the prior year period of $34.5 million. The current year period includes severance and one-time costs related to the Company’s restructuring plans in the United Kingdom of $2.4 million, before tax, as well as an unrealized investment loss of $1.5 million, before tax; in comparison, the prior year period includes non-cash impairment and investment loss charges as well as one-time severance charges totaling $35.3 million, before tax.</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first nine months of fiscal 2010, revenue from continuing operations was $1,374.5 million compared to $1,353.3 million in the prior year period, primarily reflecting strong sales of educational technology, partially offset by a decline in revenue in the Children’s Book segment.</w:t>
      </w:r>
    </w:p>
    <w:p>
      <w:pPr>
        <w:spacing w:after="0" w:line="186"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 xml:space="preserve">Earnings from continuing operations, net of tax, for the nine months ended February 28, 2010 were $27.6 million compared to a loss from continuing operations in the prior year fiscal period of $18.9 million. One-time expenses and non-cash impairments recorded during the first nine months of the current fiscal year were $45.7 million, before tax, primarily related to the Company’s decision to consolidate certain library publishing activities into the </w:t>
      </w:r>
      <w:r>
        <w:rPr>
          <w:rFonts w:ascii="Arial" w:cs="Arial" w:eastAsia="Arial" w:hAnsi="Arial"/>
          <w:sz w:val="18"/>
          <w:szCs w:val="18"/>
          <w:i w:val="1"/>
          <w:iCs w:val="1"/>
          <w:color w:val="auto"/>
        </w:rPr>
        <w:t>Children’s Book Publishing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Distribution </w:t>
      </w:r>
      <w:r>
        <w:rPr>
          <w:rFonts w:ascii="Arial" w:cs="Arial" w:eastAsia="Arial" w:hAnsi="Arial"/>
          <w:sz w:val="18"/>
          <w:szCs w:val="18"/>
          <w:color w:val="auto"/>
        </w:rPr>
        <w:t>segment, as well as restructuring activities in the United Kingdom. In the first nine months of the prior year period, the Company recorded one-time</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and non-cash charges of $46.3 million, before tax.</w:t>
      </w:r>
    </w:p>
    <w:p>
      <w:pPr>
        <w:spacing w:after="0" w:line="19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During the third quarter, the Company continued to focus on cost reduction as well as maintaining a strong balance sheet. In addition, improved earnings and lower inventory and accounts receivable levels resulted in strong cash flow, increasing the Company’s cash and cash equivalents at quarter end by $200.3 million and decreasing debt balances by $50.0 million compared to a year ago. Based on these results, the Company revised its fiscal 2010 outlook to be towards the top end of its original range and increased its free cash flow outlook.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and Discontinued Operations</w:t>
      </w:r>
    </w:p>
    <w:p>
      <w:pPr>
        <w:spacing w:after="0" w:line="23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Revenues for the quarter ended February 28, 2010 decreased by $24.8 million, or 5.9%, to $398.8 million, compared to $423.6 million in the prior fiscal year quarter. This was due to lower revenues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and </w:t>
      </w:r>
      <w:r>
        <w:rPr>
          <w:rFonts w:ascii="Arial" w:cs="Arial" w:eastAsia="Arial" w:hAnsi="Arial"/>
          <w:sz w:val="16"/>
          <w:szCs w:val="16"/>
          <w:i w:val="1"/>
          <w:iCs w:val="1"/>
          <w:color w:val="auto"/>
        </w:rPr>
        <w:t>Media, Licensing and Advertising</w:t>
      </w:r>
      <w:r>
        <w:rPr>
          <w:rFonts w:ascii="Arial" w:cs="Arial" w:eastAsia="Arial" w:hAnsi="Arial"/>
          <w:sz w:val="16"/>
          <w:szCs w:val="16"/>
          <w:color w:val="auto"/>
        </w:rPr>
        <w:t xml:space="preserve"> segments of $36.6 million and $2.9 million, respectively, partially offset by higher revenues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and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segments of $13.3 million and $1.4 million, respectively. For the nine months ended February 28, 2010, revenues increased by $21.2 million, or 1.6%, to $1,374.5 million, compared to $1,353.3 million in the prior fiscal year period, primarily due to higher revenues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 partially offset by lower revenues from the </w:t>
      </w:r>
      <w:r>
        <w:rPr>
          <w:rFonts w:ascii="Arial" w:cs="Arial" w:eastAsia="Arial" w:hAnsi="Arial"/>
          <w:sz w:val="16"/>
          <w:szCs w:val="16"/>
          <w:i w:val="1"/>
          <w:iCs w:val="1"/>
          <w:color w:val="auto"/>
        </w:rPr>
        <w:t>Children’s Book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Publishing and Distribution </w:t>
      </w:r>
      <w:r>
        <w:rPr>
          <w:rFonts w:ascii="Arial" w:cs="Arial" w:eastAsia="Arial" w:hAnsi="Arial"/>
          <w:sz w:val="16"/>
          <w:szCs w:val="16"/>
          <w:color w:val="auto"/>
        </w:rPr>
        <w:t>and</w:t>
      </w:r>
      <w:r>
        <w:rPr>
          <w:rFonts w:ascii="Arial" w:cs="Arial" w:eastAsia="Arial" w:hAnsi="Arial"/>
          <w:sz w:val="16"/>
          <w:szCs w:val="16"/>
          <w:i w:val="1"/>
          <w:iCs w:val="1"/>
          <w:color w:val="auto"/>
        </w:rPr>
        <w:t xml:space="preserve"> Media, Licensing and Advertising </w:t>
      </w:r>
      <w:r>
        <w:rPr>
          <w:rFonts w:ascii="Arial" w:cs="Arial" w:eastAsia="Arial" w:hAnsi="Arial"/>
          <w:sz w:val="16"/>
          <w:szCs w:val="16"/>
          <w:color w:val="auto"/>
        </w:rPr>
        <w:t>segments.</w:t>
      </w:r>
    </w:p>
    <w:p>
      <w:pPr>
        <w:spacing w:after="0" w:line="17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Cost of goods sold decreased to $192.7 million, or 48.3% of revenues, for the quarter ended February 28, 2010, as compared to $214.6 million, or 50.7% of revenues, in the prior fiscal year quarter, primarily due to the prior year royalty costs associated with the release of </w:t>
      </w:r>
      <w:r>
        <w:rPr>
          <w:rFonts w:ascii="Arial" w:cs="Arial" w:eastAsia="Arial" w:hAnsi="Arial"/>
          <w:sz w:val="18"/>
          <w:szCs w:val="18"/>
          <w:i w:val="1"/>
          <w:iCs w:val="1"/>
          <w:color w:val="auto"/>
        </w:rPr>
        <w:t>The Tales of Beedle the Bard</w:t>
      </w:r>
      <w:r>
        <w:rPr>
          <w:rFonts w:ascii="Arial" w:cs="Arial" w:eastAsia="Arial" w:hAnsi="Arial"/>
          <w:sz w:val="18"/>
          <w:szCs w:val="18"/>
          <w:color w:val="auto"/>
        </w:rPr>
        <w:t xml:space="preserve"> and current year reductions in editorial costs. For the nine months ended February 28, 2010, cost of goods sold decreased to $621.0 million, or 45.2% of revenues, compared to $644.4 million, or 47.6% of revenues, in the prior fiscal year period. The $23.4 million decrease was primarily due to the growth in higher margin educational technology sales and reduced editorial costs.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Selling, general and administrative expenses (“SG&amp;A”), excluding severance expense, for the quarter ended February 28, 2010 were $187.9 million, or 47.1% of revenue, as compared to $191.5 million, or 45.2% of revenue, in the prior fiscal year quarter. The $3.6 million decrease primarily resulted from planned reduced promotion spending in the Company’s book club business. For the nine months ended February 28, 2010, SG&amp;A, excluding severance expense, was $583.5 million, or 42.5% of revenues, as compared to $592.3 million, or 43.8% of revenues, in the prior fiscal year period. The $8.8 million decrease primarily related to reduced promotional expenses in the book club business, partially offset by increased incentive compensation expense related to the higher educational technology sales and higher sales tax expense.</w:t>
      </w:r>
    </w:p>
    <w:p>
      <w:pPr>
        <w:spacing w:after="0" w:line="1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Bad debt expense increased to $2.9 million for the quarter ended February 28, 2010, compared to $2.3 million in the prior fiscal year quarter. For the nine months ended February 28, 2010, bad debt expense decreased by $1.2 million to $9.4 million from $10.6 million in the prior fiscal year period. The decrease was primarily in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 as the prior fiscal year period reflected accruals for increased credit risk for certain customers.</w:t>
      </w:r>
    </w:p>
    <w:p>
      <w:pPr>
        <w:spacing w:after="0" w:line="19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Severance expense decreased by $4.1 million to $1.9 million for the quarter ended February 28, 2010, compared to $6.0 million for the prior fiscal year quarter. For the nine months ended February 28, 2010, severance expense decreased by $13.1 million to $7.3 million, compared to $20.4 million in the prior fiscal year period.</w:t>
      </w:r>
    </w:p>
    <w:p>
      <w:pPr>
        <w:spacing w:after="0" w:line="19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For the nine months ended February 28, 2010, the Company recorded $40.1 million in asset impairments primarily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 as the Company implemented certain strategic initiatives during fiscal 2010 to centralize publishing efforts within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These initiatives included the elimination of the front list for certain library-specific titles within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 In the prior fiscal year period, the Company determined that $17.0 million of goodwill associated with operations in the United Kingdom was impaired.</w:t>
      </w:r>
    </w:p>
    <w:p>
      <w:pPr>
        <w:spacing w:after="0" w:line="167"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The resulting operating loss for the quarter ended February 28, 2010 was $0.8 million, compared to $22.3 million in the prior fiscal year quarter. For the nine months ended February 28, 2010, operating income increased to $69.5 million, compared to $23.4 million in the prior fiscal year period.</w:t>
      </w:r>
    </w:p>
    <w:p>
      <w:pPr>
        <w:spacing w:after="0" w:line="139"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Net interest expense decreased to $4.0 million in the quarter ended February 28, 2010, compared to $5.7 million in the prior fiscal year quarter. For the nine months ended February 28, 2010, net interest expense decreased by $6.4 million to $12.2 million, compared to $18.6 million in the prior fiscal year period. Both reductions in net interest expense were driven by lower borrowing levels and lower interest rates. The lower borrowings were driven by improved cash from operations, as the Company significantly reduced its working capital requirements. The Company has accumulated significant cash balances in recent periods. However, due to low interest rates, interest income is not significant.</w:t>
      </w:r>
    </w:p>
    <w:p>
      <w:pPr>
        <w:spacing w:after="0" w:line="17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quarter ended February 28, 2010, the Company determined that a cost-basis investment in a U.S. based internet company was other than temporarily impaired and recognized a loss of $1.5 million for the three months ended February 28, 2010. In the prior fiscal year period, the Company determined that certain investments in the United Kingdom were other than temporarily impaired. The Company recorded impairments on investments related to these operations of $13.5 million.</w:t>
      </w:r>
    </w:p>
    <w:p>
      <w:pPr>
        <w:spacing w:after="0" w:line="19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Company’s provision for income taxes with respect to continuing operations resulted in a benefit of 26.9% and 16.3% for the quarters ended February 28, 2010 and February 28, 2009, respectively. The periods result in a benefit because the Company incurred a loss in each of these quarters. The tax benefit for these periods is less than the statutory rate of 35.0% primarily due to losses in certain foreign jurisdictions for which the Company does not expect to realize corresponding income tax benefits. The effective tax rates for the nine months ended February 28, 2010 and February 28, 2009 were 51.3% and 124.9%, respectively. The effective tax rates for this period exceed the statutory rate of 35.0% primarily due to losses in certain foreign subsidiaries for which the Company does not expect to realize corresponding income tax benefits. Due to the seasonality of the Company’s business and discrete items in these periods, the effective tax rates for the above periods may appear to be distorted.</w:t>
      </w:r>
    </w:p>
    <w:p>
      <w:pPr>
        <w:spacing w:after="0" w:line="17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Loss from continuing operations was $4.6 million, or $0.12 per diluted share, for the quarter ended February 28, 2010, compared to $34.5 million, or $0.93 per diluted share, in the prior fiscal year quarter. For the nine months ended February 28, 2010, earnings from continuing operations were $27.6 million, or $0.75 per diluted share, compared to a loss of $18.9 million, or $0.50 per diluted share, in the prior fiscal year period.</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382" w:right="2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loss from discontinued operations, net of tax, was $1.0 million, or $0.03 per diluted share, for the quarter ended February 28, 2010, compared to $1.5 million, or $0.05 per diluted share, in the prior fiscal year quarter. For the nine months ended February 28, 2010, loss from discontinued operations, net of tax, was $0.7 million, or $0.02 per diluted share, compared to $23.1 million, or $0.62 per diluted share, in the prior fiscal year period.</w:t>
      </w:r>
    </w:p>
    <w:p>
      <w:pPr>
        <w:spacing w:after="0" w:line="16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Net loss was $5.6 million, or $0.15 per diluted share, for the quarter ended February 28, 2010, compared to $36.0 million, or $0.98 per diluted share, in the prior fiscal year quarter. For the nine months ended February 28, 2010, net income was $26.9 million, or $0.73 per diluted share, compared to a net loss of $42.0 million, or $1.12 per diluted share, in the prior fiscal year period.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40" w:type="dxa"/>
            <w:vAlign w:val="bottom"/>
          </w:tcPr>
          <w:p>
            <w:pPr>
              <w:spacing w:after="0"/>
              <w:rPr>
                <w:sz w:val="20"/>
                <w:szCs w:val="20"/>
                <w:color w:val="auto"/>
              </w:rPr>
            </w:pPr>
            <w:r>
              <w:rPr>
                <w:rFonts w:ascii="Arial" w:cs="Arial" w:eastAsia="Arial" w:hAnsi="Arial"/>
                <w:sz w:val="18"/>
                <w:szCs w:val="18"/>
                <w:b w:val="1"/>
                <w:bCs w:val="1"/>
                <w:color w:val="auto"/>
              </w:rPr>
              <w:t>Results of Continuing Operations - Segments</w:t>
            </w:r>
          </w:p>
        </w:tc>
        <w:tc>
          <w:tcPr>
            <w:tcW w:w="1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32"/>
        </w:trPr>
        <w:tc>
          <w:tcPr>
            <w:tcW w:w="4740" w:type="dxa"/>
            <w:vAlign w:val="bottom"/>
          </w:tcPr>
          <w:p>
            <w:pPr>
              <w:spacing w:after="0"/>
              <w:rPr>
                <w:sz w:val="20"/>
                <w:szCs w:val="20"/>
                <w:color w:val="auto"/>
              </w:rPr>
            </w:pPr>
            <w:r>
              <w:rPr>
                <w:rFonts w:ascii="Arial" w:cs="Arial" w:eastAsia="Arial" w:hAnsi="Arial"/>
                <w:sz w:val="18"/>
                <w:szCs w:val="18"/>
                <w:b w:val="1"/>
                <w:bCs w:val="1"/>
                <w:i w:val="1"/>
                <w:iCs w:val="1"/>
                <w:color w:val="auto"/>
              </w:rPr>
              <w:t>Children’s Book Publishing and Distribution</w:t>
            </w:r>
          </w:p>
        </w:tc>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9"/>
        </w:trPr>
        <w:tc>
          <w:tcPr>
            <w:tcW w:w="4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20" w:type="dxa"/>
            <w:vAlign w:val="bottom"/>
            <w:gridSpan w:val="3"/>
          </w:tcPr>
          <w:p>
            <w:pPr>
              <w:jc w:val="center"/>
              <w:ind w:right="372"/>
              <w:spacing w:after="0"/>
              <w:rPr>
                <w:sz w:val="20"/>
                <w:szCs w:val="20"/>
                <w:color w:val="auto"/>
              </w:rPr>
            </w:pPr>
            <w:r>
              <w:rPr>
                <w:rFonts w:ascii="Arial" w:cs="Arial" w:eastAsia="Arial" w:hAnsi="Arial"/>
                <w:sz w:val="18"/>
                <w:szCs w:val="18"/>
                <w:b w:val="1"/>
                <w:bCs w:val="1"/>
                <w:i w:val="1"/>
                <w:iCs w:val="1"/>
                <w:color w:val="auto"/>
                <w:w w:val="83"/>
              </w:rPr>
              <w:t>Three months ended</w:t>
            </w:r>
          </w:p>
        </w:tc>
        <w:tc>
          <w:tcPr>
            <w:tcW w:w="300" w:type="dxa"/>
            <w:vAlign w:val="bottom"/>
          </w:tcPr>
          <w:p>
            <w:pPr>
              <w:spacing w:after="0"/>
              <w:rPr>
                <w:sz w:val="24"/>
                <w:szCs w:val="24"/>
                <w:color w:val="auto"/>
              </w:rPr>
            </w:pPr>
          </w:p>
        </w:tc>
        <w:tc>
          <w:tcPr>
            <w:tcW w:w="2400" w:type="dxa"/>
            <w:vAlign w:val="bottom"/>
            <w:gridSpan w:val="3"/>
          </w:tcPr>
          <w:p>
            <w:pPr>
              <w:jc w:val="center"/>
              <w:ind w:right="332"/>
              <w:spacing w:after="0"/>
              <w:rPr>
                <w:sz w:val="20"/>
                <w:szCs w:val="20"/>
                <w:color w:val="auto"/>
              </w:rPr>
            </w:pPr>
            <w:r>
              <w:rPr>
                <w:rFonts w:ascii="Arial" w:cs="Arial" w:eastAsia="Arial" w:hAnsi="Arial"/>
                <w:sz w:val="18"/>
                <w:szCs w:val="18"/>
                <w:b w:val="1"/>
                <w:bCs w:val="1"/>
                <w:i w:val="1"/>
                <w:iCs w:val="1"/>
                <w:color w:val="auto"/>
                <w:w w:val="84"/>
              </w:rPr>
              <w:t>Nine months ended</w:t>
            </w:r>
          </w:p>
        </w:tc>
      </w:tr>
      <w:tr>
        <w:trPr>
          <w:trHeight w:val="222"/>
        </w:trPr>
        <w:tc>
          <w:tcPr>
            <w:tcW w:w="474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1580" w:type="dxa"/>
            <w:vAlign w:val="bottom"/>
          </w:tcPr>
          <w:p>
            <w:pPr>
              <w:spacing w:after="0"/>
              <w:rPr>
                <w:sz w:val="19"/>
                <w:szCs w:val="19"/>
                <w:color w:val="auto"/>
              </w:rPr>
            </w:pPr>
          </w:p>
        </w:tc>
        <w:tc>
          <w:tcPr>
            <w:tcW w:w="1460" w:type="dxa"/>
            <w:vAlign w:val="bottom"/>
            <w:gridSpan w:val="2"/>
          </w:tcPr>
          <w:p>
            <w:pPr>
              <w:jc w:val="center"/>
              <w:ind w:left="412"/>
              <w:spacing w:after="0"/>
              <w:rPr>
                <w:sz w:val="20"/>
                <w:szCs w:val="20"/>
                <w:color w:val="auto"/>
              </w:rPr>
            </w:pPr>
            <w:r>
              <w:rPr>
                <w:rFonts w:ascii="Arial" w:cs="Arial" w:eastAsia="Arial" w:hAnsi="Arial"/>
                <w:sz w:val="18"/>
                <w:szCs w:val="18"/>
                <w:b w:val="1"/>
                <w:bCs w:val="1"/>
                <w:i w:val="1"/>
                <w:iCs w:val="1"/>
                <w:color w:val="auto"/>
                <w:w w:val="89"/>
              </w:rPr>
              <w:t>February 28,</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center"/>
              <w:ind w:left="412"/>
              <w:spacing w:after="0"/>
              <w:rPr>
                <w:sz w:val="20"/>
                <w:szCs w:val="20"/>
                <w:color w:val="auto"/>
              </w:rPr>
            </w:pPr>
            <w:r>
              <w:rPr>
                <w:rFonts w:ascii="Arial" w:cs="Arial" w:eastAsia="Arial" w:hAnsi="Arial"/>
                <w:sz w:val="18"/>
                <w:szCs w:val="18"/>
                <w:b w:val="1"/>
                <w:bCs w:val="1"/>
                <w:i w:val="1"/>
                <w:iCs w:val="1"/>
                <w:color w:val="auto"/>
                <w:w w:val="87"/>
              </w:rPr>
              <w:t>February 28,</w:t>
            </w:r>
          </w:p>
        </w:tc>
        <w:tc>
          <w:tcPr>
            <w:tcW w:w="920" w:type="dxa"/>
            <w:vAlign w:val="bottom"/>
          </w:tcPr>
          <w:p>
            <w:pPr>
              <w:spacing w:after="0"/>
              <w:rPr>
                <w:sz w:val="19"/>
                <w:szCs w:val="19"/>
                <w:color w:val="auto"/>
              </w:rPr>
            </w:pPr>
          </w:p>
        </w:tc>
      </w:tr>
      <w:tr>
        <w:trPr>
          <w:trHeight w:val="110"/>
        </w:trPr>
        <w:tc>
          <w:tcPr>
            <w:tcW w:w="47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r>
        <w:trPr>
          <w:trHeight w:val="316"/>
        </w:trPr>
        <w:tc>
          <w:tcPr>
            <w:tcW w:w="4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60" w:type="dxa"/>
            <w:vAlign w:val="bottom"/>
          </w:tcPr>
          <w:p>
            <w:pPr>
              <w:jc w:val="right"/>
              <w:ind w:right="492"/>
              <w:spacing w:after="0"/>
              <w:rPr>
                <w:sz w:val="20"/>
                <w:szCs w:val="20"/>
                <w:color w:val="auto"/>
              </w:rPr>
            </w:pPr>
            <w:r>
              <w:rPr>
                <w:rFonts w:ascii="Arial" w:cs="Arial" w:eastAsia="Arial" w:hAnsi="Arial"/>
                <w:sz w:val="18"/>
                <w:szCs w:val="18"/>
                <w:b w:val="1"/>
                <w:bCs w:val="1"/>
                <w:color w:val="auto"/>
              </w:rPr>
              <w:t>2010</w:t>
            </w:r>
          </w:p>
        </w:tc>
        <w:tc>
          <w:tcPr>
            <w:tcW w:w="400" w:type="dxa"/>
            <w:vAlign w:val="bottom"/>
          </w:tcPr>
          <w:p>
            <w:pPr>
              <w:spacing w:after="0"/>
              <w:rPr>
                <w:sz w:val="24"/>
                <w:szCs w:val="24"/>
                <w:color w:val="auto"/>
              </w:rPr>
            </w:pPr>
          </w:p>
        </w:tc>
        <w:tc>
          <w:tcPr>
            <w:tcW w:w="960" w:type="dxa"/>
            <w:vAlign w:val="bottom"/>
          </w:tcPr>
          <w:p>
            <w:pPr>
              <w:jc w:val="right"/>
              <w:ind w:right="492"/>
              <w:spacing w:after="0"/>
              <w:rPr>
                <w:sz w:val="20"/>
                <w:szCs w:val="20"/>
                <w:color w:val="auto"/>
              </w:rPr>
            </w:pPr>
            <w:r>
              <w:rPr>
                <w:rFonts w:ascii="Arial" w:cs="Arial" w:eastAsia="Arial" w:hAnsi="Arial"/>
                <w:sz w:val="18"/>
                <w:szCs w:val="18"/>
                <w:b w:val="1"/>
                <w:bCs w:val="1"/>
                <w:color w:val="auto"/>
                <w:w w:val="89"/>
              </w:rPr>
              <w:t>2009</w:t>
            </w:r>
          </w:p>
        </w:tc>
        <w:tc>
          <w:tcPr>
            <w:tcW w:w="300" w:type="dxa"/>
            <w:vAlign w:val="bottom"/>
          </w:tcPr>
          <w:p>
            <w:pPr>
              <w:spacing w:after="0"/>
              <w:rPr>
                <w:sz w:val="24"/>
                <w:szCs w:val="24"/>
                <w:color w:val="auto"/>
              </w:rPr>
            </w:pPr>
          </w:p>
        </w:tc>
        <w:tc>
          <w:tcPr>
            <w:tcW w:w="1080" w:type="dxa"/>
            <w:vAlign w:val="bottom"/>
          </w:tcPr>
          <w:p>
            <w:pPr>
              <w:jc w:val="right"/>
              <w:ind w:right="512"/>
              <w:spacing w:after="0"/>
              <w:rPr>
                <w:sz w:val="20"/>
                <w:szCs w:val="20"/>
                <w:color w:val="auto"/>
              </w:rPr>
            </w:pPr>
            <w:r>
              <w:rPr>
                <w:rFonts w:ascii="Arial" w:cs="Arial" w:eastAsia="Arial" w:hAnsi="Arial"/>
                <w:sz w:val="18"/>
                <w:szCs w:val="18"/>
                <w:b w:val="1"/>
                <w:bCs w:val="1"/>
                <w:color w:val="auto"/>
              </w:rPr>
              <w:t>2010</w:t>
            </w:r>
          </w:p>
        </w:tc>
        <w:tc>
          <w:tcPr>
            <w:tcW w:w="400" w:type="dxa"/>
            <w:vAlign w:val="bottom"/>
          </w:tcPr>
          <w:p>
            <w:pPr>
              <w:spacing w:after="0"/>
              <w:rPr>
                <w:sz w:val="24"/>
                <w:szCs w:val="24"/>
                <w:color w:val="auto"/>
              </w:rPr>
            </w:pPr>
          </w:p>
        </w:tc>
        <w:tc>
          <w:tcPr>
            <w:tcW w:w="920" w:type="dxa"/>
            <w:vAlign w:val="bottom"/>
          </w:tcPr>
          <w:p>
            <w:pPr>
              <w:jc w:val="right"/>
              <w:ind w:right="472"/>
              <w:spacing w:after="0"/>
              <w:rPr>
                <w:sz w:val="20"/>
                <w:szCs w:val="20"/>
                <w:color w:val="auto"/>
              </w:rPr>
            </w:pPr>
            <w:r>
              <w:rPr>
                <w:rFonts w:ascii="Arial" w:cs="Arial" w:eastAsia="Arial" w:hAnsi="Arial"/>
                <w:sz w:val="18"/>
                <w:szCs w:val="18"/>
                <w:b w:val="1"/>
                <w:bCs w:val="1"/>
                <w:color w:val="auto"/>
                <w:w w:val="84"/>
              </w:rPr>
              <w:t>2009</w:t>
            </w:r>
          </w:p>
        </w:tc>
      </w:tr>
      <w:tr>
        <w:trPr>
          <w:trHeight w:val="110"/>
        </w:trPr>
        <w:tc>
          <w:tcPr>
            <w:tcW w:w="47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r>
        <w:trPr>
          <w:trHeight w:val="458"/>
        </w:trPr>
        <w:tc>
          <w:tcPr>
            <w:tcW w:w="4740" w:type="dxa"/>
            <w:vAlign w:val="bottom"/>
          </w:tcPr>
          <w:p>
            <w:pPr>
              <w:spacing w:after="0"/>
              <w:rPr>
                <w:sz w:val="20"/>
                <w:szCs w:val="20"/>
                <w:color w:val="auto"/>
              </w:rPr>
            </w:pPr>
            <w:r>
              <w:rPr>
                <w:rFonts w:ascii="Arial" w:cs="Arial" w:eastAsia="Arial" w:hAnsi="Arial"/>
                <w:sz w:val="18"/>
                <w:szCs w:val="18"/>
                <w:color w:val="auto"/>
              </w:rPr>
              <w:t>Revenues</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192.1</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228.7</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637.1</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682.7</w:t>
            </w:r>
          </w:p>
        </w:tc>
      </w:t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Operating income</w:t>
            </w:r>
          </w:p>
        </w:tc>
        <w:tc>
          <w:tcPr>
            <w:tcW w:w="158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6.9</w:t>
            </w:r>
          </w:p>
        </w:tc>
        <w:tc>
          <w:tcPr>
            <w:tcW w:w="400" w:type="dxa"/>
            <w:vAlign w:val="bottom"/>
          </w:tcPr>
          <w:p>
            <w:pPr>
              <w:spacing w:after="0"/>
              <w:rPr>
                <w:sz w:val="19"/>
                <w:szCs w:val="19"/>
                <w:color w:val="auto"/>
              </w:rPr>
            </w:pP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15.1</w:t>
            </w:r>
          </w:p>
        </w:tc>
        <w:tc>
          <w:tcPr>
            <w:tcW w:w="300" w:type="dxa"/>
            <w:vAlign w:val="bottom"/>
          </w:tcPr>
          <w:p>
            <w:pPr>
              <w:spacing w:after="0"/>
              <w:rPr>
                <w:sz w:val="19"/>
                <w:szCs w:val="19"/>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67.2</w:t>
            </w:r>
          </w:p>
        </w:tc>
        <w:tc>
          <w:tcPr>
            <w:tcW w:w="400" w:type="dxa"/>
            <w:vAlign w:val="bottom"/>
          </w:tcPr>
          <w:p>
            <w:pPr>
              <w:spacing w:after="0"/>
              <w:rPr>
                <w:sz w:val="19"/>
                <w:szCs w:val="19"/>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65.6</w:t>
            </w:r>
          </w:p>
        </w:tc>
      </w:tr>
      <w:tr>
        <w:trPr>
          <w:trHeight w:val="110"/>
        </w:trPr>
        <w:tc>
          <w:tcPr>
            <w:tcW w:w="47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r>
        <w:trPr>
          <w:trHeight w:val="464"/>
        </w:trPr>
        <w:tc>
          <w:tcPr>
            <w:tcW w:w="474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15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30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10.5%</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9.6%</w:t>
            </w:r>
          </w:p>
        </w:tc>
      </w:tr>
    </w:tbl>
    <w:p>
      <w:pPr>
        <w:spacing w:after="0" w:line="21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for the quarter ended February 28, 2010 decreased by $36.6 million, or 16.0%, to $192.1 million, compared to $228.7 million in the prior fiscal year quarter. This decline was due primarily to lower revenues in the Company’s trade business related to the prior year’s release of </w:t>
      </w:r>
      <w:r>
        <w:rPr>
          <w:rFonts w:ascii="Arial" w:cs="Arial" w:eastAsia="Arial" w:hAnsi="Arial"/>
          <w:sz w:val="16"/>
          <w:szCs w:val="16"/>
          <w:i w:val="1"/>
          <w:iCs w:val="1"/>
          <w:color w:val="auto"/>
        </w:rPr>
        <w:t>The Tales of Beedle the Bard,</w:t>
      </w:r>
      <w:r>
        <w:rPr>
          <w:rFonts w:ascii="Arial" w:cs="Arial" w:eastAsia="Arial" w:hAnsi="Arial"/>
          <w:sz w:val="16"/>
          <w:szCs w:val="16"/>
          <w:color w:val="auto"/>
        </w:rPr>
        <w:t xml:space="preserve"> as well as lower revenues in the Company’s book club business resulting from fewer orders. Revenues for the nine months ended February 28, 2010 decreased by $45.6 million to $637.1 million, compared to $682.7 million in the prior fiscal year period. This decrease was due to lower revenues in the Company’s book club business as well as in the Company’s trade business as noted above. These decreases were partially offset by improved results in the Company’s book fairs business.</w:t>
      </w:r>
    </w:p>
    <w:p>
      <w:pPr>
        <w:spacing w:after="0" w:line="174"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Segment operating income for the quarter ended February 28, 2010 decreased by $8.2 million, or 54.3%, to $6.9 million, compared to $15.1 million in the prior fiscal year quarter, principally due to the lower revenue in the Company’s book club business partially offset by reduced promotion expenses. Segment operating income for the nine months ended February 28, 2010 increased by $1.6 million, or 2.4%, to $67.2 million, compared to $65.6 million in the prior fiscal year period, principally due to the lower promotion costs in the current fiscal year period and higher bad debt expense recognized in the prior fiscal year period.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80" w:type="dxa"/>
            <w:vAlign w:val="bottom"/>
          </w:tcPr>
          <w:p>
            <w:pPr>
              <w:spacing w:after="0"/>
              <w:rPr>
                <w:sz w:val="20"/>
                <w:szCs w:val="20"/>
                <w:color w:val="auto"/>
              </w:rPr>
            </w:pPr>
            <w:r>
              <w:rPr>
                <w:rFonts w:ascii="Arial" w:cs="Arial" w:eastAsia="Arial" w:hAnsi="Arial"/>
                <w:sz w:val="18"/>
                <w:szCs w:val="18"/>
                <w:b w:val="1"/>
                <w:bCs w:val="1"/>
                <w:i w:val="1"/>
                <w:iCs w:val="1"/>
                <w:color w:val="auto"/>
              </w:rPr>
              <w:t>Educational Publishing</w:t>
            </w:r>
          </w:p>
        </w:tc>
        <w:tc>
          <w:tcPr>
            <w:tcW w:w="3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9"/>
        </w:trPr>
        <w:tc>
          <w:tcPr>
            <w:tcW w:w="3680" w:type="dxa"/>
            <w:vAlign w:val="bottom"/>
          </w:tcPr>
          <w:p>
            <w:pPr>
              <w:spacing w:after="0"/>
              <w:rPr>
                <w:sz w:val="24"/>
                <w:szCs w:val="24"/>
                <w:color w:val="auto"/>
              </w:rPr>
            </w:pPr>
          </w:p>
        </w:tc>
        <w:tc>
          <w:tcPr>
            <w:tcW w:w="4480" w:type="dxa"/>
            <w:vAlign w:val="bottom"/>
            <w:gridSpan w:val="3"/>
          </w:tcPr>
          <w:p>
            <w:pPr>
              <w:jc w:val="center"/>
              <w:ind w:left="2672"/>
              <w:spacing w:after="0"/>
              <w:rPr>
                <w:sz w:val="20"/>
                <w:szCs w:val="20"/>
                <w:color w:val="auto"/>
              </w:rPr>
            </w:pPr>
            <w:r>
              <w:rPr>
                <w:rFonts w:ascii="Arial" w:cs="Arial" w:eastAsia="Arial" w:hAnsi="Arial"/>
                <w:sz w:val="18"/>
                <w:szCs w:val="18"/>
                <w:b w:val="1"/>
                <w:bCs w:val="1"/>
                <w:i w:val="1"/>
                <w:iCs w:val="1"/>
                <w:color w:val="auto"/>
                <w:w w:val="83"/>
              </w:rPr>
              <w:t>Three months ended</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0" w:type="dxa"/>
            <w:vAlign w:val="bottom"/>
            <w:gridSpan w:val="3"/>
          </w:tcPr>
          <w:p>
            <w:pPr>
              <w:jc w:val="center"/>
              <w:ind w:right="332"/>
              <w:spacing w:after="0"/>
              <w:rPr>
                <w:sz w:val="20"/>
                <w:szCs w:val="20"/>
                <w:color w:val="auto"/>
              </w:rPr>
            </w:pPr>
            <w:r>
              <w:rPr>
                <w:rFonts w:ascii="Arial" w:cs="Arial" w:eastAsia="Arial" w:hAnsi="Arial"/>
                <w:sz w:val="18"/>
                <w:szCs w:val="18"/>
                <w:b w:val="1"/>
                <w:bCs w:val="1"/>
                <w:i w:val="1"/>
                <w:iCs w:val="1"/>
                <w:color w:val="auto"/>
                <w:w w:val="84"/>
              </w:rPr>
              <w:t>Nine months ended</w:t>
            </w:r>
          </w:p>
        </w:tc>
        <w:tc>
          <w:tcPr>
            <w:tcW w:w="20" w:type="dxa"/>
            <w:vAlign w:val="bottom"/>
          </w:tcPr>
          <w:p>
            <w:pPr>
              <w:spacing w:after="0"/>
              <w:rPr>
                <w:sz w:val="24"/>
                <w:szCs w:val="24"/>
                <w:color w:val="auto"/>
              </w:rPr>
            </w:pPr>
          </w:p>
        </w:tc>
      </w:tr>
      <w:tr>
        <w:trPr>
          <w:trHeight w:val="222"/>
        </w:trPr>
        <w:tc>
          <w:tcPr>
            <w:tcW w:w="368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3120" w:type="dxa"/>
            <w:vAlign w:val="bottom"/>
          </w:tcPr>
          <w:p>
            <w:pPr>
              <w:spacing w:after="0"/>
              <w:rPr>
                <w:sz w:val="19"/>
                <w:szCs w:val="19"/>
                <w:color w:val="auto"/>
              </w:rPr>
            </w:pPr>
          </w:p>
        </w:tc>
        <w:tc>
          <w:tcPr>
            <w:tcW w:w="1360" w:type="dxa"/>
            <w:vAlign w:val="bottom"/>
            <w:gridSpan w:val="2"/>
          </w:tcPr>
          <w:p>
            <w:pPr>
              <w:jc w:val="center"/>
              <w:ind w:right="272"/>
              <w:spacing w:after="0"/>
              <w:rPr>
                <w:sz w:val="20"/>
                <w:szCs w:val="20"/>
                <w:color w:val="auto"/>
              </w:rPr>
            </w:pPr>
            <w:r>
              <w:rPr>
                <w:rFonts w:ascii="Arial" w:cs="Arial" w:eastAsia="Arial" w:hAnsi="Arial"/>
                <w:sz w:val="18"/>
                <w:szCs w:val="18"/>
                <w:b w:val="1"/>
                <w:bCs w:val="1"/>
                <w:i w:val="1"/>
                <w:iCs w:val="1"/>
                <w:color w:val="auto"/>
                <w:w w:val="89"/>
              </w:rPr>
              <w:t>February 28,</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center"/>
              <w:ind w:left="412"/>
              <w:spacing w:after="0"/>
              <w:rPr>
                <w:sz w:val="20"/>
                <w:szCs w:val="20"/>
                <w:color w:val="auto"/>
              </w:rPr>
            </w:pPr>
            <w:r>
              <w:rPr>
                <w:rFonts w:ascii="Arial" w:cs="Arial" w:eastAsia="Arial" w:hAnsi="Arial"/>
                <w:sz w:val="18"/>
                <w:szCs w:val="18"/>
                <w:b w:val="1"/>
                <w:bCs w:val="1"/>
                <w:i w:val="1"/>
                <w:iCs w:val="1"/>
                <w:color w:val="auto"/>
                <w:w w:val="87"/>
              </w:rPr>
              <w:t>February 28,</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0"/>
        </w:trPr>
        <w:tc>
          <w:tcPr>
            <w:tcW w:w="3680" w:type="dxa"/>
            <w:vAlign w:val="bottom"/>
            <w:tcBorders>
              <w:bottom w:val="single" w:sz="8" w:color="808080"/>
            </w:tcBorders>
          </w:tcPr>
          <w:p>
            <w:pPr>
              <w:spacing w:after="0"/>
              <w:rPr>
                <w:sz w:val="9"/>
                <w:szCs w:val="9"/>
                <w:color w:val="auto"/>
              </w:rPr>
            </w:pPr>
          </w:p>
        </w:tc>
        <w:tc>
          <w:tcPr>
            <w:tcW w:w="3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3680" w:type="dxa"/>
            <w:vAlign w:val="bottom"/>
          </w:tcPr>
          <w:p>
            <w:pPr>
              <w:spacing w:after="0"/>
              <w:rPr>
                <w:sz w:val="24"/>
                <w:szCs w:val="24"/>
                <w:color w:val="auto"/>
              </w:rPr>
            </w:pP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5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512"/>
              <w:spacing w:after="0"/>
              <w:rPr>
                <w:sz w:val="20"/>
                <w:szCs w:val="20"/>
                <w:color w:val="auto"/>
              </w:rPr>
            </w:pPr>
            <w:r>
              <w:rPr>
                <w:rFonts w:ascii="Arial" w:cs="Arial" w:eastAsia="Arial" w:hAnsi="Arial"/>
                <w:sz w:val="18"/>
                <w:szCs w:val="18"/>
                <w:b w:val="1"/>
                <w:bCs w:val="1"/>
                <w:color w:val="auto"/>
              </w:rPr>
              <w:t>2010</w:t>
            </w:r>
          </w:p>
        </w:tc>
        <w:tc>
          <w:tcPr>
            <w:tcW w:w="400" w:type="dxa"/>
            <w:vAlign w:val="bottom"/>
          </w:tcPr>
          <w:p>
            <w:pPr>
              <w:spacing w:after="0"/>
              <w:rPr>
                <w:sz w:val="24"/>
                <w:szCs w:val="24"/>
                <w:color w:val="auto"/>
              </w:rPr>
            </w:pPr>
          </w:p>
        </w:tc>
        <w:tc>
          <w:tcPr>
            <w:tcW w:w="920" w:type="dxa"/>
            <w:vAlign w:val="bottom"/>
          </w:tcPr>
          <w:p>
            <w:pPr>
              <w:jc w:val="right"/>
              <w:ind w:right="472"/>
              <w:spacing w:after="0"/>
              <w:rPr>
                <w:sz w:val="20"/>
                <w:szCs w:val="20"/>
                <w:color w:val="auto"/>
              </w:rPr>
            </w:pPr>
            <w:r>
              <w:rPr>
                <w:rFonts w:ascii="Arial" w:cs="Arial" w:eastAsia="Arial" w:hAnsi="Arial"/>
                <w:sz w:val="18"/>
                <w:szCs w:val="18"/>
                <w:b w:val="1"/>
                <w:bCs w:val="1"/>
                <w:color w:val="auto"/>
                <w:w w:val="84"/>
              </w:rPr>
              <w:t>2009</w:t>
            </w:r>
          </w:p>
        </w:tc>
        <w:tc>
          <w:tcPr>
            <w:tcW w:w="20" w:type="dxa"/>
            <w:vAlign w:val="bottom"/>
          </w:tcPr>
          <w:p>
            <w:pPr>
              <w:spacing w:after="0"/>
              <w:rPr>
                <w:sz w:val="24"/>
                <w:szCs w:val="24"/>
                <w:color w:val="auto"/>
              </w:rPr>
            </w:pPr>
          </w:p>
        </w:tc>
      </w:tr>
      <w:tr>
        <w:trPr>
          <w:trHeight w:val="110"/>
        </w:trPr>
        <w:tc>
          <w:tcPr>
            <w:tcW w:w="3680" w:type="dxa"/>
            <w:vAlign w:val="bottom"/>
            <w:tcBorders>
              <w:bottom w:val="single" w:sz="8" w:color="808080"/>
            </w:tcBorders>
          </w:tcPr>
          <w:p>
            <w:pPr>
              <w:spacing w:after="0"/>
              <w:rPr>
                <w:sz w:val="9"/>
                <w:szCs w:val="9"/>
                <w:color w:val="auto"/>
              </w:rPr>
            </w:pPr>
          </w:p>
        </w:tc>
        <w:tc>
          <w:tcPr>
            <w:tcW w:w="3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8"/>
        </w:trPr>
        <w:tc>
          <w:tcPr>
            <w:tcW w:w="3680" w:type="dxa"/>
            <w:vAlign w:val="bottom"/>
          </w:tcPr>
          <w:p>
            <w:pPr>
              <w:spacing w:after="0"/>
              <w:rPr>
                <w:sz w:val="20"/>
                <w:szCs w:val="20"/>
                <w:color w:val="auto"/>
              </w:rPr>
            </w:pPr>
            <w:r>
              <w:rPr>
                <w:rFonts w:ascii="Arial" w:cs="Arial" w:eastAsia="Arial" w:hAnsi="Arial"/>
                <w:sz w:val="18"/>
                <w:szCs w:val="18"/>
                <w:color w:val="auto"/>
              </w:rPr>
              <w:t>Revenues</w:t>
            </w:r>
          </w:p>
        </w:tc>
        <w:tc>
          <w:tcPr>
            <w:tcW w:w="312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88.0</w:t>
            </w:r>
          </w:p>
        </w:tc>
        <w:tc>
          <w:tcPr>
            <w:tcW w:w="78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74.7</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359.3</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280.8</w:t>
            </w:r>
          </w:p>
        </w:tc>
        <w:tc>
          <w:tcPr>
            <w:tcW w:w="20" w:type="dxa"/>
            <w:vAlign w:val="bottom"/>
          </w:tcPr>
          <w:p>
            <w:pPr>
              <w:spacing w:after="0"/>
              <w:rPr>
                <w:sz w:val="24"/>
                <w:szCs w:val="24"/>
                <w:color w:val="auto"/>
              </w:rPr>
            </w:pPr>
          </w:p>
        </w:tc>
      </w:t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Operating income</w:t>
            </w:r>
          </w:p>
        </w:tc>
        <w:tc>
          <w:tcPr>
            <w:tcW w:w="3120" w:type="dxa"/>
            <w:vAlign w:val="bottom"/>
          </w:tcPr>
          <w:p>
            <w:pPr>
              <w:spacing w:after="0"/>
              <w:rPr>
                <w:sz w:val="19"/>
                <w:szCs w:val="19"/>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8.3</w:t>
            </w:r>
          </w:p>
        </w:tc>
        <w:tc>
          <w:tcPr>
            <w:tcW w:w="780" w:type="dxa"/>
            <w:vAlign w:val="bottom"/>
          </w:tcPr>
          <w:p>
            <w:pPr>
              <w:spacing w:after="0"/>
              <w:rPr>
                <w:sz w:val="19"/>
                <w:szCs w:val="19"/>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9"/>
                <w:szCs w:val="19"/>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45.5</w:t>
            </w:r>
          </w:p>
        </w:tc>
        <w:tc>
          <w:tcPr>
            <w:tcW w:w="400" w:type="dxa"/>
            <w:vAlign w:val="bottom"/>
          </w:tcPr>
          <w:p>
            <w:pPr>
              <w:spacing w:after="0"/>
              <w:rPr>
                <w:sz w:val="19"/>
                <w:szCs w:val="19"/>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36.2</w:t>
            </w:r>
          </w:p>
        </w:tc>
        <w:tc>
          <w:tcPr>
            <w:tcW w:w="20" w:type="dxa"/>
            <w:vAlign w:val="bottom"/>
          </w:tcPr>
          <w:p>
            <w:pPr>
              <w:spacing w:after="0"/>
              <w:rPr>
                <w:sz w:val="19"/>
                <w:szCs w:val="19"/>
                <w:color w:val="auto"/>
              </w:rPr>
            </w:pPr>
          </w:p>
        </w:tc>
      </w:tr>
      <w:tr>
        <w:trPr>
          <w:trHeight w:val="110"/>
        </w:trPr>
        <w:tc>
          <w:tcPr>
            <w:tcW w:w="3680" w:type="dxa"/>
            <w:vAlign w:val="bottom"/>
            <w:tcBorders>
              <w:bottom w:val="single" w:sz="8" w:color="808080"/>
            </w:tcBorders>
          </w:tcPr>
          <w:p>
            <w:pPr>
              <w:spacing w:after="0"/>
              <w:rPr>
                <w:sz w:val="9"/>
                <w:szCs w:val="9"/>
                <w:color w:val="auto"/>
              </w:rPr>
            </w:pPr>
          </w:p>
        </w:tc>
        <w:tc>
          <w:tcPr>
            <w:tcW w:w="3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368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3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9.4%</w:t>
            </w:r>
          </w:p>
        </w:tc>
        <w:tc>
          <w:tcPr>
            <w:tcW w:w="7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30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12.7%</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20" w:type="dxa"/>
            <w:vAlign w:val="bottom"/>
          </w:tcPr>
          <w:p>
            <w:pPr>
              <w:spacing w:after="0"/>
              <w:rPr>
                <w:sz w:val="24"/>
                <w:szCs w:val="24"/>
                <w:color w:val="auto"/>
              </w:rPr>
            </w:pPr>
          </w:p>
        </w:tc>
      </w:tr>
      <w:tr>
        <w:trPr>
          <w:trHeight w:val="432"/>
        </w:trPr>
        <w:tc>
          <w:tcPr>
            <w:tcW w:w="3680" w:type="dxa"/>
            <w:vAlign w:val="bottom"/>
          </w:tcPr>
          <w:p>
            <w:pPr>
              <w:spacing w:after="0"/>
              <w:rPr>
                <w:sz w:val="24"/>
                <w:szCs w:val="24"/>
                <w:color w:val="auto"/>
              </w:rPr>
            </w:pPr>
          </w:p>
        </w:tc>
        <w:tc>
          <w:tcPr>
            <w:tcW w:w="3120" w:type="dxa"/>
            <w:vAlign w:val="bottom"/>
          </w:tcPr>
          <w:p>
            <w:pPr>
              <w:jc w:val="right"/>
              <w:ind w:right="912"/>
              <w:spacing w:after="0"/>
              <w:rPr>
                <w:sz w:val="20"/>
                <w:szCs w:val="20"/>
                <w:color w:val="auto"/>
              </w:rPr>
            </w:pPr>
            <w:r>
              <w:rPr>
                <w:rFonts w:ascii="Arial" w:cs="Arial" w:eastAsia="Arial" w:hAnsi="Arial"/>
                <w:sz w:val="18"/>
                <w:szCs w:val="18"/>
                <w:color w:val="auto"/>
              </w:rPr>
              <w:t>23</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36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3680" w:type="dxa"/>
            <w:vAlign w:val="bottom"/>
            <w:shd w:val="clear" w:color="auto" w:fill="808080"/>
          </w:tcPr>
          <w:p>
            <w:pPr>
              <w:spacing w:after="0"/>
              <w:rPr>
                <w:sz w:val="5"/>
                <w:szCs w:val="5"/>
                <w:color w:val="auto"/>
              </w:rPr>
            </w:pPr>
          </w:p>
        </w:tc>
        <w:tc>
          <w:tcPr>
            <w:tcW w:w="31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82" w:right="1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300"/>
        <w:spacing w:after="0" w:line="283"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 for the quarter ended February 28, 2010 increased by $13.3 million, or 17.8%, to $88.0 million, compared to $74.7 million in the prior fiscal year quarter. This increase was principally driven by higher sales of educational technology products and related services of approximately $9 million in the third quarter. Segment revenues for the nine months ended February 28, 2010 increased by $78.5 million, or 28.0%, to $359.3 million, compared to $280.8 million in the prior fiscal year period. This increase was principally driven by higher revenues of approximately $71 million from</w:t>
      </w:r>
    </w:p>
    <w:p>
      <w:pPr>
        <w:spacing w:after="0" w:line="3" w:lineRule="exact"/>
        <w:rPr>
          <w:sz w:val="20"/>
          <w:szCs w:val="20"/>
          <w:color w:val="auto"/>
        </w:rPr>
      </w:pPr>
    </w:p>
    <w:p>
      <w:pPr>
        <w:ind w:right="180"/>
        <w:spacing w:after="0" w:line="221" w:lineRule="auto"/>
        <w:rPr>
          <w:sz w:val="20"/>
          <w:szCs w:val="20"/>
          <w:color w:val="auto"/>
        </w:rPr>
      </w:pPr>
      <w:r>
        <w:rPr>
          <w:rFonts w:ascii="Arial" w:cs="Arial" w:eastAsia="Arial" w:hAnsi="Arial"/>
          <w:sz w:val="18"/>
          <w:szCs w:val="18"/>
          <w:color w:val="auto"/>
        </w:rPr>
        <w:t xml:space="preserve">sales of READ 180 </w:t>
      </w:r>
      <w:r>
        <w:rPr>
          <w:rFonts w:ascii="Arial" w:cs="Arial" w:eastAsia="Arial" w:hAnsi="Arial"/>
          <w:sz w:val="29"/>
          <w:szCs w:val="29"/>
          <w:color w:val="auto"/>
          <w:vertAlign w:val="superscript"/>
        </w:rPr>
        <w:t>®</w:t>
      </w:r>
      <w:r>
        <w:rPr>
          <w:rFonts w:ascii="Arial" w:cs="Arial" w:eastAsia="Arial" w:hAnsi="Arial"/>
          <w:sz w:val="18"/>
          <w:szCs w:val="18"/>
          <w:color w:val="auto"/>
        </w:rPr>
        <w:t>, System 44 and other technology products and related services along with new adoptions, in particular the California adoption of READ 180 and System 44, as well as the impact of the federal economic stimulus funding for education, which began to reach school districts in the first quarter ended August 31, 2009.</w:t>
      </w:r>
    </w:p>
    <w:p>
      <w:pPr>
        <w:spacing w:after="0" w:line="21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 xml:space="preserve">Segment operating income for the quarter ended February 28, 2010 increased by $7.4 million to $8.3 million, as compared to $0.9 million in the prior fiscal year quarter. This increase is primarily related to the increase in revenue noted above. Segment operating income for the nine months ended February 28, 2010 increased by $9.3 million, or 25.7%, to $45.5 million, compared to $36.2 million in the prior fiscal year period. This increase is primarily due to the increase in revenues from education technology sales, partially offset by the asset impairment charge of $36.3 million recorded in the second quarter in connection with the Company’s decision to consolidate supplemental non-fiction and library publishing activities into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2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2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39"/>
        </w:trPr>
        <w:tc>
          <w:tcPr>
            <w:tcW w:w="3920" w:type="dxa"/>
            <w:vAlign w:val="bottom"/>
          </w:tcPr>
          <w:p>
            <w:pPr>
              <w:spacing w:after="0"/>
              <w:rPr>
                <w:sz w:val="24"/>
                <w:szCs w:val="24"/>
                <w:color w:val="auto"/>
              </w:rPr>
            </w:pPr>
          </w:p>
        </w:tc>
        <w:tc>
          <w:tcPr>
            <w:tcW w:w="4800" w:type="dxa"/>
            <w:vAlign w:val="bottom"/>
            <w:gridSpan w:val="4"/>
          </w:tcPr>
          <w:p>
            <w:pPr>
              <w:jc w:val="center"/>
              <w:ind w:left="1952"/>
              <w:spacing w:after="0"/>
              <w:rPr>
                <w:sz w:val="20"/>
                <w:szCs w:val="20"/>
                <w:color w:val="auto"/>
              </w:rPr>
            </w:pPr>
            <w:r>
              <w:rPr>
                <w:rFonts w:ascii="Arial" w:cs="Arial" w:eastAsia="Arial" w:hAnsi="Arial"/>
                <w:sz w:val="18"/>
                <w:szCs w:val="18"/>
                <w:b w:val="1"/>
                <w:bCs w:val="1"/>
                <w:i w:val="1"/>
                <w:iCs w:val="1"/>
                <w:color w:val="auto"/>
                <w:w w:val="83"/>
              </w:rPr>
              <w:t>Three months ended</w:t>
            </w:r>
          </w:p>
        </w:tc>
        <w:tc>
          <w:tcPr>
            <w:tcW w:w="360" w:type="dxa"/>
            <w:vAlign w:val="bottom"/>
          </w:tcPr>
          <w:p>
            <w:pPr>
              <w:spacing w:after="0"/>
              <w:rPr>
                <w:sz w:val="24"/>
                <w:szCs w:val="24"/>
                <w:color w:val="auto"/>
              </w:rPr>
            </w:pPr>
          </w:p>
        </w:tc>
        <w:tc>
          <w:tcPr>
            <w:tcW w:w="2360" w:type="dxa"/>
            <w:vAlign w:val="bottom"/>
            <w:gridSpan w:val="3"/>
          </w:tcPr>
          <w:p>
            <w:pPr>
              <w:jc w:val="center"/>
              <w:ind w:right="272"/>
              <w:spacing w:after="0"/>
              <w:rPr>
                <w:sz w:val="20"/>
                <w:szCs w:val="20"/>
                <w:color w:val="auto"/>
              </w:rPr>
            </w:pPr>
            <w:r>
              <w:rPr>
                <w:rFonts w:ascii="Arial" w:cs="Arial" w:eastAsia="Arial" w:hAnsi="Arial"/>
                <w:sz w:val="18"/>
                <w:szCs w:val="18"/>
                <w:b w:val="1"/>
                <w:bCs w:val="1"/>
                <w:i w:val="1"/>
                <w:iCs w:val="1"/>
                <w:color w:val="auto"/>
                <w:w w:val="83"/>
              </w:rPr>
              <w:t>Nine months ended</w:t>
            </w:r>
          </w:p>
        </w:tc>
      </w:tr>
      <w:tr>
        <w:trPr>
          <w:trHeight w:val="222"/>
        </w:trPr>
        <w:tc>
          <w:tcPr>
            <w:tcW w:w="392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2920" w:type="dxa"/>
            <w:vAlign w:val="bottom"/>
          </w:tcPr>
          <w:p>
            <w:pPr>
              <w:spacing w:after="0"/>
              <w:rPr>
                <w:sz w:val="19"/>
                <w:szCs w:val="19"/>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7"/>
              </w:rPr>
              <w:t>February 28,</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center"/>
              <w:ind w:left="412"/>
              <w:spacing w:after="0"/>
              <w:rPr>
                <w:sz w:val="20"/>
                <w:szCs w:val="20"/>
                <w:color w:val="auto"/>
              </w:rPr>
            </w:pPr>
            <w:r>
              <w:rPr>
                <w:rFonts w:ascii="Arial" w:cs="Arial" w:eastAsia="Arial" w:hAnsi="Arial"/>
                <w:sz w:val="18"/>
                <w:szCs w:val="18"/>
                <w:b w:val="1"/>
                <w:bCs w:val="1"/>
                <w:i w:val="1"/>
                <w:iCs w:val="1"/>
                <w:color w:val="auto"/>
                <w:w w:val="89"/>
              </w:rPr>
              <w:t>February 28,</w:t>
            </w:r>
          </w:p>
        </w:tc>
        <w:tc>
          <w:tcPr>
            <w:tcW w:w="860" w:type="dxa"/>
            <w:vAlign w:val="bottom"/>
          </w:tcPr>
          <w:p>
            <w:pPr>
              <w:spacing w:after="0"/>
              <w:rPr>
                <w:sz w:val="19"/>
                <w:szCs w:val="19"/>
                <w:color w:val="auto"/>
              </w:rPr>
            </w:pPr>
          </w:p>
        </w:tc>
      </w:tr>
      <w:tr>
        <w:trPr>
          <w:trHeight w:val="110"/>
        </w:trPr>
        <w:tc>
          <w:tcPr>
            <w:tcW w:w="392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316"/>
        </w:trPr>
        <w:tc>
          <w:tcPr>
            <w:tcW w:w="3920" w:type="dxa"/>
            <w:vAlign w:val="bottom"/>
          </w:tcPr>
          <w:p>
            <w:pPr>
              <w:spacing w:after="0"/>
              <w:rPr>
                <w:sz w:val="24"/>
                <w:szCs w:val="24"/>
                <w:color w:val="auto"/>
              </w:rPr>
            </w:pP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ind w:right="432"/>
              <w:spacing w:after="0"/>
              <w:rPr>
                <w:sz w:val="20"/>
                <w:szCs w:val="20"/>
                <w:color w:val="auto"/>
              </w:rPr>
            </w:pPr>
            <w:r>
              <w:rPr>
                <w:rFonts w:ascii="Arial" w:cs="Arial" w:eastAsia="Arial" w:hAnsi="Arial"/>
                <w:sz w:val="18"/>
                <w:szCs w:val="18"/>
                <w:b w:val="1"/>
                <w:bCs w:val="1"/>
                <w:color w:val="auto"/>
                <w:w w:val="89"/>
              </w:rPr>
              <w:t>2009</w:t>
            </w:r>
          </w:p>
        </w:tc>
        <w:tc>
          <w:tcPr>
            <w:tcW w:w="360" w:type="dxa"/>
            <w:vAlign w:val="bottom"/>
          </w:tcPr>
          <w:p>
            <w:pPr>
              <w:spacing w:after="0"/>
              <w:rPr>
                <w:sz w:val="24"/>
                <w:szCs w:val="24"/>
                <w:color w:val="auto"/>
              </w:rPr>
            </w:pPr>
          </w:p>
        </w:tc>
        <w:tc>
          <w:tcPr>
            <w:tcW w:w="1080" w:type="dxa"/>
            <w:vAlign w:val="bottom"/>
          </w:tcPr>
          <w:p>
            <w:pPr>
              <w:jc w:val="right"/>
              <w:ind w:right="512"/>
              <w:spacing w:after="0"/>
              <w:rPr>
                <w:sz w:val="20"/>
                <w:szCs w:val="20"/>
                <w:color w:val="auto"/>
              </w:rPr>
            </w:pPr>
            <w:r>
              <w:rPr>
                <w:rFonts w:ascii="Arial" w:cs="Arial" w:eastAsia="Arial" w:hAnsi="Arial"/>
                <w:sz w:val="18"/>
                <w:szCs w:val="18"/>
                <w:b w:val="1"/>
                <w:bCs w:val="1"/>
                <w:color w:val="auto"/>
              </w:rPr>
              <w:t>2010</w:t>
            </w:r>
          </w:p>
        </w:tc>
        <w:tc>
          <w:tcPr>
            <w:tcW w:w="420" w:type="dxa"/>
            <w:vAlign w:val="bottom"/>
          </w:tcPr>
          <w:p>
            <w:pPr>
              <w:spacing w:after="0"/>
              <w:rPr>
                <w:sz w:val="24"/>
                <w:szCs w:val="24"/>
                <w:color w:val="auto"/>
              </w:rPr>
            </w:pPr>
          </w:p>
        </w:tc>
        <w:tc>
          <w:tcPr>
            <w:tcW w:w="860" w:type="dxa"/>
            <w:vAlign w:val="bottom"/>
          </w:tcPr>
          <w:p>
            <w:pPr>
              <w:jc w:val="right"/>
              <w:ind w:right="412"/>
              <w:spacing w:after="0"/>
              <w:rPr>
                <w:sz w:val="20"/>
                <w:szCs w:val="20"/>
                <w:color w:val="auto"/>
              </w:rPr>
            </w:pPr>
            <w:r>
              <w:rPr>
                <w:rFonts w:ascii="Arial" w:cs="Arial" w:eastAsia="Arial" w:hAnsi="Arial"/>
                <w:sz w:val="18"/>
                <w:szCs w:val="18"/>
                <w:b w:val="1"/>
                <w:bCs w:val="1"/>
                <w:color w:val="auto"/>
                <w:w w:val="84"/>
              </w:rPr>
              <w:t>2009</w:t>
            </w:r>
          </w:p>
        </w:tc>
      </w:tr>
      <w:tr>
        <w:trPr>
          <w:trHeight w:val="110"/>
        </w:trPr>
        <w:tc>
          <w:tcPr>
            <w:tcW w:w="392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458"/>
        </w:trPr>
        <w:tc>
          <w:tcPr>
            <w:tcW w:w="3920" w:type="dxa"/>
            <w:vAlign w:val="bottom"/>
          </w:tcPr>
          <w:p>
            <w:pPr>
              <w:spacing w:after="0"/>
              <w:rPr>
                <w:sz w:val="20"/>
                <w:szCs w:val="20"/>
                <w:color w:val="auto"/>
              </w:rPr>
            </w:pPr>
            <w:r>
              <w:rPr>
                <w:rFonts w:ascii="Arial" w:cs="Arial" w:eastAsia="Arial" w:hAnsi="Arial"/>
                <w:sz w:val="18"/>
                <w:szCs w:val="18"/>
                <w:color w:val="auto"/>
              </w:rPr>
              <w:t>Revenues</w:t>
            </w:r>
          </w:p>
        </w:tc>
        <w:tc>
          <w:tcPr>
            <w:tcW w:w="292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88.7</w:t>
            </w:r>
          </w:p>
        </w:tc>
        <w:tc>
          <w:tcPr>
            <w:tcW w:w="4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87.3</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295.2</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293.4</w:t>
            </w: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Operating loss (income)</w:t>
            </w:r>
          </w:p>
        </w:tc>
        <w:tc>
          <w:tcPr>
            <w:tcW w:w="2920" w:type="dxa"/>
            <w:vAlign w:val="bottom"/>
          </w:tcPr>
          <w:p>
            <w:pPr>
              <w:spacing w:after="0"/>
              <w:rPr>
                <w:sz w:val="19"/>
                <w:szCs w:val="19"/>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w w:val="97"/>
              </w:rPr>
              <w:t>(0.2)</w:t>
            </w:r>
          </w:p>
        </w:tc>
        <w:tc>
          <w:tcPr>
            <w:tcW w:w="46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(13.7)</w:t>
            </w:r>
          </w:p>
        </w:tc>
        <w:tc>
          <w:tcPr>
            <w:tcW w:w="360" w:type="dxa"/>
            <w:vAlign w:val="bottom"/>
          </w:tcPr>
          <w:p>
            <w:pPr>
              <w:spacing w:after="0"/>
              <w:rPr>
                <w:sz w:val="19"/>
                <w:szCs w:val="19"/>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12.7</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110"/>
        </w:trPr>
        <w:tc>
          <w:tcPr>
            <w:tcW w:w="392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464"/>
        </w:trPr>
        <w:tc>
          <w:tcPr>
            <w:tcW w:w="392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2920" w:type="dxa"/>
            <w:vAlign w:val="bottom"/>
          </w:tcPr>
          <w:p>
            <w:pPr>
              <w:spacing w:after="0"/>
              <w:rPr>
                <w:sz w:val="24"/>
                <w:szCs w:val="24"/>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4"/>
                <w:szCs w:val="24"/>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420" w:type="dxa"/>
            <w:vAlign w:val="bottom"/>
          </w:tcPr>
          <w:p>
            <w:pPr>
              <w:spacing w:after="0"/>
              <w:rPr>
                <w:sz w:val="24"/>
                <w:szCs w:val="24"/>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r>
      <w:tr>
        <w:trPr>
          <w:trHeight w:val="365"/>
        </w:trPr>
        <w:tc>
          <w:tcPr>
            <w:tcW w:w="3920" w:type="dxa"/>
            <w:vAlign w:val="bottom"/>
          </w:tcPr>
          <w:p>
            <w:pPr>
              <w:ind w:left="160"/>
              <w:spacing w:after="0"/>
              <w:rPr>
                <w:sz w:val="20"/>
                <w:szCs w:val="20"/>
                <w:color w:val="auto"/>
              </w:rPr>
            </w:pPr>
            <w:r>
              <w:rPr>
                <w:rFonts w:ascii="Arial" w:cs="Arial" w:eastAsia="Arial" w:hAnsi="Arial"/>
                <w:sz w:val="18"/>
                <w:szCs w:val="18"/>
                <w:color w:val="auto"/>
              </w:rPr>
              <w:t>* Not meaningful</w:t>
            </w:r>
          </w:p>
        </w:tc>
        <w:tc>
          <w:tcPr>
            <w:tcW w:w="2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1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 for the quarter ended February 28, 2010 increased by $1.4 million, or 1.6%, to $88.7 million, compared to $87.3 million in the prior fiscal year quarter, primarily due to a favorable impact of foreign currency exchange rates of $11.5 million, partially offset by lower revenues in the Company’s Canadian operation of $8.2 million. Segment revenues for the nine months ended February 28, 2010 increased by $1.8 million to $295.2 million, compared to $293.4 million in the prior fiscal year period, primarily due to the favorable impact of foreign currency exchange rates of $12.8 million, partially offset by lower revenues in the Company’s Canadian and United Kingdom operations of $6.6 million and $4.2 million, respectively.</w:t>
      </w:r>
    </w:p>
    <w:p>
      <w:pPr>
        <w:spacing w:after="0" w:line="17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Segment operating loss for the quarter ended February 28, 2010 decreased by $13.5 million to a loss of $0.2 million compared to a loss of $13.7 million in the prior fiscal year quarter, primarily due to the prior year quarter impairment charge of $17.0 million, partially offset by lower operating results in the Company’s Canadian operation. Segment operating income for the nine months ended February 28, 2010 was $12.7 million compared to an operating loss of $3.0 million for the nine months ended February 28, 2009. The $15.7 million change is primarily related to the prior year impairment charge of $17.0 million and the favorable impact of foreign currency exchange rates of $6.5 million, partially offset by an impairment charge of $3.8 million related to a customer list acquired in connection with the dissolution of a joint venture and $4.1 million of restructuring charges related to the Company’s United Kingdom operations in the current fiscal year period.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00" w:type="dxa"/>
            <w:vAlign w:val="bottom"/>
          </w:tcPr>
          <w:p>
            <w:pPr>
              <w:spacing w:after="0"/>
              <w:rPr>
                <w:sz w:val="20"/>
                <w:szCs w:val="20"/>
                <w:color w:val="auto"/>
              </w:rPr>
            </w:pPr>
            <w:r>
              <w:rPr>
                <w:rFonts w:ascii="Arial" w:cs="Arial" w:eastAsia="Arial" w:hAnsi="Arial"/>
                <w:sz w:val="18"/>
                <w:szCs w:val="18"/>
                <w:b w:val="1"/>
                <w:bCs w:val="1"/>
                <w:i w:val="1"/>
                <w:iCs w:val="1"/>
                <w:color w:val="auto"/>
              </w:rPr>
              <w:t>Media, Licensing and Advertising</w:t>
            </w:r>
          </w:p>
        </w:tc>
        <w:tc>
          <w:tcPr>
            <w:tcW w:w="2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39"/>
        </w:trPr>
        <w:tc>
          <w:tcPr>
            <w:tcW w:w="4300" w:type="dxa"/>
            <w:vAlign w:val="bottom"/>
          </w:tcPr>
          <w:p>
            <w:pPr>
              <w:spacing w:after="0"/>
              <w:rPr>
                <w:sz w:val="24"/>
                <w:szCs w:val="24"/>
                <w:color w:val="auto"/>
              </w:rPr>
            </w:pPr>
          </w:p>
        </w:tc>
        <w:tc>
          <w:tcPr>
            <w:tcW w:w="3900" w:type="dxa"/>
            <w:vAlign w:val="bottom"/>
            <w:gridSpan w:val="3"/>
          </w:tcPr>
          <w:p>
            <w:pPr>
              <w:jc w:val="center"/>
              <w:ind w:left="2092"/>
              <w:spacing w:after="0"/>
              <w:rPr>
                <w:sz w:val="20"/>
                <w:szCs w:val="20"/>
                <w:color w:val="auto"/>
              </w:rPr>
            </w:pPr>
            <w:r>
              <w:rPr>
                <w:rFonts w:ascii="Arial" w:cs="Arial" w:eastAsia="Arial" w:hAnsi="Arial"/>
                <w:sz w:val="18"/>
                <w:szCs w:val="18"/>
                <w:b w:val="1"/>
                <w:bCs w:val="1"/>
                <w:i w:val="1"/>
                <w:iCs w:val="1"/>
                <w:color w:val="auto"/>
                <w:w w:val="83"/>
              </w:rPr>
              <w:t>Three months ended</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60" w:type="dxa"/>
            <w:vAlign w:val="bottom"/>
            <w:gridSpan w:val="3"/>
          </w:tcPr>
          <w:p>
            <w:pPr>
              <w:jc w:val="center"/>
              <w:ind w:right="272"/>
              <w:spacing w:after="0"/>
              <w:rPr>
                <w:sz w:val="20"/>
                <w:szCs w:val="20"/>
                <w:color w:val="auto"/>
              </w:rPr>
            </w:pPr>
            <w:r>
              <w:rPr>
                <w:rFonts w:ascii="Arial" w:cs="Arial" w:eastAsia="Arial" w:hAnsi="Arial"/>
                <w:sz w:val="18"/>
                <w:szCs w:val="18"/>
                <w:b w:val="1"/>
                <w:bCs w:val="1"/>
                <w:i w:val="1"/>
                <w:iCs w:val="1"/>
                <w:color w:val="auto"/>
                <w:w w:val="83"/>
              </w:rPr>
              <w:t>Nine months ended</w:t>
            </w:r>
          </w:p>
        </w:tc>
      </w:tr>
      <w:tr>
        <w:trPr>
          <w:trHeight w:val="222"/>
        </w:trPr>
        <w:tc>
          <w:tcPr>
            <w:tcW w:w="430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2540" w:type="dxa"/>
            <w:vAlign w:val="bottom"/>
          </w:tcPr>
          <w:p>
            <w:pPr>
              <w:spacing w:after="0"/>
              <w:rPr>
                <w:sz w:val="19"/>
                <w:szCs w:val="19"/>
                <w:color w:val="auto"/>
              </w:rPr>
            </w:pPr>
          </w:p>
        </w:tc>
        <w:tc>
          <w:tcPr>
            <w:tcW w:w="1360" w:type="dxa"/>
            <w:vAlign w:val="bottom"/>
            <w:gridSpan w:val="2"/>
          </w:tcPr>
          <w:p>
            <w:pPr>
              <w:jc w:val="center"/>
              <w:ind w:right="292"/>
              <w:spacing w:after="0"/>
              <w:rPr>
                <w:sz w:val="20"/>
                <w:szCs w:val="20"/>
                <w:color w:val="auto"/>
              </w:rPr>
            </w:pPr>
            <w:r>
              <w:rPr>
                <w:rFonts w:ascii="Arial" w:cs="Arial" w:eastAsia="Arial" w:hAnsi="Arial"/>
                <w:sz w:val="18"/>
                <w:szCs w:val="18"/>
                <w:b w:val="1"/>
                <w:bCs w:val="1"/>
                <w:i w:val="1"/>
                <w:iCs w:val="1"/>
                <w:color w:val="auto"/>
                <w:w w:val="87"/>
              </w:rPr>
              <w:t>February 28,</w:t>
            </w: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center"/>
              <w:ind w:left="412"/>
              <w:spacing w:after="0"/>
              <w:rPr>
                <w:sz w:val="20"/>
                <w:szCs w:val="20"/>
                <w:color w:val="auto"/>
              </w:rPr>
            </w:pPr>
            <w:r>
              <w:rPr>
                <w:rFonts w:ascii="Arial" w:cs="Arial" w:eastAsia="Arial" w:hAnsi="Arial"/>
                <w:sz w:val="18"/>
                <w:szCs w:val="18"/>
                <w:b w:val="1"/>
                <w:bCs w:val="1"/>
                <w:i w:val="1"/>
                <w:iCs w:val="1"/>
                <w:color w:val="auto"/>
                <w:w w:val="89"/>
              </w:rPr>
              <w:t>February 28,</w:t>
            </w:r>
          </w:p>
        </w:tc>
        <w:tc>
          <w:tcPr>
            <w:tcW w:w="860" w:type="dxa"/>
            <w:vAlign w:val="bottom"/>
          </w:tcPr>
          <w:p>
            <w:pPr>
              <w:spacing w:after="0"/>
              <w:rPr>
                <w:sz w:val="19"/>
                <w:szCs w:val="19"/>
                <w:color w:val="auto"/>
              </w:rPr>
            </w:pPr>
          </w:p>
        </w:tc>
      </w:tr>
      <w:tr>
        <w:trPr>
          <w:trHeight w:val="110"/>
        </w:trPr>
        <w:tc>
          <w:tcPr>
            <w:tcW w:w="430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316"/>
        </w:trPr>
        <w:tc>
          <w:tcPr>
            <w:tcW w:w="430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5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452"/>
              <w:spacing w:after="0"/>
              <w:rPr>
                <w:sz w:val="20"/>
                <w:szCs w:val="20"/>
                <w:color w:val="auto"/>
              </w:rPr>
            </w:pPr>
            <w:r>
              <w:rPr>
                <w:rFonts w:ascii="Arial" w:cs="Arial" w:eastAsia="Arial" w:hAnsi="Arial"/>
                <w:sz w:val="18"/>
                <w:szCs w:val="18"/>
                <w:b w:val="1"/>
                <w:bCs w:val="1"/>
                <w:color w:val="auto"/>
              </w:rPr>
              <w:t>2010</w:t>
            </w:r>
          </w:p>
        </w:tc>
        <w:tc>
          <w:tcPr>
            <w:tcW w:w="480" w:type="dxa"/>
            <w:vAlign w:val="bottom"/>
          </w:tcPr>
          <w:p>
            <w:pPr>
              <w:spacing w:after="0"/>
              <w:rPr>
                <w:sz w:val="24"/>
                <w:szCs w:val="24"/>
                <w:color w:val="auto"/>
              </w:rPr>
            </w:pPr>
          </w:p>
        </w:tc>
        <w:tc>
          <w:tcPr>
            <w:tcW w:w="860" w:type="dxa"/>
            <w:vAlign w:val="bottom"/>
          </w:tcPr>
          <w:p>
            <w:pPr>
              <w:jc w:val="right"/>
              <w:ind w:right="412"/>
              <w:spacing w:after="0"/>
              <w:rPr>
                <w:sz w:val="20"/>
                <w:szCs w:val="20"/>
                <w:color w:val="auto"/>
              </w:rPr>
            </w:pPr>
            <w:r>
              <w:rPr>
                <w:rFonts w:ascii="Arial" w:cs="Arial" w:eastAsia="Arial" w:hAnsi="Arial"/>
                <w:sz w:val="18"/>
                <w:szCs w:val="18"/>
                <w:b w:val="1"/>
                <w:bCs w:val="1"/>
                <w:color w:val="auto"/>
                <w:w w:val="84"/>
              </w:rPr>
              <w:t>2009</w:t>
            </w:r>
          </w:p>
        </w:tc>
      </w:tr>
      <w:tr>
        <w:trPr>
          <w:trHeight w:val="110"/>
        </w:trPr>
        <w:tc>
          <w:tcPr>
            <w:tcW w:w="430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458"/>
        </w:trPr>
        <w:tc>
          <w:tcPr>
            <w:tcW w:w="4300" w:type="dxa"/>
            <w:vAlign w:val="bottom"/>
          </w:tcPr>
          <w:p>
            <w:pPr>
              <w:spacing w:after="0"/>
              <w:rPr>
                <w:sz w:val="20"/>
                <w:szCs w:val="20"/>
                <w:color w:val="auto"/>
              </w:rPr>
            </w:pPr>
            <w:r>
              <w:rPr>
                <w:rFonts w:ascii="Arial" w:cs="Arial" w:eastAsia="Arial" w:hAnsi="Arial"/>
                <w:sz w:val="18"/>
                <w:szCs w:val="18"/>
                <w:color w:val="auto"/>
              </w:rPr>
              <w:t>Revenues</w:t>
            </w:r>
          </w:p>
        </w:tc>
        <w:tc>
          <w:tcPr>
            <w:tcW w:w="254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30.0</w:t>
            </w:r>
          </w:p>
        </w:tc>
        <w:tc>
          <w:tcPr>
            <w:tcW w:w="84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32.9</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82.9</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96.4</w:t>
            </w:r>
          </w:p>
        </w:tc>
      </w:tr>
      <w:tr>
        <w:trPr>
          <w:trHeight w:val="222"/>
        </w:trPr>
        <w:tc>
          <w:tcPr>
            <w:tcW w:w="4300" w:type="dxa"/>
            <w:vAlign w:val="bottom"/>
          </w:tcPr>
          <w:p>
            <w:pPr>
              <w:spacing w:after="0"/>
              <w:rPr>
                <w:sz w:val="20"/>
                <w:szCs w:val="20"/>
                <w:color w:val="auto"/>
              </w:rPr>
            </w:pPr>
            <w:r>
              <w:rPr>
                <w:rFonts w:ascii="Arial" w:cs="Arial" w:eastAsia="Arial" w:hAnsi="Arial"/>
                <w:sz w:val="18"/>
                <w:szCs w:val="18"/>
                <w:color w:val="auto"/>
              </w:rPr>
              <w:t>Operating loss</w:t>
            </w:r>
          </w:p>
        </w:tc>
        <w:tc>
          <w:tcPr>
            <w:tcW w:w="2540" w:type="dxa"/>
            <w:vAlign w:val="bottom"/>
          </w:tcPr>
          <w:p>
            <w:pPr>
              <w:spacing w:after="0"/>
              <w:rPr>
                <w:sz w:val="19"/>
                <w:szCs w:val="19"/>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w w:val="97"/>
              </w:rPr>
              <w:t>(1.5)</w:t>
            </w:r>
          </w:p>
        </w:tc>
        <w:tc>
          <w:tcPr>
            <w:tcW w:w="840" w:type="dxa"/>
            <w:vAlign w:val="bottom"/>
          </w:tcPr>
          <w:p>
            <w:pPr>
              <w:spacing w:after="0"/>
              <w:rPr>
                <w:sz w:val="19"/>
                <w:szCs w:val="19"/>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w w:val="97"/>
              </w:rPr>
              <w:t>(1.1)</w:t>
            </w:r>
          </w:p>
        </w:tc>
        <w:tc>
          <w:tcPr>
            <w:tcW w:w="36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(2.6)</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10"/>
        </w:trPr>
        <w:tc>
          <w:tcPr>
            <w:tcW w:w="430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464"/>
        </w:trPr>
        <w:tc>
          <w:tcPr>
            <w:tcW w:w="430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2540" w:type="dxa"/>
            <w:vAlign w:val="bottom"/>
          </w:tcPr>
          <w:p>
            <w:pPr>
              <w:spacing w:after="0"/>
              <w:rPr>
                <w:sz w:val="24"/>
                <w:szCs w:val="24"/>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24"/>
                <w:szCs w:val="24"/>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4"/>
                <w:szCs w:val="24"/>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4"/>
                <w:szCs w:val="24"/>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r>
      <w:tr>
        <w:trPr>
          <w:trHeight w:val="365"/>
        </w:trPr>
        <w:tc>
          <w:tcPr>
            <w:tcW w:w="4300" w:type="dxa"/>
            <w:vAlign w:val="bottom"/>
          </w:tcPr>
          <w:p>
            <w:pPr>
              <w:ind w:left="160"/>
              <w:spacing w:after="0"/>
              <w:rPr>
                <w:sz w:val="20"/>
                <w:szCs w:val="20"/>
                <w:color w:val="auto"/>
              </w:rPr>
            </w:pPr>
            <w:r>
              <w:rPr>
                <w:rFonts w:ascii="Arial" w:cs="Arial" w:eastAsia="Arial" w:hAnsi="Arial"/>
                <w:sz w:val="18"/>
                <w:szCs w:val="18"/>
                <w:color w:val="auto"/>
              </w:rPr>
              <w:t>* Not meaningful</w:t>
            </w:r>
          </w:p>
        </w:tc>
        <w:tc>
          <w:tcPr>
            <w:tcW w:w="2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40"/>
          </w:cols>
          <w:pgMar w:left="240" w:top="382" w:right="219" w:bottom="1440" w:gutter="0" w:footer="0" w:header="0"/>
        </w:sectPr>
      </w:pP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Media, Licensing and Advertising</w:t>
      </w:r>
      <w:r>
        <w:rPr>
          <w:rFonts w:ascii="Arial" w:cs="Arial" w:eastAsia="Arial" w:hAnsi="Arial"/>
          <w:sz w:val="18"/>
          <w:szCs w:val="18"/>
          <w:color w:val="auto"/>
        </w:rPr>
        <w:t xml:space="preserve"> segment for the quarter ended February 28, 2010 decreased by $2.9 million, or 8.8%, to $30.0 million, compared to $32.9 million in the prior fiscal year quarter, primarily due to lower revenues from the Company’s toy catalog business as well as lower programming revenues. Segment revenues for the nine months ended February 28, 2010 decreased by $13.5 million, or 14.0%, to $82.9 million, compared to $96.4 million in the prior fiscal year period, primarily due to the lower revenues from third party sales of software and interactive products as well as lower revenues from the Company’s toy catalog business.</w:t>
      </w:r>
    </w:p>
    <w:p>
      <w:pPr>
        <w:spacing w:after="0" w:line="19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Segment operating loss for the quarter ended February 28, 2010 increased by $0.4 million to an operating loss of $1.5 million, compared to an operating loss of $1.1 million in the prior fiscal year quarter, primarily due to the lower programming revenues. Segment operating loss for the nine months ended February 28, 2010 was $2.6 million, compared to a loss in the prior fiscal year period of $1.9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Discontinued Operations</w:t>
      </w:r>
    </w:p>
    <w:p>
      <w:pPr>
        <w:spacing w:after="0" w:line="231"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The loss from discontinued operations, net of tax, was $1.0 million for the quarter ended February 28, 2010, compared to a loss of $1.5 million in the prior fiscal year quarter. Loss from discontinued operations, net of tax, was $0.7 million for the nine months ended February 28, 2010, compared to a loss in the prior fiscal year period of $23.1 million. The higher losses in the prior fiscal year period are primarily due to impairment charges.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Typically, school-based book club and book fair revenues are greatest in the second and fourth quarters of the fiscal year, while revenues from the sale of instructional materials and educational technology products are highest in the first and fourth quarters. The Company historically has experienced a loss from operations in the first and third quarters of each fiscal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Company’s cash and cash equivalents, including cash from discontinued operations, totaled $238.9 million at February 28, 2010, compared to $143.6 million at May 31, 2009 and $38.6 million at February 28, 2009.</w:t>
      </w:r>
    </w:p>
    <w:p>
      <w:pPr>
        <w:spacing w:after="0" w:line="1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Cash provided by operating activities improved by $164.4 million to $198.5 million for the nine months ended February 28, 2010, compared to $34.1 million in the prior fiscal year period. In addition to the increase in net income, adjusted for non-cash items of $90.8 million, the $164.4 million improvement was primarily related to favorable working capital changes which included:</w:t>
      </w:r>
    </w:p>
    <w:p>
      <w:pPr>
        <w:spacing w:after="0" w:line="208" w:lineRule="exact"/>
        <w:rPr>
          <w:sz w:val="20"/>
          <w:szCs w:val="20"/>
          <w:color w:val="auto"/>
        </w:rPr>
      </w:pPr>
    </w:p>
    <w:p>
      <w:pPr>
        <w:ind w:left="920" w:right="420" w:hanging="453"/>
        <w:spacing w:after="0" w:line="268"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$47.1 million increase in inventory in the current period compared to a $96.5 million increase in the prior period, yielding an improvement of $49.4 million in cash provided by operating activities in the current fiscal year.</w:t>
      </w:r>
    </w:p>
    <w:p>
      <w:pPr>
        <w:spacing w:after="0" w:line="118" w:lineRule="exact"/>
        <w:rPr>
          <w:rFonts w:ascii="Arial" w:cs="Arial" w:eastAsia="Arial" w:hAnsi="Arial"/>
          <w:sz w:val="18"/>
          <w:szCs w:val="18"/>
          <w:color w:val="auto"/>
        </w:rPr>
      </w:pPr>
    </w:p>
    <w:p>
      <w:pPr>
        <w:ind w:left="920" w:right="60" w:hanging="453"/>
        <w:spacing w:after="0" w:line="268"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$4.8 million decrease in accounts receivable compared to a $16.8 million increase in the prior period, yielding an improvement of $21.6 million in cash provided by operating activities in the current fiscal year.</w:t>
      </w:r>
    </w:p>
    <w:p>
      <w:pPr>
        <w:spacing w:after="0" w:line="118" w:lineRule="exact"/>
        <w:rPr>
          <w:rFonts w:ascii="Arial" w:cs="Arial" w:eastAsia="Arial" w:hAnsi="Arial"/>
          <w:sz w:val="18"/>
          <w:szCs w:val="18"/>
          <w:color w:val="auto"/>
        </w:rPr>
      </w:pPr>
    </w:p>
    <w:p>
      <w:pPr>
        <w:ind w:left="920" w:right="80" w:hanging="453"/>
        <w:spacing w:after="0" w:line="268"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$24.7 million increase in deferred revenue in the current period compared to a $14.7 million increase in the prior period, yielding an improvement of $10.0 million in cash provided by operating activities in the current fiscal year.</w:t>
      </w:r>
    </w:p>
    <w:p>
      <w:pPr>
        <w:spacing w:after="0" w:line="18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Current fiscal year inventory reductions resulted from the Company’s initiatives designed to reduce inventory levels. Decreased accounts receivable balances during the current fiscal year resulted from lower sales in the Company’s trade business due to the prior year’s release of </w:t>
      </w:r>
      <w:r>
        <w:rPr>
          <w:rFonts w:ascii="Arial" w:cs="Arial" w:eastAsia="Arial" w:hAnsi="Arial"/>
          <w:sz w:val="18"/>
          <w:szCs w:val="18"/>
          <w:i w:val="1"/>
          <w:iCs w:val="1"/>
          <w:color w:val="auto"/>
        </w:rPr>
        <w:t>The Tales of Beedle the Bard</w:t>
      </w:r>
      <w:r>
        <w:rPr>
          <w:rFonts w:ascii="Arial" w:cs="Arial" w:eastAsia="Arial" w:hAnsi="Arial"/>
          <w:sz w:val="18"/>
          <w:szCs w:val="18"/>
          <w:color w:val="auto"/>
        </w:rPr>
        <w:t xml:space="preserve"> and lower sales in the Company’s </w:t>
      </w:r>
      <w:r>
        <w:rPr>
          <w:rFonts w:ascii="Arial" w:cs="Arial" w:eastAsia="Arial" w:hAnsi="Arial"/>
          <w:sz w:val="18"/>
          <w:szCs w:val="18"/>
          <w:i w:val="1"/>
          <w:iCs w:val="1"/>
          <w:color w:val="auto"/>
        </w:rPr>
        <w:t>Media, Licensing and Advertising</w:t>
      </w:r>
      <w:r>
        <w:rPr>
          <w:rFonts w:ascii="Arial" w:cs="Arial" w:eastAsia="Arial" w:hAnsi="Arial"/>
          <w:sz w:val="18"/>
          <w:szCs w:val="18"/>
          <w:color w:val="auto"/>
        </w:rPr>
        <w:t xml:space="preserve"> segment. Increased deferred revenue is driven by sales of technology services in the </w:t>
      </w:r>
      <w:r>
        <w:rPr>
          <w:rFonts w:ascii="Arial" w:cs="Arial" w:eastAsia="Arial" w:hAnsi="Arial"/>
          <w:sz w:val="18"/>
          <w:szCs w:val="18"/>
          <w:i w:val="1"/>
          <w:iCs w:val="1"/>
          <w:color w:val="auto"/>
        </w:rPr>
        <w:t>Educational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Publishing </w:t>
      </w:r>
      <w:r>
        <w:rPr>
          <w:rFonts w:ascii="Arial" w:cs="Arial" w:eastAsia="Arial" w:hAnsi="Arial"/>
          <w:sz w:val="18"/>
          <w:szCs w:val="18"/>
          <w:color w:val="auto"/>
        </w:rPr>
        <w:t>segment.</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Cash used in investing activities increased by $18.6 million to $62.3 million for the nine months ended February 28, 2010, compared to $43.7 million in the prior fiscal year period. This change is primarily related to the prior year’s proceeds from discontinued operations of $33.0 million, partially offset by a reduction in spending for property, plant and equipment and prepublication expenditures of $12.2 million.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Cash used in financing activities was $40.4 million for the nine months ended February 28, 2010, compared to $71.8 million in the prior fiscal year period. The $31.4 million decrease in use of cash is primarily due to the prior year’s reacquisition of Common Stock of $31.6 million compared to the current year’s reacquisition of Common Stock of $1.5 million. This was partially offset by repurchases of the Company’s 5% Notes of $4.1 million compared to $0.4 million in the prior year fiscal period.</w:t>
      </w:r>
    </w:p>
    <w:p>
      <w:pPr>
        <w:spacing w:after="0" w:line="1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Due to the seasonal nature of its business as discussed under “Seasonality” above, the Company usually experiences negative operating cash flows in the June through October time period. As a result of the Company’s business cycle, borrowings have historically increased during June, July and August, have generally peaked in September or October, and have been at their lowest point in May.</w:t>
      </w:r>
    </w:p>
    <w:p>
      <w:pPr>
        <w:spacing w:after="0" w:line="194"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Company’s operating philosophy is to use cash provided from operating activities to create value by paying down debt, reinvesting in existing businesses and, from time to time, making acquisitions that will complement its portfolio of businesses, as well as engaging in shareholder enhancement initiatives, such as share repurchases or dividend declarations. The Company believes that funds generated by its operations, current cash balances and funds available under its current credit facilities will be sufficient to finance its short-and long-term capital requirements for the foreseeable future.</w:t>
      </w:r>
    </w:p>
    <w:p>
      <w:pPr>
        <w:spacing w:after="0" w:line="16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Despite the current economic conditions, the Company has maintained sufficient liquidity to fund ongoing operations, dividends, authorized Common Stock repurchases, debt service, planned capital expenditures and other investments. As of February 28, 2010, the Company’s primary sources of liquidity consisted of cash and cash equivalents of $238.9 million, cash from operations, and borrowings remaining available under the Revolving Loan (as described under “Financing” below) totaling $325.0 million. Approximately 60% of the Company’s outstanding debt is not due until fiscal 2013, and the remaining 40% is spread ratably over each preceding period. The Company may at any time, but in any event not more than once in any calendar year, request that the aggregate availability of credit under the Revolving Loan be increased by an amount of $10.0 million or an integral multiple of $10.0 million (but not to exceed $150.0 million). Accordingly, the Company believes these sources of liquidity are sufficient to finance its ongoing operating needs, as well as its financing and investing activities.</w:t>
      </w:r>
    </w:p>
    <w:p>
      <w:pPr>
        <w:spacing w:after="0" w:line="19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Company’s credit rating from Standard &amp; Poor’s Rating Services is “BB-” and from Moody’s Investors Service is “Ba2.” Standard &amp; Poor’s has rated the outlook for the Company as “stable,” while Moody’s has recently changed their outlook for the Company from “stable” to “positive.” The Company believes that existing committed credit lines, cash from operations and other sources of cash are sufficient to meet the Company’s liquidity needs for the near term, as the Company is currently compliant with its debt covenants and expects to remain compliant. The Company’s interest rates for the Loan Agreement are associated with certain leverage ratios, and, accordingly, a change in the Company’s credit rating does not result in a change in interest costs under the Company’s Loan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2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As of February 28, 2010, the Company’s credit line available under an unsecured money market bid rate credit line totaled $20.0 million. There were no outstanding borrowings under the credit line at February 28, 2010, at May 31, 2009 and at February 28, 2009. All loans made under the credit line are at the sole discretion of the lender and at an interest rate and term, not to exceed 365 days, agreed to at the time each loan is made.</w:t>
      </w:r>
    </w:p>
    <w:p>
      <w:pPr>
        <w:spacing w:after="0" w:line="16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of February 28, 2010, the Company had various local currency credit lines, with maximum available borrowings in amounts equivalent to $29.1 million, underwritten by banks primarily in the United States, Canada and the United Kingdom. These credit lines are typically available for overdraft borrowings or loans up to 364 days and may be renewed, if requested by the Company, at the sole option of the lender. There were borrowings outstanding under these facilities equivalent to $9.4 million at February 28, 2010 at a weighted average interest rate of 3.9%; $10.9 million at May 31, 2009 at a weighted average interest rate of 3.3%; and $9.8 million at February 28, 2009 at a weighted average interest rate of 3.8%.</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February 28, 2010 and May 31, 2009, the Company had open standby letters of credit of $7.4 million issued under certain credit lines, as compared to $7.6 million as of February 28, 2009. These letters of credit are scheduled to expire within one year; however, the Company expects that substantially all of these letters of credit will be renewed, at similar terms, prior to expiration.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Company’s total debt obligations were $265.3 million at February 28, 2010, $303.7 million at May 31, 2009 and $315.3 million at February 28, 2009. The lower level of debt at February 28, 2010 as compared to May 31, 2009 and February 28, 2009 was primarily due to repayments made on the Term Loan and a repurchase of the Company’s 5% Notes on the open market.</w:t>
      </w:r>
    </w:p>
    <w:p>
      <w:pPr>
        <w:spacing w:after="0" w:line="19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For a more complete description of the Company’s debt obligations, see Note 4, “Debt,” of Notes to Condensed Consolidated Financial Statements – Unaudited in Item 1,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June 1, 2007, Scholastic Corporation and Scholastic Inc. (each, a “Borrower” and together, the “Borrowers”) entered into a $525.0 million credit facility with certain banks (the “Loan Agreement”), consisting of a $325.0 million revolving credit component (the “Revolving Loan”) and a $200.0 million amortizing term loan component (the “Term Loan”). The Loan Agreement is a contractually committed unsecured credit facility that is scheduled to expire on June 1, 2012. The $325.0 million Revolving Loan component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 million. The Term Loan, which may be prepaid at any time without penalty, requires quarterly principal payments of $10.7 million, with the first payment on December 31, 2007, and a final payment of $7.4 million due on June 1, 2012.</w:t>
      </w:r>
    </w:p>
    <w:p>
      <w:pPr>
        <w:spacing w:after="0" w:line="19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Interest on both the Term Loan and Revolving Loan is due and payable in arrears on the last day of the interest period (defined as the period commencing on the date of the advance and ending on the last day of the period selected by the Borrower at the time each advance is made). At the election of the Borrower, the interest rate charged for each loan made under the Loan Agreement is based on (1) a rate equal to the higher of (a) the prime rate or (b) the prevailing federal funds rate plus 0.500% or (2) an adjusted LIBOR rate plus an applicable margin, ranging from 0.500% to 1.250% based on the Company’s prevailing consolidated debt to total capital ratio. As of February 28, 2010, the applicable margin of the Term Loan was 0.750% and the applicable margin on the Revolving Loan was 0.600%. The Loan Agreement also provides for the payment of a facility fee ranging from 0.125% to 0.250% per annum on the Revolving Loan only, which at February 28, 2010 was 0.150%. Effective December 29, 2009, the Company’s applicable borrowing rate contractually decreased due to the Company’s improved consolidated debt ratio, as defined in the Loan Agreement.</w:t>
      </w:r>
    </w:p>
    <w:p>
      <w:pPr>
        <w:spacing w:after="0" w:line="17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of February 28, 2010, there was $0.5 million of outstanding standby letters of credit issued under the Loan Agreement. The Loan Agreement contains certain covenants, including interest coverage and leverage ratio tests and certain limitations on the amount of dividends and other distributions, and at February 28, 2010 the Company was in compliance with these covenants. See Note 4, “Debt,” of Notes to Condensed Consolidated Financial Statements – Unaudited in Item 1, “Financial Statements,” for outstanding balances and interest rates for these notes.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Notes due 2013</w:t>
      </w:r>
    </w:p>
    <w:p>
      <w:pPr>
        <w:spacing w:after="0" w:line="225"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In April 2003, Scholastic Corporation issued $175.0 million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w:t>
      </w:r>
    </w:p>
    <w:p>
      <w:pPr>
        <w:spacing w:after="0" w:line="1" w:lineRule="exact"/>
        <w:rPr>
          <w:sz w:val="20"/>
          <w:szCs w:val="20"/>
          <w:color w:val="auto"/>
        </w:rPr>
      </w:pPr>
    </w:p>
    <w:p>
      <w:pPr>
        <w:ind w:right="140" w:firstLine="8"/>
        <w:spacing w:after="0" w:line="255" w:lineRule="auto"/>
        <w:tabs>
          <w:tab w:leader="none" w:pos="25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discounted to the date of redemption. For the nine months ended February 28, 2010, the Company repurchased $5.0 million of the 5% Notes on the open market for $4.1 million. The Company repurchased $2.5 million of the 5% Notes on the open market in fiscal 2009.</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and Recently Adopted Accounting Pronouncements</w:t>
      </w:r>
    </w:p>
    <w:p>
      <w:pPr>
        <w:spacing w:after="0" w:line="231"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Reference is made to Note 1 of Notes to Condensed Consolidated Financial Statements in Item 1, “Financial Statements,” for information concerning recent accounting pronouncements since the filing of the Company’s Annual Report on Form 10-K for the fiscal year ended May 31, 2009 (the “Annual Report”).</w:t>
      </w:r>
    </w:p>
    <w:p>
      <w:pPr>
        <w:spacing w:after="0" w:line="11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980"/>
          </w:cols>
          <w:pgMar w:left="240" w:top="382" w:right="6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Quarterly Report on Form 10-Q contains forward-looking statements. These forward-looking statements are subject to various risks and uncertainties, including the conditions of the children’s book and educational materials markets and acceptance of the Company’s products within those markets, and other risks and factors identified in this Report, in the Annual Report and from time to time in the Company’s other filings with the Securities and Exchange Commission (the “SEC”). Actual results could differ materially from those currently anticipated.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The Company conducts its business in various foreign countries, and as such, its cash flows and earnings are subject to fluctuations from changes in foreign currency exchange rates. The Company manages its exposures to this market risk through internally established procedures and, when deemed appropriate, through the use of short-term forward exchange contracts. As of February 28, 2010, these transactions were not significant. The Company does not enter into derivative transactions or use other financial instruments for trading or speculative purposes.</w:t>
      </w:r>
    </w:p>
    <w:p>
      <w:pPr>
        <w:spacing w:after="0" w:line="16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Market risks relating to the Company’s operations result primarily from changes in interest rates, which are managed through the mix of variable-rate versus fixed-rate borrowings. Additionally, financial instruments, including swap agreements, have been used to manage interest rate exposures. Approximately 43% of the Company’s debt at February 28, 2010 bore interest at a variable rate and was sensitive to changes in interest rates, compared to approximately 48% at May 31, 2009 and 50% at February 28, 2009. The decrease in variable-rate debt as of February 28, 2010 and May 31, 2009, compared to February 28, 2009, was primarily due to repayments made on the Term Loan. The Company is subject to the risk that market interest rates and its cost of borrowing will increase and thereby increase the interest charged under its variable-rate debt.</w:t>
      </w:r>
    </w:p>
    <w:p>
      <w:pPr>
        <w:spacing w:after="0" w:line="17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Additional information relating to the Company’s outstanding financial instruments is included in Item 2, “Management’s Discussion and Analysis of Financial Condition and Results of Operations.”</w:t>
      </w:r>
    </w:p>
    <w:p>
      <w:pPr>
        <w:spacing w:after="0" w:line="186"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The following table sets forth information about the Company’s debt instruments as of February 28, 2010 (see Note 4, “Debt,” of Notes to Condensed Consolidated Financial Statements – Unaudited in Item 1,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 amounts in millions )</w:t>
            </w: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180" w:type="dxa"/>
            <w:vAlign w:val="bottom"/>
            <w:gridSpan w:val="4"/>
          </w:tcPr>
          <w:p>
            <w:pPr>
              <w:jc w:val="right"/>
              <w:ind w:right="492"/>
              <w:spacing w:after="0"/>
              <w:rPr>
                <w:sz w:val="20"/>
                <w:szCs w:val="20"/>
                <w:color w:val="auto"/>
              </w:rPr>
            </w:pPr>
            <w:r>
              <w:rPr>
                <w:rFonts w:ascii="Arial" w:cs="Arial" w:eastAsia="Arial" w:hAnsi="Arial"/>
                <w:sz w:val="18"/>
                <w:szCs w:val="18"/>
                <w:b w:val="1"/>
                <w:bCs w:val="1"/>
                <w:color w:val="auto"/>
                <w:w w:val="92"/>
              </w:rPr>
              <w:t>Fiscal Year Maturity</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10"/>
        </w:trPr>
        <w:tc>
          <w:tcPr>
            <w:tcW w:w="36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466"/>
        </w:trPr>
        <w:tc>
          <w:tcPr>
            <w:tcW w:w="36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gridSpan w:val="2"/>
          </w:tcPr>
          <w:p>
            <w:pPr>
              <w:jc w:val="right"/>
              <w:ind w:right="172"/>
              <w:spacing w:after="0"/>
              <w:rPr>
                <w:sz w:val="20"/>
                <w:szCs w:val="20"/>
                <w:color w:val="auto"/>
              </w:rPr>
            </w:pPr>
            <w:r>
              <w:rPr>
                <w:rFonts w:ascii="Arial" w:cs="Arial" w:eastAsia="Arial" w:hAnsi="Arial"/>
                <w:sz w:val="18"/>
                <w:szCs w:val="18"/>
                <w:b w:val="1"/>
                <w:bCs w:val="1"/>
                <w:color w:val="auto"/>
              </w:rPr>
              <w:t xml:space="preserve">2010 </w:t>
            </w:r>
            <w:r>
              <w:rPr>
                <w:rFonts w:ascii="Arial" w:cs="Arial" w:eastAsia="Arial" w:hAnsi="Arial"/>
                <w:sz w:val="29"/>
                <w:szCs w:val="29"/>
                <w:b w:val="1"/>
                <w:bCs w:val="1"/>
                <w:color w:val="auto"/>
                <w:vertAlign w:val="superscript"/>
              </w:rPr>
              <w:t>(1)</w:t>
            </w:r>
          </w:p>
        </w:tc>
        <w:tc>
          <w:tcPr>
            <w:tcW w:w="2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jc w:val="right"/>
              <w:ind w:right="352"/>
              <w:spacing w:after="0"/>
              <w:rPr>
                <w:sz w:val="20"/>
                <w:szCs w:val="20"/>
                <w:color w:val="auto"/>
              </w:rPr>
            </w:pPr>
            <w:r>
              <w:rPr>
                <w:rFonts w:ascii="Arial" w:cs="Arial" w:eastAsia="Arial" w:hAnsi="Arial"/>
                <w:sz w:val="18"/>
                <w:szCs w:val="18"/>
                <w:b w:val="1"/>
                <w:bCs w:val="1"/>
                <w:color w:val="auto"/>
                <w:w w:val="99"/>
              </w:rPr>
              <w:t>2011</w:t>
            </w:r>
          </w:p>
        </w:tc>
        <w:tc>
          <w:tcPr>
            <w:tcW w:w="1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jc w:val="right"/>
              <w:ind w:right="132"/>
              <w:spacing w:after="0"/>
              <w:rPr>
                <w:sz w:val="20"/>
                <w:szCs w:val="20"/>
                <w:color w:val="auto"/>
              </w:rPr>
            </w:pPr>
            <w:r>
              <w:rPr>
                <w:rFonts w:ascii="Arial" w:cs="Arial" w:eastAsia="Arial" w:hAnsi="Arial"/>
                <w:sz w:val="18"/>
                <w:szCs w:val="18"/>
                <w:b w:val="1"/>
                <w:bCs w:val="1"/>
                <w:color w:val="auto"/>
                <w:w w:val="94"/>
              </w:rPr>
              <w:t>2012</w:t>
            </w:r>
          </w:p>
        </w:tc>
        <w:tc>
          <w:tcPr>
            <w:tcW w:w="3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jc w:val="right"/>
              <w:ind w:right="332"/>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jc w:val="right"/>
              <w:ind w:right="272"/>
              <w:spacing w:after="0"/>
              <w:rPr>
                <w:sz w:val="20"/>
                <w:szCs w:val="20"/>
                <w:color w:val="auto"/>
              </w:rPr>
            </w:pPr>
            <w:r>
              <w:rPr>
                <w:rFonts w:ascii="Arial" w:cs="Arial" w:eastAsia="Arial" w:hAnsi="Arial"/>
                <w:sz w:val="18"/>
                <w:szCs w:val="18"/>
                <w:b w:val="1"/>
                <w:bCs w:val="1"/>
                <w:color w:val="auto"/>
                <w:w w:val="99"/>
              </w:rPr>
              <w:t>2014</w:t>
            </w:r>
          </w:p>
        </w:tc>
        <w:tc>
          <w:tcPr>
            <w:tcW w:w="2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ind w:left="40"/>
              <w:spacing w:after="0"/>
              <w:rPr>
                <w:sz w:val="20"/>
                <w:szCs w:val="20"/>
                <w:color w:val="auto"/>
              </w:rPr>
            </w:pPr>
            <w:r>
              <w:rPr>
                <w:rFonts w:ascii="Arial" w:cs="Arial" w:eastAsia="Arial" w:hAnsi="Arial"/>
                <w:sz w:val="18"/>
                <w:szCs w:val="18"/>
                <w:b w:val="1"/>
                <w:bCs w:val="1"/>
                <w:color w:val="auto"/>
              </w:rPr>
              <w:t>Thereafter</w:t>
            </w:r>
          </w:p>
        </w:tc>
        <w:tc>
          <w:tcPr>
            <w:tcW w:w="2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jc w:val="right"/>
              <w:ind w:right="232"/>
              <w:spacing w:after="0"/>
              <w:rPr>
                <w:sz w:val="20"/>
                <w:szCs w:val="20"/>
                <w:color w:val="auto"/>
              </w:rPr>
            </w:pPr>
            <w:r>
              <w:rPr>
                <w:rFonts w:ascii="Arial" w:cs="Arial" w:eastAsia="Arial" w:hAnsi="Arial"/>
                <w:sz w:val="18"/>
                <w:szCs w:val="18"/>
                <w:b w:val="1"/>
                <w:bCs w:val="1"/>
                <w:color w:val="auto"/>
                <w:w w:val="97"/>
              </w:rPr>
              <w:t>Total</w:t>
            </w:r>
          </w:p>
        </w:tc>
      </w:tr>
      <w:tr>
        <w:trPr>
          <w:trHeight w:val="458"/>
        </w:trPr>
        <w:tc>
          <w:tcPr>
            <w:tcW w:w="3640" w:type="dxa"/>
            <w:vAlign w:val="bottom"/>
          </w:tcPr>
          <w:p>
            <w:pPr>
              <w:spacing w:after="0"/>
              <w:rPr>
                <w:sz w:val="20"/>
                <w:szCs w:val="20"/>
                <w:color w:val="auto"/>
              </w:rPr>
            </w:pPr>
            <w:r>
              <w:rPr>
                <w:rFonts w:ascii="Arial" w:cs="Arial" w:eastAsia="Arial" w:hAnsi="Arial"/>
                <w:sz w:val="18"/>
                <w:szCs w:val="18"/>
                <w:b w:val="1"/>
                <w:bCs w:val="1"/>
                <w:color w:val="auto"/>
              </w:rPr>
              <w:t>Debt Obligations</w:t>
            </w: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3640" w:type="dxa"/>
            <w:vAlign w:val="bottom"/>
          </w:tcPr>
          <w:p>
            <w:pPr>
              <w:ind w:left="160"/>
              <w:spacing w:after="0"/>
              <w:rPr>
                <w:sz w:val="20"/>
                <w:szCs w:val="20"/>
                <w:color w:val="auto"/>
              </w:rPr>
            </w:pPr>
            <w:r>
              <w:rPr>
                <w:rFonts w:ascii="Arial" w:cs="Arial" w:eastAsia="Arial" w:hAnsi="Arial"/>
                <w:sz w:val="18"/>
                <w:szCs w:val="18"/>
                <w:color w:val="auto"/>
              </w:rPr>
              <w:t>Lines of Credit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9.4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9.4</w:t>
            </w:r>
          </w:p>
        </w:tc>
      </w:tr>
      <w:tr>
        <w:trPr>
          <w:trHeight w:val="222"/>
        </w:trPr>
        <w:tc>
          <w:tcPr>
            <w:tcW w:w="3640" w:type="dxa"/>
            <w:vAlign w:val="bottom"/>
          </w:tcPr>
          <w:p>
            <w:pPr>
              <w:ind w:left="160"/>
              <w:spacing w:after="0"/>
              <w:rPr>
                <w:sz w:val="20"/>
                <w:szCs w:val="20"/>
                <w:color w:val="auto"/>
              </w:rPr>
            </w:pPr>
            <w:r>
              <w:rPr>
                <w:rFonts w:ascii="Arial" w:cs="Arial" w:eastAsia="Arial" w:hAnsi="Arial"/>
                <w:sz w:val="18"/>
                <w:szCs w:val="18"/>
                <w:color w:val="auto"/>
              </w:rPr>
              <w:t>Average interest rate</w:t>
            </w:r>
          </w:p>
        </w:tc>
        <w:tc>
          <w:tcPr>
            <w:tcW w:w="8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358"/>
        </w:trPr>
        <w:tc>
          <w:tcPr>
            <w:tcW w:w="3640" w:type="dxa"/>
            <w:vAlign w:val="bottom"/>
          </w:tcPr>
          <w:p>
            <w:pPr>
              <w:ind w:left="160"/>
              <w:spacing w:after="0"/>
              <w:rPr>
                <w:sz w:val="20"/>
                <w:szCs w:val="20"/>
                <w:color w:val="auto"/>
              </w:rPr>
            </w:pPr>
            <w:r>
              <w:rPr>
                <w:rFonts w:ascii="Arial" w:cs="Arial" w:eastAsia="Arial" w:hAnsi="Arial"/>
                <w:sz w:val="18"/>
                <w:szCs w:val="18"/>
                <w:color w:val="auto"/>
              </w:rPr>
              <w:t>Long-term debt including current portion</w:t>
            </w: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3640" w:type="dxa"/>
            <w:vAlign w:val="bottom"/>
          </w:tcPr>
          <w:p>
            <w:pPr>
              <w:ind w:left="480"/>
              <w:spacing w:after="0"/>
              <w:rPr>
                <w:sz w:val="20"/>
                <w:szCs w:val="20"/>
                <w:color w:val="auto"/>
              </w:rPr>
            </w:pPr>
            <w:r>
              <w:rPr>
                <w:rFonts w:ascii="Arial" w:cs="Arial" w:eastAsia="Arial" w:hAnsi="Arial"/>
                <w:sz w:val="18"/>
                <w:szCs w:val="18"/>
                <w:color w:val="auto"/>
              </w:rPr>
              <w:t>Fixed-rate debt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153.0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153.0</w:t>
            </w:r>
          </w:p>
        </w:tc>
      </w:tr>
      <w:tr>
        <w:trPr>
          <w:trHeight w:val="222"/>
        </w:trPr>
        <w:tc>
          <w:tcPr>
            <w:tcW w:w="3640" w:type="dxa"/>
            <w:vAlign w:val="bottom"/>
          </w:tcPr>
          <w:p>
            <w:pPr>
              <w:ind w:left="480"/>
              <w:spacing w:after="0"/>
              <w:rPr>
                <w:sz w:val="20"/>
                <w:szCs w:val="20"/>
                <w:color w:val="auto"/>
              </w:rPr>
            </w:pPr>
            <w:r>
              <w:rPr>
                <w:rFonts w:ascii="Arial" w:cs="Arial" w:eastAsia="Arial" w:hAnsi="Arial"/>
                <w:sz w:val="18"/>
                <w:szCs w:val="18"/>
                <w:color w:val="auto"/>
              </w:rPr>
              <w:t>Interest rate</w:t>
            </w: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359"/>
        </w:trPr>
        <w:tc>
          <w:tcPr>
            <w:tcW w:w="3640" w:type="dxa"/>
            <w:vAlign w:val="bottom"/>
          </w:tcPr>
          <w:p>
            <w:pPr>
              <w:ind w:left="480"/>
              <w:spacing w:after="0"/>
              <w:rPr>
                <w:sz w:val="20"/>
                <w:szCs w:val="20"/>
                <w:color w:val="auto"/>
              </w:rPr>
            </w:pPr>
            <w:r>
              <w:rPr>
                <w:rFonts w:ascii="Arial" w:cs="Arial" w:eastAsia="Arial" w:hAnsi="Arial"/>
                <w:sz w:val="18"/>
                <w:szCs w:val="18"/>
                <w:color w:val="auto"/>
              </w:rPr>
              <w:t>Variable rate debt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10.7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42.8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w:t>
            </w:r>
            <w:r>
              <w:rPr>
                <w:rFonts w:ascii="Arial" w:cs="Arial" w:eastAsia="Arial" w:hAnsi="Arial"/>
                <w:sz w:val="14"/>
                <w:szCs w:val="14"/>
                <w:color w:val="auto"/>
              </w:rPr>
              <w:t>(2)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103.7</w:t>
            </w:r>
          </w:p>
        </w:tc>
      </w:tr>
      <w:tr>
        <w:trPr>
          <w:trHeight w:val="372"/>
        </w:trPr>
        <w:tc>
          <w:tcPr>
            <w:tcW w:w="3640" w:type="dxa"/>
            <w:vAlign w:val="bottom"/>
            <w:tcBorders>
              <w:bottom w:val="single" w:sz="8" w:color="808080"/>
            </w:tcBorders>
          </w:tcPr>
          <w:p>
            <w:pPr>
              <w:ind w:left="480"/>
              <w:spacing w:after="0"/>
              <w:rPr>
                <w:sz w:val="20"/>
                <w:szCs w:val="20"/>
                <w:color w:val="auto"/>
              </w:rPr>
            </w:pPr>
            <w:r>
              <w:rPr>
                <w:rFonts w:ascii="Arial" w:cs="Arial" w:eastAsia="Arial" w:hAnsi="Arial"/>
                <w:sz w:val="18"/>
                <w:szCs w:val="18"/>
                <w:color w:val="auto"/>
              </w:rPr>
              <w:t xml:space="preserve">Interest rate </w:t>
            </w:r>
            <w:r>
              <w:rPr>
                <w:rFonts w:ascii="Arial" w:cs="Arial" w:eastAsia="Arial" w:hAnsi="Arial"/>
                <w:sz w:val="29"/>
                <w:szCs w:val="29"/>
                <w:color w:val="auto"/>
                <w:vertAlign w:val="superscript"/>
              </w:rPr>
              <w:t>(3)</w:t>
            </w:r>
          </w:p>
        </w:tc>
        <w:tc>
          <w:tcPr>
            <w:tcW w:w="8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gridSpan w:val="2"/>
          </w:tcPr>
          <w:p>
            <w:pPr>
              <w:jc w:val="right"/>
              <w:ind w:right="152"/>
              <w:spacing w:after="0"/>
              <w:rPr>
                <w:sz w:val="20"/>
                <w:szCs w:val="20"/>
                <w:color w:val="auto"/>
              </w:rPr>
            </w:pPr>
            <w:r>
              <w:rPr>
                <w:rFonts w:ascii="Arial" w:cs="Arial" w:eastAsia="Arial" w:hAnsi="Arial"/>
                <w:sz w:val="18"/>
                <w:szCs w:val="18"/>
                <w:color w:val="auto"/>
              </w:rPr>
              <w:t>1.0%</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r>
    </w:tbl>
    <w:p>
      <w:pPr>
        <w:spacing w:after="0" w:line="35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2010 includes the remaining three months of the current fiscal year.</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final payment under the Term Loan, which has a final maturity of June 1, 2012 but may be repaid at any time.</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the interest rate under the Term Loan at February 28, 2010; the interest rate is subject to change over the life of the Term Loan.</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Chief Executive Officer and the Chief Financial Officer of the Corporation, after conducting an evaluation, together with other members of the Company’s management, of the effectiveness of the design and operation of the Corporation’s disclosure controls and procedures as of February 28, 2010, have concluded that the Corporation’s disclosure controls and procedures were effective to ensure that information required to be disclosed by the Corporation in its reports filed or submitted under the Securities Exchange Act of 1934 is recorded, processed, summarized, and reported within the time periods specified in the rules and forms of the SEC and accumulated and communicated to members of the Company’s management, including the Chief Executive Officer and Chief Financial Officer, to allow timely decisions regarding required disclosure. There was no change in the Corporation’s internal control over financial reporting that occurred during the quarter ended February 28, 2010 that has materially affected, or is reasonably likely to materially affect, the Corporation’s internal control over financial reporting.</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table provides information with respect to repurchases of shares of Common Stock by the Corporation during the nine months ended February 28, 2010:</w:t>
      </w:r>
    </w:p>
    <w:p>
      <w:pPr>
        <w:spacing w:after="0" w:line="19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Maximum number of</w:t>
            </w:r>
          </w:p>
        </w:tc>
      </w:tr>
      <w:tr>
        <w:trPr>
          <w:trHeight w:val="216"/>
        </w:trPr>
        <w:tc>
          <w:tcPr>
            <w:tcW w:w="24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shares (or approximate</w:t>
            </w:r>
          </w:p>
        </w:tc>
      </w:tr>
      <w:tr>
        <w:trPr>
          <w:trHeight w:val="216"/>
        </w:trPr>
        <w:tc>
          <w:tcPr>
            <w:tcW w:w="24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6"/>
              </w:rPr>
              <w:t>Total number of shares</w:t>
            </w:r>
          </w:p>
        </w:tc>
        <w:tc>
          <w:tcPr>
            <w:tcW w:w="2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 value) that may</w:t>
            </w:r>
          </w:p>
        </w:tc>
      </w:tr>
      <w:tr>
        <w:trPr>
          <w:trHeight w:val="216"/>
        </w:trPr>
        <w:tc>
          <w:tcPr>
            <w:tcW w:w="24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5"/>
              </w:rPr>
              <w:t>purchased as part of</w:t>
            </w:r>
          </w:p>
        </w:tc>
        <w:tc>
          <w:tcPr>
            <w:tcW w:w="2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yet be purchased</w:t>
            </w:r>
          </w:p>
        </w:tc>
      </w:tr>
      <w:tr>
        <w:trPr>
          <w:trHeight w:val="216"/>
        </w:trPr>
        <w:tc>
          <w:tcPr>
            <w:tcW w:w="2420" w:type="dxa"/>
            <w:vAlign w:val="bottom"/>
          </w:tcPr>
          <w:p>
            <w:pPr>
              <w:spacing w:after="0"/>
              <w:rPr>
                <w:sz w:val="18"/>
                <w:szCs w:val="18"/>
                <w:color w:val="auto"/>
              </w:rPr>
            </w:pPr>
          </w:p>
        </w:tc>
        <w:tc>
          <w:tcPr>
            <w:tcW w:w="2120" w:type="dxa"/>
            <w:vAlign w:val="bottom"/>
          </w:tcPr>
          <w:p>
            <w:pPr>
              <w:jc w:val="right"/>
              <w:ind w:right="292"/>
              <w:spacing w:after="0"/>
              <w:rPr>
                <w:sz w:val="20"/>
                <w:szCs w:val="20"/>
                <w:color w:val="auto"/>
              </w:rPr>
            </w:pPr>
            <w:r>
              <w:rPr>
                <w:rFonts w:ascii="Arial" w:cs="Arial" w:eastAsia="Arial" w:hAnsi="Arial"/>
                <w:sz w:val="18"/>
                <w:szCs w:val="18"/>
                <w:b w:val="1"/>
                <w:bCs w:val="1"/>
                <w:color w:val="auto"/>
              </w:rPr>
              <w:t>Total number of</w:t>
            </w:r>
          </w:p>
        </w:tc>
        <w:tc>
          <w:tcPr>
            <w:tcW w:w="2080" w:type="dxa"/>
            <w:vAlign w:val="bottom"/>
            <w:gridSpan w:val="2"/>
          </w:tcPr>
          <w:p>
            <w:pPr>
              <w:jc w:val="right"/>
              <w:ind w:right="252"/>
              <w:spacing w:after="0"/>
              <w:rPr>
                <w:sz w:val="20"/>
                <w:szCs w:val="20"/>
                <w:color w:val="auto"/>
              </w:rPr>
            </w:pPr>
            <w:r>
              <w:rPr>
                <w:rFonts w:ascii="Arial" w:cs="Arial" w:eastAsia="Arial" w:hAnsi="Arial"/>
                <w:sz w:val="18"/>
                <w:szCs w:val="18"/>
                <w:b w:val="1"/>
                <w:bCs w:val="1"/>
                <w:color w:val="auto"/>
              </w:rPr>
              <w:t>Average price paid</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7"/>
              </w:rPr>
              <w:t>publicly announced</w:t>
            </w:r>
          </w:p>
        </w:tc>
        <w:tc>
          <w:tcPr>
            <w:tcW w:w="2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under the plans or</w:t>
            </w:r>
          </w:p>
        </w:tc>
      </w:tr>
      <w:tr>
        <w:trPr>
          <w:trHeight w:val="228"/>
        </w:trPr>
        <w:tc>
          <w:tcPr>
            <w:tcW w:w="2420" w:type="dxa"/>
            <w:vAlign w:val="bottom"/>
          </w:tcPr>
          <w:p>
            <w:pPr>
              <w:ind w:left="960"/>
              <w:spacing w:after="0"/>
              <w:rPr>
                <w:sz w:val="20"/>
                <w:szCs w:val="20"/>
                <w:color w:val="auto"/>
              </w:rPr>
            </w:pPr>
            <w:r>
              <w:rPr>
                <w:rFonts w:ascii="Arial" w:cs="Arial" w:eastAsia="Arial" w:hAnsi="Arial"/>
                <w:sz w:val="18"/>
                <w:szCs w:val="18"/>
                <w:b w:val="1"/>
                <w:bCs w:val="1"/>
                <w:color w:val="auto"/>
              </w:rPr>
              <w:t>Period</w:t>
            </w:r>
          </w:p>
        </w:tc>
        <w:tc>
          <w:tcPr>
            <w:tcW w:w="2120" w:type="dxa"/>
            <w:vAlign w:val="bottom"/>
          </w:tcPr>
          <w:p>
            <w:pPr>
              <w:jc w:val="right"/>
              <w:ind w:right="232"/>
              <w:spacing w:after="0"/>
              <w:rPr>
                <w:sz w:val="20"/>
                <w:szCs w:val="20"/>
                <w:color w:val="auto"/>
              </w:rPr>
            </w:pPr>
            <w:r>
              <w:rPr>
                <w:rFonts w:ascii="Arial" w:cs="Arial" w:eastAsia="Arial" w:hAnsi="Arial"/>
                <w:sz w:val="18"/>
                <w:szCs w:val="18"/>
                <w:b w:val="1"/>
                <w:bCs w:val="1"/>
                <w:color w:val="auto"/>
              </w:rPr>
              <w:t>shares purchased</w:t>
            </w:r>
          </w:p>
        </w:tc>
        <w:tc>
          <w:tcPr>
            <w:tcW w:w="680" w:type="dxa"/>
            <w:vAlign w:val="bottom"/>
          </w:tcPr>
          <w:p>
            <w:pPr>
              <w:spacing w:after="0"/>
              <w:rPr>
                <w:sz w:val="19"/>
                <w:szCs w:val="19"/>
                <w:color w:val="auto"/>
              </w:rPr>
            </w:pPr>
          </w:p>
        </w:tc>
        <w:tc>
          <w:tcPr>
            <w:tcW w:w="1400" w:type="dxa"/>
            <w:vAlign w:val="bottom"/>
          </w:tcPr>
          <w:p>
            <w:pPr>
              <w:jc w:val="right"/>
              <w:ind w:right="612"/>
              <w:spacing w:after="0"/>
              <w:rPr>
                <w:sz w:val="20"/>
                <w:szCs w:val="20"/>
                <w:color w:val="auto"/>
              </w:rPr>
            </w:pPr>
            <w:r>
              <w:rPr>
                <w:rFonts w:ascii="Arial" w:cs="Arial" w:eastAsia="Arial" w:hAnsi="Arial"/>
                <w:sz w:val="18"/>
                <w:szCs w:val="18"/>
                <w:b w:val="1"/>
                <w:bCs w:val="1"/>
                <w:color w:val="auto"/>
                <w:w w:val="83"/>
              </w:rPr>
              <w:t>per share</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7"/>
              </w:rPr>
              <w:t>plans or programs</w:t>
            </w:r>
          </w:p>
        </w:tc>
        <w:tc>
          <w:tcPr>
            <w:tcW w:w="2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programs (1)</w:t>
            </w:r>
          </w:p>
        </w:tc>
      </w:tr>
      <w:tr>
        <w:trPr>
          <w:trHeight w:val="110"/>
        </w:trPr>
        <w:tc>
          <w:tcPr>
            <w:tcW w:w="242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r>
      <w:tr>
        <w:trPr>
          <w:trHeight w:val="309"/>
        </w:trPr>
        <w:tc>
          <w:tcPr>
            <w:tcW w:w="2420" w:type="dxa"/>
            <w:vAlign w:val="bottom"/>
          </w:tcPr>
          <w:p>
            <w:pPr>
              <w:spacing w:after="0"/>
              <w:rPr>
                <w:sz w:val="20"/>
                <w:szCs w:val="20"/>
                <w:color w:val="auto"/>
              </w:rPr>
            </w:pPr>
            <w:r>
              <w:rPr>
                <w:rFonts w:ascii="Arial" w:cs="Arial" w:eastAsia="Arial" w:hAnsi="Arial"/>
                <w:sz w:val="18"/>
                <w:szCs w:val="18"/>
                <w:color w:val="auto"/>
              </w:rPr>
              <w:t>June 1, 2009 through</w:t>
            </w:r>
          </w:p>
        </w:tc>
        <w:tc>
          <w:tcPr>
            <w:tcW w:w="2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2"/>
        </w:trPr>
        <w:tc>
          <w:tcPr>
            <w:tcW w:w="2420" w:type="dxa"/>
            <w:vAlign w:val="bottom"/>
          </w:tcPr>
          <w:p>
            <w:pPr>
              <w:ind w:left="160"/>
              <w:spacing w:after="0"/>
              <w:rPr>
                <w:sz w:val="20"/>
                <w:szCs w:val="20"/>
                <w:color w:val="auto"/>
              </w:rPr>
            </w:pPr>
            <w:r>
              <w:rPr>
                <w:rFonts w:ascii="Arial" w:cs="Arial" w:eastAsia="Arial" w:hAnsi="Arial"/>
                <w:sz w:val="18"/>
                <w:szCs w:val="18"/>
                <w:color w:val="auto"/>
              </w:rPr>
              <w:t>June 30, 2009</w:t>
            </w:r>
          </w:p>
        </w:tc>
        <w:tc>
          <w:tcPr>
            <w:tcW w:w="2120" w:type="dxa"/>
            <w:vAlign w:val="bottom"/>
          </w:tcPr>
          <w:p>
            <w:pPr>
              <w:jc w:val="right"/>
              <w:ind w:right="532"/>
              <w:spacing w:after="0"/>
              <w:rPr>
                <w:sz w:val="20"/>
                <w:szCs w:val="20"/>
                <w:color w:val="auto"/>
              </w:rPr>
            </w:pPr>
            <w:r>
              <w:rPr>
                <w:rFonts w:ascii="Arial" w:cs="Arial" w:eastAsia="Arial" w:hAnsi="Arial"/>
                <w:sz w:val="18"/>
                <w:szCs w:val="18"/>
                <w:color w:val="auto"/>
              </w:rPr>
              <w:t>28,195</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612"/>
              <w:spacing w:after="0"/>
              <w:rPr>
                <w:sz w:val="20"/>
                <w:szCs w:val="20"/>
                <w:color w:val="auto"/>
              </w:rPr>
            </w:pPr>
            <w:r>
              <w:rPr>
                <w:rFonts w:ascii="Arial" w:cs="Arial" w:eastAsia="Arial" w:hAnsi="Arial"/>
                <w:sz w:val="18"/>
                <w:szCs w:val="18"/>
                <w:color w:val="auto"/>
              </w:rPr>
              <w:t>19.91</w:t>
            </w:r>
          </w:p>
        </w:tc>
        <w:tc>
          <w:tcPr>
            <w:tcW w:w="2400" w:type="dxa"/>
            <w:vAlign w:val="bottom"/>
          </w:tcPr>
          <w:p>
            <w:pPr>
              <w:jc w:val="right"/>
              <w:ind w:right="752"/>
              <w:spacing w:after="0"/>
              <w:rPr>
                <w:sz w:val="20"/>
                <w:szCs w:val="20"/>
                <w:color w:val="auto"/>
              </w:rPr>
            </w:pPr>
            <w:r>
              <w:rPr>
                <w:rFonts w:ascii="Arial" w:cs="Arial" w:eastAsia="Arial" w:hAnsi="Arial"/>
                <w:sz w:val="18"/>
                <w:szCs w:val="18"/>
                <w:color w:val="auto"/>
              </w:rPr>
              <w:t>28,195</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652"/>
              <w:spacing w:after="0"/>
              <w:rPr>
                <w:sz w:val="20"/>
                <w:szCs w:val="20"/>
                <w:color w:val="auto"/>
              </w:rPr>
            </w:pPr>
            <w:r>
              <w:rPr>
                <w:rFonts w:ascii="Arial" w:cs="Arial" w:eastAsia="Arial" w:hAnsi="Arial"/>
                <w:sz w:val="18"/>
                <w:szCs w:val="18"/>
                <w:color w:val="auto"/>
              </w:rPr>
              <w:t>0.5</w:t>
            </w:r>
          </w:p>
        </w:tc>
      </w:tr>
      <w:tr>
        <w:trPr>
          <w:trHeight w:val="358"/>
        </w:trPr>
        <w:tc>
          <w:tcPr>
            <w:tcW w:w="2420" w:type="dxa"/>
            <w:vAlign w:val="bottom"/>
          </w:tcPr>
          <w:p>
            <w:pPr>
              <w:spacing w:after="0"/>
              <w:rPr>
                <w:sz w:val="20"/>
                <w:szCs w:val="20"/>
                <w:color w:val="auto"/>
              </w:rPr>
            </w:pPr>
            <w:r>
              <w:rPr>
                <w:rFonts w:ascii="Arial" w:cs="Arial" w:eastAsia="Arial" w:hAnsi="Arial"/>
                <w:sz w:val="18"/>
                <w:szCs w:val="18"/>
                <w:color w:val="auto"/>
              </w:rPr>
              <w:t>July 1, 2009 through</w:t>
            </w:r>
          </w:p>
        </w:tc>
        <w:tc>
          <w:tcPr>
            <w:tcW w:w="2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2"/>
        </w:trPr>
        <w:tc>
          <w:tcPr>
            <w:tcW w:w="2420" w:type="dxa"/>
            <w:vAlign w:val="bottom"/>
          </w:tcPr>
          <w:p>
            <w:pPr>
              <w:ind w:left="160"/>
              <w:spacing w:after="0"/>
              <w:rPr>
                <w:sz w:val="20"/>
                <w:szCs w:val="20"/>
                <w:color w:val="auto"/>
              </w:rPr>
            </w:pPr>
            <w:r>
              <w:rPr>
                <w:rFonts w:ascii="Arial" w:cs="Arial" w:eastAsia="Arial" w:hAnsi="Arial"/>
                <w:sz w:val="18"/>
                <w:szCs w:val="18"/>
                <w:color w:val="auto"/>
              </w:rPr>
              <w:t>July 31, 2009</w:t>
            </w:r>
          </w:p>
        </w:tc>
        <w:tc>
          <w:tcPr>
            <w:tcW w:w="2120" w:type="dxa"/>
            <w:vAlign w:val="bottom"/>
          </w:tcPr>
          <w:p>
            <w:pPr>
              <w:jc w:val="right"/>
              <w:ind w:right="532"/>
              <w:spacing w:after="0"/>
              <w:rPr>
                <w:sz w:val="20"/>
                <w:szCs w:val="20"/>
                <w:color w:val="auto"/>
              </w:rPr>
            </w:pPr>
            <w:r>
              <w:rPr>
                <w:rFonts w:ascii="Arial" w:cs="Arial" w:eastAsia="Arial" w:hAnsi="Arial"/>
                <w:sz w:val="18"/>
                <w:szCs w:val="18"/>
                <w:color w:val="auto"/>
              </w:rPr>
              <w:t>24,955</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612"/>
              <w:spacing w:after="0"/>
              <w:rPr>
                <w:sz w:val="20"/>
                <w:szCs w:val="20"/>
                <w:color w:val="auto"/>
              </w:rPr>
            </w:pPr>
            <w:r>
              <w:rPr>
                <w:rFonts w:ascii="Arial" w:cs="Arial" w:eastAsia="Arial" w:hAnsi="Arial"/>
                <w:sz w:val="18"/>
                <w:szCs w:val="18"/>
                <w:color w:val="auto"/>
              </w:rPr>
              <w:t>18.73</w:t>
            </w:r>
          </w:p>
        </w:tc>
        <w:tc>
          <w:tcPr>
            <w:tcW w:w="2400" w:type="dxa"/>
            <w:vAlign w:val="bottom"/>
          </w:tcPr>
          <w:p>
            <w:pPr>
              <w:jc w:val="right"/>
              <w:ind w:right="752"/>
              <w:spacing w:after="0"/>
              <w:rPr>
                <w:sz w:val="20"/>
                <w:szCs w:val="20"/>
                <w:color w:val="auto"/>
              </w:rPr>
            </w:pPr>
            <w:r>
              <w:rPr>
                <w:rFonts w:ascii="Arial" w:cs="Arial" w:eastAsia="Arial" w:hAnsi="Arial"/>
                <w:sz w:val="18"/>
                <w:szCs w:val="18"/>
                <w:color w:val="auto"/>
              </w:rPr>
              <w:t>24,955</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652"/>
              <w:spacing w:after="0"/>
              <w:rPr>
                <w:sz w:val="20"/>
                <w:szCs w:val="20"/>
                <w:color w:val="auto"/>
              </w:rPr>
            </w:pPr>
            <w:r>
              <w:rPr>
                <w:rFonts w:ascii="Arial" w:cs="Arial" w:eastAsia="Arial" w:hAnsi="Arial"/>
                <w:sz w:val="18"/>
                <w:szCs w:val="18"/>
                <w:color w:val="auto"/>
              </w:rPr>
              <w:t>0.1</w:t>
            </w:r>
          </w:p>
        </w:tc>
      </w:tr>
      <w:tr>
        <w:trPr>
          <w:trHeight w:val="358"/>
        </w:trPr>
        <w:tc>
          <w:tcPr>
            <w:tcW w:w="2420" w:type="dxa"/>
            <w:vAlign w:val="bottom"/>
          </w:tcPr>
          <w:p>
            <w:pPr>
              <w:spacing w:after="0"/>
              <w:rPr>
                <w:sz w:val="20"/>
                <w:szCs w:val="20"/>
                <w:color w:val="auto"/>
              </w:rPr>
            </w:pPr>
            <w:r>
              <w:rPr>
                <w:rFonts w:ascii="Arial" w:cs="Arial" w:eastAsia="Arial" w:hAnsi="Arial"/>
                <w:sz w:val="18"/>
                <w:szCs w:val="18"/>
                <w:color w:val="auto"/>
              </w:rPr>
              <w:t>August 1, 2009 through</w:t>
            </w:r>
          </w:p>
        </w:tc>
        <w:tc>
          <w:tcPr>
            <w:tcW w:w="2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2"/>
        </w:trPr>
        <w:tc>
          <w:tcPr>
            <w:tcW w:w="2420" w:type="dxa"/>
            <w:vAlign w:val="bottom"/>
          </w:tcPr>
          <w:p>
            <w:pPr>
              <w:ind w:left="160"/>
              <w:spacing w:after="0"/>
              <w:rPr>
                <w:sz w:val="20"/>
                <w:szCs w:val="20"/>
                <w:color w:val="auto"/>
              </w:rPr>
            </w:pPr>
            <w:r>
              <w:rPr>
                <w:rFonts w:ascii="Arial" w:cs="Arial" w:eastAsia="Arial" w:hAnsi="Arial"/>
                <w:sz w:val="18"/>
                <w:szCs w:val="18"/>
                <w:color w:val="auto"/>
              </w:rPr>
              <w:t>August 31, 2009</w:t>
            </w:r>
          </w:p>
        </w:tc>
        <w:tc>
          <w:tcPr>
            <w:tcW w:w="212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2400" w:type="dxa"/>
            <w:vAlign w:val="bottom"/>
          </w:tcPr>
          <w:p>
            <w:pPr>
              <w:jc w:val="right"/>
              <w:ind w:right="75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652"/>
              <w:spacing w:after="0"/>
              <w:rPr>
                <w:sz w:val="20"/>
                <w:szCs w:val="20"/>
                <w:color w:val="auto"/>
              </w:rPr>
            </w:pPr>
            <w:r>
              <w:rPr>
                <w:rFonts w:ascii="Arial" w:cs="Arial" w:eastAsia="Arial" w:hAnsi="Arial"/>
                <w:sz w:val="18"/>
                <w:szCs w:val="18"/>
                <w:color w:val="auto"/>
              </w:rPr>
              <w:t>0.1</w:t>
            </w:r>
          </w:p>
        </w:tc>
      </w:tr>
      <w:tr>
        <w:trPr>
          <w:trHeight w:val="358"/>
        </w:trPr>
        <w:tc>
          <w:tcPr>
            <w:tcW w:w="2420" w:type="dxa"/>
            <w:vAlign w:val="bottom"/>
          </w:tcPr>
          <w:p>
            <w:pPr>
              <w:spacing w:after="0"/>
              <w:rPr>
                <w:sz w:val="20"/>
                <w:szCs w:val="20"/>
                <w:color w:val="auto"/>
              </w:rPr>
            </w:pPr>
            <w:r>
              <w:rPr>
                <w:rFonts w:ascii="Arial" w:cs="Arial" w:eastAsia="Arial" w:hAnsi="Arial"/>
                <w:sz w:val="18"/>
                <w:szCs w:val="18"/>
                <w:color w:val="auto"/>
              </w:rPr>
              <w:t>September 1, 2009 through</w:t>
            </w:r>
          </w:p>
        </w:tc>
        <w:tc>
          <w:tcPr>
            <w:tcW w:w="2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2"/>
        </w:trPr>
        <w:tc>
          <w:tcPr>
            <w:tcW w:w="2420" w:type="dxa"/>
            <w:vAlign w:val="bottom"/>
          </w:tcPr>
          <w:p>
            <w:pPr>
              <w:ind w:left="160"/>
              <w:spacing w:after="0"/>
              <w:rPr>
                <w:sz w:val="20"/>
                <w:szCs w:val="20"/>
                <w:color w:val="auto"/>
              </w:rPr>
            </w:pPr>
            <w:r>
              <w:rPr>
                <w:rFonts w:ascii="Arial" w:cs="Arial" w:eastAsia="Arial" w:hAnsi="Arial"/>
                <w:sz w:val="18"/>
                <w:szCs w:val="18"/>
                <w:color w:val="auto"/>
              </w:rPr>
              <w:t>September 30, 2009</w:t>
            </w:r>
          </w:p>
        </w:tc>
        <w:tc>
          <w:tcPr>
            <w:tcW w:w="2120" w:type="dxa"/>
            <w:vAlign w:val="bottom"/>
          </w:tcPr>
          <w:p>
            <w:pPr>
              <w:jc w:val="right"/>
              <w:ind w:right="532"/>
              <w:spacing w:after="0"/>
              <w:rPr>
                <w:sz w:val="20"/>
                <w:szCs w:val="20"/>
                <w:color w:val="auto"/>
              </w:rPr>
            </w:pPr>
            <w:r>
              <w:rPr>
                <w:rFonts w:ascii="Arial" w:cs="Arial" w:eastAsia="Arial" w:hAnsi="Arial"/>
                <w:sz w:val="18"/>
                <w:szCs w:val="18"/>
                <w:color w:val="auto"/>
              </w:rPr>
              <w:t>850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612"/>
              <w:spacing w:after="0"/>
              <w:rPr>
                <w:sz w:val="20"/>
                <w:szCs w:val="20"/>
                <w:color w:val="auto"/>
              </w:rPr>
            </w:pPr>
            <w:r>
              <w:rPr>
                <w:rFonts w:ascii="Arial" w:cs="Arial" w:eastAsia="Arial" w:hAnsi="Arial"/>
                <w:sz w:val="18"/>
                <w:szCs w:val="18"/>
                <w:color w:val="auto"/>
              </w:rPr>
              <w:t>23.14</w:t>
            </w:r>
          </w:p>
        </w:tc>
        <w:tc>
          <w:tcPr>
            <w:tcW w:w="2400" w:type="dxa"/>
            <w:vAlign w:val="bottom"/>
          </w:tcPr>
          <w:p>
            <w:pPr>
              <w:jc w:val="right"/>
              <w:ind w:right="752"/>
              <w:spacing w:after="0"/>
              <w:rPr>
                <w:sz w:val="20"/>
                <w:szCs w:val="20"/>
                <w:color w:val="auto"/>
              </w:rPr>
            </w:pPr>
            <w:r>
              <w:rPr>
                <w:rFonts w:ascii="Arial" w:cs="Arial" w:eastAsia="Arial" w:hAnsi="Arial"/>
                <w:sz w:val="18"/>
                <w:szCs w:val="18"/>
                <w:color w:val="auto"/>
              </w:rPr>
              <w:t>850</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652"/>
              <w:spacing w:after="0"/>
              <w:rPr>
                <w:sz w:val="20"/>
                <w:szCs w:val="20"/>
                <w:color w:val="auto"/>
              </w:rPr>
            </w:pPr>
            <w:r>
              <w:rPr>
                <w:rFonts w:ascii="Arial" w:cs="Arial" w:eastAsia="Arial" w:hAnsi="Arial"/>
                <w:sz w:val="18"/>
                <w:szCs w:val="18"/>
                <w:color w:val="auto"/>
              </w:rPr>
              <w:t>—</w:t>
            </w:r>
          </w:p>
        </w:tc>
      </w:tr>
      <w:tr>
        <w:trPr>
          <w:trHeight w:val="358"/>
        </w:trPr>
        <w:tc>
          <w:tcPr>
            <w:tcW w:w="2420" w:type="dxa"/>
            <w:vAlign w:val="bottom"/>
          </w:tcPr>
          <w:p>
            <w:pPr>
              <w:spacing w:after="0"/>
              <w:rPr>
                <w:sz w:val="20"/>
                <w:szCs w:val="20"/>
                <w:color w:val="auto"/>
              </w:rPr>
            </w:pPr>
            <w:r>
              <w:rPr>
                <w:rFonts w:ascii="Arial" w:cs="Arial" w:eastAsia="Arial" w:hAnsi="Arial"/>
                <w:sz w:val="18"/>
                <w:szCs w:val="18"/>
                <w:color w:val="auto"/>
              </w:rPr>
              <w:t>October 1, 2009 through</w:t>
            </w:r>
          </w:p>
        </w:tc>
        <w:tc>
          <w:tcPr>
            <w:tcW w:w="2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2"/>
        </w:trPr>
        <w:tc>
          <w:tcPr>
            <w:tcW w:w="2420" w:type="dxa"/>
            <w:vAlign w:val="bottom"/>
          </w:tcPr>
          <w:p>
            <w:pPr>
              <w:ind w:left="160"/>
              <w:spacing w:after="0"/>
              <w:rPr>
                <w:sz w:val="20"/>
                <w:szCs w:val="20"/>
                <w:color w:val="auto"/>
              </w:rPr>
            </w:pPr>
            <w:r>
              <w:rPr>
                <w:rFonts w:ascii="Arial" w:cs="Arial" w:eastAsia="Arial" w:hAnsi="Arial"/>
                <w:sz w:val="18"/>
                <w:szCs w:val="18"/>
                <w:color w:val="auto"/>
              </w:rPr>
              <w:t>October 31, 2009</w:t>
            </w:r>
          </w:p>
        </w:tc>
        <w:tc>
          <w:tcPr>
            <w:tcW w:w="212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2400" w:type="dxa"/>
            <w:vAlign w:val="bottom"/>
          </w:tcPr>
          <w:p>
            <w:pPr>
              <w:jc w:val="right"/>
              <w:ind w:right="75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652"/>
              <w:spacing w:after="0"/>
              <w:rPr>
                <w:sz w:val="20"/>
                <w:szCs w:val="20"/>
                <w:color w:val="auto"/>
              </w:rPr>
            </w:pPr>
            <w:r>
              <w:rPr>
                <w:rFonts w:ascii="Arial" w:cs="Arial" w:eastAsia="Arial" w:hAnsi="Arial"/>
                <w:sz w:val="18"/>
                <w:szCs w:val="18"/>
                <w:color w:val="auto"/>
              </w:rPr>
              <w:t>—</w:t>
            </w:r>
          </w:p>
        </w:tc>
      </w:tr>
      <w:tr>
        <w:trPr>
          <w:trHeight w:val="358"/>
        </w:trPr>
        <w:tc>
          <w:tcPr>
            <w:tcW w:w="2420" w:type="dxa"/>
            <w:vAlign w:val="bottom"/>
          </w:tcPr>
          <w:p>
            <w:pPr>
              <w:spacing w:after="0"/>
              <w:rPr>
                <w:sz w:val="20"/>
                <w:szCs w:val="20"/>
                <w:color w:val="auto"/>
              </w:rPr>
            </w:pPr>
            <w:r>
              <w:rPr>
                <w:rFonts w:ascii="Arial" w:cs="Arial" w:eastAsia="Arial" w:hAnsi="Arial"/>
                <w:sz w:val="18"/>
                <w:szCs w:val="18"/>
                <w:color w:val="auto"/>
              </w:rPr>
              <w:t>November 1, 2009 through</w:t>
            </w:r>
          </w:p>
        </w:tc>
        <w:tc>
          <w:tcPr>
            <w:tcW w:w="2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2"/>
        </w:trPr>
        <w:tc>
          <w:tcPr>
            <w:tcW w:w="2420" w:type="dxa"/>
            <w:vAlign w:val="bottom"/>
          </w:tcPr>
          <w:p>
            <w:pPr>
              <w:ind w:left="160"/>
              <w:spacing w:after="0"/>
              <w:rPr>
                <w:sz w:val="20"/>
                <w:szCs w:val="20"/>
                <w:color w:val="auto"/>
              </w:rPr>
            </w:pPr>
            <w:r>
              <w:rPr>
                <w:rFonts w:ascii="Arial" w:cs="Arial" w:eastAsia="Arial" w:hAnsi="Arial"/>
                <w:sz w:val="18"/>
                <w:szCs w:val="18"/>
                <w:color w:val="auto"/>
              </w:rPr>
              <w:t>November 30, 2009</w:t>
            </w:r>
          </w:p>
        </w:tc>
        <w:tc>
          <w:tcPr>
            <w:tcW w:w="212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2400" w:type="dxa"/>
            <w:vAlign w:val="bottom"/>
          </w:tcPr>
          <w:p>
            <w:pPr>
              <w:jc w:val="right"/>
              <w:ind w:right="75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652"/>
              <w:spacing w:after="0"/>
              <w:rPr>
                <w:sz w:val="20"/>
                <w:szCs w:val="20"/>
                <w:color w:val="auto"/>
              </w:rPr>
            </w:pPr>
            <w:r>
              <w:rPr>
                <w:rFonts w:ascii="Arial" w:cs="Arial" w:eastAsia="Arial" w:hAnsi="Arial"/>
                <w:sz w:val="18"/>
                <w:szCs w:val="18"/>
                <w:color w:val="auto"/>
              </w:rPr>
              <w:t>—</w:t>
            </w:r>
          </w:p>
        </w:tc>
      </w:tr>
      <w:tr>
        <w:trPr>
          <w:trHeight w:val="358"/>
        </w:trPr>
        <w:tc>
          <w:tcPr>
            <w:tcW w:w="2420" w:type="dxa"/>
            <w:vAlign w:val="bottom"/>
          </w:tcPr>
          <w:p>
            <w:pPr>
              <w:spacing w:after="0"/>
              <w:rPr>
                <w:sz w:val="20"/>
                <w:szCs w:val="20"/>
                <w:color w:val="auto"/>
              </w:rPr>
            </w:pPr>
            <w:r>
              <w:rPr>
                <w:rFonts w:ascii="Arial" w:cs="Arial" w:eastAsia="Arial" w:hAnsi="Arial"/>
                <w:sz w:val="18"/>
                <w:szCs w:val="18"/>
                <w:color w:val="auto"/>
              </w:rPr>
              <w:t>December 1, 2009 through</w:t>
            </w:r>
          </w:p>
        </w:tc>
        <w:tc>
          <w:tcPr>
            <w:tcW w:w="2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2"/>
        </w:trPr>
        <w:tc>
          <w:tcPr>
            <w:tcW w:w="2420" w:type="dxa"/>
            <w:vAlign w:val="bottom"/>
          </w:tcPr>
          <w:p>
            <w:pPr>
              <w:ind w:left="160"/>
              <w:spacing w:after="0"/>
              <w:rPr>
                <w:sz w:val="20"/>
                <w:szCs w:val="20"/>
                <w:color w:val="auto"/>
              </w:rPr>
            </w:pPr>
            <w:r>
              <w:rPr>
                <w:rFonts w:ascii="Arial" w:cs="Arial" w:eastAsia="Arial" w:hAnsi="Arial"/>
                <w:sz w:val="18"/>
                <w:szCs w:val="18"/>
                <w:color w:val="auto"/>
              </w:rPr>
              <w:t>December 31, 2009</w:t>
            </w:r>
          </w:p>
        </w:tc>
        <w:tc>
          <w:tcPr>
            <w:tcW w:w="212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2400" w:type="dxa"/>
            <w:vAlign w:val="bottom"/>
          </w:tcPr>
          <w:p>
            <w:pPr>
              <w:jc w:val="right"/>
              <w:ind w:right="75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652"/>
              <w:spacing w:after="0"/>
              <w:rPr>
                <w:sz w:val="20"/>
                <w:szCs w:val="20"/>
                <w:color w:val="auto"/>
              </w:rPr>
            </w:pPr>
            <w:r>
              <w:rPr>
                <w:rFonts w:ascii="Arial" w:cs="Arial" w:eastAsia="Arial" w:hAnsi="Arial"/>
                <w:sz w:val="18"/>
                <w:szCs w:val="18"/>
                <w:color w:val="auto"/>
              </w:rPr>
              <w:t>20.0</w:t>
            </w:r>
          </w:p>
        </w:tc>
      </w:tr>
      <w:tr>
        <w:trPr>
          <w:trHeight w:val="358"/>
        </w:trPr>
        <w:tc>
          <w:tcPr>
            <w:tcW w:w="2420" w:type="dxa"/>
            <w:vAlign w:val="bottom"/>
          </w:tcPr>
          <w:p>
            <w:pPr>
              <w:spacing w:after="0"/>
              <w:rPr>
                <w:sz w:val="20"/>
                <w:szCs w:val="20"/>
                <w:color w:val="auto"/>
              </w:rPr>
            </w:pPr>
            <w:r>
              <w:rPr>
                <w:rFonts w:ascii="Arial" w:cs="Arial" w:eastAsia="Arial" w:hAnsi="Arial"/>
                <w:sz w:val="18"/>
                <w:szCs w:val="18"/>
                <w:color w:val="auto"/>
              </w:rPr>
              <w:t>January 1, 2010 through</w:t>
            </w:r>
          </w:p>
        </w:tc>
        <w:tc>
          <w:tcPr>
            <w:tcW w:w="2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2"/>
        </w:trPr>
        <w:tc>
          <w:tcPr>
            <w:tcW w:w="2420" w:type="dxa"/>
            <w:vAlign w:val="bottom"/>
          </w:tcPr>
          <w:p>
            <w:pPr>
              <w:ind w:left="160"/>
              <w:spacing w:after="0"/>
              <w:rPr>
                <w:sz w:val="20"/>
                <w:szCs w:val="20"/>
                <w:color w:val="auto"/>
              </w:rPr>
            </w:pPr>
            <w:r>
              <w:rPr>
                <w:rFonts w:ascii="Arial" w:cs="Arial" w:eastAsia="Arial" w:hAnsi="Arial"/>
                <w:sz w:val="18"/>
                <w:szCs w:val="18"/>
                <w:color w:val="auto"/>
              </w:rPr>
              <w:t>January 31, 2010</w:t>
            </w:r>
          </w:p>
        </w:tc>
        <w:tc>
          <w:tcPr>
            <w:tcW w:w="212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2400" w:type="dxa"/>
            <w:vAlign w:val="bottom"/>
          </w:tcPr>
          <w:p>
            <w:pPr>
              <w:jc w:val="right"/>
              <w:ind w:right="75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652"/>
              <w:spacing w:after="0"/>
              <w:rPr>
                <w:sz w:val="20"/>
                <w:szCs w:val="20"/>
                <w:color w:val="auto"/>
              </w:rPr>
            </w:pPr>
            <w:r>
              <w:rPr>
                <w:rFonts w:ascii="Arial" w:cs="Arial" w:eastAsia="Arial" w:hAnsi="Arial"/>
                <w:sz w:val="18"/>
                <w:szCs w:val="18"/>
                <w:color w:val="auto"/>
              </w:rPr>
              <w:t>—</w:t>
            </w:r>
          </w:p>
        </w:tc>
      </w:tr>
      <w:tr>
        <w:trPr>
          <w:trHeight w:val="358"/>
        </w:trPr>
        <w:tc>
          <w:tcPr>
            <w:tcW w:w="2420" w:type="dxa"/>
            <w:vAlign w:val="bottom"/>
          </w:tcPr>
          <w:p>
            <w:pPr>
              <w:spacing w:after="0"/>
              <w:rPr>
                <w:sz w:val="20"/>
                <w:szCs w:val="20"/>
                <w:color w:val="auto"/>
              </w:rPr>
            </w:pPr>
            <w:r>
              <w:rPr>
                <w:rFonts w:ascii="Arial" w:cs="Arial" w:eastAsia="Arial" w:hAnsi="Arial"/>
                <w:sz w:val="18"/>
                <w:szCs w:val="18"/>
                <w:color w:val="auto"/>
              </w:rPr>
              <w:t>February 1, 2010 through</w:t>
            </w:r>
          </w:p>
        </w:tc>
        <w:tc>
          <w:tcPr>
            <w:tcW w:w="2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2"/>
        </w:trPr>
        <w:tc>
          <w:tcPr>
            <w:tcW w:w="2420" w:type="dxa"/>
            <w:vAlign w:val="bottom"/>
          </w:tcPr>
          <w:p>
            <w:pPr>
              <w:ind w:left="160"/>
              <w:spacing w:after="0"/>
              <w:rPr>
                <w:sz w:val="20"/>
                <w:szCs w:val="20"/>
                <w:color w:val="auto"/>
              </w:rPr>
            </w:pPr>
            <w:r>
              <w:rPr>
                <w:rFonts w:ascii="Arial" w:cs="Arial" w:eastAsia="Arial" w:hAnsi="Arial"/>
                <w:sz w:val="18"/>
                <w:szCs w:val="18"/>
                <w:color w:val="auto"/>
              </w:rPr>
              <w:t>February 28, 2010</w:t>
            </w:r>
          </w:p>
        </w:tc>
        <w:tc>
          <w:tcPr>
            <w:tcW w:w="2120" w:type="dxa"/>
            <w:vAlign w:val="bottom"/>
          </w:tcPr>
          <w:p>
            <w:pPr>
              <w:jc w:val="right"/>
              <w:ind w:right="532"/>
              <w:spacing w:after="0"/>
              <w:rPr>
                <w:sz w:val="20"/>
                <w:szCs w:val="20"/>
                <w:color w:val="auto"/>
              </w:rPr>
            </w:pPr>
            <w:r>
              <w:rPr>
                <w:rFonts w:ascii="Arial" w:cs="Arial" w:eastAsia="Arial" w:hAnsi="Arial"/>
                <w:sz w:val="18"/>
                <w:szCs w:val="18"/>
                <w:color w:val="auto"/>
              </w:rPr>
              <w:t>17,003</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612"/>
              <w:spacing w:after="0"/>
              <w:rPr>
                <w:sz w:val="20"/>
                <w:szCs w:val="20"/>
                <w:color w:val="auto"/>
              </w:rPr>
            </w:pPr>
            <w:r>
              <w:rPr>
                <w:rFonts w:ascii="Arial" w:cs="Arial" w:eastAsia="Arial" w:hAnsi="Arial"/>
                <w:sz w:val="18"/>
                <w:szCs w:val="18"/>
                <w:color w:val="auto"/>
              </w:rPr>
              <w:t>28.64</w:t>
            </w:r>
          </w:p>
        </w:tc>
        <w:tc>
          <w:tcPr>
            <w:tcW w:w="2400" w:type="dxa"/>
            <w:vAlign w:val="bottom"/>
          </w:tcPr>
          <w:p>
            <w:pPr>
              <w:jc w:val="right"/>
              <w:ind w:right="752"/>
              <w:spacing w:after="0"/>
              <w:rPr>
                <w:sz w:val="20"/>
                <w:szCs w:val="20"/>
                <w:color w:val="auto"/>
              </w:rPr>
            </w:pPr>
            <w:r>
              <w:rPr>
                <w:rFonts w:ascii="Arial" w:cs="Arial" w:eastAsia="Arial" w:hAnsi="Arial"/>
                <w:sz w:val="18"/>
                <w:szCs w:val="18"/>
                <w:color w:val="auto"/>
              </w:rPr>
              <w:t>17,003</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652"/>
              <w:spacing w:after="0"/>
              <w:rPr>
                <w:sz w:val="20"/>
                <w:szCs w:val="20"/>
                <w:color w:val="auto"/>
              </w:rPr>
            </w:pPr>
            <w:r>
              <w:rPr>
                <w:rFonts w:ascii="Arial" w:cs="Arial" w:eastAsia="Arial" w:hAnsi="Arial"/>
                <w:sz w:val="18"/>
                <w:szCs w:val="18"/>
                <w:color w:val="auto"/>
              </w:rPr>
              <w:t>19.5</w:t>
            </w:r>
          </w:p>
        </w:tc>
      </w:tr>
      <w:tr>
        <w:trPr>
          <w:trHeight w:val="365"/>
        </w:trPr>
        <w:tc>
          <w:tcPr>
            <w:tcW w:w="2420" w:type="dxa"/>
            <w:vAlign w:val="bottom"/>
          </w:tcPr>
          <w:p>
            <w:pPr>
              <w:ind w:left="320"/>
              <w:spacing w:after="0"/>
              <w:rPr>
                <w:sz w:val="20"/>
                <w:szCs w:val="20"/>
                <w:color w:val="auto"/>
              </w:rPr>
            </w:pPr>
            <w:r>
              <w:rPr>
                <w:rFonts w:ascii="Arial" w:cs="Arial" w:eastAsia="Arial" w:hAnsi="Arial"/>
                <w:sz w:val="18"/>
                <w:szCs w:val="18"/>
                <w:color w:val="auto"/>
              </w:rPr>
              <w:t>Total</w:t>
            </w:r>
          </w:p>
        </w:tc>
        <w:tc>
          <w:tcPr>
            <w:tcW w:w="2120" w:type="dxa"/>
            <w:vAlign w:val="bottom"/>
          </w:tcPr>
          <w:p>
            <w:pPr>
              <w:jc w:val="right"/>
              <w:ind w:right="532"/>
              <w:spacing w:after="0"/>
              <w:rPr>
                <w:sz w:val="20"/>
                <w:szCs w:val="20"/>
                <w:color w:val="auto"/>
              </w:rPr>
            </w:pPr>
            <w:r>
              <w:rPr>
                <w:rFonts w:ascii="Arial" w:cs="Arial" w:eastAsia="Arial" w:hAnsi="Arial"/>
                <w:sz w:val="18"/>
                <w:szCs w:val="18"/>
                <w:color w:val="auto"/>
              </w:rPr>
              <w:t>71,003</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612"/>
              <w:spacing w:after="0"/>
              <w:rPr>
                <w:sz w:val="20"/>
                <w:szCs w:val="20"/>
                <w:color w:val="auto"/>
              </w:rPr>
            </w:pPr>
            <w:r>
              <w:rPr>
                <w:rFonts w:ascii="Arial" w:cs="Arial" w:eastAsia="Arial" w:hAnsi="Arial"/>
                <w:sz w:val="18"/>
                <w:szCs w:val="18"/>
                <w:color w:val="auto"/>
              </w:rPr>
              <w:t>21.62</w:t>
            </w:r>
          </w:p>
        </w:tc>
        <w:tc>
          <w:tcPr>
            <w:tcW w:w="2400" w:type="dxa"/>
            <w:vAlign w:val="bottom"/>
          </w:tcPr>
          <w:p>
            <w:pPr>
              <w:jc w:val="right"/>
              <w:ind w:right="752"/>
              <w:spacing w:after="0"/>
              <w:rPr>
                <w:sz w:val="20"/>
                <w:szCs w:val="20"/>
                <w:color w:val="auto"/>
              </w:rPr>
            </w:pPr>
            <w:r>
              <w:rPr>
                <w:rFonts w:ascii="Arial" w:cs="Arial" w:eastAsia="Arial" w:hAnsi="Arial"/>
                <w:sz w:val="18"/>
                <w:szCs w:val="18"/>
                <w:color w:val="auto"/>
              </w:rPr>
              <w:t>71,003</w:t>
            </w: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0"/>
        </w:trPr>
        <w:tc>
          <w:tcPr>
            <w:tcW w:w="242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r>
    </w:tbl>
    <w:p>
      <w:pPr>
        <w:spacing w:after="0" w:line="356" w:lineRule="exact"/>
        <w:rPr>
          <w:sz w:val="20"/>
          <w:szCs w:val="20"/>
          <w:color w:val="auto"/>
        </w:rPr>
      </w:pPr>
    </w:p>
    <w:p>
      <w:pPr>
        <w:ind w:left="460" w:right="100" w:hanging="452"/>
        <w:spacing w:after="0" w:line="290"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May 28, 2008, the Company announced that its Board of Directors had authorized a new program to purchase up to $20.0 million of Common Stock, from time to time as conditions allow, on the open market or through negotiated private transactions. On November 20, 2008 and February 4, 2009, the Board of Directors authorized further programs to repurchase up to an additional $10.0 million and $5.0 million, respectively, of its Common Stock, to be funded with available cash and pursuant to which the Company could purchase shares from time to time as conditions allow on the open market. As of September 30, 2009, these programs were virtually completed. On December 16, 2009, the Company announced that its Board of Directors had authorized a new program to purchase up to $20.0 million of Common Stock, from time to time as conditions allow, on the open market or through negotiated private transactions. As of February 28, 2010, approximately $19.5 million remained of the current authorization.</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Exhibits:</w:t>
            </w:r>
          </w:p>
        </w:tc>
        <w:tc>
          <w:tcPr>
            <w:tcW w:w="9780" w:type="dxa"/>
            <w:vAlign w:val="bottom"/>
          </w:tcPr>
          <w:p>
            <w:pPr>
              <w:spacing w:after="0"/>
              <w:rPr>
                <w:sz w:val="19"/>
                <w:szCs w:val="19"/>
                <w:color w:val="auto"/>
              </w:rPr>
            </w:pPr>
          </w:p>
        </w:tc>
      </w:tr>
      <w:tr>
        <w:trPr>
          <w:trHeight w:val="365"/>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9780" w:type="dxa"/>
            <w:vAlign w:val="bottom"/>
          </w:tcPr>
          <w:p>
            <w:pPr>
              <w:ind w:left="260"/>
              <w:spacing w:after="0"/>
              <w:rPr>
                <w:sz w:val="20"/>
                <w:szCs w:val="20"/>
                <w:color w:val="auto"/>
              </w:rPr>
            </w:pPr>
            <w:r>
              <w:rPr>
                <w:rFonts w:ascii="Arial" w:cs="Arial" w:eastAsia="Arial" w:hAnsi="Arial"/>
                <w:sz w:val="18"/>
                <w:szCs w:val="18"/>
                <w:color w:val="auto"/>
                <w:w w:val="89"/>
              </w:rPr>
              <w:t>Certification of the Chief Executive Officer of Scholastic Corporation filed pursuant to Section 302 of the Sarbanes-Oxley Act of 2002.</w:t>
            </w:r>
          </w:p>
        </w:tc>
      </w:tr>
      <w:tr>
        <w:trPr>
          <w:trHeight w:val="365"/>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9780" w:type="dxa"/>
            <w:vAlign w:val="bottom"/>
          </w:tcPr>
          <w:p>
            <w:pPr>
              <w:ind w:left="260"/>
              <w:spacing w:after="0"/>
              <w:rPr>
                <w:sz w:val="20"/>
                <w:szCs w:val="20"/>
                <w:color w:val="auto"/>
              </w:rPr>
            </w:pPr>
            <w:r>
              <w:rPr>
                <w:rFonts w:ascii="Arial" w:cs="Arial" w:eastAsia="Arial" w:hAnsi="Arial"/>
                <w:sz w:val="18"/>
                <w:szCs w:val="18"/>
                <w:color w:val="auto"/>
                <w:w w:val="90"/>
              </w:rPr>
              <w:t>Certification of the Chief Financial Officer of Scholastic Corporation filed pursuant to Section 302 of the Sarbanes-Oxley Act of 2002.</w:t>
            </w:r>
          </w:p>
        </w:tc>
      </w:tr>
    </w:tbl>
    <w:p>
      <w:pPr>
        <w:spacing w:after="0" w:line="142" w:lineRule="exact"/>
        <w:rPr>
          <w:sz w:val="20"/>
          <w:szCs w:val="20"/>
          <w:color w:val="auto"/>
        </w:rPr>
      </w:pPr>
    </w:p>
    <w:p>
      <w:pPr>
        <w:ind w:left="1160" w:hanging="1152"/>
        <w:spacing w:after="0" w:line="268"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of Scholastic Corporation furnished pursuant to Section 906 of the Sarbanes-Oxley Act of 2002.</w:t>
      </w:r>
    </w:p>
    <w:p>
      <w:pPr>
        <w:spacing w:after="0" w:line="18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980"/>
          </w:cols>
          <w:pgMar w:left="240" w:top="382" w:right="6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151"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April 2, 2010</w:t>
      </w:r>
      <w:r>
        <w:rPr>
          <w:sz w:val="20"/>
          <w:szCs w:val="20"/>
          <w:color w:val="auto"/>
        </w:rPr>
        <w:tab/>
      </w:r>
      <w:r>
        <w:rPr>
          <w:rFonts w:ascii="Arial" w:cs="Arial" w:eastAsia="Arial" w:hAnsi="Arial"/>
          <w:sz w:val="16"/>
          <w:szCs w:val="16"/>
          <w:color w:val="auto"/>
        </w:rPr>
        <w:t>By: /s/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6743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6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Richard Robinson</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Chairman of the Board,</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President and Chief</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Executive Officer</w:t>
      </w:r>
    </w:p>
    <w:p>
      <w:pPr>
        <w:spacing w:after="0" w:line="151"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April 2, 2010</w:t>
      </w:r>
      <w:r>
        <w:rPr>
          <w:sz w:val="20"/>
          <w:szCs w:val="20"/>
          <w:color w:val="auto"/>
        </w:rPr>
        <w:tab/>
      </w:r>
      <w:r>
        <w:rPr>
          <w:rFonts w:ascii="Arial" w:cs="Arial" w:eastAsia="Arial" w:hAnsi="Arial"/>
          <w:sz w:val="16"/>
          <w:szCs w:val="16"/>
          <w:color w:val="auto"/>
        </w:rPr>
        <w:t>By: /s/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6743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6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Chief Administrative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and 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Financial Officer)</w:t>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00"/>
          </w:cols>
          <w:pgMar w:left="240" w:top="382" w:right="6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REPORT ON FORM 10-Q, DATED FEBRUARY 28,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jc w:val="right"/>
              <w:ind w:right="172"/>
              <w:spacing w:after="0"/>
              <w:rPr>
                <w:sz w:val="20"/>
                <w:szCs w:val="20"/>
                <w:color w:val="auto"/>
              </w:rPr>
            </w:pPr>
            <w:r>
              <w:rPr>
                <w:rFonts w:ascii="Arial" w:cs="Arial" w:eastAsia="Arial" w:hAnsi="Arial"/>
                <w:sz w:val="18"/>
                <w:szCs w:val="18"/>
                <w:b w:val="1"/>
                <w:bCs w:val="1"/>
                <w:color w:val="auto"/>
              </w:rPr>
              <w:t>Exhibit</w:t>
            </w:r>
          </w:p>
        </w:tc>
        <w:tc>
          <w:tcPr>
            <w:tcW w:w="3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980" w:type="dxa"/>
            <w:vAlign w:val="bottom"/>
          </w:tcPr>
          <w:p>
            <w:pPr>
              <w:spacing w:after="0"/>
              <w:rPr>
                <w:sz w:val="18"/>
                <w:szCs w:val="18"/>
                <w:color w:val="auto"/>
              </w:rPr>
            </w:pPr>
          </w:p>
        </w:tc>
      </w:tr>
      <w:tr>
        <w:trPr>
          <w:trHeight w:val="228"/>
        </w:trPr>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Number</w:t>
            </w:r>
          </w:p>
        </w:tc>
        <w:tc>
          <w:tcPr>
            <w:tcW w:w="9840" w:type="dxa"/>
            <w:vAlign w:val="bottom"/>
            <w:gridSpan w:val="3"/>
          </w:tcPr>
          <w:p>
            <w:pPr>
              <w:ind w:left="320"/>
              <w:spacing w:after="0"/>
              <w:rPr>
                <w:sz w:val="20"/>
                <w:szCs w:val="20"/>
                <w:color w:val="auto"/>
              </w:rPr>
            </w:pPr>
            <w:r>
              <w:rPr>
                <w:rFonts w:ascii="Arial" w:cs="Arial" w:eastAsia="Arial" w:hAnsi="Arial"/>
                <w:sz w:val="18"/>
                <w:szCs w:val="18"/>
                <w:b w:val="1"/>
                <w:bCs w:val="1"/>
                <w:color w:val="auto"/>
              </w:rPr>
              <w:t>Description of Document</w:t>
            </w:r>
          </w:p>
        </w:tc>
      </w:tr>
      <w:tr>
        <w:trPr>
          <w:trHeight w:val="110"/>
        </w:trPr>
        <w:tc>
          <w:tcPr>
            <w:tcW w:w="10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6980" w:type="dxa"/>
            <w:vAlign w:val="bottom"/>
          </w:tcPr>
          <w:p>
            <w:pPr>
              <w:spacing w:after="0"/>
              <w:rPr>
                <w:sz w:val="9"/>
                <w:szCs w:val="9"/>
                <w:color w:val="auto"/>
              </w:rPr>
            </w:pPr>
          </w:p>
        </w:tc>
      </w:tr>
      <w:tr>
        <w:trPr>
          <w:trHeight w:val="464"/>
        </w:trPr>
        <w:tc>
          <w:tcPr>
            <w:tcW w:w="1060" w:type="dxa"/>
            <w:vAlign w:val="bottom"/>
          </w:tcPr>
          <w:p>
            <w:pPr>
              <w:jc w:val="right"/>
              <w:ind w:right="352"/>
              <w:spacing w:after="0"/>
              <w:rPr>
                <w:sz w:val="20"/>
                <w:szCs w:val="20"/>
                <w:color w:val="auto"/>
              </w:rPr>
            </w:pPr>
            <w:r>
              <w:rPr>
                <w:rFonts w:ascii="Arial" w:cs="Arial" w:eastAsia="Arial" w:hAnsi="Arial"/>
                <w:sz w:val="18"/>
                <w:szCs w:val="18"/>
                <w:color w:val="auto"/>
              </w:rPr>
              <w:t>31.1</w:t>
            </w:r>
          </w:p>
        </w:tc>
        <w:tc>
          <w:tcPr>
            <w:tcW w:w="9840" w:type="dxa"/>
            <w:vAlign w:val="bottom"/>
            <w:gridSpan w:val="3"/>
          </w:tcPr>
          <w:p>
            <w:pPr>
              <w:ind w:left="320"/>
              <w:spacing w:after="0"/>
              <w:rPr>
                <w:sz w:val="20"/>
                <w:szCs w:val="20"/>
                <w:color w:val="auto"/>
              </w:rPr>
            </w:pPr>
            <w:r>
              <w:rPr>
                <w:rFonts w:ascii="Arial" w:cs="Arial" w:eastAsia="Arial" w:hAnsi="Arial"/>
                <w:sz w:val="18"/>
                <w:szCs w:val="18"/>
                <w:color w:val="auto"/>
                <w:w w:val="89"/>
              </w:rPr>
              <w:t>Certification of the Chief Executive Officer of Scholastic Corporation filed pursuant to Section 302 of the Sarbanes-Oxley Act of 2002.</w:t>
            </w:r>
          </w:p>
        </w:tc>
      </w:tr>
      <w:tr>
        <w:trPr>
          <w:trHeight w:val="365"/>
        </w:trPr>
        <w:tc>
          <w:tcPr>
            <w:tcW w:w="1060" w:type="dxa"/>
            <w:vAlign w:val="bottom"/>
          </w:tcPr>
          <w:p>
            <w:pPr>
              <w:jc w:val="right"/>
              <w:ind w:right="352"/>
              <w:spacing w:after="0"/>
              <w:rPr>
                <w:sz w:val="20"/>
                <w:szCs w:val="20"/>
                <w:color w:val="auto"/>
              </w:rPr>
            </w:pPr>
            <w:r>
              <w:rPr>
                <w:rFonts w:ascii="Arial" w:cs="Arial" w:eastAsia="Arial" w:hAnsi="Arial"/>
                <w:sz w:val="18"/>
                <w:szCs w:val="18"/>
                <w:color w:val="auto"/>
              </w:rPr>
              <w:t>31.2</w:t>
            </w:r>
          </w:p>
        </w:tc>
        <w:tc>
          <w:tcPr>
            <w:tcW w:w="9840" w:type="dxa"/>
            <w:vAlign w:val="bottom"/>
            <w:gridSpan w:val="3"/>
          </w:tcPr>
          <w:p>
            <w:pPr>
              <w:ind w:left="320"/>
              <w:spacing w:after="0"/>
              <w:rPr>
                <w:sz w:val="20"/>
                <w:szCs w:val="20"/>
                <w:color w:val="auto"/>
              </w:rPr>
            </w:pPr>
            <w:r>
              <w:rPr>
                <w:rFonts w:ascii="Arial" w:cs="Arial" w:eastAsia="Arial" w:hAnsi="Arial"/>
                <w:sz w:val="18"/>
                <w:szCs w:val="18"/>
                <w:color w:val="auto"/>
                <w:w w:val="90"/>
              </w:rPr>
              <w:t>Certification of the Chief Financial Officer of Scholastic Corporation filed pursuant to Section 302 of the Sarbanes-Oxley Act of 2002.</w:t>
            </w:r>
          </w:p>
        </w:tc>
      </w:tr>
    </w:tbl>
    <w:p>
      <w:pPr>
        <w:spacing w:after="0" w:line="142" w:lineRule="exact"/>
        <w:rPr>
          <w:sz w:val="20"/>
          <w:szCs w:val="20"/>
          <w:color w:val="auto"/>
        </w:rPr>
      </w:pPr>
    </w:p>
    <w:p>
      <w:pPr>
        <w:ind w:left="1380" w:hanging="1065"/>
        <w:spacing w:after="0" w:line="268"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of Scholastic Corporation furnished pursuant to Section 906 of the Sarbanes-Oxley Act of 2002.</w:t>
      </w:r>
    </w:p>
    <w:p>
      <w:pPr>
        <w:spacing w:after="0" w:line="1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00"/>
          </w:cols>
          <w:pgMar w:left="240" w:top="382" w:right="45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163830</wp:posOffset>
            </wp:positionV>
            <wp:extent cx="7267575"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Robinson, the principal executive officer of Scholastic Corporation, certify that:</w:t>
      </w:r>
    </w:p>
    <w:p>
      <w:pPr>
        <w:spacing w:after="0" w:line="239" w:lineRule="exact"/>
        <w:rPr>
          <w:sz w:val="20"/>
          <w:szCs w:val="20"/>
          <w:color w:val="auto"/>
        </w:rPr>
      </w:pPr>
    </w:p>
    <w:p>
      <w:pPr>
        <w:ind w:left="920" w:hanging="453"/>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Scholastic Corporation;</w:t>
      </w:r>
    </w:p>
    <w:p>
      <w:pPr>
        <w:spacing w:after="0" w:line="157" w:lineRule="exact"/>
        <w:rPr>
          <w:rFonts w:ascii="Arial" w:cs="Arial" w:eastAsia="Arial" w:hAnsi="Arial"/>
          <w:sz w:val="18"/>
          <w:szCs w:val="18"/>
          <w:color w:val="auto"/>
        </w:rPr>
      </w:pPr>
    </w:p>
    <w:p>
      <w:pPr>
        <w:jc w:val="both"/>
        <w:ind w:left="920" w:right="280" w:hanging="453"/>
        <w:spacing w:after="0" w:line="259"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20" w:right="240" w:hanging="453"/>
        <w:spacing w:after="0" w:line="332" w:lineRule="auto"/>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20" w:right="280" w:hanging="453"/>
        <w:spacing w:after="0" w:line="259"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1380" w:right="80" w:hanging="454"/>
        <w:spacing w:after="0" w:line="259"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380" w:right="380" w:hanging="454"/>
        <w:spacing w:after="0" w:line="259"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380" w:right="540" w:hanging="454"/>
        <w:spacing w:after="0" w:line="370" w:lineRule="auto"/>
        <w:tabs>
          <w:tab w:leader="none" w:pos="13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380" w:right="60" w:hanging="454"/>
        <w:spacing w:after="0" w:line="259"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920" w:right="180" w:hanging="453"/>
        <w:spacing w:after="0" w:line="332" w:lineRule="auto"/>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380" w:right="780" w:hanging="454"/>
        <w:spacing w:after="0" w:line="332" w:lineRule="auto"/>
        <w:tabs>
          <w:tab w:leader="none" w:pos="13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380" w:right="480" w:hanging="454"/>
        <w:spacing w:after="0" w:line="268"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April 2, 2010</w:t>
      </w:r>
    </w:p>
    <w:p>
      <w:pPr>
        <w:spacing w:after="0" w:line="23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173990</wp:posOffset>
            </wp:positionV>
            <wp:extent cx="22809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67"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Richard Robinson</w:t>
      </w:r>
    </w:p>
    <w:p>
      <w:pPr>
        <w:spacing w:after="0" w:line="15"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330835</wp:posOffset>
            </wp:positionV>
            <wp:extent cx="7267575"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639445</wp:posOffset>
            </wp:positionV>
            <wp:extent cx="726757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163830</wp:posOffset>
            </wp:positionV>
            <wp:extent cx="7267575"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Maureen O’Connell, the principal financial officer of Scholastic Corporation, certify that:</w:t>
      </w:r>
    </w:p>
    <w:p>
      <w:pPr>
        <w:spacing w:after="0" w:line="239" w:lineRule="exact"/>
        <w:rPr>
          <w:sz w:val="20"/>
          <w:szCs w:val="20"/>
          <w:color w:val="auto"/>
        </w:rPr>
      </w:pPr>
    </w:p>
    <w:p>
      <w:pPr>
        <w:ind w:left="920" w:hanging="453"/>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Scholastic Corporation;</w:t>
      </w:r>
    </w:p>
    <w:p>
      <w:pPr>
        <w:spacing w:after="0" w:line="157" w:lineRule="exact"/>
        <w:rPr>
          <w:rFonts w:ascii="Arial" w:cs="Arial" w:eastAsia="Arial" w:hAnsi="Arial"/>
          <w:sz w:val="18"/>
          <w:szCs w:val="18"/>
          <w:color w:val="auto"/>
        </w:rPr>
      </w:pPr>
    </w:p>
    <w:p>
      <w:pPr>
        <w:jc w:val="both"/>
        <w:ind w:left="920" w:right="280" w:hanging="453"/>
        <w:spacing w:after="0" w:line="259"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20" w:right="240" w:hanging="453"/>
        <w:spacing w:after="0" w:line="332" w:lineRule="auto"/>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20" w:right="320" w:hanging="453"/>
        <w:spacing w:after="0" w:line="259"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126" w:lineRule="exact"/>
        <w:rPr>
          <w:rFonts w:ascii="Arial" w:cs="Arial" w:eastAsia="Arial" w:hAnsi="Arial"/>
          <w:sz w:val="18"/>
          <w:szCs w:val="18"/>
          <w:color w:val="auto"/>
        </w:rPr>
      </w:pPr>
    </w:p>
    <w:p>
      <w:pPr>
        <w:ind w:left="1380" w:right="80" w:hanging="454"/>
        <w:spacing w:after="0" w:line="259"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380" w:right="380" w:hanging="454"/>
        <w:spacing w:after="0" w:line="259"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380" w:right="540" w:hanging="454"/>
        <w:spacing w:after="0" w:line="370" w:lineRule="auto"/>
        <w:tabs>
          <w:tab w:leader="none" w:pos="138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380" w:right="60" w:hanging="454"/>
        <w:spacing w:after="0" w:line="259"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920" w:right="180" w:hanging="453"/>
        <w:spacing w:after="0" w:line="332" w:lineRule="auto"/>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380" w:right="780" w:hanging="454"/>
        <w:spacing w:after="0" w:line="332" w:lineRule="auto"/>
        <w:tabs>
          <w:tab w:leader="none" w:pos="13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380" w:right="480" w:hanging="454"/>
        <w:spacing w:after="0" w:line="268"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April 2, 2010</w:t>
      </w:r>
    </w:p>
    <w:p>
      <w:pPr>
        <w:spacing w:after="0" w:line="23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173990</wp:posOffset>
            </wp:positionV>
            <wp:extent cx="22809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67"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Chief Administrative Officer</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267575"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545465</wp:posOffset>
            </wp:positionV>
            <wp:extent cx="726757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163830</wp:posOffset>
            </wp:positionV>
            <wp:extent cx="7267575"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32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with Respect to the Quarterly Report on 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February 28,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Scholastic Corporation</w:t>
      </w:r>
    </w:p>
    <w:p>
      <w:pPr>
        <w:spacing w:after="0" w:line="219" w:lineRule="exact"/>
        <w:rPr>
          <w:sz w:val="20"/>
          <w:szCs w:val="20"/>
          <w:color w:val="auto"/>
        </w:rPr>
      </w:pPr>
    </w:p>
    <w:p>
      <w:pPr>
        <w:ind w:right="280" w:firstLine="220"/>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Scholastic Corporation, a Delaware corporation (the “Company”), does hereby certify, to the best of such officer’s knowledge, that:</w:t>
      </w:r>
    </w:p>
    <w:p>
      <w:pPr>
        <w:spacing w:after="0" w:line="153" w:lineRule="exact"/>
        <w:rPr>
          <w:sz w:val="20"/>
          <w:szCs w:val="20"/>
          <w:color w:val="auto"/>
        </w:rPr>
      </w:pPr>
    </w:p>
    <w:p>
      <w:pPr>
        <w:ind w:left="920" w:right="60" w:hanging="453"/>
        <w:spacing w:after="0" w:line="268" w:lineRule="auto"/>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February 28, 2010 (the “Form 10-Q”) fully complies with the requirements of Section 13(a) or 15(d) of the Securities Exchange Act of 1934, as amended; and</w:t>
      </w:r>
    </w:p>
    <w:p>
      <w:pPr>
        <w:spacing w:after="0" w:line="118" w:lineRule="exact"/>
        <w:rPr>
          <w:rFonts w:ascii="Arial" w:cs="Arial" w:eastAsia="Arial" w:hAnsi="Arial"/>
          <w:sz w:val="18"/>
          <w:szCs w:val="18"/>
          <w:color w:val="auto"/>
        </w:rPr>
      </w:pPr>
    </w:p>
    <w:p>
      <w:pPr>
        <w:ind w:left="920" w:hanging="453"/>
        <w:spacing w:after="0"/>
        <w:tabs>
          <w:tab w:leader="none" w:pos="9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Information contained in the Form 10-Q fairly presents, in all material respects, the financial condition and results of operations of the Company.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360" w:type="dxa"/>
            <w:vAlign w:val="bottom"/>
          </w:tcPr>
          <w:p>
            <w:pPr>
              <w:spacing w:after="0"/>
              <w:rPr>
                <w:sz w:val="20"/>
                <w:szCs w:val="20"/>
                <w:color w:val="auto"/>
              </w:rPr>
            </w:pPr>
            <w:r>
              <w:rPr>
                <w:rFonts w:ascii="Arial" w:cs="Arial" w:eastAsia="Arial" w:hAnsi="Arial"/>
                <w:sz w:val="18"/>
                <w:szCs w:val="18"/>
                <w:color w:val="auto"/>
              </w:rPr>
              <w:t>Date: April 2, 2010</w:t>
            </w:r>
          </w:p>
        </w:tc>
        <w:tc>
          <w:tcPr>
            <w:tcW w:w="3580" w:type="dxa"/>
            <w:vAlign w:val="bottom"/>
          </w:tcPr>
          <w:p>
            <w:pPr>
              <w:spacing w:after="0"/>
              <w:rPr>
                <w:sz w:val="20"/>
                <w:szCs w:val="20"/>
                <w:color w:val="auto"/>
              </w:rPr>
            </w:pPr>
            <w:r>
              <w:rPr>
                <w:rFonts w:ascii="Arial" w:cs="Arial" w:eastAsia="Arial" w:hAnsi="Arial"/>
                <w:sz w:val="18"/>
                <w:szCs w:val="18"/>
                <w:color w:val="auto"/>
              </w:rPr>
              <w:t>/s/ Richard Robinson</w:t>
            </w:r>
          </w:p>
        </w:tc>
      </w:tr>
      <w:tr>
        <w:trPr>
          <w:trHeight w:val="259"/>
        </w:trPr>
        <w:tc>
          <w:tcPr>
            <w:tcW w:w="6360" w:type="dxa"/>
            <w:vAlign w:val="bottom"/>
          </w:tcPr>
          <w:p>
            <w:pPr>
              <w:spacing w:after="0"/>
              <w:rPr>
                <w:sz w:val="22"/>
                <w:szCs w:val="22"/>
                <w:color w:val="auto"/>
              </w:rPr>
            </w:pPr>
          </w:p>
        </w:tc>
        <w:tc>
          <w:tcPr>
            <w:tcW w:w="3580" w:type="dxa"/>
            <w:vAlign w:val="bottom"/>
            <w:tcBorders>
              <w:bottom w:val="single" w:sz="8" w:color="808080"/>
            </w:tcBorders>
          </w:tcPr>
          <w:p>
            <w:pPr>
              <w:spacing w:after="0"/>
              <w:rPr>
                <w:sz w:val="22"/>
                <w:szCs w:val="22"/>
                <w:color w:val="auto"/>
              </w:rPr>
            </w:pPr>
          </w:p>
        </w:tc>
      </w:tr>
      <w:tr>
        <w:trPr>
          <w:trHeight w:val="309"/>
        </w:trPr>
        <w:tc>
          <w:tcPr>
            <w:tcW w:w="636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Richard Robinson</w:t>
            </w:r>
          </w:p>
        </w:tc>
      </w:tr>
      <w:tr>
        <w:trPr>
          <w:trHeight w:val="222"/>
        </w:trPr>
        <w:tc>
          <w:tcPr>
            <w:tcW w:w="636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513"/>
        </w:trPr>
        <w:tc>
          <w:tcPr>
            <w:tcW w:w="6360" w:type="dxa"/>
            <w:vAlign w:val="bottom"/>
          </w:tcPr>
          <w:p>
            <w:pPr>
              <w:spacing w:after="0"/>
              <w:rPr>
                <w:sz w:val="20"/>
                <w:szCs w:val="20"/>
                <w:color w:val="auto"/>
              </w:rPr>
            </w:pPr>
            <w:r>
              <w:rPr>
                <w:rFonts w:ascii="Arial" w:cs="Arial" w:eastAsia="Arial" w:hAnsi="Arial"/>
                <w:sz w:val="18"/>
                <w:szCs w:val="18"/>
                <w:color w:val="auto"/>
              </w:rPr>
              <w:t>Date: April 2, 2010</w:t>
            </w:r>
          </w:p>
        </w:tc>
        <w:tc>
          <w:tcPr>
            <w:tcW w:w="3580" w:type="dxa"/>
            <w:vAlign w:val="bottom"/>
          </w:tcPr>
          <w:p>
            <w:pPr>
              <w:spacing w:after="0"/>
              <w:rPr>
                <w:sz w:val="20"/>
                <w:szCs w:val="20"/>
                <w:color w:val="auto"/>
              </w:rPr>
            </w:pPr>
            <w:r>
              <w:rPr>
                <w:rFonts w:ascii="Arial" w:cs="Arial" w:eastAsia="Arial" w:hAnsi="Arial"/>
                <w:sz w:val="18"/>
                <w:szCs w:val="18"/>
                <w:color w:val="auto"/>
              </w:rPr>
              <w:t>/s/ Maureen O’Connell</w:t>
            </w:r>
          </w:p>
        </w:tc>
      </w:tr>
      <w:tr>
        <w:trPr>
          <w:trHeight w:val="259"/>
        </w:trPr>
        <w:tc>
          <w:tcPr>
            <w:tcW w:w="6360" w:type="dxa"/>
            <w:vAlign w:val="bottom"/>
          </w:tcPr>
          <w:p>
            <w:pPr>
              <w:spacing w:after="0"/>
              <w:rPr>
                <w:sz w:val="22"/>
                <w:szCs w:val="22"/>
                <w:color w:val="auto"/>
              </w:rPr>
            </w:pPr>
          </w:p>
        </w:tc>
        <w:tc>
          <w:tcPr>
            <w:tcW w:w="3580" w:type="dxa"/>
            <w:vAlign w:val="bottom"/>
            <w:tcBorders>
              <w:bottom w:val="single" w:sz="8" w:color="808080"/>
            </w:tcBorders>
          </w:tcPr>
          <w:p>
            <w:pPr>
              <w:spacing w:after="0"/>
              <w:rPr>
                <w:sz w:val="22"/>
                <w:szCs w:val="22"/>
                <w:color w:val="auto"/>
              </w:rPr>
            </w:pPr>
          </w:p>
        </w:tc>
      </w:tr>
      <w:tr>
        <w:trPr>
          <w:trHeight w:val="309"/>
        </w:trPr>
        <w:tc>
          <w:tcPr>
            <w:tcW w:w="636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Maureen O’Connell</w:t>
            </w:r>
          </w:p>
        </w:tc>
      </w:tr>
      <w:tr>
        <w:trPr>
          <w:trHeight w:val="222"/>
        </w:trPr>
        <w:tc>
          <w:tcPr>
            <w:tcW w:w="636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3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certification set forth above is being furnished solely pursuant to Section 906 of the Sarbanes-Oxley Act of 2002 and is not being filed as part of the Form 10-Q or as a separate disclosure document of the Company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507365</wp:posOffset>
            </wp:positionV>
            <wp:extent cx="726757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420"/>
      </w:cols>
      <w:pgMar w:left="240" w:top="6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lvl w:ilvl="1">
      <w:lvlJc w:val="left"/>
      <w:lvlText w:val="o"/>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lowerRoman"/>
      <w:start w:val="2"/>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32"/>
    </w:lvl>
  </w:abstractNum>
  <w:abstractNum w:abstractNumId="11">
    <w:nsid w:val="109CF92E"/>
    <w:multiLevelType w:val="hybridMultilevel"/>
    <w:lvl w:ilvl="0">
      <w:lvlJc w:val="left"/>
      <w:lvlText w:val="%1"/>
      <w:numFmt w:val="decimal"/>
      <w:start w:val="32"/>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2019-12-10T08:54:00Z</dcterms:created>
  <dcterms:modified xsi:type="dcterms:W3CDTF">2019-12-10T08:54:00Z</dcterms:modified>
</cp:coreProperties>
</file>