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300" w:type="dxa"/>
        <w:tblCellMar>
          <w:top w:w="0" w:type="dxa"/>
          <w:left w:w="0" w:type="dxa"/>
          <w:bottom w:w="0" w:type="dxa"/>
          <w:right w:w="0" w:type="dxa"/>
        </w:tblCellMar>
      </w:tblPr>
      <w:tr>
        <w:trPr>
          <w:trHeight w:val="162"/>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4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10-Q</w:t>
            </w:r>
          </w:p>
        </w:tc>
      </w:tr>
      <w:tr>
        <w:trPr>
          <w:trHeight w:val="335"/>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QUARTERLY REPORT PURSUANT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TO SECTION 13 OR 15(d) OF</w:t>
            </w:r>
          </w:p>
        </w:tc>
      </w:tr>
    </w:tbl>
    <w:p>
      <w:pPr>
        <w:spacing w:after="0" w:line="166"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THE SECURITIES EXCHANGE ACT OF 1934</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 February 28, 2001</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 0-19860</w:t>
      </w:r>
    </w:p>
    <w:p>
      <w:pPr>
        <w:spacing w:after="0" w:line="200" w:lineRule="exact"/>
        <w:rPr>
          <w:sz w:val="24"/>
          <w:szCs w:val="24"/>
          <w:color w:val="auto"/>
        </w:rPr>
      </w:pPr>
    </w:p>
    <w:p>
      <w:pPr>
        <w:sectPr>
          <w:pgSz w:w="11900" w:h="16838" w:orient="portrait"/>
          <w:cols w:equalWidth="0" w:num="2">
            <w:col w:w="4140" w:space="440"/>
            <w:col w:w="5659"/>
          </w:cols>
          <w:pgMar w:left="220" w:top="561" w:right="1440" w:bottom="1440" w:gutter="0" w:footer="0" w:header="0"/>
          <w:type w:val="continuous"/>
        </w:sect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13-3385513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160" w:space="720"/>
            <w:col w:w="6359"/>
          </w:cols>
          <w:pgMar w:left="220" w:top="561" w:right="1440" w:bottom="1440" w:gutter="0" w:footer="0" w:header="0"/>
          <w:type w:val="continuous"/>
        </w:sectPr>
      </w:pPr>
    </w:p>
    <w:p>
      <w:pPr>
        <w:ind w:right="480"/>
        <w:spacing w:after="0" w:line="255" w:lineRule="auto"/>
        <w:rPr>
          <w:sz w:val="20"/>
          <w:szCs w:val="20"/>
          <w:color w:val="auto"/>
        </w:rPr>
      </w:pPr>
      <w:r>
        <w:rPr>
          <w:rFonts w:ascii="Courier New" w:cs="Courier New" w:eastAsia="Courier New" w:hAnsi="Courier New"/>
          <w:sz w:val="14"/>
          <w:szCs w:val="14"/>
          <w:color w:val="auto"/>
        </w:rPr>
        <w:t>555 BROADWAY, NEW YORK, NEW YORK (Address of principal executive offices)</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Courier New" w:cs="Courier New" w:eastAsia="Courier New" w:hAnsi="Courier New"/>
          <w:sz w:val="14"/>
          <w:szCs w:val="14"/>
          <w:color w:val="auto"/>
        </w:rPr>
        <w:t>10012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4"/>
          <w:szCs w:val="24"/>
          <w:color w:val="auto"/>
        </w:rPr>
      </w:pPr>
    </w:p>
    <w:p>
      <w:pPr>
        <w:sectPr>
          <w:pgSz w:w="11900" w:h="16838" w:orient="portrait"/>
          <w:cols w:equalWidth="0" w:num="2">
            <w:col w:w="3940" w:space="720"/>
            <w:col w:w="5579"/>
          </w:cols>
          <w:pgMar w:left="220" w:top="56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Registrant's telephone number, including area code (212) 343-6100</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Yes X</w:t>
      </w:r>
      <w:r>
        <w:rPr>
          <w:sz w:val="20"/>
          <w:szCs w:val="20"/>
          <w:color w:val="auto"/>
        </w:rPr>
        <w:tab/>
      </w:r>
      <w:r>
        <w:rPr>
          <w:rFonts w:ascii="Courier New" w:cs="Courier New" w:eastAsia="Courier New" w:hAnsi="Courier New"/>
          <w:sz w:val="13"/>
          <w:szCs w:val="13"/>
          <w:color w:val="auto"/>
        </w:rPr>
        <w:t>No</w:t>
      </w:r>
    </w:p>
    <w:p>
      <w:pPr>
        <w:spacing w:after="0" w:line="7" w:lineRule="exact"/>
        <w:rPr>
          <w:sz w:val="24"/>
          <w:szCs w:val="24"/>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each class</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4279"/>
        <w:spacing w:after="0"/>
        <w:rPr>
          <w:sz w:val="20"/>
          <w:szCs w:val="20"/>
          <w:color w:val="auto"/>
        </w:rPr>
      </w:pPr>
      <w:r>
        <w:rPr>
          <w:rFonts w:ascii="Courier New" w:cs="Courier New" w:eastAsia="Courier New" w:hAnsi="Courier New"/>
          <w:sz w:val="14"/>
          <w:szCs w:val="14"/>
          <w:color w:val="auto"/>
        </w:rPr>
        <w:t>Number of shares outstanding</w:t>
      </w:r>
    </w:p>
    <w:p>
      <w:pPr>
        <w:spacing w:after="0" w:line="7" w:lineRule="exact"/>
        <w:rPr>
          <w:sz w:val="24"/>
          <w:szCs w:val="24"/>
          <w:color w:val="auto"/>
        </w:rPr>
      </w:pPr>
    </w:p>
    <w:p>
      <w:pPr>
        <w:jc w:val="center"/>
        <w:ind w:right="4279"/>
        <w:spacing w:after="0"/>
        <w:rPr>
          <w:sz w:val="20"/>
          <w:szCs w:val="20"/>
          <w:color w:val="auto"/>
        </w:rPr>
      </w:pPr>
      <w:r>
        <w:rPr>
          <w:rFonts w:ascii="Courier New" w:cs="Courier New" w:eastAsia="Courier New" w:hAnsi="Courier New"/>
          <w:sz w:val="14"/>
          <w:szCs w:val="14"/>
          <w:color w:val="auto"/>
        </w:rPr>
        <w:t>as of March 31, 2001</w:t>
      </w:r>
    </w:p>
    <w:p>
      <w:pPr>
        <w:spacing w:after="0" w:line="7" w:lineRule="exact"/>
        <w:rPr>
          <w:sz w:val="24"/>
          <w:szCs w:val="24"/>
          <w:color w:val="auto"/>
        </w:rPr>
      </w:pPr>
    </w:p>
    <w:p>
      <w:pPr>
        <w:jc w:val="center"/>
        <w:ind w:right="42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2940" w:space="600"/>
            <w:col w:w="6699"/>
          </w:cols>
          <w:pgMar w:left="220" w:top="561" w:right="1440" w:bottom="1440" w:gutter="0" w:footer="0" w:header="0"/>
          <w:type w:val="continuous"/>
        </w:sectPr>
      </w:pPr>
    </w:p>
    <w:p>
      <w:pPr>
        <w:ind w:left="1220"/>
        <w:spacing w:after="0" w:line="255" w:lineRule="auto"/>
        <w:rPr>
          <w:sz w:val="20"/>
          <w:szCs w:val="20"/>
          <w:color w:val="auto"/>
        </w:rPr>
      </w:pPr>
      <w:r>
        <w:rPr>
          <w:rFonts w:ascii="Courier New" w:cs="Courier New" w:eastAsia="Courier New" w:hAnsi="Courier New"/>
          <w:sz w:val="14"/>
          <w:szCs w:val="14"/>
          <w:color w:val="auto"/>
        </w:rPr>
        <w:t>Common Stock, $.01 par value Class A Stock, $.01 par value</w:t>
      </w:r>
    </w:p>
    <w:p>
      <w:pPr>
        <w:spacing w:after="0" w:line="20" w:lineRule="exact"/>
        <w:rPr>
          <w:sz w:val="24"/>
          <w:szCs w:val="24"/>
          <w:color w:val="auto"/>
        </w:rPr>
      </w:pPr>
      <w:r>
        <w:rPr>
          <w:sz w:val="24"/>
          <w:szCs w:val="24"/>
          <w:color w:val="auto"/>
        </w:rPr>
        <w:br w:type="column"/>
      </w:r>
    </w:p>
    <w:p>
      <w:pPr>
        <w:jc w:val="right"/>
        <w:ind w:right="4979"/>
        <w:spacing w:after="0"/>
        <w:rPr>
          <w:sz w:val="20"/>
          <w:szCs w:val="20"/>
          <w:color w:val="auto"/>
        </w:rPr>
      </w:pPr>
      <w:r>
        <w:rPr>
          <w:rFonts w:ascii="Courier New" w:cs="Courier New" w:eastAsia="Courier New" w:hAnsi="Courier New"/>
          <w:sz w:val="14"/>
          <w:szCs w:val="14"/>
          <w:color w:val="auto"/>
        </w:rPr>
        <w:t>33,484,656</w:t>
      </w:r>
    </w:p>
    <w:p>
      <w:pPr>
        <w:spacing w:after="0" w:line="7" w:lineRule="exact"/>
        <w:rPr>
          <w:sz w:val="24"/>
          <w:szCs w:val="24"/>
          <w:color w:val="auto"/>
        </w:rPr>
      </w:pPr>
    </w:p>
    <w:p>
      <w:pPr>
        <w:jc w:val="right"/>
        <w:ind w:right="4979"/>
        <w:spacing w:after="0"/>
        <w:rPr>
          <w:sz w:val="20"/>
          <w:szCs w:val="20"/>
          <w:color w:val="auto"/>
        </w:rPr>
      </w:pPr>
      <w:r>
        <w:rPr>
          <w:rFonts w:ascii="Courier New" w:cs="Courier New" w:eastAsia="Courier New" w:hAnsi="Courier New"/>
          <w:sz w:val="14"/>
          <w:szCs w:val="14"/>
          <w:color w:val="auto"/>
        </w:rPr>
        <w:t>1,656,200</w:t>
      </w:r>
    </w:p>
    <w:p>
      <w:pPr>
        <w:sectPr>
          <w:pgSz w:w="11900" w:h="16838" w:orient="portrait"/>
          <w:cols w:equalWidth="0" w:num="2">
            <w:col w:w="3720" w:space="680"/>
            <w:col w:w="5839"/>
          </w:cols>
          <w:pgMar w:left="220" w:top="56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10-Q FOR THE QUARTERLY PERIOD ENDED FEBRUARY 28,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PART I -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Item 1. Financial Statements</w:t>
            </w:r>
          </w:p>
        </w:tc>
        <w:tc>
          <w:tcPr>
            <w:tcW w:w="560" w:type="dxa"/>
            <w:vAlign w:val="bottom"/>
          </w:tcPr>
          <w:p>
            <w:pPr>
              <w:spacing w:after="0"/>
              <w:rPr>
                <w:sz w:val="24"/>
                <w:szCs w:val="24"/>
                <w:color w:val="auto"/>
              </w:rPr>
            </w:pPr>
          </w:p>
        </w:tc>
      </w:tr>
      <w:tr>
        <w:trPr>
          <w:trHeight w:val="331"/>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Condensed Consolidated Statement of Operations for the</w:t>
            </w:r>
          </w:p>
        </w:tc>
        <w:tc>
          <w:tcPr>
            <w:tcW w:w="560" w:type="dxa"/>
            <w:vAlign w:val="bottom"/>
          </w:tcPr>
          <w:p>
            <w:pPr>
              <w:spacing w:after="0"/>
              <w:rPr>
                <w:sz w:val="24"/>
                <w:szCs w:val="24"/>
                <w:color w:val="auto"/>
              </w:rPr>
            </w:pP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Three and</w:t>
            </w:r>
          </w:p>
        </w:tc>
        <w:tc>
          <w:tcPr>
            <w:tcW w:w="560" w:type="dxa"/>
            <w:vAlign w:val="bottom"/>
          </w:tcPr>
          <w:p>
            <w:pPr>
              <w:spacing w:after="0"/>
              <w:rPr>
                <w:sz w:val="14"/>
                <w:szCs w:val="14"/>
                <w:color w:val="auto"/>
              </w:rPr>
            </w:pP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Nine Months Ended February 28, 2001 and February 29,</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14"/>
                <w:szCs w:val="14"/>
                <w:color w:val="auto"/>
              </w:rPr>
            </w:pPr>
          </w:p>
        </w:tc>
      </w:tr>
      <w:tr>
        <w:trPr>
          <w:trHeight w:val="331"/>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Condensed Consolidated Balance Sheet at February 28,</w:t>
            </w:r>
          </w:p>
        </w:tc>
        <w:tc>
          <w:tcPr>
            <w:tcW w:w="560" w:type="dxa"/>
            <w:vAlign w:val="bottom"/>
          </w:tcPr>
          <w:p>
            <w:pPr>
              <w:spacing w:after="0"/>
              <w:rPr>
                <w:sz w:val="24"/>
                <w:szCs w:val="24"/>
                <w:color w:val="auto"/>
              </w:rPr>
            </w:pP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2001,</w:t>
            </w:r>
          </w:p>
        </w:tc>
        <w:tc>
          <w:tcPr>
            <w:tcW w:w="560" w:type="dxa"/>
            <w:vAlign w:val="bottom"/>
          </w:tcPr>
          <w:p>
            <w:pPr>
              <w:spacing w:after="0"/>
              <w:rPr>
                <w:sz w:val="14"/>
                <w:szCs w:val="14"/>
                <w:color w:val="auto"/>
              </w:rPr>
            </w:pP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May 31, 2000 and February 29, 2000</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331"/>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Condensed Consolidated Statement of Cash Flows for the</w:t>
            </w:r>
          </w:p>
        </w:tc>
        <w:tc>
          <w:tcPr>
            <w:tcW w:w="560" w:type="dxa"/>
            <w:vAlign w:val="bottom"/>
          </w:tcPr>
          <w:p>
            <w:pPr>
              <w:spacing w:after="0"/>
              <w:rPr>
                <w:sz w:val="24"/>
                <w:szCs w:val="24"/>
                <w:color w:val="auto"/>
              </w:rPr>
            </w:pP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Nine Months</w:t>
            </w:r>
          </w:p>
        </w:tc>
        <w:tc>
          <w:tcPr>
            <w:tcW w:w="560" w:type="dxa"/>
            <w:vAlign w:val="bottom"/>
          </w:tcPr>
          <w:p>
            <w:pPr>
              <w:spacing w:after="0"/>
              <w:rPr>
                <w:sz w:val="14"/>
                <w:szCs w:val="14"/>
                <w:color w:val="auto"/>
              </w:rPr>
            </w:pPr>
          </w:p>
        </w:tc>
      </w:tr>
      <w:tr>
        <w:trPr>
          <w:trHeight w:val="166"/>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Ended February 28, 2001 and February 29, 2000</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Notes to Condensed Consolidated Financial Statements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1"/>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Item 2. Management's Discussion and Analysis of Financial</w:t>
            </w:r>
          </w:p>
        </w:tc>
        <w:tc>
          <w:tcPr>
            <w:tcW w:w="560" w:type="dxa"/>
            <w:vAlign w:val="bottom"/>
          </w:tcPr>
          <w:p>
            <w:pPr>
              <w:spacing w:after="0"/>
              <w:rPr>
                <w:sz w:val="24"/>
                <w:szCs w:val="24"/>
                <w:color w:val="auto"/>
              </w:rPr>
            </w:pPr>
          </w:p>
        </w:tc>
      </w:tr>
      <w:tr>
        <w:trPr>
          <w:trHeight w:val="166"/>
        </w:trPr>
        <w:tc>
          <w:tcPr>
            <w:tcW w:w="6000" w:type="dxa"/>
            <w:vAlign w:val="bottom"/>
          </w:tcPr>
          <w:p>
            <w:pPr>
              <w:ind w:left="1220"/>
              <w:spacing w:after="0"/>
              <w:rPr>
                <w:sz w:val="20"/>
                <w:szCs w:val="20"/>
                <w:color w:val="auto"/>
              </w:rPr>
            </w:pPr>
            <w:r>
              <w:rPr>
                <w:rFonts w:ascii="Courier New" w:cs="Courier New" w:eastAsia="Courier New" w:hAnsi="Courier New"/>
                <w:sz w:val="14"/>
                <w:szCs w:val="14"/>
                <w:color w:val="auto"/>
              </w:rPr>
              <w:t>Condition and Results of Operations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331"/>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Item 3. Quantitative and Qualitative Disclosures about Market</w:t>
            </w:r>
          </w:p>
        </w:tc>
        <w:tc>
          <w:tcPr>
            <w:tcW w:w="560" w:type="dxa"/>
            <w:vAlign w:val="bottom"/>
          </w:tcPr>
          <w:p>
            <w:pPr>
              <w:spacing w:after="0"/>
              <w:rPr>
                <w:sz w:val="24"/>
                <w:szCs w:val="24"/>
                <w:color w:val="auto"/>
              </w:rPr>
            </w:pPr>
          </w:p>
        </w:tc>
      </w:tr>
      <w:tr>
        <w:trPr>
          <w:trHeight w:val="166"/>
        </w:trPr>
        <w:tc>
          <w:tcPr>
            <w:tcW w:w="6000" w:type="dxa"/>
            <w:vAlign w:val="bottom"/>
          </w:tcPr>
          <w:p>
            <w:pPr>
              <w:ind w:left="1220"/>
              <w:spacing w:after="0"/>
              <w:rPr>
                <w:sz w:val="20"/>
                <w:szCs w:val="20"/>
                <w:color w:val="auto"/>
              </w:rPr>
            </w:pPr>
            <w:r>
              <w:rPr>
                <w:rFonts w:ascii="Courier New" w:cs="Courier New" w:eastAsia="Courier New" w:hAnsi="Courier New"/>
                <w:sz w:val="14"/>
                <w:szCs w:val="14"/>
                <w:color w:val="auto"/>
              </w:rPr>
              <w:t>Risk</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PART II - OTHER INFORMATION</w:t>
            </w:r>
          </w:p>
        </w:tc>
        <w:tc>
          <w:tcPr>
            <w:tcW w:w="560" w:type="dxa"/>
            <w:vAlign w:val="bottom"/>
          </w:tcPr>
          <w:p>
            <w:pPr>
              <w:spacing w:after="0"/>
              <w:rPr>
                <w:sz w:val="24"/>
                <w:szCs w:val="24"/>
                <w:color w:val="auto"/>
              </w:rPr>
            </w:pPr>
          </w:p>
        </w:tc>
      </w:tr>
      <w:tr>
        <w:trPr>
          <w:trHeight w:val="331"/>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Item 4. Submission of Matters to Vote of Security Holders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r>
      <w:tr>
        <w:trPr>
          <w:trHeight w:val="331"/>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Item 5. Other Information</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r>
      <w:tr>
        <w:trPr>
          <w:trHeight w:val="331"/>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Item 6. Exhibits and Reports on Form 8-K</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2" w:name="page3"/>
    <w:bookmarkEnd w:id="2"/>
    <w:p>
      <w:pPr>
        <w:ind w:left="2160"/>
        <w:spacing w:after="0"/>
        <w:rPr>
          <w:sz w:val="20"/>
          <w:szCs w:val="20"/>
          <w:color w:val="auto"/>
        </w:rPr>
      </w:pPr>
      <w:r>
        <w:rPr>
          <w:rFonts w:ascii="Courier New" w:cs="Courier New" w:eastAsia="Courier New" w:hAnsi="Courier New"/>
          <w:sz w:val="14"/>
          <w:szCs w:val="14"/>
          <w:color w:val="auto"/>
        </w:rPr>
        <w:t>PART I - FINANCIAL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STATEMENT OF OPERATIONS -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3020" w:type="dxa"/>
        <w:tblCellMar>
          <w:top w:w="0" w:type="dxa"/>
          <w:left w:w="0" w:type="dxa"/>
          <w:bottom w:w="0" w:type="dxa"/>
          <w:right w:w="0" w:type="dxa"/>
        </w:tblCellMar>
      </w:tblPr>
      <w:tr>
        <w:trPr>
          <w:trHeight w:val="162"/>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THREE MONTHS ENDED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NINE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MONTHS ENDED</w:t>
            </w:r>
          </w:p>
        </w:tc>
        <w:tc>
          <w:tcPr>
            <w:tcW w:w="30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EBRUARY 28,  FEBRUARY 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28, 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380" w:val="left"/>
          <w:tab w:leader="none" w:pos="5500" w:val="left"/>
          <w:tab w:leader="none" w:pos="66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433.0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315.0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1,463.4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$ 1,008.8</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669.5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508.9</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652.9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427.9</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Depreciation</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Goodwill and other intangible</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Non-recurring charge</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 OPERATING COSTS AND EXPENSES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416.7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307.3</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963.2</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w:t>
            </w:r>
          </w:p>
        </w:tc>
      </w:tr>
      <w:tr>
        <w:trPr>
          <w:trHeight w:val="0"/>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income taxes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77.2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w:t>
      </w:r>
    </w:p>
    <w:p>
      <w:pPr>
        <w:spacing w:after="0" w:line="173" w:lineRule="exact"/>
        <w:rPr>
          <w:sz w:val="20"/>
          <w:szCs w:val="20"/>
          <w:color w:val="auto"/>
        </w:rPr>
      </w:pPr>
    </w:p>
    <w:p>
      <w:pPr>
        <w:sectPr>
          <w:pgSz w:w="11900" w:h="16838" w:orient="portrait"/>
          <w:cols w:equalWidth="0" w:num="4">
            <w:col w:w="2820" w:space="720"/>
            <w:col w:w="320" w:space="720"/>
            <w:col w:w="1420" w:space="720"/>
            <w:col w:w="3519"/>
          </w:cols>
          <w:pgMar w:left="220" w:top="616" w:right="1440" w:bottom="1440" w:gutter="0" w:footer="0" w:header="0"/>
          <w:type w:val="continuous"/>
        </w:sectPr>
      </w:pPr>
    </w:p>
    <w:p>
      <w:pPr>
        <w:spacing w:after="0"/>
        <w:tabs>
          <w:tab w:leader="none" w:pos="3520" w:val="left"/>
          <w:tab w:leader="none" w:pos="4560" w:val="left"/>
          <w:tab w:leader="none" w:pos="5500" w:val="left"/>
          <w:tab w:leader="none" w:pos="6700" w:val="left"/>
        </w:tabs>
        <w:rPr>
          <w:sz w:val="20"/>
          <w:szCs w:val="20"/>
          <w:color w:val="auto"/>
        </w:rPr>
      </w:pPr>
      <w:r>
        <w:rPr>
          <w:rFonts w:ascii="Courier New" w:cs="Courier New" w:eastAsia="Courier New" w:hAnsi="Courier New"/>
          <w:sz w:val="14"/>
          <w:szCs w:val="14"/>
          <w:color w:val="auto"/>
        </w:rPr>
        <w:t>Provision for income taxes</w:t>
      </w:r>
      <w:r>
        <w:rPr>
          <w:sz w:val="20"/>
          <w:szCs w:val="20"/>
          <w:color w:val="auto"/>
        </w:rPr>
        <w:tab/>
      </w: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27.8</w:t>
      </w:r>
      <w:r>
        <w:rPr>
          <w:sz w:val="20"/>
          <w:szCs w:val="20"/>
          <w:color w:val="auto"/>
        </w:rPr>
        <w:tab/>
      </w:r>
      <w:r>
        <w:rPr>
          <w:rFonts w:ascii="Courier New" w:cs="Courier New" w:eastAsia="Courier New" w:hAnsi="Courier New"/>
          <w:sz w:val="14"/>
          <w:szCs w:val="14"/>
          <w:color w:val="auto"/>
        </w:rPr>
        <w:t>11.3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tabs>
          <w:tab w:leader="none" w:pos="3000" w:val="left"/>
          <w:tab w:leader="none" w:pos="3520" w:val="left"/>
          <w:tab w:leader="none" w:pos="4040" w:val="left"/>
          <w:tab w:leader="none" w:pos="4560" w:val="left"/>
          <w:tab w:leader="none" w:pos="5080" w:val="left"/>
          <w:tab w:leader="none" w:pos="5500" w:val="left"/>
          <w:tab w:leader="none" w:pos="6280" w:val="left"/>
          <w:tab w:leader="none" w:pos="670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Class A and Common Share: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$ 0.11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0.59</w:t>
            </w:r>
          </w:p>
        </w:tc>
      </w:tr>
      <w:tr>
        <w:trPr>
          <w:trHeight w:val="166"/>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$ 0.10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22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FEBRUARY</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MAY 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32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3840" w:type="dxa"/>
            <w:vAlign w:val="bottom"/>
          </w:tcPr>
          <w:p>
            <w:pPr>
              <w:ind w:left="100"/>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Trade accounts receivable less allowance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for doubtful accounts</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174.9</w:t>
            </w:r>
          </w:p>
        </w:tc>
        <w:tc>
          <w:tcPr>
            <w:tcW w:w="3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179.1</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Installment sale receivables less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30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Inventories, net</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406.3</w:t>
            </w:r>
          </w:p>
        </w:tc>
        <w:tc>
          <w:tcPr>
            <w:tcW w:w="3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319.5</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c>
          <w:tcPr>
            <w:tcW w:w="3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Prepaid and other current assets</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92.9</w:t>
            </w:r>
          </w:p>
        </w:tc>
        <w:tc>
          <w:tcPr>
            <w:tcW w:w="3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TOTAL CURRENT</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829.7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580.4</w:t>
            </w: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166.0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Prepublication</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costs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101.2</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Goodwill and other intangibles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Other assets and deferred charges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1,568.7</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983.2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1,000.4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&amp; STOCKHOLDERS' EQUITY</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LIABILITIES:</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Lines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credit and current portion of</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r>
      <w:tr>
        <w:trPr>
          <w:trHeight w:val="166"/>
        </w:trPr>
        <w:tc>
          <w:tcPr>
            <w:tcW w:w="3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long term debt</w:t>
            </w:r>
          </w:p>
        </w:tc>
        <w:tc>
          <w:tcPr>
            <w:tcW w:w="5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22.4</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w:t>
            </w:r>
          </w:p>
        </w:tc>
        <w:tc>
          <w:tcPr>
            <w:tcW w:w="600" w:type="dxa"/>
            <w:vAlign w:val="bottom"/>
          </w:tcPr>
          <w:p>
            <w:pPr>
              <w:spacing w:after="0"/>
              <w:rPr>
                <w:sz w:val="14"/>
                <w:szCs w:val="14"/>
                <w:color w:val="auto"/>
              </w:rPr>
            </w:pPr>
          </w:p>
        </w:tc>
      </w:tr>
      <w:tr>
        <w:trPr>
          <w:trHeight w:val="166"/>
        </w:trPr>
        <w:tc>
          <w:tcPr>
            <w:tcW w:w="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Accounts</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payable</w:t>
            </w:r>
          </w:p>
        </w:tc>
        <w:tc>
          <w:tcPr>
            <w:tcW w:w="5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136.3</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131.7</w:t>
            </w:r>
          </w:p>
        </w:tc>
      </w:tr>
      <w:tr>
        <w:trPr>
          <w:trHeight w:val="166"/>
        </w:trPr>
        <w:tc>
          <w:tcPr>
            <w:tcW w:w="3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Accrued royalties</w:t>
            </w:r>
          </w:p>
        </w:tc>
        <w:tc>
          <w:tcPr>
            <w:tcW w:w="5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97.3</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56.8</w:t>
            </w:r>
          </w:p>
        </w:tc>
      </w:tr>
      <w:tr>
        <w:trPr>
          <w:trHeight w:val="166"/>
        </w:trPr>
        <w:tc>
          <w:tcPr>
            <w:tcW w:w="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Deferred</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5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29.6</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6"/>
        </w:trPr>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Other</w:t>
            </w: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accrued expenses</w:t>
            </w:r>
          </w:p>
        </w:tc>
        <w:tc>
          <w:tcPr>
            <w:tcW w:w="5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294.8</w:t>
            </w:r>
          </w:p>
        </w:tc>
      </w:tr>
      <w:tr>
        <w:trPr>
          <w:trHeight w:val="331"/>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Long-term debt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596.7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281.2</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Other noncurrent liabilities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48.1</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w:t>
            </w:r>
          </w:p>
        </w:tc>
      </w:tr>
      <w:tr>
        <w:trPr>
          <w:trHeight w:val="331"/>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Preferred Stock, $1.00 par value</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Class A Stock, $.01 par value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Common Stock, $.01 par value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Additional paid-in capital</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236.6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223.0</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Deferred compensation</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Accumulated other comprehensive loss: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Retained earnings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292.2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211.1</w:t>
            </w:r>
          </w:p>
        </w:tc>
      </w:tr>
      <w:tr>
        <w:trPr>
          <w:trHeight w:val="166"/>
        </w:trPr>
        <w:tc>
          <w:tcPr>
            <w:tcW w:w="4040" w:type="dxa"/>
            <w:vAlign w:val="bottom"/>
          </w:tcPr>
          <w:p>
            <w:pPr>
              <w:ind w:left="160"/>
              <w:spacing w:after="0"/>
              <w:rPr>
                <w:sz w:val="20"/>
                <w:szCs w:val="20"/>
                <w:color w:val="auto"/>
              </w:rPr>
            </w:pPr>
            <w:r>
              <w:rPr>
                <w:rFonts w:ascii="Courier New" w:cs="Courier New" w:eastAsia="Courier New" w:hAnsi="Courier New"/>
                <w:sz w:val="14"/>
                <w:szCs w:val="14"/>
                <w:color w:val="auto"/>
              </w:rPr>
              <w:t>Less shares of Common Stock held in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treasury</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4460" w:val="left"/>
          <w:tab w:leader="none" w:pos="5680" w:val="left"/>
          <w:tab w:leader="none" w:pos="688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506.3</w:t>
      </w:r>
      <w:r>
        <w:rPr>
          <w:sz w:val="20"/>
          <w:szCs w:val="20"/>
          <w:color w:val="auto"/>
        </w:rPr>
        <w:tab/>
      </w:r>
      <w:r>
        <w:rPr>
          <w:rFonts w:ascii="Courier New" w:cs="Courier New" w:eastAsia="Courier New" w:hAnsi="Courier New"/>
          <w:sz w:val="14"/>
          <w:szCs w:val="14"/>
          <w:color w:val="auto"/>
        </w:rPr>
        <w:t>430.0</w:t>
      </w:r>
      <w:r>
        <w:rPr>
          <w:sz w:val="20"/>
          <w:szCs w:val="20"/>
          <w:color w:val="auto"/>
        </w:rPr>
        <w:tab/>
      </w:r>
      <w:r>
        <w:rPr>
          <w:rFonts w:ascii="Courier New" w:cs="Courier New" w:eastAsia="Courier New" w:hAnsi="Courier New"/>
          <w:sz w:val="14"/>
          <w:szCs w:val="14"/>
          <w:color w:val="auto"/>
        </w:rPr>
        <w:t>400.7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4300" w:val="left"/>
          <w:tab w:leader="none" w:pos="5420" w:val="left"/>
          <w:tab w:leader="none" w:pos="5680" w:val="left"/>
          <w:tab w:leader="none" w:pos="6440" w:val="left"/>
          <w:tab w:leader="none" w:pos="670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w:t>
        <w:tab/>
        <w:t>1,568.7</w:t>
      </w:r>
      <w:r>
        <w:rPr>
          <w:sz w:val="20"/>
          <w:szCs w:val="20"/>
          <w:color w:val="auto"/>
        </w:rPr>
        <w:tab/>
      </w:r>
      <w:r>
        <w:rPr>
          <w:rFonts w:ascii="Courier New" w:cs="Courier New" w:eastAsia="Courier New" w:hAnsi="Courier New"/>
          <w:sz w:val="14"/>
          <w:szCs w:val="14"/>
          <w:color w:val="auto"/>
        </w:rPr>
        <w:t>$</w:t>
        <w:tab/>
        <w:t>983.2</w:t>
      </w:r>
      <w:r>
        <w:rPr>
          <w:sz w:val="20"/>
          <w:szCs w:val="20"/>
          <w:color w:val="auto"/>
        </w:rPr>
        <w:tab/>
      </w:r>
      <w:r>
        <w:rPr>
          <w:rFonts w:ascii="Courier New" w:cs="Courier New" w:eastAsia="Courier New" w:hAnsi="Courier New"/>
          <w:sz w:val="14"/>
          <w:szCs w:val="14"/>
          <w:color w:val="auto"/>
        </w:rPr>
        <w:t>$</w:t>
        <w:tab/>
        <w:t>1,000.4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STATEMENT OF CASH FLOWS -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4480"/>
        <w:spacing w:after="0"/>
        <w:tabs>
          <w:tab w:leader="none" w:pos="5680" w:val="left"/>
        </w:tabs>
        <w:rPr>
          <w:sz w:val="20"/>
          <w:szCs w:val="20"/>
          <w:color w:val="auto"/>
        </w:rPr>
      </w:pPr>
      <w:r>
        <w:rPr>
          <w:rFonts w:ascii="Courier New" w:cs="Courier New" w:eastAsia="Courier New" w:hAnsi="Courier New"/>
          <w:sz w:val="14"/>
          <w:szCs w:val="14"/>
          <w:color w:val="auto"/>
        </w:rPr>
        <w:t>FEBRUARY 28,</w:t>
        <w:tab/>
        <w:t>FEBRUARY 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0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$ 135.4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43.1</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USED IN INVESTING ACTIVITIES:</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Business and trademark acquisition-related</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payments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Prepublication costs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Royalty advances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Production costs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(516.5)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CASH FLOWS PROVIDED BY/(USED IN) FINANCING</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Borrowings under the Grolier Facility</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Borrowings under Loan Agreement and Revolver</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454.4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282.4</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Repayments of Loan Agreement and Revolver</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(249.3)</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Borrowings under lines of credit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78.0</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Repayments of lines of credit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the exercise of stock options</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21.8</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Net cash</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provided by financing activities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384.0</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47.9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r>
      <w:tr>
        <w:trPr>
          <w:trHeight w:val="331"/>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Cash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beginning of period</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tabs>
          <w:tab w:leader="none" w:pos="4640" w:val="left"/>
          <w:tab w:leader="none" w:pos="4900" w:val="left"/>
          <w:tab w:leader="none" w:pos="5680" w:val="left"/>
          <w:tab w:leader="none" w:pos="6200" w:val="left"/>
        </w:tabs>
        <w:rPr>
          <w:sz w:val="20"/>
          <w:szCs w:val="20"/>
          <w:color w:val="auto"/>
        </w:rPr>
      </w:pPr>
      <w:r>
        <w:rPr>
          <w:rFonts w:ascii="Courier New" w:cs="Courier New" w:eastAsia="Courier New" w:hAnsi="Courier New"/>
          <w:sz w:val="14"/>
          <w:szCs w:val="14"/>
          <w:color w:val="auto"/>
        </w:rPr>
        <w:t>CASH AND CASH EQUIVALENTS AT END OF PERIOD</w:t>
      </w:r>
      <w:r>
        <w:rPr>
          <w:sz w:val="20"/>
          <w:szCs w:val="20"/>
          <w:color w:val="auto"/>
        </w:rPr>
        <w:tab/>
      </w:r>
      <w:r>
        <w:rPr>
          <w:rFonts w:ascii="Courier New" w:cs="Courier New" w:eastAsia="Courier New" w:hAnsi="Courier New"/>
          <w:sz w:val="14"/>
          <w:szCs w:val="14"/>
          <w:color w:val="auto"/>
        </w:rPr>
        <w:t>$</w:t>
        <w:tab/>
        <w:t>11.9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condensed consolidated financial statements consist of the accounts of Scholastic Corporation and its wholly-owned subsidiaries (the "Company"), including the consolidated accounts of Grolier Incorporated ("Grolier") and its subsidiaries since its acquisition on June 22, 2000, (Note 3.) These financial statements have not been audited, but reflect those adjustments consisting of normal recurring items which management considers necessary for a fair presentation of financial position, results of operations and cash flow. These financial statements should be read in conjunction with the consolidated financial statements and related notes in the Report on Form 10-K for the fiscal year ended May 31, 2000 as well as the Current Reports on Form 8-K dated July 7, 2000, amended on September 5, 2000, and February 8, 2001 in connection with the acquisition of Grolier. (Note 3.)</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business is closely correlated to the school year. Consequently, the results of operations for the nine months ended February 28, 2001 and February 29, 2000 are not necessarily indicative of the results expected for the full year. Due to the seasonal fluctuations that occur, the February 29, 2000 condensed consolidated balance sheet is included for comparative purposes.</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Certain prior year amounts have been reclassified in the accompanying condensed consolidated financial statements to conform to the current year presentation.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Actual results could differ from those estimates and assumptions. Significant estimates that affect the financial statements include, but are not limited to: book returns; recoverability of inventory; recoverability of advances to authors; amortization periods; recoverability of prepublication and film production costs; purchase price allocations; and recoverability of other long-lived assets.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RECENT ACCOUNTING PRINCIPLES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adopted the provisions of EITF Issue 00-10, "Accounting for Shipping and Handling Fees and Costs." This Consensus states that all shipping and handling billed to a customer in a sale transaction represent fees earned for the goods provided and, accordingly, amounts billed related to shipping and handling should be classified as revenue. Shipping and handling costs are classified in cost of goods sold. Certain prior year amounts have been reclassified in accordance with the Consensus.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("SFAS 133"), "Accounting for Derivative Instruments and Hedging Activities." SFAS 133 requires the Company to recognize all derivatives as either assets or liabilities on the balance sheet and to measure them at fair value. Under SFAS 133, the Company is required to adopt the provisions of this standard in the first quarter of fiscal 2002. The Company does not expect that the adoption of SFAS 133 will have a material impact on its financial position, results of operations or cash flows.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101 ("SAB 101"), "Revenue Recognition in Financial Statements." SAB 101 provides the SEC's views in applying generally accepted accounting principles to selected revenue recognition issues. The Company is required to adopt the provisions of SAB 101 no later than the fourth quarter of fiscal 2001. The Company does not expect that the adoption of SAB 101 will have a material impact on its financial position, results of operations or cash flows.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2000, the Accounting Standards Executive Committee issued Statement of Position No. 00-2 ("SOP 00-2"), "Accounting by Producers or Distributors of Films." SOP 00-2 replaces the Statement of Financial Accounting Standards No. 53, "Financial Reporting by Producers and Distributors of Motion Picture Films." SOP 00-2 concludes that film costs should be accounted for under an inventory model and discusses various topics such as revenue recognition, fee allocation in multiple films, accounting for exploitation costs, and impairment assessment. The Company is required to adopt the provisions of SOP 00-2 by the first quarter of fiscal 2002. The Company does not expect that the adoption of SOP 00-2 will have a material impact on its financial position or cash flows.</w:t>
      </w:r>
    </w:p>
    <w:p>
      <w:pPr>
        <w:spacing w:after="0" w:line="163" w:lineRule="exact"/>
        <w:rPr>
          <w:sz w:val="20"/>
          <w:szCs w:val="20"/>
          <w:color w:val="auto"/>
        </w:rPr>
      </w:pPr>
    </w:p>
    <w:p>
      <w:pPr>
        <w:ind w:left="520" w:hanging="512"/>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GROLIER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June 22, 2000, Scholastic Inc., a wholly-owned subsidiary of the Company, acquired all of the issued and outstanding capital stock of Grolier, a Delaware corporation, for $400.0 in cash. The Company is accounting for the acquisition under the purchase method of accounting.</w:t>
      </w:r>
    </w:p>
    <w:p>
      <w:pPr>
        <w:spacing w:after="0" w:line="162"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acquisition was financed by the Company using bank debt. Of the $400.0 Grolier purchase price, $350.0 was borrowed under a new credit facility (the "Grolier Facility") entered into to finance the acquisition, and $50.0 was borrowed under the Company's existing Loan Agreement and Revolver. (Note 5.)</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unaudited pro forma results of the Company, giving effect to the acquisition of Grolier as if it was consummated as of the first day of the nine-month period ended February 28, 2001 and February 29, 2000 are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3620"/>
        <w:spacing w:after="0"/>
        <w:tabs>
          <w:tab w:leader="none" w:pos="5080" w:val="left"/>
        </w:tabs>
        <w:rPr>
          <w:sz w:val="20"/>
          <w:szCs w:val="20"/>
          <w:color w:val="auto"/>
        </w:rPr>
      </w:pPr>
      <w:r>
        <w:rPr>
          <w:rFonts w:ascii="Courier New" w:cs="Courier New" w:eastAsia="Courier New" w:hAnsi="Courier New"/>
          <w:sz w:val="14"/>
          <w:szCs w:val="14"/>
          <w:color w:val="auto"/>
        </w:rPr>
        <w:t>FEBRUARY 28,</w:t>
      </w:r>
      <w:r>
        <w:rPr>
          <w:sz w:val="20"/>
          <w:szCs w:val="20"/>
          <w:color w:val="auto"/>
        </w:rPr>
        <w:tab/>
      </w:r>
      <w:r>
        <w:rPr>
          <w:rFonts w:ascii="Courier New" w:cs="Courier New" w:eastAsia="Courier New" w:hAnsi="Courier New"/>
          <w:sz w:val="14"/>
          <w:szCs w:val="14"/>
          <w:color w:val="auto"/>
        </w:rPr>
        <w:t>FEBRUARY 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tabs>
          <w:tab w:leader="none" w:pos="54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1,499.0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1,346.9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 per Class A and Common Share:</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0.42</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summarizes the preliminary allocation of the $396.4 purchase price allocation, which includes the related transaction and financing costs, to the net assets of Grolier acquired based upon a preliminary allocation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$ 105.5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Cash received upon acquisition of Grolier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Total purchase price</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$ 396.4</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3"/>
        </w:trPr>
        <w:tc>
          <w:tcPr>
            <w:tcW w:w="4020" w:type="dxa"/>
            <w:vAlign w:val="bottom"/>
          </w:tcPr>
          <w:p>
            <w:pPr>
              <w:ind w:left="2840"/>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allocation of the purchase price is based on a preliminary valuation of Grolier's assets and liabilities and may be subject to change. The final allocation of the purchase price will be based upon a comprehensive evaluation of the fair value of Grolier's tangible and identifiable intangible assets acquired and liabilities assumed.</w:t>
      </w:r>
    </w:p>
    <w:p>
      <w:pPr>
        <w:spacing w:after="0" w:line="165" w:lineRule="exact"/>
        <w:rPr>
          <w:sz w:val="20"/>
          <w:szCs w:val="20"/>
          <w:color w:val="auto"/>
        </w:rPr>
      </w:pPr>
    </w:p>
    <w:p>
      <w:pPr>
        <w:ind w:left="520" w:hanging="512"/>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a global children's publishing and media company with operations in the United States, the United Kingdom, Canada, Australia, New Zealand, Mexico, Hong Kong, India, Ireland, Argentina and Southeast Asia, and distributes its products and services through a variety of channels, including school book clubs, school book fairs, direct-to-home and trade.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operations are categorized in the following four segments: CHILDREN'S BOOK PUBLISHING AND DISTRIBUTION; EDUCATIONAL PUBLISHING; MEDIA, LICENSING AND ADVERTISING; and INTERNATIONAL. Such segment classification reflects the nature of products and services consistent with the method by which the Company's chief operating decision-maker assesses operating performance and allocates resources. Revenues derived from Grolier's operations are reported in all four of the Company's segments.</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tables set forth the Company's segment information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80"/>
        <w:spacing w:after="0"/>
        <w:tabs>
          <w:tab w:leader="none" w:pos="4380" w:val="left"/>
        </w:tabs>
        <w:rPr>
          <w:sz w:val="20"/>
          <w:szCs w:val="20"/>
          <w:color w:val="auto"/>
        </w:rPr>
      </w:pPr>
      <w:r>
        <w:rPr>
          <w:rFonts w:ascii="Courier New" w:cs="Courier New" w:eastAsia="Courier New" w:hAnsi="Courier New"/>
          <w:sz w:val="14"/>
          <w:szCs w:val="14"/>
          <w:color w:val="auto"/>
        </w:rPr>
        <w:t>CHILDREN'S</w:t>
      </w:r>
      <w:r>
        <w:rPr>
          <w:sz w:val="20"/>
          <w:szCs w:val="20"/>
          <w:color w:val="auto"/>
        </w:rPr>
        <w:tab/>
      </w:r>
      <w:r>
        <w:rPr>
          <w:rFonts w:ascii="Courier New" w:cs="Courier New" w:eastAsia="Courier New" w:hAnsi="Courier New"/>
          <w:sz w:val="14"/>
          <w:szCs w:val="14"/>
          <w:color w:val="auto"/>
        </w:rPr>
        <w:t>MEDIA,</w:t>
      </w:r>
    </w:p>
    <w:p>
      <w:pPr>
        <w:spacing w:after="0" w:line="7" w:lineRule="exact"/>
        <w:rPr>
          <w:sz w:val="20"/>
          <w:szCs w:val="20"/>
          <w:color w:val="auto"/>
        </w:rPr>
      </w:pPr>
    </w:p>
    <w:p>
      <w:pPr>
        <w:ind w:left="2340"/>
        <w:spacing w:after="0"/>
        <w:tabs>
          <w:tab w:leader="none" w:pos="4200" w:val="left"/>
        </w:tabs>
        <w:rPr>
          <w:sz w:val="20"/>
          <w:szCs w:val="20"/>
          <w:color w:val="auto"/>
        </w:rPr>
      </w:pPr>
      <w:r>
        <w:rPr>
          <w:rFonts w:ascii="Courier New" w:cs="Courier New" w:eastAsia="Courier New" w:hAnsi="Courier New"/>
          <w:sz w:val="14"/>
          <w:szCs w:val="14"/>
          <w:color w:val="auto"/>
        </w:rPr>
        <w:t>BOOK</w:t>
      </w:r>
      <w:r>
        <w:rPr>
          <w:sz w:val="20"/>
          <w:szCs w:val="20"/>
          <w:color w:val="auto"/>
        </w:rPr>
        <w:tab/>
      </w:r>
      <w:r>
        <w:rPr>
          <w:rFonts w:ascii="Courier New" w:cs="Courier New" w:eastAsia="Courier New" w:hAnsi="Courier New"/>
          <w:sz w:val="14"/>
          <w:szCs w:val="14"/>
          <w:color w:val="auto"/>
        </w:rPr>
        <w:t>LICENSING</w:t>
      </w:r>
    </w:p>
    <w:p>
      <w:pPr>
        <w:spacing w:after="0" w:line="7" w:lineRule="exact"/>
        <w:rPr>
          <w:sz w:val="20"/>
          <w:szCs w:val="20"/>
          <w:color w:val="auto"/>
        </w:rPr>
      </w:pPr>
    </w:p>
    <w:p>
      <w:pPr>
        <w:ind w:left="1900"/>
        <w:spacing w:after="0"/>
        <w:tabs>
          <w:tab w:leader="none" w:pos="4560" w:val="left"/>
          <w:tab w:leader="none" w:pos="5420" w:val="left"/>
        </w:tabs>
        <w:rPr>
          <w:sz w:val="20"/>
          <w:szCs w:val="20"/>
          <w:color w:val="auto"/>
        </w:rPr>
      </w:pPr>
      <w:r>
        <w:rPr>
          <w:rFonts w:ascii="Courier New" w:cs="Courier New" w:eastAsia="Courier New" w:hAnsi="Courier New"/>
          <w:sz w:val="14"/>
          <w:szCs w:val="14"/>
          <w:color w:val="auto"/>
        </w:rPr>
        <w:t>PUBLISHING AND EDUCATION</w:t>
      </w:r>
      <w:r>
        <w:rPr>
          <w:sz w:val="20"/>
          <w:szCs w:val="20"/>
          <w:color w:val="auto"/>
        </w:rPr>
        <w:tab/>
      </w: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1980"/>
        <w:spacing w:after="0"/>
        <w:tabs>
          <w:tab w:leader="none" w:pos="3180" w:val="left"/>
          <w:tab w:leader="none" w:pos="4200" w:val="left"/>
          <w:tab w:leader="none" w:pos="5320" w:val="left"/>
          <w:tab w:leader="none" w:pos="6200" w:val="left"/>
          <w:tab w:leader="none" w:pos="7480" w:val="left"/>
          <w:tab w:leader="none" w:pos="8600" w:val="left"/>
        </w:tabs>
        <w:rPr>
          <w:sz w:val="20"/>
          <w:szCs w:val="20"/>
          <w:color w:val="auto"/>
        </w:rPr>
      </w:pPr>
      <w:r>
        <w:rPr>
          <w:rFonts w:ascii="Courier New" w:cs="Courier New" w:eastAsia="Courier New" w:hAnsi="Courier New"/>
          <w:sz w:val="14"/>
          <w:szCs w:val="14"/>
          <w:color w:val="auto"/>
        </w:rPr>
        <w:t>DISTRIBUTION</w:t>
        <w:tab/>
        <w:t>PUBLISHING</w:t>
        <w:tab/>
        <w:t>ADVERTISING</w:t>
        <w:tab/>
        <w:t>DOMESTIC</w:t>
        <w:tab/>
        <w:t>INTERNATIONAL</w:t>
        <w:tab/>
        <w:t>OVERHEAD(1)</w:t>
        <w:tab/>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FEBRUARY 28,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266.4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361.3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71.7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433.0</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0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Royalty advance expense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Segment profit/(loss)(3)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Expenditures for</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Long-lived assets(5)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FEBRUARY 29,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196.5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263.4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51.6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315.0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Amortization(2)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Royalty advance expense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Segment profit/(loss)(3)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0.5</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Expenditures for</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long-lived assets(5)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TABLES AND NOTES CONTINUED ON THE FOLLOWING PAGE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4980"/>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SEGMENT INFORMATION (continued)</w:t>
      </w:r>
    </w:p>
    <w:p>
      <w:pPr>
        <w:spacing w:after="0" w:line="200" w:lineRule="exact"/>
        <w:rPr>
          <w:sz w:val="20"/>
          <w:szCs w:val="20"/>
          <w:color w:val="auto"/>
        </w:rPr>
      </w:pPr>
    </w:p>
    <w:p>
      <w:pPr>
        <w:spacing w:after="0" w:line="304" w:lineRule="exact"/>
        <w:rPr>
          <w:sz w:val="20"/>
          <w:szCs w:val="20"/>
          <w:color w:val="auto"/>
        </w:rPr>
      </w:pPr>
    </w:p>
    <w:p>
      <w:pPr>
        <w:ind w:left="2600"/>
        <w:spacing w:after="0"/>
        <w:tabs>
          <w:tab w:leader="none" w:pos="5680" w:val="left"/>
        </w:tabs>
        <w:rPr>
          <w:sz w:val="20"/>
          <w:szCs w:val="20"/>
          <w:color w:val="auto"/>
        </w:rPr>
      </w:pPr>
      <w:r>
        <w:rPr>
          <w:rFonts w:ascii="Courier New" w:cs="Courier New" w:eastAsia="Courier New" w:hAnsi="Courier New"/>
          <w:sz w:val="14"/>
          <w:szCs w:val="14"/>
          <w:color w:val="auto"/>
        </w:rPr>
        <w:t>CHILDREN'S BOOK</w:t>
      </w:r>
      <w:r>
        <w:rPr>
          <w:sz w:val="20"/>
          <w:szCs w:val="20"/>
          <w:color w:val="auto"/>
        </w:rPr>
        <w:tab/>
      </w:r>
      <w:r>
        <w:rPr>
          <w:rFonts w:ascii="Courier New" w:cs="Courier New" w:eastAsia="Courier New" w:hAnsi="Courier New"/>
          <w:sz w:val="14"/>
          <w:szCs w:val="14"/>
          <w:color w:val="auto"/>
        </w:rPr>
        <w:t>MEDIA,</w:t>
      </w:r>
    </w:p>
    <w:p>
      <w:pPr>
        <w:spacing w:after="0" w:line="7" w:lineRule="exact"/>
        <w:rPr>
          <w:sz w:val="20"/>
          <w:szCs w:val="20"/>
          <w:color w:val="auto"/>
        </w:rPr>
      </w:pPr>
    </w:p>
    <w:p>
      <w:pPr>
        <w:ind w:left="2600"/>
        <w:spacing w:after="0"/>
        <w:tabs>
          <w:tab w:leader="none" w:pos="4200" w:val="left"/>
          <w:tab w:leader="none" w:pos="5420" w:val="left"/>
          <w:tab w:leader="none" w:pos="6880" w:val="left"/>
        </w:tabs>
        <w:rPr>
          <w:sz w:val="20"/>
          <w:szCs w:val="20"/>
          <w:color w:val="auto"/>
        </w:rPr>
      </w:pPr>
      <w:r>
        <w:rPr>
          <w:rFonts w:ascii="Courier New" w:cs="Courier New" w:eastAsia="Courier New" w:hAnsi="Courier New"/>
          <w:sz w:val="14"/>
          <w:szCs w:val="14"/>
          <w:color w:val="auto"/>
        </w:rPr>
        <w:t>PUBLISHING AND</w:t>
      </w:r>
      <w:r>
        <w:rPr>
          <w:sz w:val="20"/>
          <w:szCs w:val="20"/>
          <w:color w:val="auto"/>
        </w:rPr>
        <w:tab/>
      </w:r>
      <w:r>
        <w:rPr>
          <w:rFonts w:ascii="Courier New" w:cs="Courier New" w:eastAsia="Courier New" w:hAnsi="Courier New"/>
          <w:sz w:val="14"/>
          <w:szCs w:val="14"/>
          <w:color w:val="auto"/>
        </w:rPr>
        <w:t>EDUCATIONAL</w:t>
      </w:r>
      <w:r>
        <w:rPr>
          <w:sz w:val="20"/>
          <w:szCs w:val="20"/>
          <w:color w:val="auto"/>
        </w:rPr>
        <w:tab/>
      </w:r>
      <w:r>
        <w:rPr>
          <w:rFonts w:ascii="Courier New" w:cs="Courier New" w:eastAsia="Courier New" w:hAnsi="Courier New"/>
          <w:sz w:val="14"/>
          <w:szCs w:val="14"/>
          <w:color w:val="auto"/>
        </w:rPr>
        <w:t>LICENSING AND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2680"/>
        <w:spacing w:after="0"/>
        <w:tabs>
          <w:tab w:leader="none" w:pos="4300" w:val="left"/>
          <w:tab w:leader="none" w:pos="5500" w:val="left"/>
          <w:tab w:leader="none" w:pos="6800" w:val="left"/>
          <w:tab w:leader="none" w:pos="7820" w:val="left"/>
          <w:tab w:leader="none" w:pos="9200" w:val="left"/>
        </w:tabs>
        <w:rPr>
          <w:sz w:val="20"/>
          <w:szCs w:val="20"/>
          <w:color w:val="auto"/>
        </w:rPr>
      </w:pPr>
      <w:r>
        <w:rPr>
          <w:rFonts w:ascii="Courier New" w:cs="Courier New" w:eastAsia="Courier New" w:hAnsi="Courier New"/>
          <w:sz w:val="14"/>
          <w:szCs w:val="14"/>
          <w:color w:val="auto"/>
        </w:rPr>
        <w:t>DISTRIBUTION</w:t>
      </w:r>
      <w:r>
        <w:rPr>
          <w:sz w:val="20"/>
          <w:szCs w:val="20"/>
          <w:color w:val="auto"/>
        </w:rPr>
        <w:tab/>
      </w:r>
      <w:r>
        <w:rPr>
          <w:rFonts w:ascii="Courier New" w:cs="Courier New" w:eastAsia="Courier New" w:hAnsi="Courier New"/>
          <w:sz w:val="14"/>
          <w:szCs w:val="14"/>
          <w:color w:val="auto"/>
        </w:rPr>
        <w:t>PUBLISHING</w:t>
      </w:r>
      <w:r>
        <w:rPr>
          <w:sz w:val="20"/>
          <w:szCs w:val="20"/>
          <w:color w:val="auto"/>
        </w:rPr>
        <w:tab/>
      </w:r>
      <w:r>
        <w:rPr>
          <w:rFonts w:ascii="Courier New" w:cs="Courier New" w:eastAsia="Courier New" w:hAnsi="Courier New"/>
          <w:sz w:val="14"/>
          <w:szCs w:val="14"/>
          <w:color w:val="auto"/>
        </w:rPr>
        <w:t>ADVERTISING</w:t>
      </w:r>
      <w:r>
        <w:rPr>
          <w:sz w:val="20"/>
          <w:szCs w:val="20"/>
          <w:color w:val="auto"/>
        </w:rPr>
        <w:tab/>
      </w: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INTERNATIONAL</w:t>
      </w:r>
      <w:r>
        <w:rPr>
          <w:sz w:val="20"/>
          <w:szCs w:val="20"/>
          <w:color w:val="auto"/>
        </w:rPr>
        <w:tab/>
      </w:r>
      <w:r>
        <w:rPr>
          <w:rFonts w:ascii="Courier New" w:cs="Courier New" w:eastAsia="Courier New" w:hAnsi="Courier New"/>
          <w:sz w:val="14"/>
          <w:szCs w:val="14"/>
          <w:color w:val="auto"/>
        </w:rPr>
        <w:t>OVERHEAD (1)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28,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918.5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226.5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101.1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$ 1,246.1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217.3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$ 1,463.4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Amortization (2)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Royalty advance expense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Segment profit/(loss) (3)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110.9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613.7</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384.2</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1,568.7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Long-lived assets (4)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703.0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Expenditures for</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long-lived assets (5)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29,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624.5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149.9</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75.5</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849.9</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158.9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$ 1,008.8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Amortization (2)</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Royalty advance expense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Segment profit/(loss) (3)</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438.4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53.4</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676.2</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Long-lived assets (4)</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36.4</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224.3</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397.0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Expenditures for</w:t>
            </w: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long-lived assets (5)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520" w:right="4720" w:hanging="512"/>
        <w:spacing w:after="0" w:line="251"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OVERHEAD INCLUDES ALL DOMESTIC CORPORATE-RELATED ITEMS NOT ALLOCATED TO REPORTABLE SEGMENTS. AS IT RELATES TO THE SEGMENT PROFIT/(LOSS), UNALLOCATED EXPENSES INCLUDE COSTS RELATED TO THE MANAGEMENT OF CORPORATE ASSETS. IN FISCAL 2000, THE YEAR-TO-DATE OVERHEAD SEGMENT PROFIT/(LOSS) INCLUDED A NON-RECURRING CHARGE OF $8.5 PRIMARILY RELATED TO THE ESTABLISHMENT OF A LITIGATION RESERVE FOLLOWING AN ADVERSE DECISION IN A LAWSUIT. UNALLOCATED ASSETS ARE PRINCIPALLY COMPRISED OF DEFERRED INCOME TAXES AND PROPERTY, PLANT AND EQUIPMENT RELATED TO THE COMPANY'S HEADQUARTERS IN THE METROPOLITAN NEW YORK AREA, ITS NATIONAL SERVICE OPERATION LOCATED IN MISSOURI AND THE GROLIER FACILITIES LOCATED IN CONNECTICUT.</w:t>
      </w:r>
    </w:p>
    <w:p>
      <w:pPr>
        <w:spacing w:after="0" w:line="163" w:lineRule="exact"/>
        <w:rPr>
          <w:rFonts w:ascii="Courier New" w:cs="Courier New" w:eastAsia="Courier New" w:hAnsi="Courier New"/>
          <w:sz w:val="14"/>
          <w:szCs w:val="14"/>
          <w:color w:val="auto"/>
        </w:rPr>
      </w:pPr>
    </w:p>
    <w:p>
      <w:pPr>
        <w:ind w:left="520" w:right="5320" w:hanging="512"/>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AMORTIZATION OF GOODWILL AND OTHER INTANGIBLE ASSETS, AND PREPUBLICATION AND PRODUCTION COSTS.</w:t>
      </w:r>
    </w:p>
    <w:p>
      <w:pPr>
        <w:spacing w:after="0" w:line="159" w:lineRule="exact"/>
        <w:rPr>
          <w:rFonts w:ascii="Courier New" w:cs="Courier New" w:eastAsia="Courier New" w:hAnsi="Courier New"/>
          <w:sz w:val="14"/>
          <w:szCs w:val="14"/>
          <w:color w:val="auto"/>
        </w:rPr>
      </w:pPr>
    </w:p>
    <w:p>
      <w:pPr>
        <w:ind w:left="520" w:right="4820" w:hanging="512"/>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PROFIT/(LOSS) REPRESENTS EARNINGS BEFORE INTEREST AND INCOME TAXES. INCLUDES THE NET EFFECT OF THE CHANGES IN SALES RETURNS ESTIMATES WHICH RESULTED IN AN INCREASE TO NET INCOME OF $3.6 ($0.10 PER DILUTED SHARE) IN THE FISCAL 2001 THIRD QUARTER.</w:t>
      </w:r>
    </w:p>
    <w:p>
      <w:pPr>
        <w:spacing w:after="0" w:line="162" w:lineRule="exact"/>
        <w:rPr>
          <w:rFonts w:ascii="Courier New" w:cs="Courier New" w:eastAsia="Courier New" w:hAnsi="Courier New"/>
          <w:sz w:val="14"/>
          <w:szCs w:val="14"/>
          <w:color w:val="auto"/>
        </w:rPr>
      </w:pPr>
    </w:p>
    <w:p>
      <w:pPr>
        <w:ind w:left="520" w:right="4640" w:hanging="512"/>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PROPERTY, PLANT AND EQUIPMENT, PREPUBLICATION COSTS, GOODWILL AND OTHER INTANGIBLE ASSETS, ROYALTY ADVANCES AND PRODUCTION COSTS.</w:t>
      </w:r>
    </w:p>
    <w:p>
      <w:pPr>
        <w:spacing w:after="0" w:line="159" w:lineRule="exact"/>
        <w:rPr>
          <w:rFonts w:ascii="Courier New" w:cs="Courier New" w:eastAsia="Courier New" w:hAnsi="Courier New"/>
          <w:sz w:val="14"/>
          <w:szCs w:val="14"/>
          <w:color w:val="auto"/>
        </w:rPr>
      </w:pPr>
    </w:p>
    <w:p>
      <w:pPr>
        <w:ind w:left="520" w:right="4900" w:hanging="512"/>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PURCHASES OF PROPERTY, PLANT AND EQUIPMENT, PREPUBLICATION AND PRODUCTION COSTS AND ROYALTY ADVANCES. THIS AMOUNT EXCLUDES THE EXPENDITURES FOR LONG-LIVED ASSETS AS PART OF THE GROLIER ACQUISITION.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616"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hanging="512"/>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following table sets forth the Company's debt balances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399"/>
        <w:spacing w:after="0" w:line="252" w:lineRule="auto"/>
        <w:rPr>
          <w:sz w:val="20"/>
          <w:szCs w:val="20"/>
          <w:color w:val="auto"/>
        </w:rPr>
      </w:pPr>
      <w:r>
        <w:rPr>
          <w:rFonts w:ascii="Courier New" w:cs="Courier New" w:eastAsia="Courier New" w:hAnsi="Courier New"/>
          <w:sz w:val="14"/>
          <w:szCs w:val="14"/>
          <w:color w:val="auto"/>
        </w:rPr>
        <w:t>=========================================================================================== FEBRUARY 28, 2001  MAY 31, 2000  FEBRUARY 29, 2000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Lines of Credit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21.2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Grolier Facility</w:t>
            </w:r>
          </w:p>
        </w:tc>
        <w:tc>
          <w:tcPr>
            <w:tcW w:w="6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Loan Agreement and Revolver</w:t>
            </w:r>
          </w:p>
        </w:tc>
        <w:tc>
          <w:tcPr>
            <w:tcW w:w="6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7% Notes due 2003, net of discount</w:t>
            </w:r>
          </w:p>
        </w:tc>
        <w:tc>
          <w:tcPr>
            <w:tcW w:w="6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124.9</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124.8</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Convertible Subordinated Debentures</w:t>
            </w:r>
          </w:p>
        </w:tc>
        <w:tc>
          <w:tcPr>
            <w:tcW w:w="6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debt</w:t>
            </w:r>
          </w:p>
        </w:tc>
        <w:tc>
          <w:tcPr>
            <w:tcW w:w="6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ind w:left="260"/>
              <w:spacing w:after="0"/>
              <w:rPr>
                <w:sz w:val="20"/>
                <w:szCs w:val="20"/>
                <w:color w:val="auto"/>
              </w:rPr>
            </w:pPr>
            <w:r>
              <w:rPr>
                <w:rFonts w:ascii="Courier New" w:cs="Courier New" w:eastAsia="Courier New" w:hAnsi="Courier New"/>
                <w:sz w:val="14"/>
                <w:szCs w:val="14"/>
                <w:color w:val="auto"/>
              </w:rPr>
              <w:t>TOTAL DEBT</w:t>
            </w: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619.1</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249.8</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302.4</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Less current portion of long-term debt</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and lines of credit</w:t>
            </w: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(22.4)</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(8.7)</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(21.2)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LONG-TERM DEBT</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596.7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$ 241.1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$ 281.2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GROLIER FACILITY. The acquisition of Grolier for $400.0 was financed by the Company using bank debt, of which $350.0 was borrowed under the Grolier Facility and the remaining $50.0 was borrowed under the Company's existing Loan Agreement and Revolver (as discussed below). The Grolier Facility, effective June 22, 2000, is with certain banks and Scholastic Inc., as borrower, and the Company, as guarantor. The Grolier Facility is a one year facility, which may be extended for an additional year. Borrowings bear interest at the prime rate or 0.39% to 1.10% over LIBOR (as defined). The Grolier Facility also provides for a facility fee ranging from 0.085% to 0.25%. The amounts charged vary based on the Company's credit rating. Based on the Company's current credit rating, the interest rate and facility fee charged are 0.575% over LIBOR and 0.125%, respectively. The Grolier Facility contains certain financial covenants related to debt and interest coverage ratios (as defined) and limits dividends and other distributions.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LOAN AGREEMENT. The Company and Scholastic Inc. are joint and several borrowers under an amended and restated loan agreement with certain banks, effective August 11, 1999 and amended June 22, 2000 (the "Loan Agreement"). The Loan Agreement, which expires on August 11, 2004, provides for aggregate borrowings of up to $170.0 (with a right in certain circumstances to increase borrowings to $200.0), including the issuance of up to $10.0 in letters of credit. Interest under this facility is either at the prime rate or 0.325% to 0.90% over LIBOR (as defined). There is a facility fee ranging from 0.10% to 0.30% and a utilization fee ranging from 0.05% to 0.15% if borrowings exceed 33% of the total facility. The amounts charged vary based upon the Company's credit rating. Based on the Company's current credit rating, the interest rate, facility fee and utilization fee are 0.475% over LIBOR, 0.150%, and 0.075%, respectively. The Loan Agreement contains certain financial covenants related to debt and interest coverage ratios (as defined) and limits dividends and other distributions.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REVOLVER. The Company and Scholastic Inc. are joint and several borrowers under a revolving loan agreement with a bank, effective August 10, 1999 and amended June 22, 2000 (the "Revolver"). The Revolver, which expires on August 11, 2004, provides for revolving credit loans of up to $40.0. Interest under this facility is at the prime rate minus 1% or 0.325% to 0.90% over LIBOR (as defined). There is a facility fee ranging from 0.10% to 0.30%. The amounts charged vary based upon the Company's credit rating. Based on the Company's current credit rating, the interest rates and facility fee are at the prime rate minus 1%, 0.475% over LIBOR and 0.150%, respectively. The Revolver contains certain financial covenants related to debt and interest coverage ratios (as defined) and limits dividends and other distributions.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 NOTES DUE 2003. In December 1996, the Company issued $125.0 of 7% Notes due 2003 (the "Notes"). The Notes are unsecured and unsubordinated obligations of the Company and will mature on December 15, 2003. The Notes are not redeemable prior to maturity. Interest on the Notes is payable semi-annually on December 15 and June 15 of each year.</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CONVERTIBLE SUBORDINATED DEBENTURES. In August 1995, the Company issued $110.0 of 5.0% Convertible Subordinated Debentures due August 15, 2005 (the "Debentures"). Interest on the Debentures is payable semi-annually on August 15 and February 15 of each year. The Debentures are redeemable at the option of the Company, in whole, but not in part, at any time at 100% of the principal amount plus accrued interest. Each Debenture is convertible, at the holder's option, any time prior to maturity, into Common Stock of the Company at a conversion price of $38.43 per share, as adjusted for the Company's stock split, (see Note 10), subject to other adjustments in certain events.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CONTINGENCIES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certain officers have been named as defendants in litigation which alleges, among other things, violations of Sections 10(b) and 20(a) of the Securities Exchange Act of 1934 and Rule 10b-5 thereunder, resulting from purportedly materially false and misleading statements to the investing public concerning the financial condition of the Company. On January 26, 2000, an order was entered granting the Company's motion to dismiss plaintiffs' Second Amended Consolidated Complaint without leave to further amend the complaint. Previously, on December 14, 1998, an order was entered granting the Company's motion to dismiss plaintiffs' First Amendment Consolidated Complaint with leave to amend the complaint. In dismissing both complaints, which alleged substantially similar claims, the court held that plaintiffs failed to state a claim upon which relief can be granted. Plaintiffs have appealed the most recent dismissal. The Company continues to believe that the litigation is without merit and will continue to vigorously defend against it.</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February 1, 1999, two subsidiaries of the Company commenced an action in the Supreme Court of the State of New York in New York County against Parachute Press, Inc. ("Parachute"), the licensor of certain publication and nonpublication rights to the GOOSEBUMPS(R) series, certain affiliated Parachute companies and R.L. Stine, individually, alleging material breach of contract and fraud in connection with the agreements under which such GOOSEBUMPS rights are licensed to the Company. The issues in the case are also, in part, the subject of two litigations commenced by Parachute following repeated notices from the Company to Parachute of material breaches by Parachute of the agreements under which such rights are licensed and the exercise by the Company of its contractual remedies under the agreements. The first Parachute action, in which two subsidiaries of the Company are defendants and counterclaim plaintiffs, was commenced in the federal court for the Southern District of New York on February 14, 1997 and was dismissed for lack of subject matter jurisdiction on January 29, 1999. On appeal, the Court of Appeals for the Second Circuit vacated the dismissal and remanded the case for further proceedings. The second Parachute action was filed contemporaneously with the filing of the Company's complaint on February 1, 1999 in the Supreme Court of the State of New York in New York County. In its two complaints, and in its counterclaims, Parachute alleges that the exercise of contractual remedies by the Company was improper and seeks declaratory relief and unspecified damages for, among other claims,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alleged breaches of contract and acts of unfair competition. Damages sought by Parachute include the payment of a total of approximately $36.1 of advances over the term of the contract (of which approximately $15.3 had been paid at the time the first Parachute litigation began) and payments of royalties set-off by Scholastic against amounts claimed by the Company. The Company is seeking declaratory relief and damages for, among other claims, breaches of contract, fraud and acts of unfair competition. Damages sought by the Company include lost profits and disgorgement of certain payments received by Parachute. On July 21, 2000, the Company and Parachute each filed motions for partial summary judgement in the state court cases. The Company intends to vigorously pursue its claims against Parachute and the other named defendants and to vigorously defend its position in these proceedings. The Company does not believe that this dispute will have a material adverse effect on its financial condition.</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addition to the above actions,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COMPREHENSIVE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comprehensive income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tabs>
          <w:tab w:leader="none" w:pos="550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FEBRUARY 28, FEBRUARY 29, FEBRUARY 28, FEBRUARY 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460" w:val="left"/>
          <w:tab w:leader="none" w:pos="5500" w:val="left"/>
          <w:tab w:leader="none" w:pos="65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$ 49.4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19.7</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currency translation</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adjustment</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net of</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provision for (benefit</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from)</w:t>
            </w: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income</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NOTES TO CONDENSED CONSOLIDATED FINANCIAL STATEMENTS - UNAUDITED (AMOUNTS IN MILLIONS, EXCEPT PER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hanging="512"/>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Basic earnings per share is computed by dividing net income by the weighted-average number of shares outstanding during the period. Diluted earnings per share is calculated to give effect to potentially dilutive stock options and convertible debentures that were outstanding during the period. The following table, which includes the impact of the Company's stock dividend in the form of a 2-for-1 stock split, effective January 16, 2001 (Note 10), summarizes the reconciliation of the numerators and denominators for the Basic and Diluted earnings per share ("EPS") computations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tabs>
          <w:tab w:leader="none" w:pos="550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FEBRUARY 28, FEBRUARY 29, FEBRUARY 28, FEBRUARY 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4640" w:val="left"/>
          <w:tab w:leader="none" w:pos="5680" w:val="left"/>
          <w:tab w:leader="none" w:pos="670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 for Basic EPS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$ 49.4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$ 19.7</w:t>
            </w: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Effect of convertible debt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income for Diluted EPS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Weighted-average shares for Basic</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EPS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Effect of stock options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Effect of convertible debt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WEIGHTED-AVERAGE SHARES FOR DILUTED EPS</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 per Class A and Common Share: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0.59</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bl>
    <w:p>
      <w:pPr>
        <w:spacing w:after="0" w:line="335" w:lineRule="exact"/>
        <w:rPr>
          <w:sz w:val="20"/>
          <w:szCs w:val="20"/>
          <w:color w:val="auto"/>
        </w:rPr>
      </w:pPr>
    </w:p>
    <w:p>
      <w:pPr>
        <w:ind w:left="520" w:right="3599" w:hanging="512"/>
        <w:spacing w:after="0" w:line="252"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the 5.0% Convertible Subordinated Debentures on the weighted-average shares outstanding was anti-dilutive and therefore not included in the calculation.</w:t>
      </w:r>
    </w:p>
    <w:p>
      <w:pPr>
        <w:spacing w:after="0" w:line="163" w:lineRule="exact"/>
        <w:rPr>
          <w:sz w:val="20"/>
          <w:szCs w:val="20"/>
          <w:color w:val="auto"/>
        </w:rPr>
      </w:pPr>
    </w:p>
    <w:p>
      <w:pPr>
        <w:ind w:left="620" w:hanging="612"/>
        <w:spacing w:after="0"/>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NON-RECURRING CHARGE</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operating results for the nine months ended February 29, 2000 include a $8.5 non-recurring charge primarily related to the establishment of a litigation reserve following an adverse decision in a lawsuit, which was received on December 10, 1999. The case involves stock appreciation rights allegedly granted in 1990 in connection with a joint venture formed primarily to produce motion pictures. Although the Company disagrees with the decision and is appealing the ruling, the Company has recorded a $6.7 charge to fully reserve with respect to the case. The $8.5 charge also includes an unrelated expense of $1.8 relating to the liquidation of certain stock options.</w:t>
      </w:r>
    </w:p>
    <w:p>
      <w:pPr>
        <w:spacing w:after="0" w:line="164" w:lineRule="exact"/>
        <w:rPr>
          <w:sz w:val="20"/>
          <w:szCs w:val="20"/>
          <w:color w:val="auto"/>
        </w:rPr>
      </w:pPr>
    </w:p>
    <w:p>
      <w:pPr>
        <w:ind w:left="520" w:hanging="512"/>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AND CLASS A STOCK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December 14, 2000, the Company's Board of Directors approved a 2-for-1 stock split in the form of a 100% stock dividend on its Common Stock and Class A Stock, effective January 16, 2001 to stockholders of record as of December 29, 2000. Stockholders of record received one additional share of Common Stock or Class A Stock for each share held on the record date. All outstanding rights under stock options and stock purchase plans to acquire the Company's Common Stock and under the Company's 5% Convertible Subordinated Debentures due 2005 were adjusted to give effect to the stock split.</w:t>
      </w:r>
    </w:p>
    <w:p>
      <w:pPr>
        <w:spacing w:after="0" w:line="164" w:lineRule="exact"/>
        <w:rPr>
          <w:sz w:val="20"/>
          <w:szCs w:val="20"/>
          <w:color w:val="auto"/>
        </w:rPr>
      </w:pPr>
    </w:p>
    <w:p>
      <w:pPr>
        <w:ind w:left="520" w:hanging="512"/>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April 16, 2001 the Company announced a strategic decision to focus its educational publishing efforts on its fast-growing research-based reading improvement instructional materials consisting of intervention, technology, phonics, early childhood, extended learning and summer school programs, which help students overcome reading problems and achieve higher test scores. As part of this new focus, the Company announced that it will not update SCHOLASTIC LITERACY PLACE(R) for future state adoptions.</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decision will result in an estimated one-time pre-tax charge ranging between $65.0 and $70.0, or $1.05 - $1.15 per share after tax for the fourth quarter ending May 31, 2001. The charge includes previously capitalized prepublication costs with respect to SCHOLASTIC LITERACY PLACE, as well as inventory, severance and other related costs.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591"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MANAGEMENT'S DISCUSSION AND ANALYSIS OF FINANCIAL CONDITION AND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OPERATIONS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CONSOLIDATED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the quarter ended February 28, 2001 increased 37% to $433.0 million compared to $315.0 million in the year ago quarter. For the nine months ended February 28, 2001, revenues increased 45% to $1,463.4 million from $1,008.8 million in the prior year period. Revenues for the three and nine month periods reflect growth across all segments of the Company's business, benefiting from the inclusion of the results of Grolier Incorporated ("Grolier") following the closing of the acquisition on June 22, 2000. The inclusion of the results of Grolier provided $100.0 million and $276.4 million of the revenues for the three and nine-month periods, respectively. The Company's CHILDREN'S BOOK PUBLISHING AND DISTRIBUTION segment, including components of Grolier, grew by 36% over the prior year quarter and by 47% over the prior year-to-date period. This segment accounted for approximately 62% of the Company's revenues for the three and nine-month periods in both the current and prior year periods.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Cost of goods sold as a percentage of sales decreased from 50.1% to 46.1% for the quarter ended February 28, 2001 and from 50.4% to 45.8% for the nine-month period compared to the prior year periods. This improvement resulted primarily from the addition of Grolier sales in Fiscal 2001 and the significant increase in higher margin Trade sales due in part to better than expected sell-through in the CHILDREN'S BOOK PUBLISHING AND DISTRIBUTION segment partially offset by higher cost of product on the Harry Potter companion books. Selling, general and administrative expenses as a percentage of sales increased from 45.4% to 47.9% for the quarter ended February 28, 2001 when compared to the prior year quarter. This increase relates primarily to increased promotional spending, Grolier integration costs and the timing of certain compensation related expenses. For the year-to-date period, selling, general and administrative expenses as a percentage of sales increased from 42.4% to 44.6% when compared to the same period in the prior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profit for the quarter ended February 28, 2001 more than doubled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$16.3 million compared to $7.7 million in the same quarter of the prior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For the nine-month period, operating expenses for the prior year include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non-recurring charge of $8.5 million primarily due to the establishment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 million litigation reserve following an adverse decision in a lawsuit.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 which the Company has appealed, involves stock appreciation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allegedly granted in connection with a joint venture formed primarily to produce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motion pictures. The non-recurring charge also includes an unrelated expense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million due to the liquidation of certain stock options. Excluding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the prior-year non-recurring charge, operating profit improved 105%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$110.9 million from $54.1 million in the prior year. Including the prior-year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non-recurring charge, operating profit for the nine-month period improved 143%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the same period in the prior fiscal year. These increases reflect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the inclusion of Grolier's revenues in the Company's results combined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strong sales across all business segments.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for the quarter ended February 28, 2001 increased to $3.7 million, or $0.10 per diluted share, compared to $2.0 million, or $0.06 per share, in the prior year quarter. For the nine-month period, net income increased 97% to $49.4 million, or $1.34 per diluted share, compared to $25.1 million, or $0.74 per diluted share (excluding the $0.16 per share non-recurring charge). All per share amounts have been adjusted to reflect the 2-for-1 stock split effective January 16, 2001. (Note 10 to Notes to Condensed Consolidated Financial Statements and "Common and Class A Stock"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SEGMENTS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CHILDREN'S BOOK PUBLISHING AND DISTRIBUTION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CHILDREN'S BOOK PUBLISHING AND DISTRIBUTION segment includes the publication and distribution of children's books in the United States through its school book clubs, continuity programs, school book fairs and the trade channel. This segment also includes Grolier's direct-to-home book clubs and trade sales in the United States in the current fiscal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800" w:type="dxa"/>
            <w:vAlign w:val="bottom"/>
          </w:tcPr>
          <w:p>
            <w:pPr>
              <w:ind w:left="720"/>
              <w:spacing w:after="0"/>
              <w:rPr>
                <w:sz w:val="20"/>
                <w:szCs w:val="20"/>
                <w:color w:val="auto"/>
              </w:rPr>
            </w:pPr>
            <w:r>
              <w:rPr>
                <w:rFonts w:ascii="Courier New" w:cs="Courier New" w:eastAsia="Courier New" w:hAnsi="Courier New"/>
                <w:sz w:val="14"/>
                <w:szCs w:val="14"/>
                <w:color w:val="auto"/>
              </w:rPr>
              <w:t>THREE MONTHS ENDED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30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00" w:type="dxa"/>
            <w:vAlign w:val="bottom"/>
          </w:tcPr>
          <w:p>
            <w:pPr>
              <w:ind w:left="380"/>
              <w:spacing w:after="0"/>
              <w:rPr>
                <w:sz w:val="20"/>
                <w:szCs w:val="20"/>
                <w:color w:val="auto"/>
              </w:rPr>
            </w:pPr>
            <w:r>
              <w:rPr>
                <w:rFonts w:ascii="Courier New" w:cs="Courier New" w:eastAsia="Courier New" w:hAnsi="Courier New"/>
                <w:sz w:val="14"/>
                <w:szCs w:val="14"/>
                <w:color w:val="auto"/>
              </w:rPr>
              <w:t>FEBRUARY 28,   FEBRUARY 29,</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FEBRUARY 28,  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tabs>
          <w:tab w:leader="none" w:pos="3520" w:val="left"/>
          <w:tab w:leader="none" w:pos="4720" w:val="left"/>
          <w:tab w:leader="none" w:pos="59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$ 266.4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$ 918.5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$ 624.5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bl>
    <w:p>
      <w:pPr>
        <w:spacing w:after="0" w:line="33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Revenues in the CHILDREN'S BOOK PUBLISHING AND DISTRIBUTION segment for the quarter ended February 28, 2001 increased 36% to $266.4 million compared to $196.5 million in the year ago quarter. Grolier Home Book Clubs and Trade revenues added $58.2 million. For the quarter ended February 28, 2001, revenues in the School Book Fairs increased 22% and revenues in the Scholastic Trade channel increased 10% over the prior year period while School Book Clubs matched last year's levels. In the quarter, the Company recorded approximately $12.0 million in trade revenues related to two new Harry Potter companion books written by J.K. Rowling. Per the author's request, all net proceeds are being donated to Comic Relief, UK and thus these books diluted segment margin. For the nine-month period, revenues increased 47% to $918.5 million compared to $624.5 million in the year ago period. This increase reflects the addition of $165.6 million in revenue from Grolier's operations and increased revenues in the Company's Trade and School Book Fair operations. Trade revenues continued to benefit from better than expected sell-through of HARRY POTTER and other Scholastic titles. In addition to Harry Potter, other top selling trade titles for the quarter ended February 28, 2001 included I SPY(TM), DEAR AMERICA(R),</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ROYAL DIARIES, CLIFFORD THE BIG RED DOG(R), CAPTAIN UNDERPANTS(TM), SCOOBY DOO and POWERPUFF GIRLS.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Segment operating profit for the quarter increased 12% to $39.3 million as compared to $35.1 million in the prior year. This improvement primarily resulted from the addition of Grolier Home Book Clubs and the impact of better than expected sell-through in Trade, which lowered reserve requirements and increased net income by $3.6 million, or $0.10 per share, in the quarter. The Company monitors sales information from retailers related to the sales of its Trade titles and adjusts its estimates for sales returns when results warrant. For the nine-month period, operating profit improved by 39% to $158.0 million, as compared to an operating profit of $114.0 million for the prior year period. This growth reflects the continuing strength of the Trade business and the benefit of the addition of the Grolier business.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PUBLISHING</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Company's EDUCATIONAL PUBLISHING segment includes the publication and distribution of grades K to 12 textbooks, supplemental materials, classroom magazines, teaching resources and instructional technology in and from the United States to schools and libraries. This segment includes Grolier Publishing, which includes print and on-line children's non-fiction and reference products, in the current fiscal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800" w:type="dxa"/>
            <w:vAlign w:val="bottom"/>
          </w:tcPr>
          <w:p>
            <w:pPr>
              <w:ind w:left="720"/>
              <w:spacing w:after="0"/>
              <w:rPr>
                <w:sz w:val="20"/>
                <w:szCs w:val="20"/>
                <w:color w:val="auto"/>
              </w:rPr>
            </w:pPr>
            <w:r>
              <w:rPr>
                <w:rFonts w:ascii="Courier New" w:cs="Courier New" w:eastAsia="Courier New" w:hAnsi="Courier New"/>
                <w:sz w:val="14"/>
                <w:szCs w:val="14"/>
                <w:color w:val="auto"/>
              </w:rPr>
              <w:t>THREE MONTHS ENDED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30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00" w:type="dxa"/>
            <w:vAlign w:val="bottom"/>
          </w:tcPr>
          <w:p>
            <w:pPr>
              <w:ind w:left="380"/>
              <w:spacing w:after="0"/>
              <w:rPr>
                <w:sz w:val="20"/>
                <w:szCs w:val="20"/>
                <w:color w:val="auto"/>
              </w:rPr>
            </w:pPr>
            <w:r>
              <w:rPr>
                <w:rFonts w:ascii="Courier New" w:cs="Courier New" w:eastAsia="Courier New" w:hAnsi="Courier New"/>
                <w:sz w:val="14"/>
                <w:szCs w:val="14"/>
                <w:color w:val="auto"/>
              </w:rPr>
              <w:t>FEBRUARY 28,   FEBRUARY 29,</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FEBRUARY 28,  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tabs>
          <w:tab w:leader="none" w:pos="3520" w:val="left"/>
          <w:tab w:leader="none" w:pos="4720" w:val="left"/>
          <w:tab w:leader="none" w:pos="59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$ 59.5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$ 40.7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$ 226.5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$ 149.9</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320" w:val="left"/>
          <w:tab w:leader="none" w:pos="3600" w:val="left"/>
          <w:tab w:leader="none" w:pos="4900" w:val="left"/>
          <w:tab w:leader="none" w:pos="6100" w:val="left"/>
        </w:tabs>
        <w:rPr>
          <w:sz w:val="20"/>
          <w:szCs w:val="20"/>
          <w:color w:val="auto"/>
        </w:rPr>
      </w:pPr>
      <w:r>
        <w:rPr>
          <w:rFonts w:ascii="Courier New" w:cs="Courier New" w:eastAsia="Courier New" w:hAnsi="Courier New"/>
          <w:sz w:val="14"/>
          <w:szCs w:val="14"/>
          <w:color w:val="auto"/>
        </w:rPr>
        <w:t>OPERATING MARGIN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NOT MEANINGFUL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in the EDUCATIONAL PUBLISHING segment for the quarter ended February 28, 2001 increased 46% to $59.5 million compared to $40.7 million in the year ago quarter. For the nine months, revenues increased 51% to $226.5 million, compared to $149.9 million in the year ago period. Revenues for both the quarter and year-to-date period ($17.0 million and $44.1 million, respectively), benefited from the addition of Grolier's print and on-line non-fiction and reference sales combined with increases in Scholastic's core and supplemental curriculum sales.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loss for this segment for the third quarter was $7.8 million, compared to an operating loss of $11.0 million in the prior fiscal year quarter. For the nine month period, operating loss improved by $16.8 million over the prior year period, primarily due to an increase in sales of SCHOLASTIC LITERACY PLACE(R) 2000, and READ 180(TM), combINED with strong sales of supplemental curriculum.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LICENSING AND ADVERTISING</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MEDIA, LICENSING AND ADVERTISING segment includes the production and distribution of programming and consumer products (including children's television programming, videos, CD-ROM's, feature films and non-book products) and internet services, as well as advertising and promotional activities.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800" w:type="dxa"/>
            <w:vAlign w:val="bottom"/>
          </w:tcPr>
          <w:p>
            <w:pPr>
              <w:ind w:left="720"/>
              <w:spacing w:after="0"/>
              <w:rPr>
                <w:sz w:val="20"/>
                <w:szCs w:val="20"/>
                <w:color w:val="auto"/>
              </w:rPr>
            </w:pPr>
            <w:r>
              <w:rPr>
                <w:rFonts w:ascii="Courier New" w:cs="Courier New" w:eastAsia="Courier New" w:hAnsi="Courier New"/>
                <w:sz w:val="14"/>
                <w:szCs w:val="14"/>
                <w:color w:val="auto"/>
              </w:rPr>
              <w:t>THREE MONTHS ENDED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30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00" w:type="dxa"/>
            <w:vAlign w:val="bottom"/>
          </w:tcPr>
          <w:p>
            <w:pPr>
              <w:ind w:left="380"/>
              <w:spacing w:after="0"/>
              <w:rPr>
                <w:sz w:val="20"/>
                <w:szCs w:val="20"/>
                <w:color w:val="auto"/>
              </w:rPr>
            </w:pPr>
            <w:r>
              <w:rPr>
                <w:rFonts w:ascii="Courier New" w:cs="Courier New" w:eastAsia="Courier New" w:hAnsi="Courier New"/>
                <w:sz w:val="14"/>
                <w:szCs w:val="14"/>
                <w:color w:val="auto"/>
              </w:rPr>
              <w:t>FEBRUARY 28,   FEBRUARY 29,</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FEBRUARY 28,  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tabs>
          <w:tab w:leader="none" w:pos="3520" w:val="left"/>
          <w:tab w:leader="none" w:pos="4720" w:val="left"/>
          <w:tab w:leader="none" w:pos="59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$ 35.4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$ 26.2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$ 101.1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$ 75.5</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 ------------------------------------------------------------------------------- OPERATING MARGIN * * * *</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NOT MEANINGFUL</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SEGMENTS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LICENSING AND ADVERTISING revenues increased approximately 35% to $35.4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the third quarter of fiscal 2001 from the prior year quarter.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 February 28, 2001, revenues increased approximately 34%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$101.1 million from $75.5 million for the same period of the prior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improvement in both the quarter and nine-month period reflect the impact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revenues from the new animated series CLIFFORD THE BIG RED DOG(TM)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increased advertising revenues from the Company's professional magazines.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the quarter ended February 28, 2001, this segment recognized an operating loss of $3.3 million as compared to an operating loss of $2.8 million in the same period of the prior fiscal year. On a year-to-date basis, the operating loss was to $14.0 million as compared to an operating loss of $13.0 million in the same period of the prior fiscal year. These results reflect the impact of increased editorial and other operating costs associated with Scholastic's internet activities.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INTERNATIONAL segment includes the publication and distribution of products and services outside the United States by the Company's domestic export and foreign rights businesses and the Company's operations in the United Kingdom, Canada, Australia, New Zealand and Southeast Asia and its emerging businesses in Mexico, India, Ireland and Argentina.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800" w:type="dxa"/>
            <w:vAlign w:val="bottom"/>
          </w:tcPr>
          <w:p>
            <w:pPr>
              <w:ind w:left="720"/>
              <w:spacing w:after="0"/>
              <w:rPr>
                <w:sz w:val="20"/>
                <w:szCs w:val="20"/>
                <w:color w:val="auto"/>
              </w:rPr>
            </w:pPr>
            <w:r>
              <w:rPr>
                <w:rFonts w:ascii="Courier New" w:cs="Courier New" w:eastAsia="Courier New" w:hAnsi="Courier New"/>
                <w:sz w:val="14"/>
                <w:szCs w:val="14"/>
                <w:color w:val="auto"/>
              </w:rPr>
              <w:t>THREE MONTHS ENDED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30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800" w:type="dxa"/>
            <w:vAlign w:val="bottom"/>
          </w:tcPr>
          <w:p>
            <w:pPr>
              <w:ind w:left="380"/>
              <w:spacing w:after="0"/>
              <w:rPr>
                <w:sz w:val="20"/>
                <w:szCs w:val="20"/>
                <w:color w:val="auto"/>
              </w:rPr>
            </w:pPr>
            <w:r>
              <w:rPr>
                <w:rFonts w:ascii="Courier New" w:cs="Courier New" w:eastAsia="Courier New" w:hAnsi="Courier New"/>
                <w:sz w:val="14"/>
                <w:szCs w:val="14"/>
                <w:color w:val="auto"/>
              </w:rPr>
              <w:t>FEBRUARY 28,   FEBRUARY 29,</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FEBRUARY 28,  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tabs>
          <w:tab w:leader="none" w:pos="3520" w:val="left"/>
          <w:tab w:leader="none" w:pos="4720" w:val="left"/>
          <w:tab w:leader="none" w:pos="59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$ 71.7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$ 51.6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$ 158.9</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NOT MEANINGFUL</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INTERNATIONAL revenues increased by approximately 38% for both the quarter and year-to-date periods ended February 28, 2001 when compared to the corresponding prior year periods. The increase reflects the inclusion of Grolier ($22.4 million and $59.0 million, for the respective periods) in the Company's results as well as an increase in the results of the Canadian operations led by the School Book Club operations. Operating profit improved $1.8 million from the prior year quarter and $8.9 million from the prior year nine-month period. This increase is attributed to the inclusion of Grolier in segment results combined with strong Canadian and export results, all of which were partially offset by the adverse impact of foreign exchange fluctuations and lower revenues for the Australia and United Kingdom operations.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school book clubs, school book fairs and most of its magazines operate on a school-year basis; therefore, the Company's business is highly seasonal. As a consequence, generally, the Company's revenues in the first and third quarters of the fiscal year are lower than its revenues in the other two fiscal quarters, and the Company experiences a loss from operations in the first quarter. Typically, School Book Clubs and School Book Fairs experience the largest revenues in the second quarter of the fiscal year, while revenues from the sale of instructional materials are higher in the first quarter. The acquisition of Grolier is not expected to substantially change the Company's historic seasonality.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June through October time period, the Company experiences negative cash flow due to the seasonality of its business. Historically, as a result of the Company's business cycle, seasonal borrowings have increased during June, July and August, have generally peaked in September or October, and have been at their lowest point in May.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Company's cash and cash equivalents increased by $2.9 million during the nine-month period ended February 28, 2001, compared to an decrease of $0.3 million during the comparable period in the prior fiscal year.</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Net cash flow provided by operations was $135.4 million for the nine-month period primarily as a result of improved operating performance.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outflows for investing activities were $516.5 million for the nine-month period, largely as a result of the acquisition of Grolier and increased spending for capital expenditures. Capital expenditures totaled $49.6 million for the nine-month period of fiscal 2001, increasing $20.8 million over the same period in fiscal 2000 largely as a result of the expansion of the Company's corporate headquarters and continuing investment in systems development.</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believes its existing cash position, combined with funds generated from operations and available under the amended Loan Agreement and the Revolver, will be sufficient to finance its ongoing working capital requirements through the next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finance the June 22, 2000 acquisition of Grolier, the Company borrowed $350.0 million under a new credit facility (the "Grolier Facility") and borrowed the remaining $50.0 million under the Company's existing Loan Agreement and Revolver. The Grolier Facility is a one year facility, which may be extended for an additional year. The weighted-average interest rate under the Grolier Facility for the period June 22, 2000 through February 28, 2001 was 7%.</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maintains two unsecured credit facilities, the Loan Agreement and the Revolver, which provide for aggregate borrowings of up to $210.0 million (with a right, in certain circumstances, to increase borrowings to $240.0 million), including the issuance of up to $10.0 million in letters of credit. Both the Loan Agreement and the Revolver expire on August 11, 2004. The Company primarily uses these facilities to fund seasonal cash flow needs and other working capital requirements. At February 28, 2001, the Company had $11.2 million in borrowings outstanding under these facilities at a weighted average interest rate of 7%.</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addition, unsecured lines of credit available to the Company's United Kingdom, Canadian, Australian, New Zealand and Southeast Asian operations totaled $50.7 million at February 28, 2001. These lines are used primarily to fund local working capital needs. At February 28, 2001, $22.4 million in borrowings were outstanding under these lines of credit at a weighted-average interest rate of 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20, 2001, the Company's Registration Statement on Form S-3 (the "Registration Statement") became effective with the Securities and Exchange Commission to register and sell up to $400 million of any combination of debt and equity securities from time to time or in one or more offerings depending on favorable market conditions. The Company currently anticipates that proceeds from any offering will be used primarily to refinance the Grolier acquisition costs. Any offers under the Registration Statement will be made solely by means of a prospectus or prospectus supplement that is issued in respect of any such offering.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June 22, 2000, the Company acquired the capital stock of Grolier for $400.0 million in cash. 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opportunities and prospects.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AND CLASS A STOCK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Board of Directors approved a 2-for-1 stock split in the form of a 100% stock dividend on its Common Stock and Class A Stock, payable January 16, 2001 to stockholders of record as of December 29, 2000. Stockholders of record received one additional share of Common Stock or Class A Stock for each share held on the record date. The additional shares were mailed or delivered on or about January 16, 2001 by the Company's transfer agent, ChaseMellon Shareholder Services L.L.C. All outstanding rights under stock options and stock purchase plans to acquire the Company's Common Stock and under the Company's 5% Convertible Subordinated Debentures due 2005 were adjusted to give effect to the stock split.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April 16, 2001 the Company announced a strategic decision to focus its educational publishing efforts on its fast-growing research-based reading improvement instructional materials consisting of intervention, technology, phonics, early childhood, extended learning and summer school programs, which help students overcome reading problems and achieve higher test scores. As part of this new focus, the Company announced that it will not update SCHOLASTIC LITERACY PLACE(R) for future state adoptions.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decision will result in an estimated one-time pre-tax charge ranging between $65 million and $70 million, or $1.05 - $1.15 per share after tax for the fourth quarter ending May 31, 2001. The charge includes previously capitalized prepublication costs with respect to SCHOLASTIC LITERACY PLACE, as well as inventory, severance and other related costs. This is expected to improve cash flow in fiscal 2002 due to lower capital spending and inventory requirements, modestly improve fiscal 2002 overall operating margins, be earnings neutral in fiscal 2002 and have a favorable impact on earnings and margins thereafter.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FORWARD LOOKING STATEMENTS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Report on Form 10-Q contains forward-looking statements, which are subject to various risks and uncertainties, including the conditions of the children's book and instructional materials markets and acceptance of the Company's products within those markets and other risks and factors identified in the Company's Report on Form 10-K for the fiscal year ended May 31,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posts on its website,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www.scholastic.com/aboutscholastic/investor/index/htm, the date of its upcoming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press releases and telephonic analyst call at least five days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dissemination of its financial press releases. The Company's analyst calls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open to the public and remain available to the public through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website for at least five days after the date of call.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operations in various foreign countries. In the normal course of business, these operations are exposed to fluctuations in currency values. Management believes that the impact of currency fluctuations do not represent a significant risk in the context of the Company's current international operations. The Company does not generally enter into derivative financial instruments in the normal course of business for material amounts, nor are such instruments used for speculative purposes.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 risks relating to the Company's operations result primarily from changes in interest rates. As a result of the financing related to the Grolier acquisition, approximately 62% of the Company's total debt bears interest at a variable rate and is sensitive to changes in interest rates. The Company is subject to the risk that market interest rates will increase and thereby increase the interest rates currently being charged under the variable rate debt. Under its current policies, the Company does not utilize any interest rate derivative instruments to manage its exposure to interest rate changes.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February 28, 2001, the balance outstanding under its variable rate facilities was $384.2 million. The nine-month weighted-average interest rate under its variable rate facilities was 7%. A 15% increase or decrease in the average cost of the Company's variable rate debt under the various facilities at February 28, 2001 would impact the Company's results of operations by approximately $4.3 million annually on a pre-tax basis.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1" w:name="page22"/>
    <w:bookmarkEnd w:id="21"/>
    <w:p>
      <w:pPr>
        <w:ind w:left="2340"/>
        <w:spacing w:after="0"/>
        <w:rPr>
          <w:sz w:val="20"/>
          <w:szCs w:val="20"/>
          <w:color w:val="auto"/>
        </w:rPr>
      </w:pPr>
      <w:r>
        <w:rPr>
          <w:rFonts w:ascii="Courier New" w:cs="Courier New" w:eastAsia="Courier New" w:hAnsi="Courier New"/>
          <w:sz w:val="14"/>
          <w:szCs w:val="14"/>
          <w:color w:val="auto"/>
        </w:rPr>
        <w:t>PART II - 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SUBMISSIONS OF MATTERS TO VOTE OF SECURITY 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accordance with the terms of the Amended and Restated Certificate of Incorporation of the Company, by written consent dated October 3, 2000, the holders of the all of the outstanding shares of Class A Stock unanimously approved to increase the number of members constituting the full Board of Directors of the Company from twelve to thirteen. There were no abstentions or broker non-votes in connection with this matter. In conjunction with this action, by written consent dated November 27, 2000, the Board of Directors of the Company unanimously elected Jack Davies, founder of AOL International, as a member of the board.</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OTHER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expects to discuss Footnote 11. Subsequent Event to the Notes to Condensed Consolidated Financial Statements in a conference call at 9:00 a.m. (Eastern time) on April 17, 2001. To participate, call 1-800-621-7762 with the password "SCHOLASTIC." The meeting leader is Richard Robinson. An audio replay of the call will also be available from at 9:00 a.m. to 5:00 p.m. (Eastern time) April 17, 2001 to April 24, 2001 by calling 1-888-566-0418.</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Reports on Form 8-K filed during the quarter: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Current Report on Form 8-K filed on February 8, 2001 regarding the Unaudited Pro Forma Condensed Consolidated Statement of Income for the six months ended November 30, 2000 and related notes giving effect to the acquisition of Grolier Incorporated by Scholastic Inc. on June 22, 2000.</w:t>
      </w:r>
    </w:p>
    <w:p>
      <w:pPr>
        <w:spacing w:after="0" w:line="162"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SCHOLASTIC CORPORATION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April 16,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Robinson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Robinson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DIRECTOR</w:t>
      </w:r>
    </w:p>
    <w:p>
      <w:pPr>
        <w:spacing w:after="0" w:line="200" w:lineRule="exact"/>
        <w:rPr>
          <w:sz w:val="20"/>
          <w:szCs w:val="20"/>
          <w:color w:val="auto"/>
        </w:rPr>
      </w:pPr>
    </w:p>
    <w:p>
      <w:pPr>
        <w:sectPr>
          <w:pgSz w:w="11900" w:h="16838" w:orient="portrait"/>
          <w:cols w:equalWidth="0" w:num="2">
            <w:col w:w="2900" w:space="720"/>
            <w:col w:w="6619"/>
          </w:cols>
          <w:pgMar w:left="220" w:top="61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April 16,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Kevin J. McEnery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Kevin J. McEnery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ectPr>
          <w:pgSz w:w="11900" w:h="16838" w:orient="portrait"/>
          <w:cols w:equalWidth="0" w:num="2">
            <w:col w:w="2900" w:space="720"/>
            <w:col w:w="661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22</w:t>
      </w:r>
    </w:p>
    <w:sectPr>
      <w:pgSz w:w="11900" w:h="16838" w:orient="portrait"/>
      <w:cols w:equalWidth="0" w:num="1">
        <w:col w:w="10239"/>
      </w:cols>
      <w:pgMar w:left="220" w:top="6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3"/>
    </w:lvl>
  </w:abstractNum>
  <w:abstractNum w:abstractNumId="1">
    <w:nsid w:val="2EB141F2"/>
    <w:multiLevelType w:val="hybridMultilevel"/>
    <w:lvl w:ilvl="0">
      <w:lvlJc w:val="left"/>
      <w:lvlText w:val="%1."/>
      <w:numFmt w:val="decimal"/>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8"/>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9"/>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2019-12-13T19:47:10Z</dcterms:created>
  <dcterms:modified xsi:type="dcterms:W3CDTF">2019-12-13T19:47:10Z</dcterms:modified>
</cp:coreProperties>
</file>