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w w:val="91"/>
              </w:rPr>
              <w:t>For the quarterly period ended November 30, 2008</w:t>
            </w:r>
          </w:p>
        </w:tc>
        <w:tc>
          <w:tcPr>
            <w:tcW w:w="7060" w:type="dxa"/>
            <w:vAlign w:val="bottom"/>
          </w:tcPr>
          <w:p>
            <w:pPr>
              <w:ind w:left="3600"/>
              <w:spacing w:after="0"/>
              <w:rPr>
                <w:sz w:val="20"/>
                <w:szCs w:val="20"/>
                <w:color w:val="auto"/>
              </w:rPr>
            </w:pPr>
            <w:r>
              <w:rPr>
                <w:rFonts w:ascii="Arial" w:cs="Arial" w:eastAsia="Arial" w:hAnsi="Arial"/>
                <w:sz w:val="18"/>
                <w:szCs w:val="18"/>
                <w:color w:val="auto"/>
              </w:rPr>
              <w:t>Commission File No. 000-19860</w:t>
            </w:r>
          </w:p>
        </w:tc>
      </w:tr>
      <w:tr>
        <w:trPr>
          <w:trHeight w:val="426"/>
        </w:trPr>
        <w:tc>
          <w:tcPr>
            <w:tcW w:w="3720" w:type="dxa"/>
            <w:vAlign w:val="bottom"/>
          </w:tcPr>
          <w:p>
            <w:pPr>
              <w:spacing w:after="0"/>
              <w:rPr>
                <w:sz w:val="24"/>
                <w:szCs w:val="24"/>
                <w:color w:val="auto"/>
              </w:rPr>
            </w:pPr>
          </w:p>
        </w:tc>
        <w:tc>
          <w:tcPr>
            <w:tcW w:w="7060" w:type="dxa"/>
            <w:vAlign w:val="bottom"/>
          </w:tcPr>
          <w:p>
            <w:pPr>
              <w:jc w:val="center"/>
              <w:ind w:right="297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20" w:type="dxa"/>
            <w:vAlign w:val="bottom"/>
          </w:tcPr>
          <w:p>
            <w:pPr>
              <w:spacing w:after="0"/>
              <w:rPr>
                <w:sz w:val="19"/>
                <w:szCs w:val="19"/>
                <w:color w:val="auto"/>
              </w:rPr>
            </w:pPr>
          </w:p>
        </w:tc>
        <w:tc>
          <w:tcPr>
            <w:tcW w:w="7060" w:type="dxa"/>
            <w:vAlign w:val="bottom"/>
          </w:tcPr>
          <w:p>
            <w:pPr>
              <w:jc w:val="center"/>
              <w:ind w:right="297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39"/>
        </w:trPr>
        <w:tc>
          <w:tcPr>
            <w:tcW w:w="3720" w:type="dxa"/>
            <w:vAlign w:val="bottom"/>
          </w:tcPr>
          <w:p>
            <w:pPr>
              <w:ind w:left="740"/>
              <w:spacing w:after="0"/>
              <w:rPr>
                <w:sz w:val="20"/>
                <w:szCs w:val="20"/>
                <w:color w:val="auto"/>
              </w:rPr>
            </w:pPr>
            <w:r>
              <w:rPr>
                <w:rFonts w:ascii="Arial" w:cs="Arial" w:eastAsia="Arial" w:hAnsi="Arial"/>
                <w:sz w:val="18"/>
                <w:szCs w:val="18"/>
                <w:b w:val="1"/>
                <w:bCs w:val="1"/>
                <w:color w:val="auto"/>
              </w:rPr>
              <w:t>Delaware</w:t>
            </w:r>
          </w:p>
        </w:tc>
        <w:tc>
          <w:tcPr>
            <w:tcW w:w="706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060" w:type="dxa"/>
            <w:vAlign w:val="bottom"/>
          </w:tcPr>
          <w:p>
            <w:pPr>
              <w:jc w:val="center"/>
              <w:ind w:left="455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06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06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060" w:type="dxa"/>
            <w:vAlign w:val="bottom"/>
          </w:tcPr>
          <w:p>
            <w:pPr>
              <w:jc w:val="center"/>
              <w:ind w:left="455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211" w:lineRule="exact"/>
        <w:rPr>
          <w:sz w:val="24"/>
          <w:szCs w:val="24"/>
          <w:color w:val="auto"/>
        </w:rPr>
      </w:pPr>
    </w:p>
    <w:p>
      <w:pPr>
        <w:sectPr>
          <w:pgSz w:w="11900" w:h="16838" w:orient="portrait"/>
          <w:cols w:equalWidth="0" w:num="2">
            <w:col w:w="6720" w:space="720"/>
            <w:col w:w="4020"/>
          </w:cols>
          <w:pgMar w:left="240" w:top="233"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5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Title</w:t>
            </w: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980" w:type="dxa"/>
            <w:vAlign w:val="bottom"/>
          </w:tcPr>
          <w:p>
            <w:pPr>
              <w:spacing w:after="0"/>
              <w:rPr>
                <w:sz w:val="18"/>
                <w:szCs w:val="18"/>
                <w:color w:val="auto"/>
              </w:rPr>
            </w:pPr>
          </w:p>
        </w:tc>
      </w:tr>
      <w:tr>
        <w:trPr>
          <w:trHeight w:val="222"/>
        </w:trPr>
        <w:tc>
          <w:tcPr>
            <w:tcW w:w="2540" w:type="dxa"/>
            <w:vAlign w:val="bottom"/>
          </w:tcPr>
          <w:p>
            <w:pPr>
              <w:spacing w:after="0"/>
              <w:rPr>
                <w:sz w:val="19"/>
                <w:szCs w:val="19"/>
                <w:color w:val="auto"/>
              </w:rPr>
            </w:pPr>
          </w:p>
        </w:tc>
        <w:tc>
          <w:tcPr>
            <w:tcW w:w="5080" w:type="dxa"/>
            <w:vAlign w:val="bottom"/>
            <w:gridSpan w:val="2"/>
          </w:tcPr>
          <w:p>
            <w:pPr>
              <w:jc w:val="center"/>
              <w:ind w:right="3820"/>
              <w:spacing w:after="0"/>
              <w:rPr>
                <w:sz w:val="20"/>
                <w:szCs w:val="20"/>
                <w:color w:val="auto"/>
              </w:rPr>
            </w:pPr>
            <w:r>
              <w:rPr>
                <w:rFonts w:ascii="Arial" w:cs="Arial" w:eastAsia="Arial" w:hAnsi="Arial"/>
                <w:sz w:val="18"/>
                <w:szCs w:val="18"/>
                <w:color w:val="auto"/>
                <w:w w:val="85"/>
              </w:rPr>
              <w:t>of each class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as of December 31, 2008</w:t>
            </w:r>
          </w:p>
        </w:tc>
        <w:tc>
          <w:tcPr>
            <w:tcW w:w="980" w:type="dxa"/>
            <w:vAlign w:val="bottom"/>
          </w:tcPr>
          <w:p>
            <w:pPr>
              <w:spacing w:after="0"/>
              <w:rPr>
                <w:sz w:val="19"/>
                <w:szCs w:val="19"/>
                <w:color w:val="auto"/>
              </w:rPr>
            </w:pPr>
          </w:p>
        </w:tc>
      </w:tr>
      <w:tr>
        <w:trPr>
          <w:trHeight w:val="110"/>
        </w:trPr>
        <w:tc>
          <w:tcPr>
            <w:tcW w:w="254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r>
      <w:tr>
        <w:trPr>
          <w:trHeight w:val="458"/>
        </w:trPr>
        <w:tc>
          <w:tcPr>
            <w:tcW w:w="7620" w:type="dxa"/>
            <w:vAlign w:val="bottom"/>
            <w:gridSpan w:val="3"/>
          </w:tcPr>
          <w:p>
            <w:pPr>
              <w:jc w:val="center"/>
              <w:ind w:right="1280"/>
              <w:spacing w:after="0"/>
              <w:rPr>
                <w:sz w:val="20"/>
                <w:szCs w:val="20"/>
                <w:color w:val="auto"/>
              </w:rPr>
            </w:pPr>
            <w:r>
              <w:rPr>
                <w:rFonts w:ascii="Arial" w:cs="Arial" w:eastAsia="Arial" w:hAnsi="Arial"/>
                <w:sz w:val="18"/>
                <w:szCs w:val="18"/>
                <w:color w:val="auto"/>
                <w:w w:val="88"/>
              </w:rPr>
              <w:t>Common Stock, $.01 par value</w:t>
            </w:r>
          </w:p>
        </w:tc>
        <w:tc>
          <w:tcPr>
            <w:tcW w:w="2860" w:type="dxa"/>
            <w:vAlign w:val="bottom"/>
          </w:tcPr>
          <w:p>
            <w:pPr>
              <w:jc w:val="right"/>
              <w:ind w:right="952"/>
              <w:spacing w:after="0"/>
              <w:rPr>
                <w:sz w:val="20"/>
                <w:szCs w:val="20"/>
                <w:color w:val="auto"/>
              </w:rPr>
            </w:pPr>
            <w:r>
              <w:rPr>
                <w:rFonts w:ascii="Arial" w:cs="Arial" w:eastAsia="Arial" w:hAnsi="Arial"/>
                <w:sz w:val="18"/>
                <w:szCs w:val="18"/>
                <w:color w:val="auto"/>
              </w:rPr>
              <w:t>35,392,912</w:t>
            </w:r>
          </w:p>
        </w:tc>
        <w:tc>
          <w:tcPr>
            <w:tcW w:w="980" w:type="dxa"/>
            <w:vAlign w:val="bottom"/>
          </w:tcPr>
          <w:p>
            <w:pPr>
              <w:spacing w:after="0"/>
              <w:rPr>
                <w:sz w:val="24"/>
                <w:szCs w:val="24"/>
                <w:color w:val="auto"/>
              </w:rPr>
            </w:pPr>
          </w:p>
        </w:tc>
      </w:tr>
      <w:tr>
        <w:trPr>
          <w:trHeight w:val="222"/>
        </w:trPr>
        <w:tc>
          <w:tcPr>
            <w:tcW w:w="7620" w:type="dxa"/>
            <w:vAlign w:val="bottom"/>
            <w:gridSpan w:val="3"/>
          </w:tcPr>
          <w:p>
            <w:pPr>
              <w:jc w:val="center"/>
              <w:ind w:right="1300"/>
              <w:spacing w:after="0"/>
              <w:rPr>
                <w:sz w:val="20"/>
                <w:szCs w:val="20"/>
                <w:color w:val="auto"/>
              </w:rPr>
            </w:pPr>
            <w:r>
              <w:rPr>
                <w:rFonts w:ascii="Arial" w:cs="Arial" w:eastAsia="Arial" w:hAnsi="Arial"/>
                <w:sz w:val="18"/>
                <w:szCs w:val="18"/>
                <w:color w:val="auto"/>
                <w:w w:val="88"/>
              </w:rPr>
              <w:t>Class A Stock, $.01 par value</w:t>
            </w:r>
          </w:p>
        </w:tc>
        <w:tc>
          <w:tcPr>
            <w:tcW w:w="2860" w:type="dxa"/>
            <w:vAlign w:val="bottom"/>
          </w:tcPr>
          <w:p>
            <w:pPr>
              <w:jc w:val="right"/>
              <w:ind w:right="992"/>
              <w:spacing w:after="0"/>
              <w:rPr>
                <w:sz w:val="20"/>
                <w:szCs w:val="20"/>
                <w:color w:val="auto"/>
              </w:rPr>
            </w:pPr>
            <w:r>
              <w:rPr>
                <w:rFonts w:ascii="Arial" w:cs="Arial" w:eastAsia="Arial" w:hAnsi="Arial"/>
                <w:sz w:val="18"/>
                <w:szCs w:val="18"/>
                <w:color w:val="auto"/>
              </w:rPr>
              <w:t>1,656,200</w:t>
            </w:r>
          </w:p>
        </w:tc>
        <w:tc>
          <w:tcPr>
            <w:tcW w:w="980" w:type="dxa"/>
            <w:vAlign w:val="bottom"/>
          </w:tcPr>
          <w:p>
            <w:pPr>
              <w:spacing w:after="0"/>
              <w:rPr>
                <w:sz w:val="19"/>
                <w:szCs w:val="19"/>
                <w:color w:val="auto"/>
              </w:rPr>
            </w:pPr>
          </w:p>
        </w:tc>
      </w:tr>
      <w:tr>
        <w:trPr>
          <w:trHeight w:val="350"/>
        </w:trPr>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1"/>
        </w:trPr>
        <w:tc>
          <w:tcPr>
            <w:tcW w:w="25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33"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30,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p>
      <w:pPr>
        <w:ind w:left="1100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83820</wp:posOffset>
            </wp:positionV>
            <wp:extent cx="317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1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4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 Unaudited for the</w:t>
              </w:r>
            </w:hyperlink>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Three and Six months ended November 30, 2008 and 2007</w:t>
              </w:r>
            </w:hyperlink>
          </w:p>
        </w:tc>
        <w:tc>
          <w:tcPr>
            <w:tcW w:w="800" w:type="dxa"/>
            <w:vAlign w:val="bottom"/>
            <w:tcBorders>
              <w:top w:val="single" w:sz="8" w:color="0000EE"/>
            </w:tcBorders>
            <w:gridSpan w:val="7"/>
          </w:tcPr>
          <w:p>
            <w:pPr>
              <w:spacing w:after="0"/>
              <w:rPr>
                <w:sz w:val="17"/>
                <w:szCs w:val="17"/>
                <w:color w:val="auto"/>
              </w:rPr>
            </w:pPr>
          </w:p>
        </w:tc>
        <w:tc>
          <w:tcPr>
            <w:tcW w:w="210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34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 November 30, 2008 and</w:t>
              </w:r>
            </w:hyperlink>
          </w:p>
        </w:tc>
        <w:tc>
          <w:tcPr>
            <w:tcW w:w="2260" w:type="dxa"/>
            <w:vAlign w:val="bottom"/>
            <w:gridSpan w:val="2"/>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2007 - Unaudited; and May 31, 2008</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Unaudited for the Six</w:t>
              </w:r>
            </w:hyperlink>
          </w:p>
        </w:tc>
        <w:tc>
          <w:tcPr>
            <w:tcW w:w="2540" w:type="dxa"/>
            <w:vAlign w:val="bottom"/>
            <w:gridSpan w:val="4"/>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November 30, 2008 and 2007</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 Unaudited</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144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4780" w:type="dxa"/>
            <w:vAlign w:val="bottom"/>
            <w:tcBorders>
              <w:top w:val="single" w:sz="8" w:color="0000EE"/>
            </w:tcBorders>
            <w:gridSpan w:val="15"/>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Management’s Discussion and Analysis of Financial Condition</w:t>
              </w:r>
            </w:hyperlink>
          </w:p>
        </w:tc>
        <w:tc>
          <w:tcPr>
            <w:tcW w:w="2280" w:type="dxa"/>
            <w:vAlign w:val="bottom"/>
            <w:gridSpan w:val="3"/>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and Results of Operations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3.</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4.</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120" w:type="dxa"/>
            <w:vAlign w:val="bottom"/>
            <w:tcBorders>
              <w:bottom w:val="single" w:sz="8" w:color="0000EE"/>
            </w:tcBorders>
            <w:gridSpan w:val="6"/>
          </w:tcPr>
          <w:p>
            <w:pPr>
              <w:spacing w:after="0"/>
              <w:rPr>
                <w:rFonts w:ascii="Arial" w:cs="Arial" w:eastAsia="Arial" w:hAnsi="Arial"/>
                <w:sz w:val="18"/>
                <w:szCs w:val="18"/>
                <w:b w:val="1"/>
                <w:bCs w:val="1"/>
                <w:color w:val="0000EE"/>
                <w:w w:val="93"/>
              </w:rPr>
            </w:pPr>
            <w:hyperlink w:anchor="page37">
              <w:r>
                <w:rPr>
                  <w:rFonts w:ascii="Arial" w:cs="Arial" w:eastAsia="Arial" w:hAnsi="Arial"/>
                  <w:sz w:val="18"/>
                  <w:szCs w:val="18"/>
                  <w:b w:val="1"/>
                  <w:bCs w:val="1"/>
                  <w:color w:val="0000EE"/>
                  <w:w w:val="93"/>
                </w:rPr>
                <w:t>Part II – Other Information</w:t>
              </w:r>
            </w:hyperlink>
          </w:p>
        </w:tc>
        <w:tc>
          <w:tcPr>
            <w:tcW w:w="7020" w:type="dxa"/>
            <w:vAlign w:val="bottom"/>
            <w:gridSpan w:val="17"/>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1.</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2.</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80" w:type="dxa"/>
            <w:vAlign w:val="bottom"/>
            <w:gridSpan w:val="7"/>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4.</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Submission of Matters to a Vote of Security Holders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80" w:type="dxa"/>
            <w:vAlign w:val="bottom"/>
            <w:gridSpan w:val="7"/>
            <w:shd w:val="clear" w:color="auto" w:fill="0000EE"/>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Item 6.</w:t>
              </w:r>
            </w:hyperlink>
          </w:p>
        </w:tc>
        <w:tc>
          <w:tcPr>
            <w:tcW w:w="940" w:type="dxa"/>
            <w:vAlign w:val="bottom"/>
          </w:tcPr>
          <w:p>
            <w:pPr>
              <w:spacing w:after="0"/>
              <w:rPr>
                <w:sz w:val="24"/>
                <w:szCs w:val="24"/>
                <w:color w:val="auto"/>
              </w:rPr>
            </w:pPr>
          </w:p>
        </w:tc>
        <w:tc>
          <w:tcPr>
            <w:tcW w:w="706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80" w:type="dxa"/>
            <w:vAlign w:val="bottom"/>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Signatures</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277"/>
        </w:trPr>
        <w:tc>
          <w:tcPr>
            <w:tcW w:w="64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6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392"/>
              <w:spacing w:after="0"/>
              <w:rPr>
                <w:sz w:val="20"/>
                <w:szCs w:val="20"/>
                <w:color w:val="auto"/>
              </w:rPr>
            </w:pPr>
            <w:r>
              <w:rPr>
                <w:rFonts w:ascii="Arial" w:cs="Arial" w:eastAsia="Arial" w:hAnsi="Arial"/>
                <w:sz w:val="18"/>
                <w:szCs w:val="18"/>
                <w:b w:val="1"/>
                <w:bCs w:val="1"/>
                <w:i w:val="1"/>
                <w:iCs w:val="1"/>
                <w:color w:val="auto"/>
                <w:w w:val="90"/>
              </w:rPr>
              <w:t>Three months ended</w:t>
            </w:r>
          </w:p>
        </w:tc>
        <w:tc>
          <w:tcPr>
            <w:tcW w:w="260" w:type="dxa"/>
            <w:vAlign w:val="bottom"/>
          </w:tcPr>
          <w:p>
            <w:pPr>
              <w:spacing w:after="0"/>
              <w:rPr>
                <w:sz w:val="18"/>
                <w:szCs w:val="18"/>
                <w:color w:val="auto"/>
              </w:rPr>
            </w:pPr>
          </w:p>
        </w:tc>
        <w:tc>
          <w:tcPr>
            <w:tcW w:w="1920" w:type="dxa"/>
            <w:vAlign w:val="bottom"/>
            <w:gridSpan w:val="3"/>
          </w:tcPr>
          <w:p>
            <w:pPr>
              <w:jc w:val="right"/>
              <w:ind w:right="372"/>
              <w:spacing w:after="0"/>
              <w:rPr>
                <w:sz w:val="20"/>
                <w:szCs w:val="20"/>
                <w:color w:val="auto"/>
              </w:rPr>
            </w:pPr>
            <w:r>
              <w:rPr>
                <w:rFonts w:ascii="Arial" w:cs="Arial" w:eastAsia="Arial" w:hAnsi="Arial"/>
                <w:sz w:val="18"/>
                <w:szCs w:val="18"/>
                <w:b w:val="1"/>
                <w:bCs w:val="1"/>
                <w:i w:val="1"/>
                <w:iCs w:val="1"/>
                <w:color w:val="auto"/>
                <w:w w:val="92"/>
              </w:rPr>
              <w:t>Six months ended</w:t>
            </w:r>
          </w:p>
        </w:tc>
        <w:tc>
          <w:tcPr>
            <w:tcW w:w="20" w:type="dxa"/>
            <w:vAlign w:val="bottom"/>
          </w:tcPr>
          <w:p>
            <w:pPr>
              <w:spacing w:after="0"/>
              <w:rPr>
                <w:sz w:val="18"/>
                <w:szCs w:val="18"/>
                <w:color w:val="auto"/>
              </w:rPr>
            </w:pPr>
          </w:p>
        </w:tc>
      </w:tr>
      <w:tr>
        <w:trPr>
          <w:trHeight w:val="222"/>
        </w:trPr>
        <w:tc>
          <w:tcPr>
            <w:tcW w:w="6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rPr>
              <w:t>November 30,</w:t>
            </w:r>
          </w:p>
        </w:tc>
        <w:tc>
          <w:tcPr>
            <w:tcW w:w="260" w:type="dxa"/>
            <w:vAlign w:val="bottom"/>
          </w:tcPr>
          <w:p>
            <w:pPr>
              <w:spacing w:after="0"/>
              <w:rPr>
                <w:sz w:val="19"/>
                <w:szCs w:val="19"/>
                <w:color w:val="auto"/>
              </w:rPr>
            </w:pPr>
          </w:p>
        </w:tc>
        <w:tc>
          <w:tcPr>
            <w:tcW w:w="192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rPr>
              <w:t>November 30,</w:t>
            </w:r>
          </w:p>
        </w:tc>
        <w:tc>
          <w:tcPr>
            <w:tcW w:w="20" w:type="dxa"/>
            <w:vAlign w:val="bottom"/>
          </w:tcPr>
          <w:p>
            <w:pPr>
              <w:spacing w:after="0"/>
              <w:rPr>
                <w:sz w:val="19"/>
                <w:szCs w:val="19"/>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4"/>
                <w:szCs w:val="24"/>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2008</w:t>
            </w:r>
          </w:p>
        </w:tc>
        <w:tc>
          <w:tcPr>
            <w:tcW w:w="260" w:type="dxa"/>
            <w:vAlign w:val="bottom"/>
          </w:tcPr>
          <w:p>
            <w:pPr>
              <w:spacing w:after="0"/>
              <w:rPr>
                <w:sz w:val="24"/>
                <w:szCs w:val="24"/>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9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661.6</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687.6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944.4</w:t>
            </w:r>
          </w:p>
        </w:tc>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1,216.6</w:t>
            </w:r>
          </w:p>
        </w:tc>
        <w:tc>
          <w:tcPr>
            <w:tcW w:w="20" w:type="dxa"/>
            <w:vAlign w:val="bottom"/>
          </w:tcPr>
          <w:p>
            <w:pPr>
              <w:spacing w:after="0"/>
              <w:rPr>
                <w:sz w:val="24"/>
                <w:szCs w:val="24"/>
                <w:color w:val="auto"/>
              </w:rPr>
            </w:pPr>
          </w:p>
        </w:tc>
      </w:tr>
      <w:tr>
        <w:trPr>
          <w:trHeight w:val="358"/>
        </w:trPr>
        <w:tc>
          <w:tcPr>
            <w:tcW w:w="69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284.4</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291.4</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432.7</w:t>
            </w:r>
          </w:p>
        </w:tc>
        <w:tc>
          <w:tcPr>
            <w:tcW w:w="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8"/>
                <w:szCs w:val="18"/>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235.0</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235.7</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412.9</w:t>
            </w:r>
          </w:p>
        </w:tc>
        <w:tc>
          <w:tcPr>
            <w:tcW w:w="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431.6</w:t>
            </w:r>
          </w:p>
        </w:tc>
        <w:tc>
          <w:tcPr>
            <w:tcW w:w="20" w:type="dxa"/>
            <w:vAlign w:val="bottom"/>
          </w:tcPr>
          <w:p>
            <w:pPr>
              <w:spacing w:after="0"/>
              <w:rPr>
                <w:sz w:val="18"/>
                <w:szCs w:val="18"/>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r>
      <w:tr>
        <w:trPr>
          <w:trHeight w:val="222"/>
        </w:trPr>
        <w:tc>
          <w:tcPr>
            <w:tcW w:w="696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2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9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553.8</w:t>
            </w:r>
          </w:p>
        </w:tc>
        <w:tc>
          <w:tcPr>
            <w:tcW w:w="3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548.7</w:t>
            </w:r>
          </w:p>
        </w:tc>
        <w:tc>
          <w:tcPr>
            <w:tcW w:w="26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900.5</w:t>
            </w:r>
          </w:p>
        </w:tc>
        <w:tc>
          <w:tcPr>
            <w:tcW w:w="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1,061.6</w:t>
            </w:r>
          </w:p>
        </w:tc>
        <w:tc>
          <w:tcPr>
            <w:tcW w:w="20" w:type="dxa"/>
            <w:vAlign w:val="bottom"/>
          </w:tcPr>
          <w:p>
            <w:pPr>
              <w:spacing w:after="0"/>
              <w:rPr>
                <w:sz w:val="24"/>
                <w:szCs w:val="24"/>
                <w:color w:val="auto"/>
              </w:rPr>
            </w:pPr>
          </w:p>
        </w:tc>
      </w:tr>
      <w:tr>
        <w:trPr>
          <w:trHeight w:val="365"/>
        </w:trPr>
        <w:tc>
          <w:tcPr>
            <w:tcW w:w="69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107.8</w:t>
            </w:r>
          </w:p>
        </w:tc>
        <w:tc>
          <w:tcPr>
            <w:tcW w:w="3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138.9</w:t>
            </w:r>
          </w:p>
        </w:tc>
        <w:tc>
          <w:tcPr>
            <w:tcW w:w="26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43.9</w:t>
            </w:r>
          </w:p>
        </w:tc>
        <w:tc>
          <w:tcPr>
            <w:tcW w:w="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155.0</w:t>
            </w:r>
          </w:p>
        </w:tc>
        <w:tc>
          <w:tcPr>
            <w:tcW w:w="20" w:type="dxa"/>
            <w:vAlign w:val="bottom"/>
          </w:tcPr>
          <w:p>
            <w:pPr>
              <w:spacing w:after="0"/>
              <w:rPr>
                <w:sz w:val="24"/>
                <w:szCs w:val="24"/>
                <w:color w:val="auto"/>
              </w:rPr>
            </w:pPr>
          </w:p>
        </w:tc>
      </w:tr>
      <w:tr>
        <w:trPr>
          <w:trHeight w:val="365"/>
        </w:trPr>
        <w:tc>
          <w:tcPr>
            <w:tcW w:w="6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4"/>
                <w:szCs w:val="24"/>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6960" w:type="dxa"/>
            <w:vAlign w:val="bottom"/>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129.2</w:t>
            </w:r>
          </w:p>
        </w:tc>
        <w:tc>
          <w:tcPr>
            <w:tcW w:w="26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24"/>
                <w:szCs w:val="24"/>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9"/>
                <w:szCs w:val="19"/>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696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24"/>
                <w:szCs w:val="24"/>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43.1</w:t>
            </w:r>
          </w:p>
        </w:tc>
        <w:tc>
          <w:tcPr>
            <w:tcW w:w="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75.6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72.8</w:t>
            </w:r>
          </w:p>
        </w:tc>
        <w:tc>
          <w:tcPr>
            <w:tcW w:w="20" w:type="dxa"/>
            <w:vAlign w:val="bottom"/>
          </w:tcPr>
          <w:p>
            <w:pPr>
              <w:spacing w:after="0"/>
              <w:rPr>
                <w:sz w:val="24"/>
                <w:szCs w:val="24"/>
                <w:color w:val="auto"/>
              </w:rPr>
            </w:pPr>
          </w:p>
        </w:tc>
      </w:tr>
      <w:tr>
        <w:trPr>
          <w:trHeight w:val="110"/>
        </w:trPr>
        <w:tc>
          <w:tcPr>
            <w:tcW w:w="6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2"/>
        </w:trPr>
        <w:tc>
          <w:tcPr>
            <w:tcW w:w="696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of Class A and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8"/>
        </w:trPr>
        <w:tc>
          <w:tcPr>
            <w:tcW w:w="6960" w:type="dxa"/>
            <w:vAlign w:val="bottom"/>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960" w:type="dxa"/>
            <w:vAlign w:val="bottom"/>
          </w:tcPr>
          <w:p>
            <w:pPr>
              <w:ind w:left="48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0.39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16"/>
        </w:trPr>
        <w:tc>
          <w:tcPr>
            <w:tcW w:w="696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16"/>
        </w:trPr>
        <w:tc>
          <w:tcPr>
            <w:tcW w:w="696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r>
      <w:tr>
        <w:trPr>
          <w:trHeight w:val="216"/>
        </w:trPr>
        <w:tc>
          <w:tcPr>
            <w:tcW w:w="69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ind w:left="48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0.39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r>
      <w:tr>
        <w:trPr>
          <w:trHeight w:val="216"/>
        </w:trPr>
        <w:tc>
          <w:tcPr>
            <w:tcW w:w="696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22"/>
        </w:trPr>
        <w:tc>
          <w:tcPr>
            <w:tcW w:w="696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r>
      <w:tr>
        <w:trPr>
          <w:trHeight w:val="365"/>
        </w:trPr>
        <w:tc>
          <w:tcPr>
            <w:tcW w:w="696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0.075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0.150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0.000</w:t>
            </w:r>
          </w:p>
        </w:tc>
        <w:tc>
          <w:tcPr>
            <w:tcW w:w="20" w:type="dxa"/>
            <w:vAlign w:val="bottom"/>
          </w:tcPr>
          <w:p>
            <w:pPr>
              <w:spacing w:after="0"/>
              <w:rPr>
                <w:sz w:val="24"/>
                <w:szCs w:val="24"/>
                <w:color w:val="auto"/>
              </w:rPr>
            </w:pPr>
          </w:p>
        </w:tc>
      </w:tr>
      <w:tr>
        <w:trPr>
          <w:trHeight w:val="134"/>
        </w:trPr>
        <w:tc>
          <w:tcPr>
            <w:tcW w:w="6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60"/>
          </w:cols>
          <w:pgMar w:left="240" w:top="125" w:right="19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3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November 30, 2008</w:t>
            </w:r>
          </w:p>
        </w:tc>
        <w:tc>
          <w:tcPr>
            <w:tcW w:w="2000" w:type="dxa"/>
            <w:vAlign w:val="bottom"/>
            <w:gridSpan w:val="2"/>
          </w:tcPr>
          <w:p>
            <w:pPr>
              <w:ind w:left="440"/>
              <w:spacing w:after="0"/>
              <w:rPr>
                <w:sz w:val="20"/>
                <w:szCs w:val="20"/>
                <w:color w:val="auto"/>
              </w:rPr>
            </w:pPr>
            <w:r>
              <w:rPr>
                <w:rFonts w:ascii="Arial" w:cs="Arial" w:eastAsia="Arial" w:hAnsi="Arial"/>
                <w:sz w:val="18"/>
                <w:szCs w:val="18"/>
                <w:b w:val="1"/>
                <w:bCs w:val="1"/>
                <w:color w:val="auto"/>
              </w:rPr>
              <w:t>May 31, 2008</w:t>
            </w:r>
          </w:p>
        </w:tc>
        <w:tc>
          <w:tcPr>
            <w:tcW w:w="252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8"/>
              </w:rPr>
              <w:t>November 30, 2007</w:t>
            </w:r>
          </w:p>
        </w:tc>
      </w:tr>
      <w:tr>
        <w:trPr>
          <w:trHeight w:val="228"/>
        </w:trPr>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tcPr>
          <w:p>
            <w:pPr>
              <w:jc w:val="center"/>
              <w:ind w:right="832"/>
              <w:spacing w:after="0"/>
              <w:rPr>
                <w:sz w:val="20"/>
                <w:szCs w:val="20"/>
                <w:color w:val="auto"/>
              </w:rPr>
            </w:pPr>
            <w:r>
              <w:rPr>
                <w:rFonts w:ascii="Arial" w:cs="Arial" w:eastAsia="Arial" w:hAnsi="Arial"/>
                <w:sz w:val="18"/>
                <w:szCs w:val="18"/>
                <w:b w:val="1"/>
                <w:bCs w:val="1"/>
                <w:color w:val="auto"/>
                <w:w w:val="86"/>
              </w:rPr>
              <w:t>(Restated)</w:t>
            </w:r>
          </w:p>
        </w:tc>
      </w:tr>
      <w:tr>
        <w:trPr>
          <w:trHeight w:val="110"/>
        </w:trPr>
        <w:tc>
          <w:tcPr>
            <w:tcW w:w="4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gridSpan w:val="2"/>
          </w:tcPr>
          <w:p>
            <w:pPr>
              <w:spacing w:after="0"/>
              <w:rPr>
                <w:sz w:val="9"/>
                <w:szCs w:val="9"/>
                <w:color w:val="auto"/>
              </w:rPr>
            </w:pPr>
          </w:p>
        </w:tc>
      </w:tr>
      <w:tr>
        <w:trPr>
          <w:trHeight w:val="316"/>
        </w:trPr>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right"/>
              <w:ind w:right="652"/>
              <w:spacing w:after="0"/>
              <w:rPr>
                <w:sz w:val="20"/>
                <w:szCs w:val="20"/>
                <w:color w:val="auto"/>
              </w:rPr>
            </w:pPr>
            <w:r>
              <w:rPr>
                <w:rFonts w:ascii="Arial" w:cs="Arial" w:eastAsia="Arial" w:hAnsi="Arial"/>
                <w:sz w:val="18"/>
                <w:szCs w:val="18"/>
                <w:i w:val="1"/>
                <w:iCs w:val="1"/>
                <w:color w:val="auto"/>
                <w:w w:val="93"/>
              </w:rPr>
              <w:t>(Unaudited)</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gridSpan w:val="2"/>
          </w:tcPr>
          <w:p>
            <w:pPr>
              <w:jc w:val="center"/>
              <w:ind w:right="12"/>
              <w:spacing w:after="0"/>
              <w:rPr>
                <w:sz w:val="20"/>
                <w:szCs w:val="20"/>
                <w:color w:val="auto"/>
              </w:rPr>
            </w:pPr>
            <w:r>
              <w:rPr>
                <w:rFonts w:ascii="Arial" w:cs="Arial" w:eastAsia="Arial" w:hAnsi="Arial"/>
                <w:sz w:val="18"/>
                <w:szCs w:val="18"/>
                <w:i w:val="1"/>
                <w:iCs w:val="1"/>
                <w:color w:val="auto"/>
                <w:w w:val="91"/>
              </w:rPr>
              <w:t>(Unaudited)</w:t>
            </w:r>
          </w:p>
        </w:tc>
      </w:tr>
      <w:tr>
        <w:trPr>
          <w:trHeight w:val="358"/>
        </w:trPr>
        <w:tc>
          <w:tcPr>
            <w:tcW w:w="4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30.8</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117.6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183.3</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269.9</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210.7</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282.4</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430.3</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368.3</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426.2</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Deferred promotion costs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14.2</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10.6</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125.2</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116.9</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92.0</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57.5</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53.5</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55.2</w:t>
            </w:r>
          </w:p>
        </w:tc>
      </w:tr>
      <w:tr>
        <w:trPr>
          <w:trHeight w:val="222"/>
        </w:trPr>
        <w:tc>
          <w:tcPr>
            <w:tcW w:w="456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720" w:type="dxa"/>
            <w:vAlign w:val="bottom"/>
          </w:tcPr>
          <w:p>
            <w:pPr>
              <w:spacing w:after="0"/>
              <w:rPr>
                <w:sz w:val="19"/>
                <w:szCs w:val="19"/>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31.6</w:t>
            </w:r>
          </w:p>
        </w:tc>
        <w:tc>
          <w:tcPr>
            <w:tcW w:w="74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46.0</w:t>
            </w:r>
          </w:p>
        </w:tc>
        <w:tc>
          <w:tcPr>
            <w:tcW w:w="800" w:type="dxa"/>
            <w:vAlign w:val="bottom"/>
          </w:tcPr>
          <w:p>
            <w:pPr>
              <w:spacing w:after="0"/>
              <w:rPr>
                <w:sz w:val="19"/>
                <w:szCs w:val="19"/>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238.8</w:t>
            </w:r>
          </w:p>
        </w:tc>
      </w:tr>
      <w:tr>
        <w:trPr>
          <w:trHeight w:val="259"/>
        </w:trPr>
        <w:tc>
          <w:tcPr>
            <w:tcW w:w="45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720" w:type="dxa"/>
            <w:vAlign w:val="bottom"/>
            <w:tcBorders>
              <w:bottom w:val="single" w:sz="8" w:color="808080"/>
            </w:tcBorders>
          </w:tcPr>
          <w:p>
            <w:pPr>
              <w:spacing w:after="0"/>
              <w:rPr>
                <w:sz w:val="22"/>
                <w:szCs w:val="22"/>
                <w:color w:val="auto"/>
              </w:rPr>
            </w:pPr>
          </w:p>
        </w:tc>
      </w:tr>
      <w:tr>
        <w:trPr>
          <w:trHeight w:val="464"/>
        </w:trPr>
        <w:tc>
          <w:tcPr>
            <w:tcW w:w="456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959.5</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918.9</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1,288.5</w:t>
            </w:r>
          </w:p>
        </w:tc>
      </w:tr>
      <w:tr>
        <w:trPr>
          <w:trHeight w:val="358"/>
        </w:trPr>
        <w:tc>
          <w:tcPr>
            <w:tcW w:w="456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341.9</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357.8</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353.8</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114.5</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110.6</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103.1</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Royalty advances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45.1</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48.6</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50.8</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5.6</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4.8</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167.6</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172.3</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172.9</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47.1</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47.5</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49.8</w:t>
            </w:r>
          </w:p>
        </w:tc>
      </w:tr>
      <w:tr>
        <w:trPr>
          <w:trHeight w:val="222"/>
        </w:trPr>
        <w:tc>
          <w:tcPr>
            <w:tcW w:w="456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720" w:type="dxa"/>
            <w:vAlign w:val="bottom"/>
          </w:tcPr>
          <w:p>
            <w:pPr>
              <w:spacing w:after="0"/>
              <w:rPr>
                <w:sz w:val="19"/>
                <w:szCs w:val="19"/>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108.4</w:t>
            </w:r>
          </w:p>
        </w:tc>
        <w:tc>
          <w:tcPr>
            <w:tcW w:w="74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101.0</w:t>
            </w:r>
          </w:p>
        </w:tc>
        <w:tc>
          <w:tcPr>
            <w:tcW w:w="800" w:type="dxa"/>
            <w:vAlign w:val="bottom"/>
          </w:tcPr>
          <w:p>
            <w:pPr>
              <w:spacing w:after="0"/>
              <w:rPr>
                <w:sz w:val="19"/>
                <w:szCs w:val="19"/>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92.8</w:t>
            </w:r>
          </w:p>
        </w:tc>
      </w:tr>
      <w:tr>
        <w:trPr>
          <w:trHeight w:val="259"/>
        </w:trPr>
        <w:tc>
          <w:tcPr>
            <w:tcW w:w="45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720" w:type="dxa"/>
            <w:vAlign w:val="bottom"/>
            <w:tcBorders>
              <w:bottom w:val="single" w:sz="8" w:color="808080"/>
            </w:tcBorders>
          </w:tcPr>
          <w:p>
            <w:pPr>
              <w:spacing w:after="0"/>
              <w:rPr>
                <w:sz w:val="22"/>
                <w:szCs w:val="22"/>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632"/>
              <w:spacing w:after="0"/>
              <w:rPr>
                <w:sz w:val="20"/>
                <w:szCs w:val="20"/>
                <w:color w:val="auto"/>
              </w:rPr>
            </w:pPr>
            <w:r>
              <w:rPr>
                <w:rFonts w:ascii="Arial" w:cs="Arial" w:eastAsia="Arial" w:hAnsi="Arial"/>
                <w:sz w:val="18"/>
                <w:szCs w:val="18"/>
                <w:b w:val="1"/>
                <w:bCs w:val="1"/>
                <w:color w:val="auto"/>
              </w:rPr>
              <w:t>1,789.7</w:t>
            </w:r>
          </w:p>
        </w:tc>
        <w:tc>
          <w:tcPr>
            <w:tcW w:w="74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452"/>
              <w:spacing w:after="0"/>
              <w:rPr>
                <w:sz w:val="20"/>
                <w:szCs w:val="20"/>
                <w:color w:val="auto"/>
              </w:rPr>
            </w:pPr>
            <w:r>
              <w:rPr>
                <w:rFonts w:ascii="Arial" w:cs="Arial" w:eastAsia="Arial" w:hAnsi="Arial"/>
                <w:sz w:val="18"/>
                <w:szCs w:val="18"/>
                <w:b w:val="1"/>
                <w:bCs w:val="1"/>
                <w:color w:val="auto"/>
              </w:rPr>
              <w:t>1,761.6</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b w:val="1"/>
                <w:bCs w:val="1"/>
                <w:color w:val="auto"/>
              </w:rPr>
              <w:t>2,116.5</w:t>
            </w:r>
          </w:p>
        </w:tc>
      </w:tr>
      <w:tr>
        <w:trPr>
          <w:trHeight w:val="110"/>
        </w:trPr>
        <w:tc>
          <w:tcPr>
            <w:tcW w:w="4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458"/>
        </w:trPr>
        <w:tc>
          <w:tcPr>
            <w:tcW w:w="45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w:t>
            </w: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56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70.2</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54.6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83.3</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5.2</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121.0</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109.6</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135.5</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35.8</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46.0</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138.6</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70.2</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36.2</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63.7</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168.3</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172.5</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182.3</w:t>
            </w:r>
          </w:p>
        </w:tc>
      </w:tr>
      <w:tr>
        <w:trPr>
          <w:trHeight w:val="222"/>
        </w:trPr>
        <w:tc>
          <w:tcPr>
            <w:tcW w:w="456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720" w:type="dxa"/>
            <w:vAlign w:val="bottom"/>
          </w:tcPr>
          <w:p>
            <w:pPr>
              <w:spacing w:after="0"/>
              <w:rPr>
                <w:sz w:val="19"/>
                <w:szCs w:val="19"/>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16.4</w:t>
            </w:r>
          </w:p>
        </w:tc>
        <w:tc>
          <w:tcPr>
            <w:tcW w:w="74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17.9</w:t>
            </w:r>
          </w:p>
        </w:tc>
        <w:tc>
          <w:tcPr>
            <w:tcW w:w="800" w:type="dxa"/>
            <w:vAlign w:val="bottom"/>
          </w:tcPr>
          <w:p>
            <w:pPr>
              <w:spacing w:after="0"/>
              <w:rPr>
                <w:sz w:val="19"/>
                <w:szCs w:val="19"/>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24.7</w:t>
            </w:r>
          </w:p>
        </w:tc>
      </w:tr>
      <w:tr>
        <w:trPr>
          <w:trHeight w:val="259"/>
        </w:trPr>
        <w:tc>
          <w:tcPr>
            <w:tcW w:w="45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720" w:type="dxa"/>
            <w:vAlign w:val="bottom"/>
            <w:tcBorders>
              <w:bottom w:val="single" w:sz="8" w:color="808080"/>
            </w:tcBorders>
          </w:tcPr>
          <w:p>
            <w:pPr>
              <w:spacing w:after="0"/>
              <w:rPr>
                <w:sz w:val="22"/>
                <w:szCs w:val="22"/>
                <w:color w:val="auto"/>
              </w:rPr>
            </w:pPr>
          </w:p>
        </w:tc>
      </w:tr>
      <w:tr>
        <w:trPr>
          <w:trHeight w:val="464"/>
        </w:trPr>
        <w:tc>
          <w:tcPr>
            <w:tcW w:w="456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486.3</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441.7</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633.3</w:t>
            </w:r>
          </w:p>
        </w:tc>
      </w:tr>
      <w:tr>
        <w:trPr>
          <w:trHeight w:val="358"/>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318.8</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295.1</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330.8</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55.5</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56.7</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58.5</w:t>
            </w:r>
          </w:p>
        </w:tc>
      </w:tr>
      <w:tr>
        <w:trPr>
          <w:trHeight w:val="222"/>
        </w:trPr>
        <w:tc>
          <w:tcPr>
            <w:tcW w:w="456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19"/>
                <w:szCs w:val="19"/>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109.7</w:t>
            </w:r>
          </w:p>
        </w:tc>
        <w:tc>
          <w:tcPr>
            <w:tcW w:w="74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95.0</w:t>
            </w:r>
          </w:p>
        </w:tc>
        <w:tc>
          <w:tcPr>
            <w:tcW w:w="800" w:type="dxa"/>
            <w:vAlign w:val="bottom"/>
          </w:tcPr>
          <w:p>
            <w:pPr>
              <w:spacing w:after="0"/>
              <w:rPr>
                <w:sz w:val="19"/>
                <w:szCs w:val="19"/>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126.3</w:t>
            </w:r>
          </w:p>
        </w:tc>
      </w:tr>
      <w:tr>
        <w:trPr>
          <w:trHeight w:val="259"/>
        </w:trPr>
        <w:tc>
          <w:tcPr>
            <w:tcW w:w="45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720" w:type="dxa"/>
            <w:vAlign w:val="bottom"/>
            <w:tcBorders>
              <w:bottom w:val="single" w:sz="8" w:color="808080"/>
            </w:tcBorders>
          </w:tcPr>
          <w:p>
            <w:pPr>
              <w:spacing w:after="0"/>
              <w:rPr>
                <w:sz w:val="22"/>
                <w:szCs w:val="22"/>
                <w:color w:val="auto"/>
              </w:rPr>
            </w:pPr>
          </w:p>
        </w:tc>
      </w:tr>
      <w:tr>
        <w:trPr>
          <w:trHeight w:val="464"/>
        </w:trPr>
        <w:tc>
          <w:tcPr>
            <w:tcW w:w="456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484.0</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446.8</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515.6</w:t>
            </w:r>
          </w:p>
        </w:tc>
      </w:tr>
      <w:tr>
        <w:trPr>
          <w:trHeight w:val="365"/>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358"/>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0.0</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0.0</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0.4</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0.4</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548.2</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539.1</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527.0</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8"/>
                <w:szCs w:val="18"/>
                <w:color w:val="auto"/>
              </w:rPr>
              <w:t>(65.7)</w:t>
            </w:r>
          </w:p>
        </w:tc>
        <w:tc>
          <w:tcPr>
            <w:tcW w:w="74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(34.7)</w:t>
            </w:r>
          </w:p>
        </w:tc>
        <w:tc>
          <w:tcPr>
            <w:tcW w:w="80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8"/>
                <w:szCs w:val="18"/>
                <w:color w:val="auto"/>
              </w:rPr>
              <w:t>(38.0)</w:t>
            </w: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576.6</w:t>
            </w:r>
          </w:p>
        </w:tc>
        <w:tc>
          <w:tcPr>
            <w:tcW w:w="7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588.3</w:t>
            </w:r>
          </w:p>
        </w:tc>
        <w:tc>
          <w:tcPr>
            <w:tcW w:w="8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678.2</w:t>
            </w:r>
          </w:p>
        </w:tc>
      </w:tr>
      <w:tr>
        <w:trPr>
          <w:trHeight w:val="222"/>
        </w:trPr>
        <w:tc>
          <w:tcPr>
            <w:tcW w:w="456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720" w:type="dxa"/>
            <w:vAlign w:val="bottom"/>
          </w:tcPr>
          <w:p>
            <w:pPr>
              <w:spacing w:after="0"/>
              <w:rPr>
                <w:sz w:val="19"/>
                <w:szCs w:val="19"/>
                <w:color w:val="auto"/>
              </w:rPr>
            </w:pPr>
          </w:p>
        </w:tc>
        <w:tc>
          <w:tcPr>
            <w:tcW w:w="1640" w:type="dxa"/>
            <w:vAlign w:val="bottom"/>
          </w:tcPr>
          <w:p>
            <w:pPr>
              <w:jc w:val="right"/>
              <w:ind w:right="572"/>
              <w:spacing w:after="0"/>
              <w:rPr>
                <w:sz w:val="20"/>
                <w:szCs w:val="20"/>
                <w:color w:val="auto"/>
              </w:rPr>
            </w:pPr>
            <w:r>
              <w:rPr>
                <w:rFonts w:ascii="Arial" w:cs="Arial" w:eastAsia="Arial" w:hAnsi="Arial"/>
                <w:sz w:val="18"/>
                <w:szCs w:val="18"/>
                <w:color w:val="auto"/>
              </w:rPr>
              <w:t>(240.1)</w:t>
            </w:r>
          </w:p>
        </w:tc>
        <w:tc>
          <w:tcPr>
            <w:tcW w:w="740" w:type="dxa"/>
            <w:vAlign w:val="bottom"/>
          </w:tcPr>
          <w:p>
            <w:pPr>
              <w:spacing w:after="0"/>
              <w:rPr>
                <w:sz w:val="19"/>
                <w:szCs w:val="19"/>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(220.0)</w:t>
            </w:r>
          </w:p>
        </w:tc>
        <w:tc>
          <w:tcPr>
            <w:tcW w:w="800" w:type="dxa"/>
            <w:vAlign w:val="bottom"/>
          </w:tcPr>
          <w:p>
            <w:pPr>
              <w:spacing w:after="0"/>
              <w:rPr>
                <w:sz w:val="19"/>
                <w:szCs w:val="19"/>
                <w:color w:val="auto"/>
              </w:rPr>
            </w:pPr>
          </w:p>
        </w:tc>
        <w:tc>
          <w:tcPr>
            <w:tcW w:w="1720" w:type="dxa"/>
            <w:vAlign w:val="bottom"/>
          </w:tcPr>
          <w:p>
            <w:pPr>
              <w:jc w:val="right"/>
              <w:ind w:right="552"/>
              <w:spacing w:after="0"/>
              <w:rPr>
                <w:sz w:val="20"/>
                <w:szCs w:val="20"/>
                <w:color w:val="auto"/>
              </w:rPr>
            </w:pPr>
            <w:r>
              <w:rPr>
                <w:rFonts w:ascii="Arial" w:cs="Arial" w:eastAsia="Arial" w:hAnsi="Arial"/>
                <w:sz w:val="18"/>
                <w:szCs w:val="18"/>
                <w:color w:val="auto"/>
              </w:rPr>
              <w:t>(200.0)</w:t>
            </w:r>
          </w:p>
        </w:tc>
      </w:tr>
      <w:tr>
        <w:trPr>
          <w:trHeight w:val="259"/>
        </w:trPr>
        <w:tc>
          <w:tcPr>
            <w:tcW w:w="45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6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26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720" w:type="dxa"/>
            <w:vAlign w:val="bottom"/>
            <w:tcBorders>
              <w:bottom w:val="single" w:sz="8" w:color="808080"/>
            </w:tcBorders>
          </w:tcPr>
          <w:p>
            <w:pPr>
              <w:spacing w:after="0"/>
              <w:rPr>
                <w:sz w:val="22"/>
                <w:szCs w:val="22"/>
                <w:color w:val="auto"/>
              </w:rPr>
            </w:pPr>
          </w:p>
        </w:tc>
      </w:tr>
      <w:tr>
        <w:trPr>
          <w:trHeight w:val="316"/>
        </w:trPr>
        <w:tc>
          <w:tcPr>
            <w:tcW w:w="456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72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819.4</w:t>
            </w:r>
          </w:p>
        </w:tc>
        <w:tc>
          <w:tcPr>
            <w:tcW w:w="7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873.1</w:t>
            </w:r>
          </w:p>
        </w:tc>
        <w:tc>
          <w:tcPr>
            <w:tcW w:w="800" w:type="dxa"/>
            <w:vAlign w:val="bottom"/>
          </w:tcPr>
          <w:p>
            <w:pPr>
              <w:spacing w:after="0"/>
              <w:rPr>
                <w:sz w:val="24"/>
                <w:szCs w:val="24"/>
                <w:color w:val="auto"/>
              </w:rPr>
            </w:pP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967.6</w:t>
            </w:r>
          </w:p>
        </w:tc>
      </w:tr>
      <w:tr>
        <w:trPr>
          <w:trHeight w:val="110"/>
        </w:trPr>
        <w:tc>
          <w:tcPr>
            <w:tcW w:w="4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632"/>
              <w:spacing w:after="0"/>
              <w:rPr>
                <w:sz w:val="20"/>
                <w:szCs w:val="20"/>
                <w:color w:val="auto"/>
              </w:rPr>
            </w:pPr>
            <w:r>
              <w:rPr>
                <w:rFonts w:ascii="Arial" w:cs="Arial" w:eastAsia="Arial" w:hAnsi="Arial"/>
                <w:sz w:val="18"/>
                <w:szCs w:val="18"/>
                <w:b w:val="1"/>
                <w:bCs w:val="1"/>
                <w:color w:val="auto"/>
              </w:rPr>
              <w:t>1,789.7</w:t>
            </w:r>
          </w:p>
        </w:tc>
        <w:tc>
          <w:tcPr>
            <w:tcW w:w="74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452"/>
              <w:spacing w:after="0"/>
              <w:rPr>
                <w:sz w:val="20"/>
                <w:szCs w:val="20"/>
                <w:color w:val="auto"/>
              </w:rPr>
            </w:pPr>
            <w:r>
              <w:rPr>
                <w:rFonts w:ascii="Arial" w:cs="Arial" w:eastAsia="Arial" w:hAnsi="Arial"/>
                <w:sz w:val="18"/>
                <w:szCs w:val="18"/>
                <w:b w:val="1"/>
                <w:bCs w:val="1"/>
                <w:color w:val="auto"/>
              </w:rPr>
              <w:t>1,761.6</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b w:val="1"/>
                <w:bCs w:val="1"/>
                <w:color w:val="auto"/>
              </w:rPr>
              <w:t>2,116.5</w:t>
            </w:r>
          </w:p>
        </w:tc>
      </w:tr>
      <w:tr>
        <w:trPr>
          <w:trHeight w:val="110"/>
        </w:trPr>
        <w:tc>
          <w:tcPr>
            <w:tcW w:w="4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139" w:right="21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40" w:top="139" w:right="21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560"/>
        <w:spacing w:after="0"/>
        <w:rPr>
          <w:sz w:val="20"/>
          <w:szCs w:val="20"/>
          <w:color w:val="auto"/>
        </w:rPr>
      </w:pPr>
      <w:r>
        <w:rPr>
          <w:rFonts w:ascii="Arial" w:cs="Arial" w:eastAsia="Arial" w:hAnsi="Arial"/>
          <w:sz w:val="18"/>
          <w:szCs w:val="18"/>
          <w:b w:val="1"/>
          <w:bCs w:val="1"/>
          <w:i w:val="1"/>
          <w:iCs w:val="1"/>
          <w:color w:val="auto"/>
        </w:rPr>
        <w:t>Six months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852"/>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(used in)/provided by operating activities: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(6.0)</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2"/>
        </w:trPr>
        <w:tc>
          <w:tcPr>
            <w:tcW w:w="78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(20.7)</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540" w:type="dxa"/>
            <w:vAlign w:val="bottom"/>
          </w:tcPr>
          <w:p>
            <w:pPr>
              <w:spacing w:after="0"/>
              <w:rPr>
                <w:sz w:val="24"/>
                <w:szCs w:val="24"/>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14.7</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358"/>
        </w:trPr>
        <w:tc>
          <w:tcPr>
            <w:tcW w:w="7800" w:type="dxa"/>
            <w:vAlign w:val="bottom"/>
          </w:tcPr>
          <w:p>
            <w:pPr>
              <w:ind w:left="160"/>
              <w:spacing w:after="0"/>
              <w:rPr>
                <w:sz w:val="20"/>
                <w:szCs w:val="20"/>
                <w:color w:val="auto"/>
              </w:rPr>
            </w:pPr>
            <w:r>
              <w:rPr>
                <w:rFonts w:ascii="Arial" w:cs="Arial" w:eastAsia="Arial" w:hAnsi="Arial"/>
                <w:sz w:val="18"/>
                <w:szCs w:val="18"/>
                <w:color w:val="auto"/>
                <w:w w:val="93"/>
              </w:rPr>
              <w:t>Adjustments to reconcile earnings from continuing operations to net cash used in operating activities of</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 and other reserves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27.6</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20.7</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31.8</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7.2</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Accounts rebceivale</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(81.3)</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(96.2)</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(8.4)</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Accounts payable and other accrued expenses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35.2</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2"/>
        </w:trPr>
        <w:tc>
          <w:tcPr>
            <w:tcW w:w="78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(67.1)</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in)/provided by operating activities of continuing operations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(52.4)</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2"/>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in)/provided by operating activities of discontinued operations</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(10.9)</w:t>
            </w:r>
          </w:p>
        </w:tc>
        <w:tc>
          <w:tcPr>
            <w:tcW w:w="7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in)/provided by operating activities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(63.3)</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358"/>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Prepublication expenditures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(23.5)</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Proceeds from sale of business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Production expenditures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6.0</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(42.4)</w:t>
            </w:r>
          </w:p>
        </w:tc>
        <w:tc>
          <w:tcPr>
            <w:tcW w:w="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(0.6)</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(43.0)</w:t>
            </w:r>
          </w:p>
        </w:tc>
        <w:tc>
          <w:tcPr>
            <w:tcW w:w="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358"/>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Borrowings under Term Loan and Revolving Loan</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140.0</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Repayment of Term Loan and Revolving Loan</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(116.4)</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Net borrowings/(repayment) under lines of credit</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19.4</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(20.1)</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540" w:type="dxa"/>
            <w:vAlign w:val="bottom"/>
          </w:tcPr>
          <w:p>
            <w:pPr>
              <w:spacing w:after="0"/>
              <w:rPr>
                <w:sz w:val="18"/>
                <w:szCs w:val="18"/>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54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 of continuing operations</w:t>
            </w:r>
          </w:p>
        </w:tc>
        <w:tc>
          <w:tcPr>
            <w:tcW w:w="540" w:type="dxa"/>
            <w:vAlign w:val="bottom"/>
          </w:tcPr>
          <w:p>
            <w:pPr>
              <w:spacing w:after="0"/>
              <w:rPr>
                <w:sz w:val="24"/>
                <w:szCs w:val="24"/>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19.4</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54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Pr>
          <w:p>
            <w:pPr>
              <w:spacing w:after="0"/>
              <w:rPr>
                <w:sz w:val="24"/>
                <w:szCs w:val="24"/>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19.4</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54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(88.7)</w:t>
            </w:r>
          </w:p>
        </w:tc>
        <w:tc>
          <w:tcPr>
            <w:tcW w:w="74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w w:val="91"/>
              </w:rPr>
              <w:t>Cash and cash equivalents at beginning of period, including cash of discontinued operations of $2.9 and</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tcPr>
          <w:p>
            <w:pPr>
              <w:ind w:left="320"/>
              <w:spacing w:after="0"/>
              <w:rPr>
                <w:sz w:val="20"/>
                <w:szCs w:val="20"/>
                <w:color w:val="auto"/>
              </w:rPr>
            </w:pPr>
            <w:r>
              <w:rPr>
                <w:rFonts w:ascii="Arial" w:cs="Arial" w:eastAsia="Arial" w:hAnsi="Arial"/>
                <w:sz w:val="18"/>
                <w:szCs w:val="18"/>
                <w:color w:val="auto"/>
              </w:rPr>
              <w:t>$2.2, 2008 and 2007, respectively</w:t>
            </w:r>
          </w:p>
        </w:tc>
        <w:tc>
          <w:tcPr>
            <w:tcW w:w="54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color w:val="auto"/>
              </w:rPr>
              <w:t>120.5</w:t>
            </w:r>
          </w:p>
        </w:tc>
        <w:tc>
          <w:tcPr>
            <w:tcW w:w="7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w w:val="87"/>
              </w:rPr>
              <w:t>Cash and cash equivalents at end of period, including cash of discontinued operations of $1.0 and $4.3,</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142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rPr>
              <w:t>31.8</w:t>
            </w: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187.6</w:t>
            </w:r>
          </w:p>
        </w:tc>
        <w:tc>
          <w:tcPr>
            <w:tcW w:w="0" w:type="dxa"/>
            <w:vAlign w:val="bottom"/>
          </w:tcPr>
          <w:p>
            <w:pPr>
              <w:spacing w:after="0"/>
              <w:rPr>
                <w:sz w:val="1"/>
                <w:szCs w:val="1"/>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2008 and 2007, respectively</w:t>
            </w:r>
          </w:p>
        </w:tc>
        <w:tc>
          <w:tcPr>
            <w:tcW w:w="5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39" w:right="219" w:bottom="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w:t>
      </w:r>
    </w:p>
    <w:p>
      <w:pPr>
        <w:sectPr>
          <w:pgSz w:w="11900" w:h="16838" w:orient="portrait"/>
          <w:cols w:equalWidth="0" w:num="1">
            <w:col w:w="11440"/>
          </w:cols>
          <w:pgMar w:left="240" w:top="139" w:right="219" w:bottom="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and majority-owned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2008.</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more fully described in Note 3, “Discontinued Operations,” in August 2008, the Company completed the sale of its domestic direct-to-home continuity business (the “DTH business”). The Company expects to complete the divestiture of the international portion of its direct-to-home continuity businesses located in the United Kingdom and Canada (“DTH International”), as well as a warehousing and distribution facility located in Maumelle, Arkansas (the “Maumelle Facility”), by the end of the current fiscal year. As previously announced, during the fourth quarter of fiscal 2008, due to the impending sale of the DTH business, it was also determined that the Scholastic school-based continuities business (the “SC business”) would not have an adequate infrastructure and, as a result, the SC business was shut down effective May 31, 2008. The DTH business, DTH International, the Maumelle Facility and the SC business are hereinafter referred to collectively as the “Former Continuities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November 30, 2008, the Company exited certain unprofitable, non-core businesses including;</w:t>
      </w:r>
    </w:p>
    <w:p>
      <w:pPr>
        <w:spacing w:after="0" w:line="239"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subsidiary in Argentina (“Argentina”), which served multiple distribution channels including Book Fairs, Book Clubs and Trade,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door-to-door encyclopedia sales business in Puerto Rico (“Caribe”),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trade magazine (“Coach”).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evaluate its portfolio of businesses and expects that it may exit certain additional unprofitable businesses in the current fiscal year.</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remaining assets and liabilities associated with the Former Continuities Business, Argentina, Caribe and Coach are presented on the Company’s Condensed Consolidated Balance Sheets as “Current assets of discontinued operations” and “Current liabilities of discontinued operations” as of November 30, 2008, May 31, 2008 and November 30, 2007. The results of operations of these businesses for the three and six months ended November 30, 2008 and 2007 are included in the Condensed Consolidated Statements of Operations as “Loss from discontinued operations, net of tax.” The cash flows of these businesses are also presented separately in the Company’s Consolidated Statements of Cash Flows for the six months ended November 30, 2008 and 2007.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November 30, 2007 Condensed Consolidated Balance Sheet is included for comparative purposes.</w:t>
      </w:r>
    </w:p>
    <w:p>
      <w:pPr>
        <w:spacing w:after="0" w:line="19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and gross profits for book fair operations during interim periods; amortization periods; pension and other post-retirement obligations; tax obligations; and recoverability of inventories, deferred promotion costs, deferred income taxes and tax reserves, prepublication costs, royalty advances, and the fair value of goodwill and other intangibles.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to the reclassification to reflect the discontinued operations presentation, certain prior year amounts have been reclassified to conform to the current year presentation. Royalty advances, which were previously reported within “Cash flows used in investing activities” in the Company’s Consolidated Statements of Cash Flows, are now presented as a component of “Changes in assets and liabilities” within “Cash flows used in operating activities.” The prior year reclassifications to the Statements of Cash Flows resulted in a $15.9 decrease in “Net cash used in operating activities” for the six months ended November 30,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20" w:type="dxa"/>
            <w:vAlign w:val="bottom"/>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Royalty advances expensed</w:t>
            </w:r>
          </w:p>
        </w:tc>
        <w:tc>
          <w:tcPr>
            <w:tcW w:w="33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13.3</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3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13.3</w:t>
            </w:r>
          </w:p>
        </w:tc>
      </w:tr>
      <w:tr>
        <w:trPr>
          <w:trHeight w:val="110"/>
        </w:trPr>
        <w:tc>
          <w:tcPr>
            <w:tcW w:w="72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722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Royalty advances</w:t>
            </w:r>
          </w:p>
        </w:tc>
        <w:tc>
          <w:tcPr>
            <w:tcW w:w="33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65"/>
        </w:trPr>
        <w:tc>
          <w:tcPr>
            <w:tcW w:w="7220" w:type="dxa"/>
            <w:vAlign w:val="bottom"/>
          </w:tcPr>
          <w:p>
            <w:pPr>
              <w:spacing w:after="0"/>
              <w:rPr>
                <w:sz w:val="20"/>
                <w:szCs w:val="20"/>
                <w:color w:val="auto"/>
              </w:rPr>
            </w:pPr>
            <w:r>
              <w:rPr>
                <w:rFonts w:ascii="Arial" w:cs="Arial" w:eastAsia="Arial" w:hAnsi="Arial"/>
                <w:sz w:val="18"/>
                <w:szCs w:val="18"/>
                <w:color w:val="auto"/>
              </w:rPr>
              <w:t>Revised to reflect the reclassification of royalty advances:</w:t>
            </w:r>
          </w:p>
        </w:tc>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0"/>
        </w:trPr>
        <w:tc>
          <w:tcPr>
            <w:tcW w:w="72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722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7220" w:type="dxa"/>
            <w:vAlign w:val="bottom"/>
          </w:tcPr>
          <w:p>
            <w:pPr>
              <w:ind w:left="320"/>
              <w:spacing w:after="0"/>
              <w:rPr>
                <w:sz w:val="20"/>
                <w:szCs w:val="20"/>
                <w:color w:val="auto"/>
              </w:rPr>
            </w:pPr>
            <w:r>
              <w:rPr>
                <w:rFonts w:ascii="Arial" w:cs="Arial" w:eastAsia="Arial" w:hAnsi="Arial"/>
                <w:sz w:val="18"/>
                <w:szCs w:val="18"/>
                <w:color w:val="auto"/>
              </w:rPr>
              <w:t>Royalty advances</w:t>
            </w:r>
          </w:p>
        </w:tc>
        <w:tc>
          <w:tcPr>
            <w:tcW w:w="33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10"/>
        </w:trPr>
        <w:tc>
          <w:tcPr>
            <w:tcW w:w="72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7220" w:type="dxa"/>
            <w:vAlign w:val="bottom"/>
          </w:tcPr>
          <w:p>
            <w:pPr>
              <w:spacing w:after="0"/>
              <w:rPr>
                <w:sz w:val="20"/>
                <w:szCs w:val="20"/>
                <w:color w:val="auto"/>
              </w:rPr>
            </w:pPr>
            <w:r>
              <w:rPr>
                <w:rFonts w:ascii="Arial" w:cs="Arial" w:eastAsia="Arial" w:hAnsi="Arial"/>
                <w:sz w:val="18"/>
                <w:szCs w:val="18"/>
                <w:color w:val="auto"/>
              </w:rPr>
              <w:t>Net cash used in operating activities of continuing operations</w:t>
            </w:r>
          </w:p>
        </w:tc>
        <w:tc>
          <w:tcPr>
            <w:tcW w:w="3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10"/>
        </w:trPr>
        <w:tc>
          <w:tcPr>
            <w:tcW w:w="72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72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3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10"/>
        </w:trPr>
        <w:tc>
          <w:tcPr>
            <w:tcW w:w="722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corresponding subtotals of cash provided by operations and cash used in investing activities have been adjusted to reflect the change in the classification of royalty advances.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9" w:name="page10"/>
    <w:bookmarkEnd w:id="9"/>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which will be effective for the Company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November 30, 2008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pacing w:after="0" w:line="17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w:t>
      </w:r>
    </w:p>
    <w:p>
      <w:pPr>
        <w:sectPr>
          <w:pgSz w:w="11900" w:h="16871" w:orient="portrait"/>
          <w:cols w:equalWidth="0" w:num="1">
            <w:col w:w="11420"/>
          </w:cols>
          <w:pgMar w:left="240" w:top="139" w:right="239" w:bottom="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 The Company is currently evaluating the effect, if any, that the adoption of FSP 133-1 will have on its consolidated financial position, results of operations and cash flows.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w:t>
      </w:r>
    </w:p>
    <w:p>
      <w:pPr>
        <w:spacing w:after="0" w:line="23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In previous filings, the Company treated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(“CBPD”) operating segment as a single reporting unit, which included the DTH business. The Company had determined that the components of this segment had similar economic characteristics, and accordingly, the Company annually assessed goodwill for impairment at the CBPD operating segment level, resulting in no impairment of goodwill until the Company decided to divest certain of its Direct to Home businesses in December 2007. These divestitures include the DTH business, which consists of the domestic portion of the Company’s Direct to Home business located in the United States, DTH International, which includes the Company’s Direct to Home continuity businesses located in the United Kingdom and Canada, and the Maumelle Facility. As more fully described in Note 3, “Discontinued Operations,” the Company completed the sale of the DTH business during the three months ended August 31, 2008. The Company, in connection with the decision to divest these businesses, determined that they should be accounted for as discontinued operations. Accordingly, the Company allocated $4.3 of goodwill to the DTH business based upon the relative fair values of the DTH business compared to the total CBPD segment. The Company assessed the recoverable value of the discontinued DTH business, and then concluded that the $4.3 of goodwill was fully impaired and recognized this impairment in the third quarter of fiscal 2008.</w:t>
      </w:r>
    </w:p>
    <w:p>
      <w:pPr>
        <w:spacing w:after="0" w:line="1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Subsequently, the Company reassessed its accounting regarding goodwill impairment and concluded that the domestic portion of the DTH business did not have sufficiently similar economic characteristics compared to the other components of the CBPD segment in the current period or in historical periods. For purposes of goodwill testing, the domestic portion of the DTH business had incorrectly been aggregated with the CBPD segment since 2001. Accordingly, the Company determined the domestic portion of the DTH business should have been treated as a reporting unit and goodwill attributable to the domestic portion of the DTH business should have been assessed at the Direct to Home reporting unit level (the “DTH reporting unit”) which consists of the domestic Direct to Home portion of the DTH business.</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determined that goodwill historically attributable to the DTH reporting unit was $92.4 after consideration of the original source of the goodwill within the CBPD segment and other factors. The Company then reapplied the historical annual impairment testing for the goodwill attributed to the DTH reporting unit for prior periods, utilizing internally developed forecasts of the domestic portion of the DTH business available at the time the test would have been performed. Based upon these analyses, the Company determined that the carrying value of the DTH reporting unit exceeded the fair value of the DTH reporting unit in 2005. The decline in profitability of the DTH business had been previously publicly disclosed by the Company and was primarily a result of the federal Do Not Call legislation, which negatively impacted the business’ marketing programs. Accordingly, the Company determined that all $92.4 of goodwill ($61.0 after recognition of deferred tax benefits) attributable to the DTH reporting unit was impaired as of May 31, 2005.</w:t>
      </w:r>
    </w:p>
    <w:p>
      <w:pPr>
        <w:spacing w:after="0" w:line="1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discussed in the Company’s Form 10-K for the fiscal year ended May 31, 2008 and filed July 30, 2008, the Company has restated its previously filed consolidated financial statements and selected financial data for the years ended May 31, 2007, 2006 and 2005 and its previously issued quarterly consolidated financial statements for the three and six month periods ended November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presentations as of November 30, 2007 are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As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Previously</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Reported</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Adjustments </w:t>
            </w:r>
            <w:r>
              <w:rPr>
                <w:rFonts w:ascii="Arial" w:cs="Arial" w:eastAsia="Arial" w:hAnsi="Arial"/>
                <w:sz w:val="14"/>
                <w:szCs w:val="14"/>
                <w:color w:val="auto"/>
                <w:w w:val="99"/>
              </w:rPr>
              <w:t>(1)</w:t>
            </w:r>
          </w:p>
        </w:tc>
        <w:tc>
          <w:tcPr>
            <w:tcW w:w="3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Restated</w:t>
            </w:r>
          </w:p>
        </w:tc>
      </w:tr>
      <w:tr>
        <w:trPr>
          <w:trHeight w:val="110"/>
        </w:trPr>
        <w:tc>
          <w:tcPr>
            <w:tcW w:w="60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9"/>
        </w:trPr>
        <w:tc>
          <w:tcPr>
            <w:tcW w:w="60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265.3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(92.4)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172.9</w:t>
            </w:r>
          </w:p>
        </w:tc>
      </w:tr>
      <w:tr>
        <w:trPr>
          <w:trHeight w:val="255"/>
        </w:trPr>
        <w:tc>
          <w:tcPr>
            <w:tcW w:w="6080" w:type="dxa"/>
            <w:vAlign w:val="bottom"/>
          </w:tcPr>
          <w:p>
            <w:pPr>
              <w:ind w:left="160"/>
              <w:spacing w:after="0" w:line="255" w:lineRule="exact"/>
              <w:rPr>
                <w:sz w:val="20"/>
                <w:szCs w:val="20"/>
                <w:color w:val="auto"/>
              </w:rPr>
            </w:pPr>
            <w:r>
              <w:rPr>
                <w:rFonts w:ascii="Arial" w:cs="Arial" w:eastAsia="Arial" w:hAnsi="Arial"/>
                <w:sz w:val="18"/>
                <w:szCs w:val="18"/>
                <w:color w:val="auto"/>
              </w:rPr>
              <w:t xml:space="preserve">Other assets and deferred charges (including deferred income taxes) </w:t>
            </w:r>
            <w:r>
              <w:rPr>
                <w:rFonts w:ascii="Arial" w:cs="Arial" w:eastAsia="Arial" w:hAnsi="Arial"/>
                <w:sz w:val="29"/>
                <w:szCs w:val="29"/>
                <w:color w:val="auto"/>
                <w:vertAlign w:val="superscript"/>
              </w:rPr>
              <w:t>(2)</w:t>
            </w:r>
          </w:p>
        </w:tc>
        <w:tc>
          <w:tcPr>
            <w:tcW w:w="11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22"/>
                <w:szCs w:val="22"/>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92.8</w:t>
            </w:r>
          </w:p>
        </w:tc>
      </w:tr>
      <w:tr>
        <w:trPr>
          <w:trHeight w:val="222"/>
        </w:trPr>
        <w:tc>
          <w:tcPr>
            <w:tcW w:w="60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739.2</w:t>
            </w:r>
          </w:p>
        </w:tc>
        <w:tc>
          <w:tcPr>
            <w:tcW w:w="36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678.2</w:t>
            </w:r>
          </w:p>
        </w:tc>
      </w:tr>
      <w:tr>
        <w:trPr>
          <w:trHeight w:val="259"/>
        </w:trPr>
        <w:tc>
          <w:tcPr>
            <w:tcW w:w="6080" w:type="dxa"/>
            <w:vAlign w:val="bottom"/>
            <w:tcBorders>
              <w:bottom w:val="single" w:sz="8" w:color="808080"/>
            </w:tcBorders>
          </w:tcPr>
          <w:p>
            <w:pPr>
              <w:spacing w:after="0"/>
              <w:rPr>
                <w:sz w:val="22"/>
                <w:szCs w:val="22"/>
                <w:color w:val="auto"/>
              </w:rPr>
            </w:pPr>
          </w:p>
        </w:tc>
        <w:tc>
          <w:tcPr>
            <w:tcW w:w="116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136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r>
    </w:tbl>
    <w:p>
      <w:pPr>
        <w:spacing w:after="0" w:line="24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i w:val="1"/>
          <w:iCs w:val="1"/>
          <w:color w:val="auto"/>
        </w:rPr>
        <w:t>Goodwill amounts above relate to discontinued operations.</w:t>
      </w:r>
    </w:p>
    <w:p>
      <w:pPr>
        <w:spacing w:after="0" w:line="156" w:lineRule="exact"/>
        <w:rPr>
          <w:rFonts w:ascii="Arial" w:cs="Arial" w:eastAsia="Arial" w:hAnsi="Arial"/>
          <w:sz w:val="29"/>
          <w:szCs w:val="29"/>
          <w:color w:val="auto"/>
          <w:vertAlign w:val="superscript"/>
        </w:rPr>
      </w:pPr>
    </w:p>
    <w:p>
      <w:pPr>
        <w:ind w:left="580" w:right="100" w:hanging="572"/>
        <w:spacing w:after="0" w:line="188" w:lineRule="auto"/>
        <w:tabs>
          <w:tab w:leader="none" w:pos="58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i w:val="1"/>
          <w:iCs w:val="1"/>
          <w:color w:val="auto"/>
        </w:rPr>
        <w:t>Includes a reclassification of installment receivables of $0.9 in the “As Previously Reported” and “Restated” amounts in order to conform to the current period presentation in the Condensed Consolidated Balance Sheets.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previously announced, the Company sold its DTH business in August 2008, has shut down its SC business effective May 31, 2008 and intends to sell its Maumelle Facility. The Company also intends to complete the divestiture of its DTH International business in fiscal 2009. In addition, in the three months ended November 30, 2008, the Company exited certain unprofitable, non-core businesses including Argentina, Caribe and Coach. The results of operations associated with these businesses are presented as discontinued operations for accounting purposes in the fiscal 2009 and prior year periods. The Company’s DTH and SC businesses were formerly included in the Children’s Book Publishing and Distribution segment, DTH International, Caribe and the Argentina business were formerly included in the International segment and Coach was formerly included in the Media, Licensing and Advertising segment. The Company’s Maumelle Facility, which is included in discontinued operations, was formerly included in Overhead. The Company continues to monitor the expected cash proceeds to be realized from the disposition of discontinued operations assets, and adjusts asset values accordingly. During the three months ended November 30, 2008, the Company recognized impairment and other charges related to discontinued operations of $11.3 pretax.</w:t>
      </w:r>
    </w:p>
    <w:p>
      <w:pPr>
        <w:spacing w:after="0" w:line="174"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In accordance with SFAS No. 144, “Accounting for the Impairment or Disposal of Long-Lived Assets” (“SFAS 144”), the results of operations for the Former Continuities Business, Argentina, Caribe and Coach are presented in the Company’s Condensed Consolidated Financial Statements as discontinued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80" w:type="dxa"/>
            <w:vAlign w:val="bottom"/>
            <w:gridSpan w:val="3"/>
          </w:tcPr>
          <w:p>
            <w:pPr>
              <w:jc w:val="right"/>
              <w:ind w:right="432"/>
              <w:spacing w:after="0"/>
              <w:rPr>
                <w:sz w:val="20"/>
                <w:szCs w:val="20"/>
                <w:color w:val="auto"/>
              </w:rPr>
            </w:pPr>
            <w:r>
              <w:rPr>
                <w:rFonts w:ascii="Arial" w:cs="Arial" w:eastAsia="Arial" w:hAnsi="Arial"/>
                <w:sz w:val="18"/>
                <w:szCs w:val="18"/>
                <w:b w:val="1"/>
                <w:bCs w:val="1"/>
                <w:i w:val="1"/>
                <w:iCs w:val="1"/>
                <w:color w:val="auto"/>
                <w:w w:val="92"/>
              </w:rPr>
              <w:t>Three months ended</w:t>
            </w:r>
          </w:p>
        </w:tc>
        <w:tc>
          <w:tcPr>
            <w:tcW w:w="340" w:type="dxa"/>
            <w:vAlign w:val="bottom"/>
          </w:tcPr>
          <w:p>
            <w:pPr>
              <w:spacing w:after="0"/>
              <w:rPr>
                <w:sz w:val="18"/>
                <w:szCs w:val="18"/>
                <w:color w:val="auto"/>
              </w:rPr>
            </w:pPr>
          </w:p>
        </w:tc>
        <w:tc>
          <w:tcPr>
            <w:tcW w:w="2100" w:type="dxa"/>
            <w:vAlign w:val="bottom"/>
            <w:gridSpan w:val="3"/>
          </w:tcPr>
          <w:p>
            <w:pPr>
              <w:jc w:val="right"/>
              <w:ind w:right="472"/>
              <w:spacing w:after="0"/>
              <w:rPr>
                <w:sz w:val="20"/>
                <w:szCs w:val="20"/>
                <w:color w:val="auto"/>
              </w:rPr>
            </w:pPr>
            <w:r>
              <w:rPr>
                <w:rFonts w:ascii="Arial" w:cs="Arial" w:eastAsia="Arial" w:hAnsi="Arial"/>
                <w:sz w:val="18"/>
                <w:szCs w:val="18"/>
                <w:b w:val="1"/>
                <w:bCs w:val="1"/>
                <w:i w:val="1"/>
                <w:iCs w:val="1"/>
                <w:color w:val="auto"/>
                <w:w w:val="98"/>
              </w:rPr>
              <w:t>Six months ended</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80" w:type="dxa"/>
            <w:vAlign w:val="bottom"/>
            <w:gridSpan w:val="3"/>
          </w:tcPr>
          <w:p>
            <w:pPr>
              <w:jc w:val="right"/>
              <w:ind w:right="672"/>
              <w:spacing w:after="0"/>
              <w:rPr>
                <w:sz w:val="20"/>
                <w:szCs w:val="20"/>
                <w:color w:val="auto"/>
              </w:rPr>
            </w:pPr>
            <w:r>
              <w:rPr>
                <w:rFonts w:ascii="Arial" w:cs="Arial" w:eastAsia="Arial" w:hAnsi="Arial"/>
                <w:sz w:val="18"/>
                <w:szCs w:val="18"/>
                <w:b w:val="1"/>
                <w:bCs w:val="1"/>
                <w:i w:val="1"/>
                <w:iCs w:val="1"/>
                <w:color w:val="auto"/>
              </w:rPr>
              <w:t>November 30,</w:t>
            </w:r>
          </w:p>
        </w:tc>
        <w:tc>
          <w:tcPr>
            <w:tcW w:w="340" w:type="dxa"/>
            <w:vAlign w:val="bottom"/>
          </w:tcPr>
          <w:p>
            <w:pPr>
              <w:spacing w:after="0"/>
              <w:rPr>
                <w:sz w:val="19"/>
                <w:szCs w:val="19"/>
                <w:color w:val="auto"/>
              </w:rPr>
            </w:pPr>
          </w:p>
        </w:tc>
        <w:tc>
          <w:tcPr>
            <w:tcW w:w="2100" w:type="dxa"/>
            <w:vAlign w:val="bottom"/>
            <w:gridSpan w:val="3"/>
          </w:tcPr>
          <w:p>
            <w:pPr>
              <w:jc w:val="right"/>
              <w:ind w:right="612"/>
              <w:spacing w:after="0"/>
              <w:rPr>
                <w:sz w:val="20"/>
                <w:szCs w:val="20"/>
                <w:color w:val="auto"/>
              </w:rPr>
            </w:pPr>
            <w:r>
              <w:rPr>
                <w:rFonts w:ascii="Arial" w:cs="Arial" w:eastAsia="Arial" w:hAnsi="Arial"/>
                <w:sz w:val="18"/>
                <w:szCs w:val="18"/>
                <w:b w:val="1"/>
                <w:bCs w:val="1"/>
                <w:i w:val="1"/>
                <w:iCs w:val="1"/>
                <w:color w:val="auto"/>
              </w:rPr>
              <w:t>November 30,</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2"/>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23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10.5</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58.6</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47.2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116.6</w:t>
            </w:r>
          </w:p>
        </w:tc>
        <w:tc>
          <w:tcPr>
            <w:tcW w:w="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Gain on sale</w:t>
            </w:r>
          </w:p>
        </w:tc>
        <w:tc>
          <w:tcPr>
            <w:tcW w:w="2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10.5</w:t>
            </w:r>
          </w:p>
        </w:tc>
        <w:tc>
          <w:tcPr>
            <w:tcW w:w="3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Non-cash impairment and other charges</w:t>
            </w:r>
          </w:p>
        </w:tc>
        <w:tc>
          <w:tcPr>
            <w:tcW w:w="2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11.3</w:t>
            </w:r>
          </w:p>
        </w:tc>
        <w:tc>
          <w:tcPr>
            <w:tcW w:w="36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-0-</w:t>
            </w:r>
          </w:p>
        </w:tc>
        <w:tc>
          <w:tcPr>
            <w:tcW w:w="3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16.2</w:t>
            </w:r>
          </w:p>
        </w:tc>
        <w:tc>
          <w:tcPr>
            <w:tcW w:w="3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20.8</w:t>
            </w:r>
          </w:p>
        </w:tc>
        <w:tc>
          <w:tcPr>
            <w:tcW w:w="36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8.5</w:t>
            </w:r>
          </w:p>
        </w:tc>
        <w:tc>
          <w:tcPr>
            <w:tcW w:w="3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23.8</w:t>
            </w:r>
          </w:p>
        </w:tc>
        <w:tc>
          <w:tcPr>
            <w:tcW w:w="3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19.1</w:t>
            </w:r>
          </w:p>
        </w:tc>
        <w:tc>
          <w:tcPr>
            <w:tcW w:w="20" w:type="dxa"/>
            <w:vAlign w:val="bottom"/>
          </w:tcPr>
          <w:p>
            <w:pPr>
              <w:spacing w:after="0"/>
              <w:rPr>
                <w:sz w:val="18"/>
                <w:szCs w:val="18"/>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Income tax benefit</w:t>
            </w:r>
          </w:p>
        </w:tc>
        <w:tc>
          <w:tcPr>
            <w:tcW w:w="23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5.5</w:t>
            </w:r>
          </w:p>
        </w:tc>
        <w:tc>
          <w:tcPr>
            <w:tcW w:w="36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19"/>
                <w:szCs w:val="19"/>
                <w:color w:val="auto"/>
              </w:rPr>
            </w:pPr>
          </w:p>
        </w:tc>
      </w:tr>
      <w:tr>
        <w:trPr>
          <w:trHeight w:val="365"/>
        </w:trPr>
        <w:tc>
          <w:tcPr>
            <w:tcW w:w="45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3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15.3</w:t>
            </w: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6.7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20.7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2300" w:type="dxa"/>
            <w:vAlign w:val="bottom"/>
          </w:tcPr>
          <w:p>
            <w:pPr>
              <w:jc w:val="right"/>
              <w:ind w:right="972"/>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96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November 30, 2008</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May 31, 2008</w:t>
            </w:r>
          </w:p>
        </w:tc>
        <w:tc>
          <w:tcPr>
            <w:tcW w:w="218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November 30, 2007</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24"/>
                <w:szCs w:val="24"/>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21.0</w:t>
            </w:r>
          </w:p>
        </w:tc>
        <w:tc>
          <w:tcPr>
            <w:tcW w:w="74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26.1</w:t>
            </w:r>
          </w:p>
        </w:tc>
        <w:tc>
          <w:tcPr>
            <w:tcW w:w="94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4"/>
                <w:szCs w:val="24"/>
                <w:color w:val="auto"/>
              </w:rPr>
            </w:pPr>
          </w:p>
        </w:tc>
      </w:tr>
      <w:tr>
        <w:trPr>
          <w:trHeight w:val="216"/>
        </w:trPr>
        <w:tc>
          <w:tcPr>
            <w:tcW w:w="452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740" w:type="dxa"/>
            <w:vAlign w:val="bottom"/>
          </w:tcPr>
          <w:p>
            <w:pPr>
              <w:spacing w:after="0"/>
              <w:rPr>
                <w:sz w:val="18"/>
                <w:szCs w:val="18"/>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6.5</w:t>
            </w:r>
          </w:p>
        </w:tc>
        <w:tc>
          <w:tcPr>
            <w:tcW w:w="940" w:type="dxa"/>
            <w:vAlign w:val="bottom"/>
          </w:tcPr>
          <w:p>
            <w:pPr>
              <w:spacing w:after="0"/>
              <w:rPr>
                <w:sz w:val="18"/>
                <w:szCs w:val="18"/>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r>
      <w:tr>
        <w:trPr>
          <w:trHeight w:val="216"/>
        </w:trPr>
        <w:tc>
          <w:tcPr>
            <w:tcW w:w="4520" w:type="dxa"/>
            <w:vAlign w:val="bottom"/>
          </w:tcPr>
          <w:p>
            <w:pPr>
              <w:ind w:left="160"/>
              <w:spacing w:after="0"/>
              <w:rPr>
                <w:sz w:val="20"/>
                <w:szCs w:val="20"/>
                <w:color w:val="auto"/>
              </w:rPr>
            </w:pPr>
            <w:r>
              <w:rPr>
                <w:rFonts w:ascii="Arial" w:cs="Arial" w:eastAsia="Arial" w:hAnsi="Arial"/>
                <w:sz w:val="18"/>
                <w:szCs w:val="18"/>
                <w:color w:val="auto"/>
              </w:rPr>
              <w:t>Deferred promotion costs</w:t>
            </w:r>
          </w:p>
        </w:tc>
        <w:tc>
          <w:tcPr>
            <w:tcW w:w="1740" w:type="dxa"/>
            <w:vAlign w:val="bottom"/>
          </w:tcPr>
          <w:p>
            <w:pPr>
              <w:spacing w:after="0"/>
              <w:rPr>
                <w:sz w:val="18"/>
                <w:szCs w:val="18"/>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22"/>
        </w:trPr>
        <w:tc>
          <w:tcPr>
            <w:tcW w:w="45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9"/>
                <w:szCs w:val="19"/>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10.6</w:t>
            </w:r>
          </w:p>
        </w:tc>
        <w:tc>
          <w:tcPr>
            <w:tcW w:w="740" w:type="dxa"/>
            <w:vAlign w:val="bottom"/>
          </w:tcPr>
          <w:p>
            <w:pPr>
              <w:spacing w:after="0"/>
              <w:rPr>
                <w:sz w:val="19"/>
                <w:szCs w:val="19"/>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13.4</w:t>
            </w:r>
          </w:p>
        </w:tc>
        <w:tc>
          <w:tcPr>
            <w:tcW w:w="940" w:type="dxa"/>
            <w:vAlign w:val="bottom"/>
          </w:tcPr>
          <w:p>
            <w:pPr>
              <w:spacing w:after="0"/>
              <w:rPr>
                <w:sz w:val="19"/>
                <w:szCs w:val="19"/>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17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612"/>
              <w:spacing w:after="0"/>
              <w:rPr>
                <w:sz w:val="20"/>
                <w:szCs w:val="20"/>
                <w:color w:val="auto"/>
              </w:rPr>
            </w:pPr>
            <w:r>
              <w:rPr>
                <w:rFonts w:ascii="Arial" w:cs="Arial" w:eastAsia="Arial" w:hAnsi="Arial"/>
                <w:sz w:val="18"/>
                <w:szCs w:val="18"/>
                <w:b w:val="1"/>
                <w:bCs w:val="1"/>
                <w:color w:val="auto"/>
              </w:rPr>
              <w:t>31.6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b w:val="1"/>
                <w:bCs w:val="1"/>
                <w:color w:val="auto"/>
              </w:rPr>
              <w:t>46.0</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612"/>
              <w:spacing w:after="0"/>
              <w:rPr>
                <w:sz w:val="20"/>
                <w:szCs w:val="20"/>
                <w:color w:val="auto"/>
              </w:rPr>
            </w:pPr>
            <w:r>
              <w:rPr>
                <w:rFonts w:ascii="Arial" w:cs="Arial" w:eastAsia="Arial" w:hAnsi="Arial"/>
                <w:sz w:val="18"/>
                <w:szCs w:val="18"/>
                <w:b w:val="1"/>
                <w:bCs w:val="1"/>
                <w:color w:val="auto"/>
              </w:rPr>
              <w:t>238.8</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tcPr>
          <w:p>
            <w:pPr>
              <w:spacing w:after="0"/>
              <w:rPr>
                <w:sz w:val="24"/>
                <w:szCs w:val="24"/>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16.4</w:t>
            </w:r>
          </w:p>
        </w:tc>
        <w:tc>
          <w:tcPr>
            <w:tcW w:w="74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17.9</w:t>
            </w:r>
          </w:p>
        </w:tc>
        <w:tc>
          <w:tcPr>
            <w:tcW w:w="94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4"/>
                <w:szCs w:val="24"/>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740" w:type="dxa"/>
            <w:vAlign w:val="bottom"/>
          </w:tcPr>
          <w:p>
            <w:pPr>
              <w:spacing w:after="0"/>
              <w:rPr>
                <w:sz w:val="19"/>
                <w:szCs w:val="19"/>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240" w:type="dxa"/>
            <w:vAlign w:val="bottom"/>
          </w:tcPr>
          <w:p>
            <w:pPr>
              <w:jc w:val="right"/>
              <w:ind w:right="61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17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612"/>
              <w:spacing w:after="0"/>
              <w:rPr>
                <w:sz w:val="20"/>
                <w:szCs w:val="20"/>
                <w:color w:val="auto"/>
              </w:rPr>
            </w:pPr>
            <w:r>
              <w:rPr>
                <w:rFonts w:ascii="Arial" w:cs="Arial" w:eastAsia="Arial" w:hAnsi="Arial"/>
                <w:sz w:val="18"/>
                <w:szCs w:val="18"/>
                <w:b w:val="1"/>
                <w:bCs w:val="1"/>
                <w:color w:val="auto"/>
              </w:rPr>
              <w:t>16.4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b w:val="1"/>
                <w:bCs w:val="1"/>
                <w:color w:val="auto"/>
              </w:rPr>
              <w:t>17.9</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612"/>
              <w:spacing w:after="0"/>
              <w:rPr>
                <w:sz w:val="20"/>
                <w:szCs w:val="20"/>
                <w:color w:val="auto"/>
              </w:rPr>
            </w:pPr>
            <w:r>
              <w:rPr>
                <w:rFonts w:ascii="Arial" w:cs="Arial" w:eastAsia="Arial" w:hAnsi="Arial"/>
                <w:sz w:val="18"/>
                <w:szCs w:val="18"/>
                <w:b w:val="1"/>
                <w:bCs w:val="1"/>
                <w:color w:val="auto"/>
              </w:rPr>
              <w:t>24.7</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consistent with the method by which the Company’s chief operating decision-maker assesses operating performance and allocates resources. Revenues and operating margin related to a segment’s products sold or services rendered through another segment’s distribution channel are reallocated to the segment originating the products or services.</w:t>
      </w:r>
    </w:p>
    <w:p>
      <w:pPr>
        <w:spacing w:after="0" w:line="197" w:lineRule="exact"/>
        <w:rPr>
          <w:sz w:val="20"/>
          <w:szCs w:val="20"/>
          <w:color w:val="auto"/>
        </w:rPr>
      </w:pPr>
    </w:p>
    <w:p>
      <w:pPr>
        <w:ind w:right="140" w:firstLine="8"/>
        <w:spacing w:after="0" w:line="268"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includes the publication and distribution of children’s books in the United States through school-based book clubs</w:t>
      </w:r>
      <w:r>
        <w:rPr>
          <w:rFonts w:ascii="Arial" w:cs="Arial" w:eastAsia="Arial" w:hAnsi="Arial"/>
          <w:sz w:val="18"/>
          <w:szCs w:val="18"/>
          <w:i w:val="1"/>
          <w:iCs w:val="1"/>
          <w:color w:val="auto"/>
        </w:rPr>
        <w:t xml:space="preserve"> </w:t>
      </w:r>
      <w:r>
        <w:rPr>
          <w:rFonts w:ascii="Arial" w:cs="Arial" w:eastAsia="Arial" w:hAnsi="Arial"/>
          <w:sz w:val="18"/>
          <w:szCs w:val="18"/>
          <w:color w:val="auto"/>
        </w:rPr>
        <w:t>and book fairs, and the trade channel.</w:t>
      </w:r>
    </w:p>
    <w:p>
      <w:pPr>
        <w:spacing w:after="0" w:line="185" w:lineRule="exact"/>
        <w:rPr>
          <w:rFonts w:ascii="Arial" w:cs="Arial" w:eastAsia="Arial" w:hAnsi="Arial"/>
          <w:sz w:val="18"/>
          <w:szCs w:val="18"/>
          <w:color w:val="auto"/>
        </w:rPr>
      </w:pPr>
    </w:p>
    <w:p>
      <w:pPr>
        <w:ind w:right="160" w:firstLine="8"/>
        <w:spacing w:after="0" w:line="370" w:lineRule="auto"/>
        <w:tabs>
          <w:tab w:leader="none" w:pos="105"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Educational Publishing </w:t>
      </w:r>
      <w:r>
        <w:rPr>
          <w:rFonts w:ascii="Arial" w:cs="Arial" w:eastAsia="Arial" w:hAnsi="Arial"/>
          <w:sz w:val="15"/>
          <w:szCs w:val="15"/>
          <w:color w:val="auto"/>
        </w:rPr>
        <w:t>includes the production and/or publication and distribution to schools and libraries of educational technology products, curriculum</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children’s books, classroom magazines and print and on-line reference and non-fiction products for grades pre-kindergarten to 12 in the United States.</w:t>
      </w:r>
    </w:p>
    <w:p>
      <w:pPr>
        <w:spacing w:after="0" w:line="116" w:lineRule="exact"/>
        <w:rPr>
          <w:rFonts w:ascii="Arial" w:cs="Arial" w:eastAsia="Arial" w:hAnsi="Arial"/>
          <w:sz w:val="15"/>
          <w:szCs w:val="15"/>
          <w:color w:val="auto"/>
        </w:rPr>
      </w:pPr>
    </w:p>
    <w:p>
      <w:pPr>
        <w:ind w:right="80" w:firstLine="8"/>
        <w:spacing w:after="0" w:line="259"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and electronic products and programs (including children’s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videos, DVDs, software, feature films, interactive and audio products, promotional activities and non-book merchandise), and advertising revenue, including sponsorship programs.</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information for the Company’s segments for the periods indicated and reflect the Company’s continuing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800" w:type="dxa"/>
            <w:vAlign w:val="bottom"/>
            <w:gridSpan w:val="2"/>
          </w:tcPr>
          <w:p>
            <w:pPr>
              <w:ind w:left="600"/>
              <w:spacing w:after="0"/>
              <w:rPr>
                <w:sz w:val="20"/>
                <w:szCs w:val="20"/>
                <w:color w:val="auto"/>
              </w:rPr>
            </w:pPr>
            <w:r>
              <w:rPr>
                <w:rFonts w:ascii="Arial" w:cs="Arial" w:eastAsia="Arial" w:hAnsi="Arial"/>
                <w:sz w:val="14"/>
                <w:szCs w:val="14"/>
                <w:b w:val="1"/>
                <w:bCs w:val="1"/>
                <w:color w:val="auto"/>
              </w:rPr>
              <w:t>Children’s Book</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center"/>
              <w:ind w:right="292"/>
              <w:spacing w:after="0"/>
              <w:rPr>
                <w:sz w:val="20"/>
                <w:szCs w:val="20"/>
                <w:color w:val="auto"/>
              </w:rPr>
            </w:pPr>
            <w:r>
              <w:rPr>
                <w:rFonts w:ascii="Arial" w:cs="Arial" w:eastAsia="Arial" w:hAnsi="Arial"/>
                <w:sz w:val="14"/>
                <w:szCs w:val="14"/>
                <w:b w:val="1"/>
                <w:bCs w:val="1"/>
                <w:color w:val="auto"/>
                <w:w w:val="91"/>
              </w:rPr>
              <w:t>Media,</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1800" w:type="dxa"/>
            <w:vAlign w:val="bottom"/>
            <w:gridSpan w:val="2"/>
          </w:tcPr>
          <w:p>
            <w:pPr>
              <w:ind w:left="640"/>
              <w:spacing w:after="0"/>
              <w:rPr>
                <w:sz w:val="20"/>
                <w:szCs w:val="20"/>
                <w:color w:val="auto"/>
              </w:rPr>
            </w:pPr>
            <w:r>
              <w:rPr>
                <w:rFonts w:ascii="Arial" w:cs="Arial" w:eastAsia="Arial" w:hAnsi="Arial"/>
                <w:sz w:val="14"/>
                <w:szCs w:val="14"/>
                <w:b w:val="1"/>
                <w:bCs w:val="1"/>
                <w:color w:val="auto"/>
              </w:rPr>
              <w:t>Publishing and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Educational</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Licensing and</w:t>
            </w: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Overhead</w:t>
            </w:r>
            <w:r>
              <w:rPr>
                <w:rFonts w:ascii="Arial" w:cs="Arial" w:eastAsia="Arial" w:hAnsi="Arial"/>
                <w:sz w:val="22"/>
                <w:szCs w:val="22"/>
                <w:b w:val="1"/>
                <w:bCs w:val="1"/>
                <w:color w:val="auto"/>
                <w:vertAlign w:val="superscript"/>
              </w:rPr>
              <w:t>(1)(2)</w:t>
            </w:r>
          </w:p>
        </w:tc>
        <w:tc>
          <w:tcPr>
            <w:tcW w:w="280" w:type="dxa"/>
            <w:vAlign w:val="bottom"/>
          </w:tcPr>
          <w:p>
            <w:pPr>
              <w:spacing w:after="0"/>
              <w:rPr>
                <w:sz w:val="14"/>
                <w:szCs w:val="14"/>
                <w:color w:val="auto"/>
              </w:rPr>
            </w:pPr>
          </w:p>
        </w:tc>
        <w:tc>
          <w:tcPr>
            <w:tcW w:w="80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Total</w:t>
            </w:r>
          </w:p>
        </w:tc>
        <w:tc>
          <w:tcPr>
            <w:tcW w:w="12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6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gridSpan w:val="2"/>
          </w:tcPr>
          <w:p>
            <w:pPr>
              <w:ind w:left="660"/>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22"/>
                <w:szCs w:val="22"/>
                <w:b w:val="1"/>
                <w:bCs w:val="1"/>
                <w:color w:val="auto"/>
                <w:vertAlign w:val="superscript"/>
              </w:rPr>
              <w:t>(1)</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13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320" w:type="dxa"/>
            <w:vAlign w:val="bottom"/>
            <w:tcBorders>
              <w:bottom w:val="single" w:sz="8" w:color="808080"/>
            </w:tcBorders>
            <w:gridSpan w:val="2"/>
            <w:vMerge w:val="continue"/>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5"/>
              </w:rPr>
              <w:t>Domestic</w:t>
            </w:r>
          </w:p>
        </w:tc>
        <w:tc>
          <w:tcPr>
            <w:tcW w:w="1200" w:type="dxa"/>
            <w:vAlign w:val="bottom"/>
            <w:tcBorders>
              <w:bottom w:val="single" w:sz="8" w:color="808080"/>
            </w:tcBorders>
            <w:gridSpan w:val="2"/>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4"/>
                <w:szCs w:val="14"/>
                <w:b w:val="1"/>
                <w:bCs w:val="1"/>
                <w:color w:val="auto"/>
              </w:rPr>
              <w:t>November 30, 2008</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960" w:type="dxa"/>
            <w:vAlign w:val="bottom"/>
          </w:tcPr>
          <w:p>
            <w:pPr>
              <w:ind w:left="6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381.8</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92.2</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63.2</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537.2</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124.4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661.6</w:t>
            </w:r>
          </w:p>
        </w:tc>
        <w:tc>
          <w:tcPr>
            <w:tcW w:w="0" w:type="dxa"/>
            <w:vAlign w:val="bottom"/>
          </w:tcPr>
          <w:p>
            <w:pPr>
              <w:spacing w:after="0"/>
              <w:rPr>
                <w:sz w:val="1"/>
                <w:szCs w:val="1"/>
                <w:color w:val="auto"/>
              </w:rPr>
            </w:pPr>
          </w:p>
        </w:tc>
      </w:tr>
      <w:tr>
        <w:trPr>
          <w:trHeight w:val="144"/>
        </w:trPr>
        <w:tc>
          <w:tcPr>
            <w:tcW w:w="260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960" w:type="dxa"/>
            <w:vAlign w:val="bottom"/>
          </w:tcPr>
          <w:p>
            <w:pPr>
              <w:spacing w:after="0"/>
              <w:rPr>
                <w:sz w:val="12"/>
                <w:szCs w:val="12"/>
                <w:color w:val="auto"/>
              </w:rPr>
            </w:pPr>
          </w:p>
        </w:tc>
        <w:tc>
          <w:tcPr>
            <w:tcW w:w="84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4.5</w:t>
            </w:r>
          </w:p>
        </w:tc>
        <w:tc>
          <w:tcPr>
            <w:tcW w:w="500" w:type="dxa"/>
            <w:vAlign w:val="bottom"/>
          </w:tcPr>
          <w:p>
            <w:pPr>
              <w:spacing w:after="0"/>
              <w:rPr>
                <w:sz w:val="12"/>
                <w:szCs w:val="12"/>
                <w:color w:val="auto"/>
              </w:rPr>
            </w:pPr>
          </w:p>
        </w:tc>
        <w:tc>
          <w:tcPr>
            <w:tcW w:w="66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0.6</w:t>
            </w:r>
          </w:p>
        </w:tc>
        <w:tc>
          <w:tcPr>
            <w:tcW w:w="380" w:type="dxa"/>
            <w:vAlign w:val="bottom"/>
          </w:tcPr>
          <w:p>
            <w:pPr>
              <w:spacing w:after="0"/>
              <w:rPr>
                <w:sz w:val="12"/>
                <w:szCs w:val="12"/>
                <w:color w:val="auto"/>
              </w:rPr>
            </w:pPr>
          </w:p>
        </w:tc>
        <w:tc>
          <w:tcPr>
            <w:tcW w:w="96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82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5.5</w:t>
            </w:r>
          </w:p>
        </w:tc>
        <w:tc>
          <w:tcPr>
            <w:tcW w:w="500" w:type="dxa"/>
            <w:vAlign w:val="bottom"/>
          </w:tcPr>
          <w:p>
            <w:pPr>
              <w:spacing w:after="0"/>
              <w:rPr>
                <w:sz w:val="12"/>
                <w:szCs w:val="12"/>
                <w:color w:val="auto"/>
              </w:rPr>
            </w:pPr>
          </w:p>
        </w:tc>
        <w:tc>
          <w:tcPr>
            <w:tcW w:w="700" w:type="dxa"/>
            <w:vAlign w:val="bottom"/>
          </w:tcPr>
          <w:p>
            <w:pPr>
              <w:jc w:val="right"/>
              <w:ind w:right="232"/>
              <w:spacing w:after="0" w:line="144" w:lineRule="exact"/>
              <w:rPr>
                <w:sz w:val="20"/>
                <w:szCs w:val="20"/>
                <w:color w:val="auto"/>
              </w:rPr>
            </w:pPr>
            <w:r>
              <w:rPr>
                <w:rFonts w:ascii="Arial" w:cs="Arial" w:eastAsia="Arial" w:hAnsi="Arial"/>
                <w:sz w:val="14"/>
                <w:szCs w:val="14"/>
                <w:color w:val="auto"/>
              </w:rPr>
              <w:t>1.9</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6"/>
        </w:trPr>
        <w:tc>
          <w:tcPr>
            <w:tcW w:w="26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2.0</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0.7</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0.6</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10.8</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14.1</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0"/>
        </w:trPr>
        <w:tc>
          <w:tcPr>
            <w:tcW w:w="26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2.9</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5.3</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2.0</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10.2</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7.6</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0.2</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0.3</w:t>
            </w:r>
          </w:p>
        </w:tc>
        <w:tc>
          <w:tcPr>
            <w:tcW w:w="50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8.1</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99.2</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13.2</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10.5</w:t>
            </w:r>
          </w:p>
        </w:tc>
        <w:tc>
          <w:tcPr>
            <w:tcW w:w="50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(29.1)</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93.8</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72"/>
        </w:trPr>
        <w:tc>
          <w:tcPr>
            <w:tcW w:w="2600" w:type="dxa"/>
            <w:vAlign w:val="bottom"/>
          </w:tcPr>
          <w:p>
            <w:pPr>
              <w:ind w:left="160"/>
              <w:spacing w:after="0"/>
              <w:rPr>
                <w:sz w:val="20"/>
                <w:szCs w:val="20"/>
                <w:color w:val="auto"/>
              </w:rPr>
            </w:pPr>
            <w:r>
              <w:rPr>
                <w:rFonts w:ascii="Arial" w:cs="Arial" w:eastAsia="Arial" w:hAnsi="Arial"/>
                <w:sz w:val="14"/>
                <w:szCs w:val="14"/>
                <w:color w:val="auto"/>
              </w:rPr>
              <w:t>Expenditures for long-lived assets</w:t>
            </w:r>
          </w:p>
        </w:tc>
        <w:tc>
          <w:tcPr>
            <w:tcW w:w="9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14.1</w:t>
            </w:r>
          </w:p>
        </w:tc>
        <w:tc>
          <w:tcPr>
            <w:tcW w:w="50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9.8</w:t>
            </w:r>
          </w:p>
        </w:tc>
        <w:tc>
          <w:tcPr>
            <w:tcW w:w="38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3.3</w:t>
            </w:r>
          </w:p>
        </w:tc>
        <w:tc>
          <w:tcPr>
            <w:tcW w:w="50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7.3</w:t>
            </w:r>
          </w:p>
        </w:tc>
        <w:tc>
          <w:tcPr>
            <w:tcW w:w="28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34.5</w:t>
            </w:r>
          </w:p>
        </w:tc>
        <w:tc>
          <w:tcPr>
            <w:tcW w:w="5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44"/>
        </w:trPr>
        <w:tc>
          <w:tcPr>
            <w:tcW w:w="260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4"/>
                <w:szCs w:val="14"/>
                <w:b w:val="1"/>
                <w:bCs w:val="1"/>
                <w:color w:val="auto"/>
              </w:rPr>
              <w:t>November 30, 2007</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960" w:type="dxa"/>
            <w:vAlign w:val="bottom"/>
          </w:tcPr>
          <w:p>
            <w:pPr>
              <w:ind w:left="6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386.9</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99.6</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56.3</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542.8</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144.8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687.6</w:t>
            </w:r>
          </w:p>
        </w:tc>
        <w:tc>
          <w:tcPr>
            <w:tcW w:w="0" w:type="dxa"/>
            <w:vAlign w:val="bottom"/>
          </w:tcPr>
          <w:p>
            <w:pPr>
              <w:spacing w:after="0"/>
              <w:rPr>
                <w:sz w:val="1"/>
                <w:szCs w:val="1"/>
                <w:color w:val="auto"/>
              </w:rPr>
            </w:pPr>
          </w:p>
        </w:tc>
      </w:tr>
      <w:tr>
        <w:trPr>
          <w:trHeight w:val="144"/>
        </w:trPr>
        <w:tc>
          <w:tcPr>
            <w:tcW w:w="260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960" w:type="dxa"/>
            <w:vAlign w:val="bottom"/>
          </w:tcPr>
          <w:p>
            <w:pPr>
              <w:spacing w:after="0"/>
              <w:rPr>
                <w:sz w:val="12"/>
                <w:szCs w:val="12"/>
                <w:color w:val="auto"/>
              </w:rPr>
            </w:pPr>
          </w:p>
        </w:tc>
        <w:tc>
          <w:tcPr>
            <w:tcW w:w="84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2.2</w:t>
            </w:r>
          </w:p>
        </w:tc>
        <w:tc>
          <w:tcPr>
            <w:tcW w:w="500" w:type="dxa"/>
            <w:vAlign w:val="bottom"/>
          </w:tcPr>
          <w:p>
            <w:pPr>
              <w:spacing w:after="0"/>
              <w:rPr>
                <w:sz w:val="12"/>
                <w:szCs w:val="12"/>
                <w:color w:val="auto"/>
              </w:rPr>
            </w:pPr>
          </w:p>
        </w:tc>
        <w:tc>
          <w:tcPr>
            <w:tcW w:w="66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0.4</w:t>
            </w:r>
          </w:p>
        </w:tc>
        <w:tc>
          <w:tcPr>
            <w:tcW w:w="380" w:type="dxa"/>
            <w:vAlign w:val="bottom"/>
          </w:tcPr>
          <w:p>
            <w:pPr>
              <w:spacing w:after="0"/>
              <w:rPr>
                <w:sz w:val="12"/>
                <w:szCs w:val="12"/>
                <w:color w:val="auto"/>
              </w:rPr>
            </w:pPr>
          </w:p>
        </w:tc>
        <w:tc>
          <w:tcPr>
            <w:tcW w:w="96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0.1</w:t>
            </w:r>
          </w:p>
        </w:tc>
        <w:tc>
          <w:tcPr>
            <w:tcW w:w="500" w:type="dxa"/>
            <w:vAlign w:val="bottom"/>
          </w:tcPr>
          <w:p>
            <w:pPr>
              <w:spacing w:after="0"/>
              <w:rPr>
                <w:sz w:val="12"/>
                <w:szCs w:val="12"/>
                <w:color w:val="auto"/>
              </w:rPr>
            </w:pPr>
          </w:p>
        </w:tc>
        <w:tc>
          <w:tcPr>
            <w:tcW w:w="82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2.7</w:t>
            </w:r>
          </w:p>
        </w:tc>
        <w:tc>
          <w:tcPr>
            <w:tcW w:w="500" w:type="dxa"/>
            <w:vAlign w:val="bottom"/>
          </w:tcPr>
          <w:p>
            <w:pPr>
              <w:spacing w:after="0"/>
              <w:rPr>
                <w:sz w:val="12"/>
                <w:szCs w:val="12"/>
                <w:color w:val="auto"/>
              </w:rPr>
            </w:pPr>
          </w:p>
        </w:tc>
        <w:tc>
          <w:tcPr>
            <w:tcW w:w="700" w:type="dxa"/>
            <w:vAlign w:val="bottom"/>
          </w:tcPr>
          <w:p>
            <w:pPr>
              <w:jc w:val="right"/>
              <w:ind w:right="232"/>
              <w:spacing w:after="0" w:line="144"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26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3.9</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0.6</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9.3</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14.3</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0"/>
        </w:trPr>
        <w:tc>
          <w:tcPr>
            <w:tcW w:w="26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9.6</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0.1</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0.2</w:t>
            </w:r>
          </w:p>
        </w:tc>
        <w:tc>
          <w:tcPr>
            <w:tcW w:w="50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108.8</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12.4</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10.4</w:t>
            </w:r>
          </w:p>
        </w:tc>
        <w:tc>
          <w:tcPr>
            <w:tcW w:w="50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(17.8)</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25.1</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72"/>
        </w:trPr>
        <w:tc>
          <w:tcPr>
            <w:tcW w:w="2600" w:type="dxa"/>
            <w:vAlign w:val="bottom"/>
          </w:tcPr>
          <w:p>
            <w:pPr>
              <w:ind w:left="160"/>
              <w:spacing w:after="0"/>
              <w:rPr>
                <w:sz w:val="20"/>
                <w:szCs w:val="20"/>
                <w:color w:val="auto"/>
              </w:rPr>
            </w:pPr>
            <w:r>
              <w:rPr>
                <w:rFonts w:ascii="Arial" w:cs="Arial" w:eastAsia="Arial" w:hAnsi="Arial"/>
                <w:sz w:val="14"/>
                <w:szCs w:val="14"/>
                <w:color w:val="auto"/>
              </w:rPr>
              <w:t>Expenditures for long-lived assets</w:t>
            </w:r>
          </w:p>
        </w:tc>
        <w:tc>
          <w:tcPr>
            <w:tcW w:w="9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8.7</w:t>
            </w:r>
          </w:p>
        </w:tc>
        <w:tc>
          <w:tcPr>
            <w:tcW w:w="50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6.8</w:t>
            </w:r>
          </w:p>
        </w:tc>
        <w:tc>
          <w:tcPr>
            <w:tcW w:w="38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5.9</w:t>
            </w:r>
          </w:p>
        </w:tc>
        <w:tc>
          <w:tcPr>
            <w:tcW w:w="50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5.3</w:t>
            </w:r>
          </w:p>
        </w:tc>
        <w:tc>
          <w:tcPr>
            <w:tcW w:w="28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26.7</w:t>
            </w:r>
          </w:p>
        </w:tc>
        <w:tc>
          <w:tcPr>
            <w:tcW w:w="5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1"/>
        </w:trPr>
        <w:tc>
          <w:tcPr>
            <w:tcW w:w="260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4"/>
                <w:szCs w:val="14"/>
                <w:b w:val="1"/>
                <w:bCs w:val="1"/>
                <w:color w:val="auto"/>
              </w:rPr>
              <w:t>Children’s Book</w:t>
            </w: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center"/>
              <w:ind w:right="292"/>
              <w:spacing w:after="0"/>
              <w:rPr>
                <w:sz w:val="20"/>
                <w:szCs w:val="20"/>
                <w:color w:val="auto"/>
              </w:rPr>
            </w:pPr>
            <w:r>
              <w:rPr>
                <w:rFonts w:ascii="Arial" w:cs="Arial" w:eastAsia="Arial" w:hAnsi="Arial"/>
                <w:sz w:val="14"/>
                <w:szCs w:val="14"/>
                <w:b w:val="1"/>
                <w:bCs w:val="1"/>
                <w:color w:val="auto"/>
                <w:w w:val="91"/>
              </w:rPr>
              <w:t>Media,</w:t>
            </w: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1800" w:type="dxa"/>
            <w:vAlign w:val="bottom"/>
            <w:gridSpan w:val="2"/>
          </w:tcPr>
          <w:p>
            <w:pPr>
              <w:ind w:left="640"/>
              <w:spacing w:after="0"/>
              <w:rPr>
                <w:sz w:val="20"/>
                <w:szCs w:val="20"/>
                <w:color w:val="auto"/>
              </w:rPr>
            </w:pPr>
            <w:r>
              <w:rPr>
                <w:rFonts w:ascii="Arial" w:cs="Arial" w:eastAsia="Arial" w:hAnsi="Arial"/>
                <w:sz w:val="14"/>
                <w:szCs w:val="14"/>
                <w:b w:val="1"/>
                <w:bCs w:val="1"/>
                <w:color w:val="auto"/>
              </w:rPr>
              <w:t>Publishing and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Educational</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Licensing and</w:t>
            </w: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Overhead</w:t>
            </w:r>
            <w:r>
              <w:rPr>
                <w:rFonts w:ascii="Arial" w:cs="Arial" w:eastAsia="Arial" w:hAnsi="Arial"/>
                <w:sz w:val="22"/>
                <w:szCs w:val="22"/>
                <w:b w:val="1"/>
                <w:bCs w:val="1"/>
                <w:color w:val="auto"/>
                <w:vertAlign w:val="superscript"/>
              </w:rPr>
              <w:t>(1)(2)</w:t>
            </w:r>
          </w:p>
        </w:tc>
        <w:tc>
          <w:tcPr>
            <w:tcW w:w="280" w:type="dxa"/>
            <w:vAlign w:val="bottom"/>
          </w:tcPr>
          <w:p>
            <w:pPr>
              <w:spacing w:after="0"/>
              <w:rPr>
                <w:sz w:val="14"/>
                <w:szCs w:val="14"/>
                <w:color w:val="auto"/>
              </w:rPr>
            </w:pPr>
          </w:p>
        </w:tc>
        <w:tc>
          <w:tcPr>
            <w:tcW w:w="80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Total</w:t>
            </w:r>
          </w:p>
        </w:tc>
        <w:tc>
          <w:tcPr>
            <w:tcW w:w="120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6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gridSpan w:val="2"/>
          </w:tcPr>
          <w:p>
            <w:pPr>
              <w:ind w:left="660"/>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22"/>
                <w:szCs w:val="22"/>
                <w:b w:val="1"/>
                <w:bCs w:val="1"/>
                <w:color w:val="auto"/>
                <w:vertAlign w:val="superscript"/>
              </w:rPr>
              <w:t>(1)</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13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320" w:type="dxa"/>
            <w:vAlign w:val="bottom"/>
            <w:tcBorders>
              <w:bottom w:val="single" w:sz="8" w:color="808080"/>
            </w:tcBorders>
            <w:gridSpan w:val="2"/>
            <w:vMerge w:val="continue"/>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5"/>
              </w:rPr>
              <w:t>Domestic</w:t>
            </w:r>
          </w:p>
        </w:tc>
        <w:tc>
          <w:tcPr>
            <w:tcW w:w="1200" w:type="dxa"/>
            <w:vAlign w:val="bottom"/>
            <w:tcBorders>
              <w:bottom w:val="single" w:sz="8" w:color="808080"/>
            </w:tcBorders>
            <w:gridSpan w:val="2"/>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4"/>
                <w:szCs w:val="14"/>
                <w:b w:val="1"/>
                <w:bCs w:val="1"/>
                <w:color w:val="auto"/>
              </w:rPr>
              <w:t>November 30, 2008</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960" w:type="dxa"/>
            <w:vAlign w:val="bottom"/>
          </w:tcPr>
          <w:p>
            <w:pPr>
              <w:ind w:left="6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442.8</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208.6</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82.4</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733.8</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210.6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144"/>
        </w:trPr>
        <w:tc>
          <w:tcPr>
            <w:tcW w:w="260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960" w:type="dxa"/>
            <w:vAlign w:val="bottom"/>
          </w:tcPr>
          <w:p>
            <w:pPr>
              <w:spacing w:after="0"/>
              <w:rPr>
                <w:sz w:val="12"/>
                <w:szCs w:val="12"/>
                <w:color w:val="auto"/>
              </w:rPr>
            </w:pPr>
          </w:p>
        </w:tc>
        <w:tc>
          <w:tcPr>
            <w:tcW w:w="84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4.4</w:t>
            </w:r>
          </w:p>
        </w:tc>
        <w:tc>
          <w:tcPr>
            <w:tcW w:w="500" w:type="dxa"/>
            <w:vAlign w:val="bottom"/>
          </w:tcPr>
          <w:p>
            <w:pPr>
              <w:spacing w:after="0"/>
              <w:rPr>
                <w:sz w:val="12"/>
                <w:szCs w:val="12"/>
                <w:color w:val="auto"/>
              </w:rPr>
            </w:pPr>
          </w:p>
        </w:tc>
        <w:tc>
          <w:tcPr>
            <w:tcW w:w="66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1.1</w:t>
            </w:r>
          </w:p>
        </w:tc>
        <w:tc>
          <w:tcPr>
            <w:tcW w:w="380" w:type="dxa"/>
            <w:vAlign w:val="bottom"/>
          </w:tcPr>
          <w:p>
            <w:pPr>
              <w:spacing w:after="0"/>
              <w:rPr>
                <w:sz w:val="12"/>
                <w:szCs w:val="12"/>
                <w:color w:val="auto"/>
              </w:rPr>
            </w:pPr>
          </w:p>
        </w:tc>
        <w:tc>
          <w:tcPr>
            <w:tcW w:w="96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0.3</w:t>
            </w:r>
          </w:p>
        </w:tc>
        <w:tc>
          <w:tcPr>
            <w:tcW w:w="500" w:type="dxa"/>
            <w:vAlign w:val="bottom"/>
          </w:tcPr>
          <w:p>
            <w:pPr>
              <w:spacing w:after="0"/>
              <w:rPr>
                <w:sz w:val="12"/>
                <w:szCs w:val="12"/>
                <w:color w:val="auto"/>
              </w:rPr>
            </w:pPr>
          </w:p>
        </w:tc>
        <w:tc>
          <w:tcPr>
            <w:tcW w:w="82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5.8</w:t>
            </w:r>
          </w:p>
        </w:tc>
        <w:tc>
          <w:tcPr>
            <w:tcW w:w="500" w:type="dxa"/>
            <w:vAlign w:val="bottom"/>
          </w:tcPr>
          <w:p>
            <w:pPr>
              <w:spacing w:after="0"/>
              <w:rPr>
                <w:sz w:val="12"/>
                <w:szCs w:val="12"/>
                <w:color w:val="auto"/>
              </w:rPr>
            </w:pPr>
          </w:p>
        </w:tc>
        <w:tc>
          <w:tcPr>
            <w:tcW w:w="700" w:type="dxa"/>
            <w:vAlign w:val="bottom"/>
          </w:tcPr>
          <w:p>
            <w:pPr>
              <w:jc w:val="right"/>
              <w:ind w:right="232"/>
              <w:spacing w:after="0" w:line="144"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26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8.3</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0.9</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17.2</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28.4</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0"/>
        </w:trPr>
        <w:tc>
          <w:tcPr>
            <w:tcW w:w="26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5.5</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10.6</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3.5</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19.6</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12.2</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0.5</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13.1</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43.3</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34.2</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6.2</w:t>
            </w:r>
          </w:p>
        </w:tc>
        <w:tc>
          <w:tcPr>
            <w:tcW w:w="50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(50.3)</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33.4</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595.6</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324.0</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91.0</w:t>
            </w:r>
          </w:p>
        </w:tc>
        <w:tc>
          <w:tcPr>
            <w:tcW w:w="50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469.5</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1,480.1</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278.0</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1,758.1</w:t>
            </w:r>
          </w:p>
        </w:tc>
        <w:tc>
          <w:tcPr>
            <w:tcW w:w="0" w:type="dxa"/>
            <w:vAlign w:val="bottom"/>
          </w:tcPr>
          <w:p>
            <w:pPr>
              <w:spacing w:after="0"/>
              <w:rPr>
                <w:sz w:val="1"/>
                <w:szCs w:val="1"/>
                <w:color w:val="auto"/>
              </w:rPr>
            </w:pPr>
          </w:p>
        </w:tc>
      </w:tr>
      <w:tr>
        <w:trPr>
          <w:trHeight w:val="149"/>
        </w:trPr>
        <w:tc>
          <w:tcPr>
            <w:tcW w:w="260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9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38.2</w:t>
            </w:r>
          </w:p>
        </w:tc>
        <w:tc>
          <w:tcPr>
            <w:tcW w:w="500" w:type="dxa"/>
            <w:vAlign w:val="bottom"/>
          </w:tcPr>
          <w:p>
            <w:pPr>
              <w:spacing w:after="0"/>
              <w:rPr>
                <w:sz w:val="12"/>
                <w:szCs w:val="12"/>
                <w:color w:val="auto"/>
              </w:rPr>
            </w:pPr>
          </w:p>
        </w:tc>
        <w:tc>
          <w:tcPr>
            <w:tcW w:w="6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93.0</w:t>
            </w:r>
          </w:p>
        </w:tc>
        <w:tc>
          <w:tcPr>
            <w:tcW w:w="380" w:type="dxa"/>
            <w:vAlign w:val="bottom"/>
          </w:tcPr>
          <w:p>
            <w:pPr>
              <w:spacing w:after="0"/>
              <w:rPr>
                <w:sz w:val="12"/>
                <w:szCs w:val="12"/>
                <w:color w:val="auto"/>
              </w:rPr>
            </w:pPr>
          </w:p>
        </w:tc>
        <w:tc>
          <w:tcPr>
            <w:tcW w:w="9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8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141.0</w:t>
            </w:r>
          </w:p>
        </w:tc>
        <w:tc>
          <w:tcPr>
            <w:tcW w:w="50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26.6</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44"/>
        </w:trPr>
        <w:tc>
          <w:tcPr>
            <w:tcW w:w="2600" w:type="dxa"/>
            <w:vAlign w:val="bottom"/>
          </w:tcPr>
          <w:p>
            <w:pPr>
              <w:ind w:left="160"/>
              <w:spacing w:after="0" w:line="144" w:lineRule="exact"/>
              <w:rPr>
                <w:sz w:val="20"/>
                <w:szCs w:val="20"/>
                <w:color w:val="auto"/>
              </w:rPr>
            </w:pPr>
            <w:r>
              <w:rPr>
                <w:rFonts w:ascii="Arial" w:cs="Arial" w:eastAsia="Arial" w:hAnsi="Arial"/>
                <w:sz w:val="14"/>
                <w:szCs w:val="14"/>
                <w:color w:val="auto"/>
              </w:rPr>
              <w:t>Expenditures for long-lived assets</w:t>
            </w:r>
          </w:p>
        </w:tc>
        <w:tc>
          <w:tcPr>
            <w:tcW w:w="960" w:type="dxa"/>
            <w:vAlign w:val="bottom"/>
          </w:tcPr>
          <w:p>
            <w:pPr>
              <w:spacing w:after="0"/>
              <w:rPr>
                <w:sz w:val="12"/>
                <w:szCs w:val="12"/>
                <w:color w:val="auto"/>
              </w:rPr>
            </w:pPr>
          </w:p>
        </w:tc>
        <w:tc>
          <w:tcPr>
            <w:tcW w:w="84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24.8</w:t>
            </w:r>
          </w:p>
        </w:tc>
        <w:tc>
          <w:tcPr>
            <w:tcW w:w="500" w:type="dxa"/>
            <w:vAlign w:val="bottom"/>
          </w:tcPr>
          <w:p>
            <w:pPr>
              <w:spacing w:after="0"/>
              <w:rPr>
                <w:sz w:val="12"/>
                <w:szCs w:val="12"/>
                <w:color w:val="auto"/>
              </w:rPr>
            </w:pPr>
          </w:p>
        </w:tc>
        <w:tc>
          <w:tcPr>
            <w:tcW w:w="66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15.4</w:t>
            </w:r>
          </w:p>
        </w:tc>
        <w:tc>
          <w:tcPr>
            <w:tcW w:w="380" w:type="dxa"/>
            <w:vAlign w:val="bottom"/>
          </w:tcPr>
          <w:p>
            <w:pPr>
              <w:spacing w:after="0"/>
              <w:rPr>
                <w:sz w:val="12"/>
                <w:szCs w:val="12"/>
                <w:color w:val="auto"/>
              </w:rPr>
            </w:pPr>
          </w:p>
        </w:tc>
        <w:tc>
          <w:tcPr>
            <w:tcW w:w="96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6.8</w:t>
            </w:r>
          </w:p>
        </w:tc>
        <w:tc>
          <w:tcPr>
            <w:tcW w:w="500" w:type="dxa"/>
            <w:vAlign w:val="bottom"/>
          </w:tcPr>
          <w:p>
            <w:pPr>
              <w:spacing w:after="0"/>
              <w:rPr>
                <w:sz w:val="12"/>
                <w:szCs w:val="12"/>
                <w:color w:val="auto"/>
              </w:rPr>
            </w:pPr>
          </w:p>
        </w:tc>
        <w:tc>
          <w:tcPr>
            <w:tcW w:w="82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12.8</w:t>
            </w:r>
          </w:p>
        </w:tc>
        <w:tc>
          <w:tcPr>
            <w:tcW w:w="280" w:type="dxa"/>
            <w:vAlign w:val="bottom"/>
          </w:tcPr>
          <w:p>
            <w:pPr>
              <w:spacing w:after="0"/>
              <w:rPr>
                <w:sz w:val="12"/>
                <w:szCs w:val="12"/>
                <w:color w:val="auto"/>
              </w:rPr>
            </w:pPr>
          </w:p>
        </w:tc>
        <w:tc>
          <w:tcPr>
            <w:tcW w:w="80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59.8</w:t>
            </w:r>
          </w:p>
        </w:tc>
        <w:tc>
          <w:tcPr>
            <w:tcW w:w="500" w:type="dxa"/>
            <w:vAlign w:val="bottom"/>
          </w:tcPr>
          <w:p>
            <w:pPr>
              <w:spacing w:after="0"/>
              <w:rPr>
                <w:sz w:val="12"/>
                <w:szCs w:val="12"/>
                <w:color w:val="auto"/>
              </w:rPr>
            </w:pPr>
          </w:p>
        </w:tc>
        <w:tc>
          <w:tcPr>
            <w:tcW w:w="700" w:type="dxa"/>
            <w:vAlign w:val="bottom"/>
          </w:tcPr>
          <w:p>
            <w:pPr>
              <w:jc w:val="right"/>
              <w:ind w:right="232"/>
              <w:spacing w:after="0" w:line="144"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93"/>
        </w:trPr>
        <w:tc>
          <w:tcPr>
            <w:tcW w:w="260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96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191.2</w:t>
            </w:r>
          </w:p>
        </w:tc>
        <w:tc>
          <w:tcPr>
            <w:tcW w:w="500" w:type="dxa"/>
            <w:vAlign w:val="bottom"/>
          </w:tcPr>
          <w:p>
            <w:pPr>
              <w:spacing w:after="0"/>
              <w:rPr>
                <w:sz w:val="24"/>
                <w:szCs w:val="2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193.8</w:t>
            </w:r>
          </w:p>
        </w:tc>
        <w:tc>
          <w:tcPr>
            <w:tcW w:w="38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35.2</w:t>
            </w:r>
          </w:p>
        </w:tc>
        <w:tc>
          <w:tcPr>
            <w:tcW w:w="50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245.2</w:t>
            </w:r>
          </w:p>
        </w:tc>
        <w:tc>
          <w:tcPr>
            <w:tcW w:w="280" w:type="dxa"/>
            <w:vAlign w:val="bottom"/>
          </w:tcPr>
          <w:p>
            <w:pPr>
              <w:spacing w:after="0"/>
              <w:rPr>
                <w:sz w:val="24"/>
                <w:szCs w:val="2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665.4</w:t>
            </w:r>
          </w:p>
        </w:tc>
        <w:tc>
          <w:tcPr>
            <w:tcW w:w="50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93.7</w:t>
            </w:r>
          </w:p>
        </w:tc>
        <w:tc>
          <w:tcPr>
            <w:tcW w:w="2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4"/>
                <w:szCs w:val="14"/>
                <w:b w:val="1"/>
                <w:bCs w:val="1"/>
                <w:color w:val="auto"/>
              </w:rPr>
              <w:t>November 30, 2007</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00" w:type="dxa"/>
            <w:vAlign w:val="bottom"/>
          </w:tcPr>
          <w:p>
            <w:pPr>
              <w:ind w:left="160"/>
              <w:spacing w:after="0"/>
              <w:rPr>
                <w:sz w:val="20"/>
                <w:szCs w:val="20"/>
                <w:color w:val="auto"/>
              </w:rPr>
            </w:pPr>
            <w:r>
              <w:rPr>
                <w:rFonts w:ascii="Arial" w:cs="Arial" w:eastAsia="Arial" w:hAnsi="Arial"/>
                <w:sz w:val="14"/>
                <w:szCs w:val="14"/>
                <w:color w:val="auto"/>
              </w:rPr>
              <w:t>Revenues</w:t>
            </w:r>
          </w:p>
        </w:tc>
        <w:tc>
          <w:tcPr>
            <w:tcW w:w="960" w:type="dxa"/>
            <w:vAlign w:val="bottom"/>
          </w:tcPr>
          <w:p>
            <w:pPr>
              <w:ind w:left="6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683.7</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227.4</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72.4</w:t>
            </w:r>
          </w:p>
        </w:tc>
        <w:tc>
          <w:tcPr>
            <w:tcW w:w="500" w:type="dxa"/>
            <w:vAlign w:val="bottom"/>
          </w:tcPr>
          <w:p>
            <w:pPr>
              <w:ind w:left="2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983.5</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233.1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1,216.6</w:t>
            </w:r>
          </w:p>
        </w:tc>
        <w:tc>
          <w:tcPr>
            <w:tcW w:w="0" w:type="dxa"/>
            <w:vAlign w:val="bottom"/>
          </w:tcPr>
          <w:p>
            <w:pPr>
              <w:spacing w:after="0"/>
              <w:rPr>
                <w:sz w:val="1"/>
                <w:szCs w:val="1"/>
                <w:color w:val="auto"/>
              </w:rPr>
            </w:pPr>
          </w:p>
        </w:tc>
      </w:tr>
      <w:tr>
        <w:trPr>
          <w:trHeight w:val="144"/>
        </w:trPr>
        <w:tc>
          <w:tcPr>
            <w:tcW w:w="260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960" w:type="dxa"/>
            <w:vAlign w:val="bottom"/>
          </w:tcPr>
          <w:p>
            <w:pPr>
              <w:spacing w:after="0"/>
              <w:rPr>
                <w:sz w:val="12"/>
                <w:szCs w:val="12"/>
                <w:color w:val="auto"/>
              </w:rPr>
            </w:pPr>
          </w:p>
        </w:tc>
        <w:tc>
          <w:tcPr>
            <w:tcW w:w="84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2.4</w:t>
            </w:r>
          </w:p>
        </w:tc>
        <w:tc>
          <w:tcPr>
            <w:tcW w:w="500" w:type="dxa"/>
            <w:vAlign w:val="bottom"/>
          </w:tcPr>
          <w:p>
            <w:pPr>
              <w:spacing w:after="0"/>
              <w:rPr>
                <w:sz w:val="12"/>
                <w:szCs w:val="12"/>
                <w:color w:val="auto"/>
              </w:rPr>
            </w:pPr>
          </w:p>
        </w:tc>
        <w:tc>
          <w:tcPr>
            <w:tcW w:w="660" w:type="dxa"/>
            <w:vAlign w:val="bottom"/>
          </w:tcPr>
          <w:p>
            <w:pPr>
              <w:jc w:val="right"/>
              <w:ind w:right="192"/>
              <w:spacing w:after="0" w:line="144" w:lineRule="exact"/>
              <w:rPr>
                <w:sz w:val="20"/>
                <w:szCs w:val="20"/>
                <w:color w:val="auto"/>
              </w:rPr>
            </w:pPr>
            <w:r>
              <w:rPr>
                <w:rFonts w:ascii="Arial" w:cs="Arial" w:eastAsia="Arial" w:hAnsi="Arial"/>
                <w:sz w:val="14"/>
                <w:szCs w:val="14"/>
                <w:color w:val="auto"/>
              </w:rPr>
              <w:t>0.4</w:t>
            </w:r>
          </w:p>
        </w:tc>
        <w:tc>
          <w:tcPr>
            <w:tcW w:w="380" w:type="dxa"/>
            <w:vAlign w:val="bottom"/>
          </w:tcPr>
          <w:p>
            <w:pPr>
              <w:spacing w:after="0"/>
              <w:rPr>
                <w:sz w:val="12"/>
                <w:szCs w:val="12"/>
                <w:color w:val="auto"/>
              </w:rPr>
            </w:pPr>
          </w:p>
        </w:tc>
        <w:tc>
          <w:tcPr>
            <w:tcW w:w="960" w:type="dxa"/>
            <w:vAlign w:val="bottom"/>
          </w:tcPr>
          <w:p>
            <w:pPr>
              <w:jc w:val="right"/>
              <w:ind w:right="252"/>
              <w:spacing w:after="0" w:line="144" w:lineRule="exact"/>
              <w:rPr>
                <w:sz w:val="20"/>
                <w:szCs w:val="20"/>
                <w:color w:val="auto"/>
              </w:rPr>
            </w:pPr>
            <w:r>
              <w:rPr>
                <w:rFonts w:ascii="Arial" w:cs="Arial" w:eastAsia="Arial" w:hAnsi="Arial"/>
                <w:sz w:val="14"/>
                <w:szCs w:val="14"/>
                <w:color w:val="auto"/>
              </w:rPr>
              <w:t>0.5</w:t>
            </w:r>
          </w:p>
        </w:tc>
        <w:tc>
          <w:tcPr>
            <w:tcW w:w="500" w:type="dxa"/>
            <w:vAlign w:val="bottom"/>
          </w:tcPr>
          <w:p>
            <w:pPr>
              <w:spacing w:after="0"/>
              <w:rPr>
                <w:sz w:val="12"/>
                <w:szCs w:val="12"/>
                <w:color w:val="auto"/>
              </w:rPr>
            </w:pPr>
          </w:p>
        </w:tc>
        <w:tc>
          <w:tcPr>
            <w:tcW w:w="82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0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3.3</w:t>
            </w:r>
          </w:p>
        </w:tc>
        <w:tc>
          <w:tcPr>
            <w:tcW w:w="500" w:type="dxa"/>
            <w:vAlign w:val="bottom"/>
          </w:tcPr>
          <w:p>
            <w:pPr>
              <w:spacing w:after="0"/>
              <w:rPr>
                <w:sz w:val="12"/>
                <w:szCs w:val="12"/>
                <w:color w:val="auto"/>
              </w:rPr>
            </w:pPr>
          </w:p>
        </w:tc>
        <w:tc>
          <w:tcPr>
            <w:tcW w:w="700" w:type="dxa"/>
            <w:vAlign w:val="bottom"/>
          </w:tcPr>
          <w:p>
            <w:pPr>
              <w:jc w:val="right"/>
              <w:ind w:right="232"/>
              <w:spacing w:after="0" w:line="144"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6"/>
        </w:trPr>
        <w:tc>
          <w:tcPr>
            <w:tcW w:w="260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8.0</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16.6</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27.5</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0"/>
        </w:trPr>
        <w:tc>
          <w:tcPr>
            <w:tcW w:w="260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960" w:type="dxa"/>
            <w:vAlign w:val="bottom"/>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6.4</w:t>
            </w:r>
          </w:p>
        </w:tc>
        <w:tc>
          <w:tcPr>
            <w:tcW w:w="50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12.1</w:t>
            </w:r>
          </w:p>
        </w:tc>
        <w:tc>
          <w:tcPr>
            <w:tcW w:w="3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3.1</w:t>
            </w:r>
          </w:p>
        </w:tc>
        <w:tc>
          <w:tcPr>
            <w:tcW w:w="50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21.6</w:t>
            </w:r>
          </w:p>
        </w:tc>
        <w:tc>
          <w:tcPr>
            <w:tcW w:w="5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72"/>
        </w:trPr>
        <w:tc>
          <w:tcPr>
            <w:tcW w:w="2600" w:type="dxa"/>
            <w:vAlign w:val="bottom"/>
          </w:tcPr>
          <w:p>
            <w:pPr>
              <w:ind w:left="160"/>
              <w:spacing w:after="0"/>
              <w:rPr>
                <w:sz w:val="20"/>
                <w:szCs w:val="20"/>
                <w:color w:val="auto"/>
              </w:rPr>
            </w:pPr>
            <w:r>
              <w:rPr>
                <w:rFonts w:ascii="Arial" w:cs="Arial" w:eastAsia="Arial" w:hAnsi="Arial"/>
                <w:sz w:val="14"/>
                <w:szCs w:val="14"/>
                <w:color w:val="auto"/>
              </w:rPr>
              <w:t>Royalty advances expensed</w:t>
            </w:r>
          </w:p>
        </w:tc>
        <w:tc>
          <w:tcPr>
            <w:tcW w:w="9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12.2</w:t>
            </w:r>
          </w:p>
        </w:tc>
        <w:tc>
          <w:tcPr>
            <w:tcW w:w="50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0.6</w:t>
            </w:r>
          </w:p>
        </w:tc>
        <w:tc>
          <w:tcPr>
            <w:tcW w:w="38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0.3</w:t>
            </w:r>
          </w:p>
        </w:tc>
        <w:tc>
          <w:tcPr>
            <w:tcW w:w="50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13.1</w:t>
            </w:r>
          </w:p>
        </w:tc>
        <w:tc>
          <w:tcPr>
            <w:tcW w:w="5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ectPr>
          <w:pgSz w:w="11900" w:h="16838" w:orient="portrait"/>
          <w:cols w:equalWidth="0" w:num="1">
            <w:col w:w="11440"/>
          </w:cols>
          <w:pgMar w:left="240" w:top="139" w:right="21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color w:val="auto"/>
              </w:rPr>
              <w:t>Operating income (loss)</w:t>
            </w:r>
          </w:p>
        </w:tc>
        <w:tc>
          <w:tcPr>
            <w:tcW w:w="1640" w:type="dxa"/>
            <w:vAlign w:val="bottom"/>
          </w:tcPr>
          <w:p>
            <w:pPr>
              <w:jc w:val="right"/>
              <w:ind w:right="352"/>
              <w:spacing w:after="0"/>
              <w:rPr>
                <w:sz w:val="20"/>
                <w:szCs w:val="20"/>
                <w:color w:val="auto"/>
              </w:rPr>
            </w:pPr>
            <w:r>
              <w:rPr>
                <w:rFonts w:ascii="Arial" w:cs="Arial" w:eastAsia="Arial" w:hAnsi="Arial"/>
                <w:sz w:val="14"/>
                <w:szCs w:val="14"/>
                <w:color w:val="auto"/>
              </w:rPr>
              <w:t>121.4</w:t>
            </w:r>
          </w:p>
        </w:tc>
        <w:tc>
          <w:tcPr>
            <w:tcW w:w="1260" w:type="dxa"/>
            <w:vAlign w:val="bottom"/>
          </w:tcPr>
          <w:p>
            <w:pPr>
              <w:jc w:val="right"/>
              <w:ind w:right="452"/>
              <w:spacing w:after="0"/>
              <w:rPr>
                <w:sz w:val="20"/>
                <w:szCs w:val="20"/>
                <w:color w:val="auto"/>
              </w:rPr>
            </w:pPr>
            <w:r>
              <w:rPr>
                <w:rFonts w:ascii="Arial" w:cs="Arial" w:eastAsia="Arial" w:hAnsi="Arial"/>
                <w:sz w:val="14"/>
                <w:szCs w:val="14"/>
                <w:color w:val="auto"/>
              </w:rPr>
              <w:t>42.9</w:t>
            </w:r>
          </w:p>
        </w:tc>
        <w:tc>
          <w:tcPr>
            <w:tcW w:w="1260" w:type="dxa"/>
            <w:vAlign w:val="bottom"/>
          </w:tcPr>
          <w:p>
            <w:pPr>
              <w:jc w:val="right"/>
              <w:ind w:right="432"/>
              <w:spacing w:after="0"/>
              <w:rPr>
                <w:sz w:val="20"/>
                <w:szCs w:val="20"/>
                <w:color w:val="auto"/>
              </w:rPr>
            </w:pPr>
            <w:r>
              <w:rPr>
                <w:rFonts w:ascii="Arial" w:cs="Arial" w:eastAsia="Arial" w:hAnsi="Arial"/>
                <w:sz w:val="14"/>
                <w:szCs w:val="14"/>
                <w:color w:val="auto"/>
              </w:rPr>
              <w:t>5.1</w:t>
            </w:r>
          </w:p>
        </w:tc>
        <w:tc>
          <w:tcPr>
            <w:tcW w:w="1220" w:type="dxa"/>
            <w:vAlign w:val="bottom"/>
          </w:tcPr>
          <w:p>
            <w:pPr>
              <w:jc w:val="right"/>
              <w:ind w:right="312"/>
              <w:spacing w:after="0"/>
              <w:rPr>
                <w:sz w:val="20"/>
                <w:szCs w:val="20"/>
                <w:color w:val="auto"/>
              </w:rPr>
            </w:pPr>
            <w:r>
              <w:rPr>
                <w:rFonts w:ascii="Arial" w:cs="Arial" w:eastAsia="Arial" w:hAnsi="Arial"/>
                <w:sz w:val="14"/>
                <w:szCs w:val="14"/>
                <w:color w:val="auto"/>
              </w:rPr>
              <w:t>(38.4)</w:t>
            </w: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131.0</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24.0</w:t>
            </w:r>
          </w:p>
        </w:tc>
        <w:tc>
          <w:tcPr>
            <w:tcW w:w="760" w:type="dxa"/>
            <w:vAlign w:val="bottom"/>
          </w:tcPr>
          <w:p>
            <w:pPr>
              <w:jc w:val="right"/>
              <w:spacing w:after="0"/>
              <w:rPr>
                <w:sz w:val="20"/>
                <w:szCs w:val="20"/>
                <w:color w:val="auto"/>
              </w:rPr>
            </w:pPr>
            <w:r>
              <w:rPr>
                <w:rFonts w:ascii="Arial" w:cs="Arial" w:eastAsia="Arial" w:hAnsi="Arial"/>
                <w:sz w:val="14"/>
                <w:szCs w:val="14"/>
                <w:color w:val="auto"/>
              </w:rPr>
              <w:t>155.0</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Segment Assets</w:t>
            </w:r>
          </w:p>
        </w:tc>
        <w:tc>
          <w:tcPr>
            <w:tcW w:w="16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798.7</w:t>
            </w: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352.3</w:t>
            </w:r>
          </w:p>
        </w:tc>
        <w:tc>
          <w:tcPr>
            <w:tcW w:w="12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87.1</w:t>
            </w:r>
          </w:p>
        </w:tc>
        <w:tc>
          <w:tcPr>
            <w:tcW w:w="12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372.3</w:t>
            </w: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1,610.4</w:t>
            </w: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267.3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1,877.7</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38.2</w:t>
            </w:r>
          </w:p>
        </w:tc>
        <w:tc>
          <w:tcPr>
            <w:tcW w:w="12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92.8</w:t>
            </w:r>
          </w:p>
        </w:tc>
        <w:tc>
          <w:tcPr>
            <w:tcW w:w="12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9.8</w:t>
            </w:r>
          </w:p>
        </w:tc>
        <w:tc>
          <w:tcPr>
            <w:tcW w:w="12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0.0</w:t>
            </w:r>
          </w:p>
        </w:tc>
        <w:tc>
          <w:tcPr>
            <w:tcW w:w="12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140.8</w:t>
            </w: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32.1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r>
      <w:tr>
        <w:trPr>
          <w:trHeight w:val="144"/>
        </w:trPr>
        <w:tc>
          <w:tcPr>
            <w:tcW w:w="2760" w:type="dxa"/>
            <w:vAlign w:val="bottom"/>
          </w:tcPr>
          <w:p>
            <w:pPr>
              <w:spacing w:after="0" w:line="144" w:lineRule="exact"/>
              <w:rPr>
                <w:sz w:val="20"/>
                <w:szCs w:val="20"/>
                <w:color w:val="auto"/>
              </w:rPr>
            </w:pPr>
            <w:r>
              <w:rPr>
                <w:rFonts w:ascii="Arial" w:cs="Arial" w:eastAsia="Arial" w:hAnsi="Arial"/>
                <w:sz w:val="14"/>
                <w:szCs w:val="14"/>
                <w:color w:val="auto"/>
              </w:rPr>
              <w:t>Expenditures for long-lived assets</w:t>
            </w:r>
          </w:p>
        </w:tc>
        <w:tc>
          <w:tcPr>
            <w:tcW w:w="1640" w:type="dxa"/>
            <w:vAlign w:val="bottom"/>
          </w:tcPr>
          <w:p>
            <w:pPr>
              <w:jc w:val="right"/>
              <w:ind w:right="352"/>
              <w:spacing w:after="0" w:line="144" w:lineRule="exact"/>
              <w:rPr>
                <w:sz w:val="20"/>
                <w:szCs w:val="20"/>
                <w:color w:val="auto"/>
              </w:rPr>
            </w:pPr>
            <w:r>
              <w:rPr>
                <w:rFonts w:ascii="Arial" w:cs="Arial" w:eastAsia="Arial" w:hAnsi="Arial"/>
                <w:sz w:val="14"/>
                <w:szCs w:val="14"/>
                <w:color w:val="auto"/>
              </w:rPr>
              <w:t>23.6</w:t>
            </w:r>
          </w:p>
        </w:tc>
        <w:tc>
          <w:tcPr>
            <w:tcW w:w="1260" w:type="dxa"/>
            <w:vAlign w:val="bottom"/>
          </w:tcPr>
          <w:p>
            <w:pPr>
              <w:jc w:val="right"/>
              <w:ind w:right="452"/>
              <w:spacing w:after="0" w:line="144" w:lineRule="exact"/>
              <w:rPr>
                <w:sz w:val="20"/>
                <w:szCs w:val="20"/>
                <w:color w:val="auto"/>
              </w:rPr>
            </w:pPr>
            <w:r>
              <w:rPr>
                <w:rFonts w:ascii="Arial" w:cs="Arial" w:eastAsia="Arial" w:hAnsi="Arial"/>
                <w:sz w:val="14"/>
                <w:szCs w:val="14"/>
                <w:color w:val="auto"/>
              </w:rPr>
              <w:t>11.7</w:t>
            </w:r>
          </w:p>
        </w:tc>
        <w:tc>
          <w:tcPr>
            <w:tcW w:w="1260" w:type="dxa"/>
            <w:vAlign w:val="bottom"/>
          </w:tcPr>
          <w:p>
            <w:pPr>
              <w:jc w:val="right"/>
              <w:ind w:right="432"/>
              <w:spacing w:after="0" w:line="144" w:lineRule="exact"/>
              <w:rPr>
                <w:sz w:val="20"/>
                <w:szCs w:val="20"/>
                <w:color w:val="auto"/>
              </w:rPr>
            </w:pPr>
            <w:r>
              <w:rPr>
                <w:rFonts w:ascii="Arial" w:cs="Arial" w:eastAsia="Arial" w:hAnsi="Arial"/>
                <w:sz w:val="14"/>
                <w:szCs w:val="14"/>
                <w:color w:val="auto"/>
              </w:rPr>
              <w:t>7.4</w:t>
            </w:r>
          </w:p>
        </w:tc>
        <w:tc>
          <w:tcPr>
            <w:tcW w:w="1220" w:type="dxa"/>
            <w:vAlign w:val="bottom"/>
          </w:tcPr>
          <w:p>
            <w:pPr>
              <w:jc w:val="right"/>
              <w:ind w:right="372"/>
              <w:spacing w:after="0" w:line="144" w:lineRule="exact"/>
              <w:rPr>
                <w:sz w:val="20"/>
                <w:szCs w:val="20"/>
                <w:color w:val="auto"/>
              </w:rPr>
            </w:pPr>
            <w:r>
              <w:rPr>
                <w:rFonts w:ascii="Arial" w:cs="Arial" w:eastAsia="Arial" w:hAnsi="Arial"/>
                <w:sz w:val="14"/>
                <w:szCs w:val="14"/>
                <w:color w:val="auto"/>
              </w:rPr>
              <w:t>9.9</w:t>
            </w:r>
          </w:p>
        </w:tc>
        <w:tc>
          <w:tcPr>
            <w:tcW w:w="1200" w:type="dxa"/>
            <w:vAlign w:val="bottom"/>
          </w:tcPr>
          <w:p>
            <w:pPr>
              <w:jc w:val="right"/>
              <w:ind w:right="312"/>
              <w:spacing w:after="0" w:line="144" w:lineRule="exact"/>
              <w:rPr>
                <w:sz w:val="20"/>
                <w:szCs w:val="20"/>
                <w:color w:val="auto"/>
              </w:rPr>
            </w:pPr>
            <w:r>
              <w:rPr>
                <w:rFonts w:ascii="Arial" w:cs="Arial" w:eastAsia="Arial" w:hAnsi="Arial"/>
                <w:sz w:val="14"/>
                <w:szCs w:val="14"/>
                <w:color w:val="auto"/>
              </w:rPr>
              <w:t>52.6</w:t>
            </w:r>
          </w:p>
        </w:tc>
        <w:tc>
          <w:tcPr>
            <w:tcW w:w="1060" w:type="dxa"/>
            <w:vAlign w:val="bottom"/>
          </w:tcPr>
          <w:p>
            <w:pPr>
              <w:jc w:val="right"/>
              <w:ind w:right="292"/>
              <w:spacing w:after="0" w:line="144" w:lineRule="exact"/>
              <w:rPr>
                <w:sz w:val="20"/>
                <w:szCs w:val="20"/>
                <w:color w:val="auto"/>
              </w:rPr>
            </w:pPr>
            <w:r>
              <w:rPr>
                <w:rFonts w:ascii="Arial" w:cs="Arial" w:eastAsia="Arial" w:hAnsi="Arial"/>
                <w:sz w:val="14"/>
                <w:szCs w:val="14"/>
                <w:color w:val="auto"/>
              </w:rPr>
              <w:t>8.4</w:t>
            </w: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61.0</w:t>
            </w:r>
          </w:p>
        </w:tc>
      </w:tr>
      <w:tr>
        <w:trPr>
          <w:trHeight w:val="293"/>
        </w:trPr>
        <w:tc>
          <w:tcPr>
            <w:tcW w:w="2760" w:type="dxa"/>
            <w:vAlign w:val="bottom"/>
          </w:tcPr>
          <w:p>
            <w:pPr>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1640" w:type="dxa"/>
            <w:vAlign w:val="bottom"/>
          </w:tcPr>
          <w:p>
            <w:pPr>
              <w:jc w:val="right"/>
              <w:ind w:right="352"/>
              <w:spacing w:after="0"/>
              <w:rPr>
                <w:sz w:val="20"/>
                <w:szCs w:val="20"/>
                <w:color w:val="auto"/>
              </w:rPr>
            </w:pPr>
            <w:r>
              <w:rPr>
                <w:rFonts w:ascii="Arial" w:cs="Arial" w:eastAsia="Arial" w:hAnsi="Arial"/>
                <w:sz w:val="14"/>
                <w:szCs w:val="14"/>
                <w:color w:val="auto"/>
              </w:rPr>
              <w:t>176.0</w:t>
            </w:r>
          </w:p>
        </w:tc>
        <w:tc>
          <w:tcPr>
            <w:tcW w:w="1260" w:type="dxa"/>
            <w:vAlign w:val="bottom"/>
          </w:tcPr>
          <w:p>
            <w:pPr>
              <w:jc w:val="right"/>
              <w:ind w:right="452"/>
              <w:spacing w:after="0"/>
              <w:rPr>
                <w:sz w:val="20"/>
                <w:szCs w:val="20"/>
                <w:color w:val="auto"/>
              </w:rPr>
            </w:pPr>
            <w:r>
              <w:rPr>
                <w:rFonts w:ascii="Arial" w:cs="Arial" w:eastAsia="Arial" w:hAnsi="Arial"/>
                <w:sz w:val="14"/>
                <w:szCs w:val="14"/>
                <w:color w:val="auto"/>
              </w:rPr>
              <w:t>211.5</w:t>
            </w:r>
          </w:p>
        </w:tc>
        <w:tc>
          <w:tcPr>
            <w:tcW w:w="1260" w:type="dxa"/>
            <w:vAlign w:val="bottom"/>
          </w:tcPr>
          <w:p>
            <w:pPr>
              <w:jc w:val="right"/>
              <w:ind w:right="432"/>
              <w:spacing w:after="0"/>
              <w:rPr>
                <w:sz w:val="20"/>
                <w:szCs w:val="20"/>
                <w:color w:val="auto"/>
              </w:rPr>
            </w:pPr>
            <w:r>
              <w:rPr>
                <w:rFonts w:ascii="Arial" w:cs="Arial" w:eastAsia="Arial" w:hAnsi="Arial"/>
                <w:sz w:val="14"/>
                <w:szCs w:val="14"/>
                <w:color w:val="auto"/>
              </w:rPr>
              <w:t>37.4</w:t>
            </w:r>
          </w:p>
        </w:tc>
        <w:tc>
          <w:tcPr>
            <w:tcW w:w="1220" w:type="dxa"/>
            <w:vAlign w:val="bottom"/>
          </w:tcPr>
          <w:p>
            <w:pPr>
              <w:jc w:val="right"/>
              <w:ind w:right="372"/>
              <w:spacing w:after="0"/>
              <w:rPr>
                <w:sz w:val="20"/>
                <w:szCs w:val="20"/>
                <w:color w:val="auto"/>
              </w:rPr>
            </w:pPr>
            <w:r>
              <w:rPr>
                <w:rFonts w:ascii="Arial" w:cs="Arial" w:eastAsia="Arial" w:hAnsi="Arial"/>
                <w:sz w:val="14"/>
                <w:szCs w:val="14"/>
                <w:color w:val="auto"/>
              </w:rPr>
              <w:t>245.1</w:t>
            </w: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670.0</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105.1</w:t>
            </w:r>
          </w:p>
        </w:tc>
        <w:tc>
          <w:tcPr>
            <w:tcW w:w="760" w:type="dxa"/>
            <w:vAlign w:val="bottom"/>
          </w:tcPr>
          <w:p>
            <w:pPr>
              <w:jc w:val="right"/>
              <w:spacing w:after="0"/>
              <w:rPr>
                <w:sz w:val="20"/>
                <w:szCs w:val="20"/>
                <w:color w:val="auto"/>
              </w:rPr>
            </w:pPr>
            <w:r>
              <w:rPr>
                <w:rFonts w:ascii="Arial" w:cs="Arial" w:eastAsia="Arial" w:hAnsi="Arial"/>
                <w:sz w:val="14"/>
                <w:szCs w:val="14"/>
                <w:color w:val="auto"/>
              </w:rPr>
              <w:t>775.1</w:t>
            </w:r>
          </w:p>
        </w:tc>
      </w:tr>
    </w:tbl>
    <w:p>
      <w:pPr>
        <w:spacing w:after="0" w:line="1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146050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400" w:top="11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right="320" w:hanging="572"/>
        <w:spacing w:after="0" w:line="29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As discussed in Note 3, “Discontinued Operations,” the DTH business, consisting of the domestic portion of the direct-to-home business, and the SC business, which were formerly included in the Children’s Book Publishing and Distribution segment, Argentina, Caribe and DTH International, which were formerly included in the International segment, Coach, which was formerly included in the Media Licensing and Advertising segment, and the Maumelle Facility, which was formerly included in Overhead (with the exception of certain charges allocated to the Company’s segments), were reclassified as discontinued operations and, as such, are not reflected in this table.</w:t>
      </w:r>
    </w:p>
    <w:p>
      <w:pPr>
        <w:spacing w:after="0" w:line="102" w:lineRule="exact"/>
        <w:rPr>
          <w:rFonts w:ascii="Arial" w:cs="Arial" w:eastAsia="Arial" w:hAnsi="Arial"/>
          <w:sz w:val="16"/>
          <w:szCs w:val="16"/>
          <w:color w:val="auto"/>
        </w:rPr>
      </w:pPr>
    </w:p>
    <w:p>
      <w:pPr>
        <w:ind w:left="580" w:right="100" w:hanging="572"/>
        <w:spacing w:after="0" w:line="335"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an industrial/office building complex in Connecticut.</w:t>
      </w:r>
    </w:p>
    <w:p>
      <w:pPr>
        <w:spacing w:after="0" w:line="74" w:lineRule="exact"/>
        <w:rPr>
          <w:rFonts w:ascii="Arial" w:cs="Arial" w:eastAsia="Arial" w:hAnsi="Arial"/>
          <w:sz w:val="15"/>
          <w:szCs w:val="15"/>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Includes depreciation of property, plant and equipment and amortization of intangible assets, but excludes amortization of promotion costs.</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r>
        <w:rPr>
          <w:rFonts w:ascii="Arial" w:cs="Arial" w:eastAsia="Arial" w:hAnsi="Arial"/>
          <w:sz w:val="18"/>
          <w:szCs w:val="18"/>
          <w:color w:val="auto"/>
        </w:rPr>
        <w:t>,</w:t>
      </w:r>
      <w:r>
        <w:rPr>
          <w:rFonts w:ascii="Arial" w:cs="Arial" w:eastAsia="Arial" w:hAnsi="Arial"/>
          <w:sz w:val="18"/>
          <w:szCs w:val="18"/>
          <w:i w:val="1"/>
          <w:iCs w:val="1"/>
          <w:color w:val="auto"/>
        </w:rPr>
        <w:t xml:space="preserve"> but excludes amortization of promotion costs.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19"/>
                <w:szCs w:val="19"/>
                <w:color w:val="auto"/>
              </w:rPr>
            </w:pPr>
          </w:p>
        </w:tc>
        <w:tc>
          <w:tcPr>
            <w:tcW w:w="340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2008</w:t>
            </w:r>
          </w:p>
        </w:tc>
        <w:tc>
          <w:tcPr>
            <w:tcW w:w="420" w:type="dxa"/>
            <w:vAlign w:val="bottom"/>
          </w:tcPr>
          <w:p>
            <w:pPr>
              <w:spacing w:after="0"/>
              <w:rPr>
                <w:sz w:val="19"/>
                <w:szCs w:val="19"/>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w w:val="88"/>
              </w:rPr>
              <w:t>May 31, 2008</w:t>
            </w:r>
          </w:p>
        </w:tc>
        <w:tc>
          <w:tcPr>
            <w:tcW w:w="1960" w:type="dxa"/>
            <w:vAlign w:val="bottom"/>
            <w:gridSpan w:val="2"/>
          </w:tcPr>
          <w:p>
            <w:pPr>
              <w:jc w:val="right"/>
              <w:ind w:right="32"/>
              <w:spacing w:after="0"/>
              <w:rPr>
                <w:sz w:val="20"/>
                <w:szCs w:val="20"/>
                <w:color w:val="auto"/>
              </w:rPr>
            </w:pPr>
            <w:r>
              <w:rPr>
                <w:rFonts w:ascii="Arial" w:cs="Arial" w:eastAsia="Arial" w:hAnsi="Arial"/>
                <w:sz w:val="18"/>
                <w:szCs w:val="18"/>
                <w:b w:val="1"/>
                <w:bCs w:val="1"/>
                <w:i w:val="1"/>
                <w:iCs w:val="1"/>
                <w:color w:val="auto"/>
              </w:rPr>
              <w:t>November 30, 2007</w:t>
            </w:r>
          </w:p>
        </w:tc>
      </w:tr>
      <w:tr>
        <w:trPr>
          <w:trHeight w:val="110"/>
        </w:trPr>
        <w:tc>
          <w:tcPr>
            <w:tcW w:w="424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458"/>
        </w:trPr>
        <w:tc>
          <w:tcPr>
            <w:tcW w:w="4240" w:type="dxa"/>
            <w:vAlign w:val="bottom"/>
          </w:tcPr>
          <w:p>
            <w:pPr>
              <w:spacing w:after="0"/>
              <w:rPr>
                <w:sz w:val="20"/>
                <w:szCs w:val="20"/>
                <w:color w:val="auto"/>
              </w:rPr>
            </w:pPr>
            <w:r>
              <w:rPr>
                <w:rFonts w:ascii="Arial" w:cs="Arial" w:eastAsia="Arial" w:hAnsi="Arial"/>
                <w:sz w:val="18"/>
                <w:szCs w:val="18"/>
                <w:color w:val="auto"/>
              </w:rPr>
              <w:t>Lines of Credit</w:t>
            </w:r>
          </w:p>
        </w:tc>
        <w:tc>
          <w:tcPr>
            <w:tcW w:w="2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2"/>
              <w:spacing w:after="0"/>
              <w:rPr>
                <w:sz w:val="20"/>
                <w:szCs w:val="20"/>
                <w:color w:val="auto"/>
              </w:rPr>
            </w:pPr>
            <w:r>
              <w:rPr>
                <w:rFonts w:ascii="Arial" w:cs="Arial" w:eastAsia="Arial" w:hAnsi="Arial"/>
                <w:sz w:val="18"/>
                <w:szCs w:val="18"/>
                <w:color w:val="auto"/>
              </w:rPr>
              <w:t>27.4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72"/>
              <w:spacing w:after="0"/>
              <w:rPr>
                <w:sz w:val="20"/>
                <w:szCs w:val="20"/>
                <w:color w:val="auto"/>
              </w:rPr>
            </w:pPr>
            <w:r>
              <w:rPr>
                <w:rFonts w:ascii="Arial" w:cs="Arial" w:eastAsia="Arial" w:hAnsi="Arial"/>
                <w:sz w:val="18"/>
                <w:szCs w:val="18"/>
                <w:color w:val="auto"/>
              </w:rPr>
              <w:t>11.8</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40.5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Loan Agreement:</w:t>
            </w: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214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18"/>
                <w:szCs w:val="18"/>
                <w:color w:val="auto"/>
              </w:rPr>
            </w:pPr>
          </w:p>
        </w:tc>
        <w:tc>
          <w:tcPr>
            <w:tcW w:w="14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214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1420" w:type="dxa"/>
            <w:vAlign w:val="bottom"/>
          </w:tcPr>
          <w:p>
            <w:pPr>
              <w:jc w:val="right"/>
              <w:ind w:right="672"/>
              <w:spacing w:after="0"/>
              <w:rPr>
                <w:sz w:val="20"/>
                <w:szCs w:val="20"/>
                <w:color w:val="auto"/>
              </w:rPr>
            </w:pPr>
            <w:r>
              <w:rPr>
                <w:rFonts w:ascii="Arial" w:cs="Arial" w:eastAsia="Arial" w:hAnsi="Arial"/>
                <w:sz w:val="18"/>
                <w:szCs w:val="18"/>
                <w:color w:val="auto"/>
              </w:rPr>
              <w:t>178.6</w:t>
            </w:r>
          </w:p>
        </w:tc>
        <w:tc>
          <w:tcPr>
            <w:tcW w:w="8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200.0</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140" w:type="dxa"/>
            <w:vAlign w:val="bottom"/>
          </w:tcPr>
          <w:p>
            <w:pPr>
              <w:spacing w:after="0"/>
              <w:rPr>
                <w:sz w:val="19"/>
                <w:szCs w:val="19"/>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color w:val="auto"/>
              </w:rPr>
              <w:t>159.4</w:t>
            </w:r>
          </w:p>
        </w:tc>
        <w:tc>
          <w:tcPr>
            <w:tcW w:w="420" w:type="dxa"/>
            <w:vAlign w:val="bottom"/>
          </w:tcPr>
          <w:p>
            <w:pPr>
              <w:spacing w:after="0"/>
              <w:rPr>
                <w:sz w:val="19"/>
                <w:szCs w:val="19"/>
                <w:color w:val="auto"/>
              </w:rPr>
            </w:pPr>
          </w:p>
        </w:tc>
        <w:tc>
          <w:tcPr>
            <w:tcW w:w="1420" w:type="dxa"/>
            <w:vAlign w:val="bottom"/>
          </w:tcPr>
          <w:p>
            <w:pPr>
              <w:jc w:val="right"/>
              <w:ind w:right="672"/>
              <w:spacing w:after="0"/>
              <w:rPr>
                <w:sz w:val="20"/>
                <w:szCs w:val="20"/>
                <w:color w:val="auto"/>
              </w:rPr>
            </w:pPr>
            <w:r>
              <w:rPr>
                <w:rFonts w:ascii="Arial" w:cs="Arial" w:eastAsia="Arial" w:hAnsi="Arial"/>
                <w:sz w:val="18"/>
                <w:szCs w:val="18"/>
                <w:color w:val="auto"/>
              </w:rPr>
              <w:t>159.3</w:t>
            </w:r>
          </w:p>
        </w:tc>
        <w:tc>
          <w:tcPr>
            <w:tcW w:w="84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980" w:type="dxa"/>
            <w:vAlign w:val="bottom"/>
          </w:tcPr>
          <w:p>
            <w:pPr>
              <w:spacing w:after="0"/>
              <w:rPr>
                <w:sz w:val="19"/>
                <w:szCs w:val="19"/>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rPr>
              <w:t>389.0</w:t>
            </w:r>
          </w:p>
        </w:tc>
        <w:tc>
          <w:tcPr>
            <w:tcW w:w="680" w:type="dxa"/>
            <w:vAlign w:val="bottom"/>
          </w:tcPr>
          <w:p>
            <w:pPr>
              <w:spacing w:after="0"/>
              <w:rPr>
                <w:sz w:val="19"/>
                <w:szCs w:val="19"/>
                <w:color w:val="auto"/>
              </w:rPr>
            </w:pPr>
          </w:p>
        </w:tc>
        <w:tc>
          <w:tcPr>
            <w:tcW w:w="1200" w:type="dxa"/>
            <w:vAlign w:val="bottom"/>
          </w:tcPr>
          <w:p>
            <w:pPr>
              <w:jc w:val="right"/>
              <w:ind w:right="572"/>
              <w:spacing w:after="0"/>
              <w:rPr>
                <w:sz w:val="20"/>
                <w:szCs w:val="20"/>
                <w:color w:val="auto"/>
              </w:rPr>
            </w:pPr>
            <w:r>
              <w:rPr>
                <w:rFonts w:ascii="Arial" w:cs="Arial" w:eastAsia="Arial" w:hAnsi="Arial"/>
                <w:sz w:val="18"/>
                <w:szCs w:val="18"/>
                <w:b w:val="1"/>
                <w:bCs w:val="1"/>
                <w:color w:val="auto"/>
              </w:rPr>
              <w:t>349.7</w:t>
            </w:r>
          </w:p>
        </w:tc>
        <w:tc>
          <w:tcPr>
            <w:tcW w:w="94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414.1</w:t>
            </w:r>
          </w:p>
        </w:tc>
        <w:tc>
          <w:tcPr>
            <w:tcW w:w="20" w:type="dxa"/>
            <w:vAlign w:val="bottom"/>
          </w:tcPr>
          <w:p>
            <w:pPr>
              <w:spacing w:after="0"/>
              <w:rPr>
                <w:sz w:val="19"/>
                <w:szCs w:val="19"/>
                <w:color w:val="auto"/>
              </w:rPr>
            </w:pPr>
          </w:p>
        </w:tc>
      </w:tr>
      <w:tr>
        <w:trPr>
          <w:trHeight w:val="365"/>
        </w:trPr>
        <w:tc>
          <w:tcPr>
            <w:tcW w:w="5400" w:type="dxa"/>
            <w:vAlign w:val="bottom"/>
          </w:tcPr>
          <w:p>
            <w:pPr>
              <w:spacing w:after="0"/>
              <w:rPr>
                <w:sz w:val="20"/>
                <w:szCs w:val="20"/>
                <w:color w:val="auto"/>
              </w:rPr>
            </w:pPr>
            <w:r>
              <w:rPr>
                <w:rFonts w:ascii="Arial" w:cs="Arial" w:eastAsia="Arial" w:hAnsi="Arial"/>
                <w:sz w:val="18"/>
                <w:szCs w:val="18"/>
                <w:color w:val="auto"/>
                <w:w w:val="93"/>
              </w:rPr>
              <w:t>Less lines of credit, short-term debt and current portion of long-term debt</w:t>
            </w:r>
          </w:p>
        </w:tc>
        <w:tc>
          <w:tcPr>
            <w:tcW w:w="98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(70.2)</w:t>
            </w:r>
          </w:p>
        </w:tc>
        <w:tc>
          <w:tcPr>
            <w:tcW w:w="680" w:type="dxa"/>
            <w:vAlign w:val="bottom"/>
          </w:tcPr>
          <w:p>
            <w:pPr>
              <w:spacing w:after="0"/>
              <w:rPr>
                <w:sz w:val="24"/>
                <w:szCs w:val="24"/>
                <w:color w:val="auto"/>
              </w:rPr>
            </w:pPr>
          </w:p>
        </w:tc>
        <w:tc>
          <w:tcPr>
            <w:tcW w:w="1200" w:type="dxa"/>
            <w:vAlign w:val="bottom"/>
          </w:tcPr>
          <w:p>
            <w:pPr>
              <w:jc w:val="right"/>
              <w:ind w:right="512"/>
              <w:spacing w:after="0"/>
              <w:rPr>
                <w:sz w:val="20"/>
                <w:szCs w:val="20"/>
                <w:color w:val="auto"/>
              </w:rPr>
            </w:pPr>
            <w:r>
              <w:rPr>
                <w:rFonts w:ascii="Arial" w:cs="Arial" w:eastAsia="Arial" w:hAnsi="Arial"/>
                <w:sz w:val="18"/>
                <w:szCs w:val="18"/>
                <w:color w:val="auto"/>
              </w:rPr>
              <w:t>(54.6)</w:t>
            </w:r>
          </w:p>
        </w:tc>
        <w:tc>
          <w:tcPr>
            <w:tcW w:w="940" w:type="dxa"/>
            <w:vAlign w:val="bottom"/>
          </w:tcPr>
          <w:p>
            <w:pPr>
              <w:spacing w:after="0"/>
              <w:rPr>
                <w:sz w:val="24"/>
                <w:szCs w:val="24"/>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4"/>
                <w:szCs w:val="24"/>
                <w:color w:val="auto"/>
              </w:rPr>
            </w:pPr>
          </w:p>
        </w:tc>
      </w:tr>
      <w:tr>
        <w:trPr>
          <w:trHeight w:val="259"/>
        </w:trPr>
        <w:tc>
          <w:tcPr>
            <w:tcW w:w="540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68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12"/>
              <w:spacing w:after="0"/>
              <w:rPr>
                <w:sz w:val="20"/>
                <w:szCs w:val="20"/>
                <w:color w:val="auto"/>
              </w:rPr>
            </w:pPr>
            <w:r>
              <w:rPr>
                <w:rFonts w:ascii="Arial" w:cs="Arial" w:eastAsia="Arial" w:hAnsi="Arial"/>
                <w:sz w:val="18"/>
                <w:szCs w:val="18"/>
                <w:b w:val="1"/>
                <w:bCs w:val="1"/>
                <w:color w:val="auto"/>
              </w:rPr>
              <w:t>318.8</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72"/>
              <w:spacing w:after="0"/>
              <w:rPr>
                <w:sz w:val="20"/>
                <w:szCs w:val="20"/>
                <w:color w:val="auto"/>
              </w:rPr>
            </w:pPr>
            <w:r>
              <w:rPr>
                <w:rFonts w:ascii="Arial" w:cs="Arial" w:eastAsia="Arial" w:hAnsi="Arial"/>
                <w:sz w:val="18"/>
                <w:szCs w:val="18"/>
                <w:b w:val="1"/>
                <w:bCs w:val="1"/>
                <w:color w:val="auto"/>
              </w:rPr>
              <w:t>295.1</w:t>
            </w: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330.8</w:t>
            </w:r>
          </w:p>
        </w:tc>
        <w:tc>
          <w:tcPr>
            <w:tcW w:w="20" w:type="dxa"/>
            <w:vAlign w:val="bottom"/>
          </w:tcPr>
          <w:p>
            <w:pPr>
              <w:spacing w:after="0"/>
              <w:rPr>
                <w:sz w:val="24"/>
                <w:szCs w:val="24"/>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5400" w:type="dxa"/>
            <w:vAlign w:val="bottom"/>
          </w:tcPr>
          <w:p>
            <w:pPr>
              <w:spacing w:after="0"/>
              <w:rPr>
                <w:sz w:val="24"/>
                <w:szCs w:val="24"/>
                <w:color w:val="auto"/>
              </w:rPr>
            </w:pPr>
          </w:p>
        </w:tc>
        <w:tc>
          <w:tcPr>
            <w:tcW w:w="980" w:type="dxa"/>
            <w:vAlign w:val="bottom"/>
          </w:tcPr>
          <w:p>
            <w:pPr>
              <w:jc w:val="right"/>
              <w:ind w:right="492"/>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4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November 30, 2008 for the remainder of fiscal 2009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591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Six-month period ending May 31:</w:t>
            </w: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2009</w:t>
            </w:r>
          </w:p>
        </w:tc>
        <w:tc>
          <w:tcPr>
            <w:tcW w:w="3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48.8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2010</w:t>
            </w:r>
          </w:p>
        </w:tc>
        <w:tc>
          <w:tcPr>
            <w:tcW w:w="30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42.8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2011</w:t>
            </w:r>
          </w:p>
        </w:tc>
        <w:tc>
          <w:tcPr>
            <w:tcW w:w="30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42.8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2012</w:t>
            </w:r>
          </w:p>
        </w:tc>
        <w:tc>
          <w:tcPr>
            <w:tcW w:w="30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42.8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2013</w:t>
            </w:r>
          </w:p>
        </w:tc>
        <w:tc>
          <w:tcPr>
            <w:tcW w:w="30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211.8</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300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110"/>
        </w:trPr>
        <w:tc>
          <w:tcPr>
            <w:tcW w:w="51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464"/>
        </w:trPr>
        <w:tc>
          <w:tcPr>
            <w:tcW w:w="51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30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389.0</w:t>
            </w:r>
          </w:p>
        </w:tc>
      </w:tr>
      <w:tr>
        <w:trPr>
          <w:trHeight w:val="110"/>
        </w:trPr>
        <w:tc>
          <w:tcPr>
            <w:tcW w:w="51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and was fully drawn on June 28, 2007 in connection with that transaction. The Term Loan, which may be prepaid at any time without penalty, requires quarterly principal payments of $10.7, with the first payment on December 31, 2007, and a final payment of $7.4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November 30, 2008, the applicable margin of the Term Loan was 0.875% and the applicable margin on the Revolving Loan was 0.700%. The Loan Agreement also provides for the payment of a facility fee ranging from 0.125% to 0.250% per annum on the Revolving Loan only, which at November 30, 2008 was 0.175%. As of November 30, 2008, the Term Loan had an outstanding balance of $157.2, at an interest rate of 4.7%.; at May 31, 2008 the Term Loan had an outstanding balance of $178.6 at an interest rate of 3.8%; and at November 30, 2007, the Term Loan had an outstanding balance of $200.0 at an interest rate of 5.9%. The Revolving Loan had an outstanding balance of $45.0 as of November 30, 2008 at an interest rate of 2.1%. There were no outstanding borrowings under the Revolving Loan as of May 31, 2008 or November 30, 2007. The Loan Agreement contains certain covenants, including interest coverage and leverage ratio tests and certain limitations on the amount of dividends and other distributions, and at November 30, 2008 the Company was in compliance with these covenants.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 In fiscal 2008, the Company repurchased $14.5 of the 5% Notes on the open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fourth quarter of fiscal 2008, the Company renewed unsecured money market bid rate credit lines totaling $50.0 that were originally entered into during the fourth quarter of fiscal 2007. There were no outstanding borrowings under these credit lines at November 30, 2008, May 31, 2008 and November 30, 2007. All loans made under these credit lines are at the sole discretion of the lender and at an interest rate and term, not to exceed 364 days, agreed to at the time each loan is made.</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November 30, 2008, the Company had various local currency credit lines, with maximum available borrowings in amounts equivalent to $65.2,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$27.4 at November 30, 2008 at a weighted average interest rate of 4.5%; $11.8 at May 31, 2008 at a weighted average interest rate of 6.4%; and $40.5 at November 30, 2007 at a weighted average interest rate of 7.0%.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(loss)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0" w:type="dxa"/>
            <w:vAlign w:val="bottom"/>
            <w:gridSpan w:val="3"/>
          </w:tcPr>
          <w:p>
            <w:pPr>
              <w:jc w:val="right"/>
              <w:ind w:right="32"/>
              <w:spacing w:after="0"/>
              <w:rPr>
                <w:sz w:val="20"/>
                <w:szCs w:val="20"/>
                <w:color w:val="auto"/>
              </w:rPr>
            </w:pPr>
            <w:r>
              <w:rPr>
                <w:rFonts w:ascii="Arial" w:cs="Arial" w:eastAsia="Arial" w:hAnsi="Arial"/>
                <w:sz w:val="18"/>
                <w:szCs w:val="18"/>
                <w:b w:val="1"/>
                <w:bCs w:val="1"/>
                <w:i w:val="1"/>
                <w:iCs w:val="1"/>
                <w:color w:val="auto"/>
              </w:rPr>
              <w:t>Three months ended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gridSpan w:val="3"/>
          </w:tcPr>
          <w:p>
            <w:pPr>
              <w:jc w:val="right"/>
              <w:ind w:right="692"/>
              <w:spacing w:after="0"/>
              <w:rPr>
                <w:sz w:val="20"/>
                <w:szCs w:val="20"/>
                <w:color w:val="auto"/>
              </w:rPr>
            </w:pPr>
            <w:r>
              <w:rPr>
                <w:rFonts w:ascii="Arial" w:cs="Arial" w:eastAsia="Arial" w:hAnsi="Arial"/>
                <w:sz w:val="18"/>
                <w:szCs w:val="18"/>
                <w:b w:val="1"/>
                <w:bCs w:val="1"/>
                <w:i w:val="1"/>
                <w:iCs w:val="1"/>
                <w:color w:val="auto"/>
              </w:rPr>
              <w:t>Six months ended</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19"/>
                <w:szCs w:val="19"/>
                <w:color w:val="auto"/>
              </w:rPr>
            </w:pPr>
          </w:p>
        </w:tc>
        <w:tc>
          <w:tcPr>
            <w:tcW w:w="3200" w:type="dxa"/>
            <w:vAlign w:val="bottom"/>
            <w:gridSpan w:val="3"/>
          </w:tcPr>
          <w:p>
            <w:pPr>
              <w:jc w:val="right"/>
              <w:ind w:right="272"/>
              <w:spacing w:after="0"/>
              <w:rPr>
                <w:sz w:val="20"/>
                <w:szCs w:val="20"/>
                <w:color w:val="auto"/>
              </w:rPr>
            </w:pPr>
            <w:r>
              <w:rPr>
                <w:rFonts w:ascii="Arial" w:cs="Arial" w:eastAsia="Arial" w:hAnsi="Arial"/>
                <w:sz w:val="18"/>
                <w:szCs w:val="18"/>
                <w:b w:val="1"/>
                <w:bCs w:val="1"/>
                <w:i w:val="1"/>
                <w:iCs w:val="1"/>
                <w:color w:val="auto"/>
              </w:rPr>
              <w:t>November 30,</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November 30,</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4"/>
                <w:szCs w:val="24"/>
                <w:color w:val="auto"/>
              </w:rPr>
            </w:pPr>
          </w:p>
        </w:tc>
        <w:tc>
          <w:tcPr>
            <w:tcW w:w="900" w:type="dxa"/>
            <w:vAlign w:val="bottom"/>
          </w:tcPr>
          <w:p>
            <w:pPr>
              <w:jc w:val="right"/>
              <w:ind w:right="432"/>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24"/>
                <w:szCs w:val="24"/>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18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8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w w:val="91"/>
              </w:rPr>
              <w:t>75.6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4"/>
                <w:szCs w:val="24"/>
                <w:color w:val="auto"/>
              </w:rPr>
            </w:pPr>
          </w:p>
        </w:tc>
      </w:tr>
      <w:tr>
        <w:trPr>
          <w:trHeight w:val="358"/>
        </w:trPr>
        <w:tc>
          <w:tcPr>
            <w:tcW w:w="49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9"/>
              </w:rPr>
              <w:t>(21.2)</w:t>
            </w:r>
          </w:p>
        </w:tc>
        <w:tc>
          <w:tcPr>
            <w:tcW w:w="82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22"/>
        </w:trPr>
        <w:tc>
          <w:tcPr>
            <w:tcW w:w="4960" w:type="dxa"/>
            <w:vAlign w:val="bottom"/>
          </w:tcPr>
          <w:p>
            <w:pPr>
              <w:ind w:left="160"/>
              <w:spacing w:after="0"/>
              <w:rPr>
                <w:sz w:val="20"/>
                <w:szCs w:val="20"/>
                <w:color w:val="auto"/>
              </w:rPr>
            </w:pPr>
            <w:r>
              <w:rPr>
                <w:rFonts w:ascii="Arial" w:cs="Arial" w:eastAsia="Arial" w:hAnsi="Arial"/>
                <w:sz w:val="18"/>
                <w:szCs w:val="18"/>
                <w:color w:val="auto"/>
              </w:rPr>
              <w:t>Retirement plans and post-retirement healthcare, net of tax</w:t>
            </w:r>
          </w:p>
        </w:tc>
        <w:tc>
          <w:tcPr>
            <w:tcW w:w="186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59"/>
        </w:trPr>
        <w:tc>
          <w:tcPr>
            <w:tcW w:w="4960" w:type="dxa"/>
            <w:vAlign w:val="bottom"/>
            <w:tcBorders>
              <w:bottom w:val="single" w:sz="8" w:color="808080"/>
            </w:tcBorders>
          </w:tcPr>
          <w:p>
            <w:pPr>
              <w:spacing w:after="0"/>
              <w:rPr>
                <w:sz w:val="22"/>
                <w:szCs w:val="22"/>
                <w:color w:val="auto"/>
              </w:rPr>
            </w:pPr>
          </w:p>
        </w:tc>
        <w:tc>
          <w:tcPr>
            <w:tcW w:w="18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90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 (loss)</w:t>
            </w:r>
          </w:p>
        </w:tc>
        <w:tc>
          <w:tcPr>
            <w:tcW w:w="18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8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w w:val="91"/>
              </w:rPr>
              <w:t>77.0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24"/>
                <w:szCs w:val="24"/>
                <w:color w:val="auto"/>
              </w:rPr>
            </w:pPr>
          </w:p>
        </w:tc>
      </w:tr>
      <w:tr>
        <w:trPr>
          <w:trHeight w:val="134"/>
        </w:trPr>
        <w:tc>
          <w:tcPr>
            <w:tcW w:w="49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960" w:type="dxa"/>
            <w:vAlign w:val="bottom"/>
          </w:tcPr>
          <w:p>
            <w:pPr>
              <w:spacing w:after="0"/>
              <w:rPr>
                <w:sz w:val="24"/>
                <w:szCs w:val="24"/>
                <w:color w:val="auto"/>
              </w:rPr>
            </w:pPr>
          </w:p>
        </w:tc>
        <w:tc>
          <w:tcPr>
            <w:tcW w:w="1860" w:type="dxa"/>
            <w:vAlign w:val="bottom"/>
          </w:tcPr>
          <w:p>
            <w:pPr>
              <w:jc w:val="right"/>
              <w:ind w:right="932"/>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-543560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-543560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-543560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-543560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-543560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-543560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-543560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-543560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-543560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-543560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-543560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-543560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Basic earnings (loss) per share is computed by dividing net earnings (loss) by the weighted average Shares of Class A Stock and Common Stock outstanding during the period. Diluted earnings (loss) per share is calculated to give effect to potentially dilutive options to purchase Class A and Common Stock and restricted stock units granted pursuant to the Company’s stock-based compensation plans that were outstanding during the period. In accordance with SFAS No. 128, “Earnings Per Share,” in a period in which the Company reports a discontinued operation, income (loss)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earnings (loss) per share computation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3"/>
          </w:tcPr>
          <w:p>
            <w:pPr>
              <w:jc w:val="right"/>
              <w:ind w:right="392"/>
              <w:spacing w:after="0"/>
              <w:rPr>
                <w:sz w:val="20"/>
                <w:szCs w:val="20"/>
                <w:color w:val="auto"/>
              </w:rPr>
            </w:pPr>
            <w:r>
              <w:rPr>
                <w:rFonts w:ascii="Arial" w:cs="Arial" w:eastAsia="Arial" w:hAnsi="Arial"/>
                <w:sz w:val="18"/>
                <w:szCs w:val="18"/>
                <w:b w:val="1"/>
                <w:bCs w:val="1"/>
                <w:i w:val="1"/>
                <w:iCs w:val="1"/>
                <w:color w:val="auto"/>
                <w:w w:val="88"/>
              </w:rPr>
              <w:t>Three months ended</w:t>
            </w:r>
          </w:p>
        </w:tc>
        <w:tc>
          <w:tcPr>
            <w:tcW w:w="300" w:type="dxa"/>
            <w:vAlign w:val="bottom"/>
          </w:tcPr>
          <w:p>
            <w:pPr>
              <w:spacing w:after="0"/>
              <w:rPr>
                <w:sz w:val="18"/>
                <w:szCs w:val="18"/>
                <w:color w:val="auto"/>
              </w:rPr>
            </w:pPr>
          </w:p>
        </w:tc>
        <w:tc>
          <w:tcPr>
            <w:tcW w:w="1840" w:type="dxa"/>
            <w:vAlign w:val="bottom"/>
            <w:gridSpan w:val="3"/>
          </w:tcPr>
          <w:p>
            <w:pPr>
              <w:jc w:val="right"/>
              <w:ind w:right="332"/>
              <w:spacing w:after="0"/>
              <w:rPr>
                <w:sz w:val="20"/>
                <w:szCs w:val="20"/>
                <w:color w:val="auto"/>
              </w:rPr>
            </w:pPr>
            <w:r>
              <w:rPr>
                <w:rFonts w:ascii="Arial" w:cs="Arial" w:eastAsia="Arial" w:hAnsi="Arial"/>
                <w:sz w:val="18"/>
                <w:szCs w:val="18"/>
                <w:b w:val="1"/>
                <w:bCs w:val="1"/>
                <w:i w:val="1"/>
                <w:iCs w:val="1"/>
                <w:color w:val="auto"/>
                <w:w w:val="90"/>
              </w:rPr>
              <w:t>Six months ended</w:t>
            </w:r>
          </w:p>
        </w:tc>
      </w:tr>
      <w:tr>
        <w:trPr>
          <w:trHeight w:val="222"/>
        </w:trPr>
        <w:tc>
          <w:tcPr>
            <w:tcW w:w="6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rPr>
              <w:t>November 30,</w:t>
            </w:r>
          </w:p>
        </w:tc>
        <w:tc>
          <w:tcPr>
            <w:tcW w:w="300" w:type="dxa"/>
            <w:vAlign w:val="bottom"/>
          </w:tcPr>
          <w:p>
            <w:pPr>
              <w:spacing w:after="0"/>
              <w:rPr>
                <w:sz w:val="19"/>
                <w:szCs w:val="19"/>
                <w:color w:val="auto"/>
              </w:rPr>
            </w:pPr>
          </w:p>
        </w:tc>
        <w:tc>
          <w:tcPr>
            <w:tcW w:w="1840" w:type="dxa"/>
            <w:vAlign w:val="bottom"/>
            <w:gridSpan w:val="3"/>
          </w:tcPr>
          <w:p>
            <w:pPr>
              <w:jc w:val="right"/>
              <w:ind w:right="47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6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64"/>
        </w:trPr>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Arial" w:cs="Arial" w:eastAsia="Arial" w:hAnsi="Arial"/>
                <w:sz w:val="18"/>
                <w:szCs w:val="18"/>
                <w:b w:val="1"/>
                <w:bCs w:val="1"/>
                <w:color w:val="auto"/>
                <w:w w:val="99"/>
              </w:rPr>
              <w:t>2008</w:t>
            </w:r>
          </w:p>
        </w:tc>
        <w:tc>
          <w:tcPr>
            <w:tcW w:w="32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2007</w:t>
            </w:r>
          </w:p>
        </w:tc>
      </w:tr>
      <w:tr>
        <w:trPr>
          <w:trHeight w:val="110"/>
        </w:trPr>
        <w:tc>
          <w:tcPr>
            <w:tcW w:w="6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458"/>
        </w:trPr>
        <w:tc>
          <w:tcPr>
            <w:tcW w:w="684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86.3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75.6</w:t>
            </w:r>
          </w:p>
        </w:tc>
        <w:tc>
          <w:tcPr>
            <w:tcW w:w="3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72.8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0"/>
              </w:rPr>
              <w:t>Weighted average Shares of Class A Stock and Common Stock outstanding for basic earnings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per share (in millions)</w:t>
            </w:r>
          </w:p>
        </w:tc>
        <w:tc>
          <w:tcPr>
            <w:tcW w:w="4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39.1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5"/>
              </w:rPr>
              <w:t>Dilutive effect of Class A Stock and Common Stock potentially issuable pursuant to stock-</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based compensation plans (in millions)</w:t>
            </w:r>
          </w:p>
        </w:tc>
        <w:tc>
          <w:tcPr>
            <w:tcW w:w="4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6"/>
              </w:rPr>
              <w:t>Adjusted weighted average Shares of Class A Stock and Common Stock outstanding for</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6840" w:type="dxa"/>
            <w:vAlign w:val="bottom"/>
          </w:tcPr>
          <w:p>
            <w:pPr>
              <w:ind w:left="160"/>
              <w:spacing w:after="0"/>
              <w:rPr>
                <w:sz w:val="20"/>
                <w:szCs w:val="20"/>
                <w:color w:val="auto"/>
              </w:rPr>
            </w:pPr>
            <w:r>
              <w:rPr>
                <w:rFonts w:ascii="Arial" w:cs="Arial" w:eastAsia="Arial" w:hAnsi="Arial"/>
                <w:sz w:val="18"/>
                <w:szCs w:val="18"/>
                <w:color w:val="auto"/>
              </w:rPr>
              <w:t>diluted earnings per share (in millions)</w:t>
            </w:r>
          </w:p>
        </w:tc>
        <w:tc>
          <w:tcPr>
            <w:tcW w:w="40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39.7</w:t>
            </w:r>
          </w:p>
        </w:tc>
      </w:tr>
      <w:tr>
        <w:trPr>
          <w:trHeight w:val="352"/>
        </w:trPr>
        <w:tc>
          <w:tcPr>
            <w:tcW w:w="684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Stock and Common Stock:</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6840" w:type="dxa"/>
            <w:vAlign w:val="bottom"/>
          </w:tcPr>
          <w:p>
            <w:pPr>
              <w:ind w:left="160"/>
              <w:spacing w:after="0"/>
              <w:rPr>
                <w:sz w:val="20"/>
                <w:szCs w:val="20"/>
                <w:color w:val="auto"/>
              </w:rPr>
            </w:pPr>
            <w:r>
              <w:rPr>
                <w:rFonts w:ascii="Arial" w:cs="Arial" w:eastAsia="Arial" w:hAnsi="Arial"/>
                <w:sz w:val="18"/>
                <w:szCs w:val="18"/>
                <w:b w:val="1"/>
                <w:bCs w:val="1"/>
                <w:color w:val="auto"/>
              </w:rPr>
              <w:t>Basic earnings (loss) per share:</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2.21</w:t>
            </w: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22"/>
        </w:trPr>
        <w:tc>
          <w:tcPr>
            <w:tcW w:w="6840" w:type="dxa"/>
            <w:vAlign w:val="bottom"/>
          </w:tcPr>
          <w:p>
            <w:pPr>
              <w:ind w:left="320"/>
              <w:spacing w:after="0"/>
              <w:rPr>
                <w:sz w:val="20"/>
                <w:szCs w:val="20"/>
                <w:color w:val="auto"/>
              </w:rPr>
            </w:pPr>
            <w:r>
              <w:rPr>
                <w:rFonts w:ascii="Arial" w:cs="Arial" w:eastAsia="Arial" w:hAnsi="Arial"/>
                <w:sz w:val="18"/>
                <w:szCs w:val="18"/>
                <w:color w:val="auto"/>
              </w:rPr>
              <w:t>Net earnings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1.86</w:t>
            </w:r>
          </w:p>
        </w:tc>
      </w:tr>
      <w:tr>
        <w:trPr>
          <w:trHeight w:val="358"/>
        </w:trPr>
        <w:tc>
          <w:tcPr>
            <w:tcW w:w="684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Earnings from continuing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2.17</w:t>
            </w: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(0.17)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22"/>
        </w:trPr>
        <w:tc>
          <w:tcPr>
            <w:tcW w:w="6840" w:type="dxa"/>
            <w:vAlign w:val="bottom"/>
          </w:tcPr>
          <w:p>
            <w:pPr>
              <w:ind w:left="320"/>
              <w:spacing w:after="0"/>
              <w:rPr>
                <w:sz w:val="20"/>
                <w:szCs w:val="20"/>
                <w:color w:val="auto"/>
              </w:rPr>
            </w:pPr>
            <w:r>
              <w:rPr>
                <w:rFonts w:ascii="Arial" w:cs="Arial" w:eastAsia="Arial" w:hAnsi="Arial"/>
                <w:sz w:val="18"/>
                <w:szCs w:val="18"/>
                <w:color w:val="auto"/>
              </w:rPr>
              <w:t>Net earnings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1.83</w:t>
            </w:r>
          </w:p>
        </w:tc>
      </w:tr>
      <w:tr>
        <w:trPr>
          <w:trHeight w:val="110"/>
        </w:trPr>
        <w:tc>
          <w:tcPr>
            <w:tcW w:w="6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2008, the Company repurchased 426,979 common shares for $5.9 pursuant to share buy-back programs authorized by the board of directors.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are reviewed for impairment annually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94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rPr>
              <w:t>Six months ended</w:t>
            </w:r>
          </w:p>
        </w:tc>
        <w:tc>
          <w:tcPr>
            <w:tcW w:w="236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Twelve months ended</w:t>
            </w:r>
          </w:p>
        </w:tc>
        <w:tc>
          <w:tcPr>
            <w:tcW w:w="21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2"/>
              </w:rPr>
              <w:t>Six months ended</w:t>
            </w:r>
          </w:p>
        </w:tc>
      </w:tr>
      <w:tr>
        <w:trPr>
          <w:trHeight w:val="216"/>
        </w:trPr>
        <w:tc>
          <w:tcPr>
            <w:tcW w:w="4020" w:type="dxa"/>
            <w:vAlign w:val="bottom"/>
          </w:tcPr>
          <w:p>
            <w:pPr>
              <w:spacing w:after="0"/>
              <w:rPr>
                <w:sz w:val="18"/>
                <w:szCs w:val="18"/>
                <w:color w:val="auto"/>
              </w:rPr>
            </w:pPr>
          </w:p>
        </w:tc>
        <w:tc>
          <w:tcPr>
            <w:tcW w:w="294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November 30, 2008</w:t>
            </w:r>
          </w:p>
        </w:tc>
        <w:tc>
          <w:tcPr>
            <w:tcW w:w="2360" w:type="dxa"/>
            <w:vAlign w:val="bottom"/>
          </w:tcPr>
          <w:p>
            <w:pPr>
              <w:jc w:val="right"/>
              <w:ind w:right="592"/>
              <w:spacing w:after="0"/>
              <w:rPr>
                <w:sz w:val="20"/>
                <w:szCs w:val="20"/>
                <w:color w:val="auto"/>
              </w:rPr>
            </w:pPr>
            <w:r>
              <w:rPr>
                <w:rFonts w:ascii="Arial" w:cs="Arial" w:eastAsia="Arial" w:hAnsi="Arial"/>
                <w:sz w:val="18"/>
                <w:szCs w:val="18"/>
                <w:b w:val="1"/>
                <w:bCs w:val="1"/>
                <w:i w:val="1"/>
                <w:iCs w:val="1"/>
                <w:color w:val="auto"/>
              </w:rPr>
              <w:t>May 31, 2008</w:t>
            </w:r>
          </w:p>
        </w:tc>
        <w:tc>
          <w:tcPr>
            <w:tcW w:w="21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November 30, 2007</w:t>
            </w:r>
          </w:p>
        </w:tc>
      </w:tr>
      <w:tr>
        <w:trPr>
          <w:trHeight w:val="222"/>
        </w:trPr>
        <w:tc>
          <w:tcPr>
            <w:tcW w:w="4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(Restated)</w:t>
            </w:r>
          </w:p>
        </w:tc>
      </w:tr>
      <w:tr>
        <w:trPr>
          <w:trHeight w:val="110"/>
        </w:trPr>
        <w:tc>
          <w:tcPr>
            <w:tcW w:w="402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r>
      <w:tr>
        <w:trPr>
          <w:trHeight w:val="458"/>
        </w:trPr>
        <w:tc>
          <w:tcPr>
            <w:tcW w:w="4020" w:type="dxa"/>
            <w:vAlign w:val="bottom"/>
          </w:tcPr>
          <w:p>
            <w:pPr>
              <w:spacing w:after="0"/>
              <w:rPr>
                <w:sz w:val="20"/>
                <w:szCs w:val="20"/>
                <w:color w:val="auto"/>
              </w:rPr>
            </w:pPr>
            <w:r>
              <w:rPr>
                <w:rFonts w:ascii="Arial" w:cs="Arial" w:eastAsia="Arial" w:hAnsi="Arial"/>
                <w:sz w:val="18"/>
                <w:szCs w:val="18"/>
                <w:color w:val="auto"/>
              </w:rPr>
              <w:t>Beginning balance</w:t>
            </w:r>
          </w:p>
        </w:tc>
        <w:tc>
          <w:tcPr>
            <w:tcW w:w="2940" w:type="dxa"/>
            <w:vAlign w:val="bottom"/>
          </w:tcPr>
          <w:p>
            <w:pPr>
              <w:jc w:val="right"/>
              <w:ind w:right="792"/>
              <w:spacing w:after="0"/>
              <w:rPr>
                <w:sz w:val="20"/>
                <w:szCs w:val="20"/>
                <w:color w:val="auto"/>
              </w:rPr>
            </w:pPr>
            <w:r>
              <w:rPr>
                <w:rFonts w:ascii="Arial" w:cs="Arial" w:eastAsia="Arial" w:hAnsi="Arial"/>
                <w:sz w:val="18"/>
                <w:szCs w:val="18"/>
                <w:color w:val="auto"/>
              </w:rPr>
              <w:t>$ 172.3</w:t>
            </w:r>
          </w:p>
        </w:tc>
        <w:tc>
          <w:tcPr>
            <w:tcW w:w="2360" w:type="dxa"/>
            <w:vAlign w:val="bottom"/>
          </w:tcPr>
          <w:p>
            <w:pPr>
              <w:jc w:val="right"/>
              <w:ind w:right="852"/>
              <w:spacing w:after="0"/>
              <w:rPr>
                <w:sz w:val="20"/>
                <w:szCs w:val="20"/>
                <w:color w:val="auto"/>
              </w:rPr>
            </w:pPr>
            <w:r>
              <w:rPr>
                <w:rFonts w:ascii="Arial" w:cs="Arial" w:eastAsia="Arial" w:hAnsi="Arial"/>
                <w:sz w:val="18"/>
                <w:szCs w:val="18"/>
                <w:color w:val="auto"/>
              </w:rPr>
              <w:t>$ 173.5</w:t>
            </w:r>
          </w:p>
        </w:tc>
        <w:tc>
          <w:tcPr>
            <w:tcW w:w="2120" w:type="dxa"/>
            <w:vAlign w:val="bottom"/>
          </w:tcPr>
          <w:p>
            <w:pPr>
              <w:jc w:val="right"/>
              <w:ind w:right="712"/>
              <w:spacing w:after="0"/>
              <w:rPr>
                <w:sz w:val="20"/>
                <w:szCs w:val="20"/>
                <w:color w:val="auto"/>
              </w:rPr>
            </w:pPr>
            <w:r>
              <w:rPr>
                <w:rFonts w:ascii="Arial" w:cs="Arial" w:eastAsia="Arial" w:hAnsi="Arial"/>
                <w:sz w:val="18"/>
                <w:szCs w:val="18"/>
                <w:color w:val="auto"/>
              </w:rPr>
              <w:t>$ 173.5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Purchase accounting adjustment</w:t>
            </w:r>
          </w:p>
        </w:tc>
        <w:tc>
          <w:tcPr>
            <w:tcW w:w="29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652"/>
              <w:spacing w:after="0"/>
              <w:rPr>
                <w:sz w:val="20"/>
                <w:szCs w:val="20"/>
                <w:color w:val="auto"/>
              </w:rPr>
            </w:pPr>
            <w:r>
              <w:rPr>
                <w:rFonts w:ascii="Arial" w:cs="Arial" w:eastAsia="Arial" w:hAnsi="Arial"/>
                <w:sz w:val="18"/>
                <w:szCs w:val="18"/>
                <w:color w:val="auto"/>
              </w:rPr>
              <w:t>(1.3)</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940" w:type="dxa"/>
            <w:vAlign w:val="bottom"/>
          </w:tcPr>
          <w:p>
            <w:pPr>
              <w:jc w:val="right"/>
              <w:ind w:right="732"/>
              <w:spacing w:after="0"/>
              <w:rPr>
                <w:sz w:val="20"/>
                <w:szCs w:val="20"/>
                <w:color w:val="auto"/>
              </w:rPr>
            </w:pPr>
            <w:r>
              <w:rPr>
                <w:rFonts w:ascii="Arial" w:cs="Arial" w:eastAsia="Arial" w:hAnsi="Arial"/>
                <w:sz w:val="18"/>
                <w:szCs w:val="18"/>
                <w:color w:val="auto"/>
              </w:rPr>
              <w:t>(4.7)</w:t>
            </w:r>
          </w:p>
        </w:tc>
        <w:tc>
          <w:tcPr>
            <w:tcW w:w="2360" w:type="dxa"/>
            <w:vAlign w:val="bottom"/>
          </w:tcPr>
          <w:p>
            <w:pPr>
              <w:jc w:val="right"/>
              <w:ind w:right="792"/>
              <w:spacing w:after="0"/>
              <w:rPr>
                <w:sz w:val="20"/>
                <w:szCs w:val="20"/>
                <w:color w:val="auto"/>
              </w:rPr>
            </w:pPr>
            <w:r>
              <w:rPr>
                <w:rFonts w:ascii="Arial" w:cs="Arial" w:eastAsia="Arial" w:hAnsi="Arial"/>
                <w:sz w:val="18"/>
                <w:szCs w:val="18"/>
                <w:color w:val="auto"/>
              </w:rPr>
              <w:t>(1.2)</w:t>
            </w:r>
          </w:p>
        </w:tc>
        <w:tc>
          <w:tcPr>
            <w:tcW w:w="2120" w:type="dxa"/>
            <w:vAlign w:val="bottom"/>
          </w:tcPr>
          <w:p>
            <w:pPr>
              <w:jc w:val="right"/>
              <w:ind w:right="712"/>
              <w:spacing w:after="0"/>
              <w:rPr>
                <w:sz w:val="20"/>
                <w:szCs w:val="20"/>
                <w:color w:val="auto"/>
              </w:rPr>
            </w:pPr>
            <w:r>
              <w:rPr>
                <w:rFonts w:ascii="Arial" w:cs="Arial" w:eastAsia="Arial" w:hAnsi="Arial"/>
                <w:sz w:val="18"/>
                <w:szCs w:val="18"/>
                <w:color w:val="auto"/>
              </w:rPr>
              <w:t>0.7</w:t>
            </w:r>
          </w:p>
        </w:tc>
      </w:tr>
      <w:tr>
        <w:trPr>
          <w:trHeight w:val="110"/>
        </w:trPr>
        <w:tc>
          <w:tcPr>
            <w:tcW w:w="402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r>
      <w:tr>
        <w:trPr>
          <w:trHeight w:val="316"/>
        </w:trPr>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940" w:type="dxa"/>
            <w:vAlign w:val="bottom"/>
          </w:tcPr>
          <w:p>
            <w:pPr>
              <w:jc w:val="right"/>
              <w:ind w:right="792"/>
              <w:spacing w:after="0"/>
              <w:rPr>
                <w:sz w:val="20"/>
                <w:szCs w:val="20"/>
                <w:color w:val="auto"/>
              </w:rPr>
            </w:pPr>
            <w:r>
              <w:rPr>
                <w:rFonts w:ascii="Arial" w:cs="Arial" w:eastAsia="Arial" w:hAnsi="Arial"/>
                <w:sz w:val="18"/>
                <w:szCs w:val="18"/>
                <w:b w:val="1"/>
                <w:bCs w:val="1"/>
                <w:color w:val="auto"/>
              </w:rPr>
              <w:t>$ 167.6</w:t>
            </w:r>
          </w:p>
        </w:tc>
        <w:tc>
          <w:tcPr>
            <w:tcW w:w="2360" w:type="dxa"/>
            <w:vAlign w:val="bottom"/>
          </w:tcPr>
          <w:p>
            <w:pPr>
              <w:jc w:val="right"/>
              <w:ind w:right="852"/>
              <w:spacing w:after="0"/>
              <w:rPr>
                <w:sz w:val="20"/>
                <w:szCs w:val="20"/>
                <w:color w:val="auto"/>
              </w:rPr>
            </w:pPr>
            <w:r>
              <w:rPr>
                <w:rFonts w:ascii="Arial" w:cs="Arial" w:eastAsia="Arial" w:hAnsi="Arial"/>
                <w:sz w:val="18"/>
                <w:szCs w:val="18"/>
                <w:b w:val="1"/>
                <w:bCs w:val="1"/>
                <w:color w:val="auto"/>
              </w:rPr>
              <w:t>$ 172.3</w:t>
            </w:r>
          </w:p>
        </w:tc>
        <w:tc>
          <w:tcPr>
            <w:tcW w:w="2120" w:type="dxa"/>
            <w:vAlign w:val="bottom"/>
          </w:tcPr>
          <w:p>
            <w:pPr>
              <w:jc w:val="right"/>
              <w:ind w:right="712"/>
              <w:spacing w:after="0"/>
              <w:rPr>
                <w:sz w:val="20"/>
                <w:szCs w:val="20"/>
                <w:color w:val="auto"/>
              </w:rPr>
            </w:pPr>
            <w:r>
              <w:rPr>
                <w:rFonts w:ascii="Arial" w:cs="Arial" w:eastAsia="Arial" w:hAnsi="Arial"/>
                <w:sz w:val="18"/>
                <w:szCs w:val="18"/>
                <w:b w:val="1"/>
                <w:bCs w:val="1"/>
                <w:color w:val="auto"/>
              </w:rPr>
              <w:t>$ 172.9</w:t>
            </w:r>
          </w:p>
        </w:tc>
      </w:tr>
      <w:tr>
        <w:trPr>
          <w:trHeight w:val="110"/>
        </w:trPr>
        <w:tc>
          <w:tcPr>
            <w:tcW w:w="402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3580" w:type="dxa"/>
            <w:vAlign w:val="bottom"/>
            <w:gridSpan w:val="2"/>
          </w:tcPr>
          <w:p>
            <w:pPr>
              <w:jc w:val="right"/>
              <w:ind w:right="452"/>
              <w:spacing w:after="0"/>
              <w:rPr>
                <w:sz w:val="20"/>
                <w:szCs w:val="20"/>
                <w:color w:val="auto"/>
              </w:rPr>
            </w:pPr>
            <w:r>
              <w:rPr>
                <w:rFonts w:ascii="Arial" w:cs="Arial" w:eastAsia="Arial" w:hAnsi="Arial"/>
                <w:sz w:val="18"/>
                <w:szCs w:val="18"/>
                <w:b w:val="1"/>
                <w:bCs w:val="1"/>
                <w:i w:val="1"/>
                <w:iCs w:val="1"/>
                <w:color w:val="auto"/>
              </w:rPr>
              <w:t>November 30, 2008</w:t>
            </w:r>
          </w:p>
        </w:tc>
        <w:tc>
          <w:tcPr>
            <w:tcW w:w="2080" w:type="dxa"/>
            <w:vAlign w:val="bottom"/>
            <w:gridSpan w:val="2"/>
          </w:tcPr>
          <w:p>
            <w:pPr>
              <w:jc w:val="right"/>
              <w:ind w:right="452"/>
              <w:spacing w:after="0"/>
              <w:rPr>
                <w:sz w:val="20"/>
                <w:szCs w:val="20"/>
                <w:color w:val="auto"/>
              </w:rPr>
            </w:pPr>
            <w:r>
              <w:rPr>
                <w:rFonts w:ascii="Arial" w:cs="Arial" w:eastAsia="Arial" w:hAnsi="Arial"/>
                <w:sz w:val="18"/>
                <w:szCs w:val="18"/>
                <w:b w:val="1"/>
                <w:bCs w:val="1"/>
                <w:i w:val="1"/>
                <w:iCs w:val="1"/>
                <w:color w:val="auto"/>
              </w:rPr>
              <w:t>May 31, 2008</w:t>
            </w:r>
          </w:p>
        </w:tc>
        <w:tc>
          <w:tcPr>
            <w:tcW w:w="226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November 30, 2007</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58"/>
        </w:trPr>
        <w:tc>
          <w:tcPr>
            <w:tcW w:w="3520" w:type="dxa"/>
            <w:vAlign w:val="bottom"/>
          </w:tcPr>
          <w:p>
            <w:pPr>
              <w:spacing w:after="0"/>
              <w:rPr>
                <w:sz w:val="20"/>
                <w:szCs w:val="20"/>
                <w:color w:val="auto"/>
              </w:rPr>
            </w:pPr>
            <w:r>
              <w:rPr>
                <w:rFonts w:ascii="Arial" w:cs="Arial" w:eastAsia="Arial" w:hAnsi="Arial"/>
                <w:sz w:val="18"/>
                <w:szCs w:val="18"/>
                <w:color w:val="auto"/>
              </w:rPr>
              <w:t>Customer lists</w:t>
            </w:r>
          </w:p>
        </w:tc>
        <w:tc>
          <w:tcPr>
            <w:tcW w:w="2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2"/>
              <w:spacing w:after="0"/>
              <w:rPr>
                <w:sz w:val="20"/>
                <w:szCs w:val="20"/>
                <w:color w:val="auto"/>
              </w:rPr>
            </w:pPr>
            <w:r>
              <w:rPr>
                <w:rFonts w:ascii="Arial" w:cs="Arial" w:eastAsia="Arial" w:hAnsi="Arial"/>
                <w:sz w:val="18"/>
                <w:szCs w:val="18"/>
                <w:color w:val="auto"/>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1.0</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0" w:type="dxa"/>
            <w:vAlign w:val="bottom"/>
          </w:tcPr>
          <w:p>
            <w:pPr>
              <w:spacing w:after="0"/>
              <w:rPr>
                <w:sz w:val="19"/>
                <w:szCs w:val="19"/>
                <w:color w:val="auto"/>
              </w:rPr>
            </w:pPr>
          </w:p>
        </w:tc>
        <w:tc>
          <w:tcPr>
            <w:tcW w:w="1380" w:type="dxa"/>
            <w:vAlign w:val="bottom"/>
          </w:tcPr>
          <w:p>
            <w:pPr>
              <w:jc w:val="right"/>
              <w:ind w:right="872"/>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9"/>
                <w:szCs w:val="19"/>
                <w:color w:val="auto"/>
              </w:rPr>
            </w:pPr>
          </w:p>
        </w:tc>
        <w:tc>
          <w:tcPr>
            <w:tcW w:w="1160" w:type="dxa"/>
            <w:vAlign w:val="bottom"/>
          </w:tcPr>
          <w:p>
            <w:pPr>
              <w:jc w:val="right"/>
              <w:ind w:right="652"/>
              <w:spacing w:after="0"/>
              <w:rPr>
                <w:sz w:val="20"/>
                <w:szCs w:val="20"/>
                <w:color w:val="auto"/>
              </w:rPr>
            </w:pPr>
            <w:r>
              <w:rPr>
                <w:rFonts w:ascii="Arial" w:cs="Arial" w:eastAsia="Arial" w:hAnsi="Arial"/>
                <w:sz w:val="18"/>
                <w:szCs w:val="18"/>
                <w:color w:val="auto"/>
              </w:rPr>
              <w:t>(0.8)</w:t>
            </w:r>
          </w:p>
        </w:tc>
        <w:tc>
          <w:tcPr>
            <w:tcW w:w="1100" w:type="dxa"/>
            <w:vAlign w:val="bottom"/>
          </w:tcPr>
          <w:p>
            <w:pPr>
              <w:spacing w:after="0"/>
              <w:rPr>
                <w:sz w:val="19"/>
                <w:szCs w:val="19"/>
                <w:color w:val="auto"/>
              </w:rPr>
            </w:pPr>
          </w:p>
        </w:tc>
        <w:tc>
          <w:tcPr>
            <w:tcW w:w="1160" w:type="dxa"/>
            <w:vAlign w:val="bottom"/>
          </w:tcPr>
          <w:p>
            <w:pPr>
              <w:jc w:val="right"/>
              <w:ind w:right="652"/>
              <w:spacing w:after="0"/>
              <w:rPr>
                <w:sz w:val="20"/>
                <w:szCs w:val="20"/>
                <w:color w:val="auto"/>
              </w:rPr>
            </w:pPr>
            <w:r>
              <w:rPr>
                <w:rFonts w:ascii="Arial" w:cs="Arial" w:eastAsia="Arial" w:hAnsi="Arial"/>
                <w:sz w:val="18"/>
                <w:szCs w:val="18"/>
                <w:color w:val="auto"/>
              </w:rPr>
              <w:t>(0.7)</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64"/>
        </w:trPr>
        <w:tc>
          <w:tcPr>
            <w:tcW w:w="3520" w:type="dxa"/>
            <w:vAlign w:val="bottom"/>
          </w:tcPr>
          <w:p>
            <w:pPr>
              <w:ind w:left="160"/>
              <w:spacing w:after="0"/>
              <w:rPr>
                <w:sz w:val="20"/>
                <w:szCs w:val="20"/>
                <w:color w:val="auto"/>
              </w:rPr>
            </w:pPr>
            <w:r>
              <w:rPr>
                <w:rFonts w:ascii="Arial" w:cs="Arial" w:eastAsia="Arial" w:hAnsi="Arial"/>
                <w:sz w:val="18"/>
                <w:szCs w:val="18"/>
                <w:color w:val="auto"/>
              </w:rPr>
              <w:t>Net customer lists</w:t>
            </w:r>
          </w:p>
        </w:tc>
        <w:tc>
          <w:tcPr>
            <w:tcW w:w="2200" w:type="dxa"/>
            <w:vAlign w:val="bottom"/>
          </w:tcPr>
          <w:p>
            <w:pPr>
              <w:spacing w:after="0"/>
              <w:rPr>
                <w:sz w:val="24"/>
                <w:szCs w:val="24"/>
                <w:color w:val="auto"/>
              </w:rPr>
            </w:pPr>
          </w:p>
        </w:tc>
        <w:tc>
          <w:tcPr>
            <w:tcW w:w="1380" w:type="dxa"/>
            <w:vAlign w:val="bottom"/>
          </w:tcPr>
          <w:p>
            <w:pPr>
              <w:jc w:val="right"/>
              <w:ind w:right="932"/>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0.2</w:t>
            </w:r>
          </w:p>
        </w:tc>
        <w:tc>
          <w:tcPr>
            <w:tcW w:w="110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0.3</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58"/>
        </w:trPr>
        <w:tc>
          <w:tcPr>
            <w:tcW w:w="3520" w:type="dxa"/>
            <w:vAlign w:val="bottom"/>
          </w:tcPr>
          <w:p>
            <w:pPr>
              <w:spacing w:after="0"/>
              <w:rPr>
                <w:sz w:val="20"/>
                <w:szCs w:val="20"/>
                <w:color w:val="auto"/>
              </w:rPr>
            </w:pPr>
            <w:r>
              <w:rPr>
                <w:rFonts w:ascii="Arial" w:cs="Arial" w:eastAsia="Arial" w:hAnsi="Arial"/>
                <w:sz w:val="18"/>
                <w:szCs w:val="18"/>
                <w:color w:val="auto"/>
              </w:rPr>
              <w:t>Other intangibles</w:t>
            </w:r>
          </w:p>
        </w:tc>
        <w:tc>
          <w:tcPr>
            <w:tcW w:w="2200" w:type="dxa"/>
            <w:vAlign w:val="bottom"/>
          </w:tcPr>
          <w:p>
            <w:pPr>
              <w:spacing w:after="0"/>
              <w:rPr>
                <w:sz w:val="24"/>
                <w:szCs w:val="24"/>
                <w:color w:val="auto"/>
              </w:rPr>
            </w:pPr>
          </w:p>
        </w:tc>
        <w:tc>
          <w:tcPr>
            <w:tcW w:w="1380" w:type="dxa"/>
            <w:vAlign w:val="bottom"/>
          </w:tcPr>
          <w:p>
            <w:pPr>
              <w:jc w:val="right"/>
              <w:ind w:right="932"/>
              <w:spacing w:after="0"/>
              <w:rPr>
                <w:sz w:val="20"/>
                <w:szCs w:val="20"/>
                <w:color w:val="auto"/>
              </w:rPr>
            </w:pPr>
            <w:r>
              <w:rPr>
                <w:rFonts w:ascii="Arial" w:cs="Arial" w:eastAsia="Arial" w:hAnsi="Arial"/>
                <w:sz w:val="18"/>
                <w:szCs w:val="18"/>
                <w:color w:val="auto"/>
              </w:rPr>
              <w:t>8.7</w:t>
            </w:r>
          </w:p>
        </w:tc>
        <w:tc>
          <w:tcPr>
            <w:tcW w:w="92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8.7</w:t>
            </w:r>
          </w:p>
        </w:tc>
        <w:tc>
          <w:tcPr>
            <w:tcW w:w="110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4.1</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0" w:type="dxa"/>
            <w:vAlign w:val="bottom"/>
          </w:tcPr>
          <w:p>
            <w:pPr>
              <w:spacing w:after="0"/>
              <w:rPr>
                <w:sz w:val="19"/>
                <w:szCs w:val="19"/>
                <w:color w:val="auto"/>
              </w:rPr>
            </w:pPr>
          </w:p>
        </w:tc>
        <w:tc>
          <w:tcPr>
            <w:tcW w:w="1380" w:type="dxa"/>
            <w:vAlign w:val="bottom"/>
          </w:tcPr>
          <w:p>
            <w:pPr>
              <w:jc w:val="right"/>
              <w:ind w:right="872"/>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19"/>
                <w:szCs w:val="19"/>
                <w:color w:val="auto"/>
              </w:rPr>
            </w:pPr>
          </w:p>
        </w:tc>
        <w:tc>
          <w:tcPr>
            <w:tcW w:w="1160" w:type="dxa"/>
            <w:vAlign w:val="bottom"/>
          </w:tcPr>
          <w:p>
            <w:pPr>
              <w:jc w:val="right"/>
              <w:ind w:right="652"/>
              <w:spacing w:after="0"/>
              <w:rPr>
                <w:sz w:val="20"/>
                <w:szCs w:val="20"/>
                <w:color w:val="auto"/>
              </w:rPr>
            </w:pPr>
            <w:r>
              <w:rPr>
                <w:rFonts w:ascii="Arial" w:cs="Arial" w:eastAsia="Arial" w:hAnsi="Arial"/>
                <w:sz w:val="18"/>
                <w:szCs w:val="18"/>
                <w:color w:val="auto"/>
              </w:rPr>
              <w:t>(5.4)</w:t>
            </w:r>
          </w:p>
        </w:tc>
        <w:tc>
          <w:tcPr>
            <w:tcW w:w="1100" w:type="dxa"/>
            <w:vAlign w:val="bottom"/>
          </w:tcPr>
          <w:p>
            <w:pPr>
              <w:spacing w:after="0"/>
              <w:rPr>
                <w:sz w:val="19"/>
                <w:szCs w:val="19"/>
                <w:color w:val="auto"/>
              </w:rPr>
            </w:pPr>
          </w:p>
        </w:tc>
        <w:tc>
          <w:tcPr>
            <w:tcW w:w="1160" w:type="dxa"/>
            <w:vAlign w:val="bottom"/>
          </w:tcPr>
          <w:p>
            <w:pPr>
              <w:jc w:val="right"/>
              <w:ind w:right="652"/>
              <w:spacing w:after="0"/>
              <w:rPr>
                <w:sz w:val="20"/>
                <w:szCs w:val="20"/>
                <w:color w:val="auto"/>
              </w:rPr>
            </w:pPr>
            <w:r>
              <w:rPr>
                <w:rFonts w:ascii="Arial" w:cs="Arial" w:eastAsia="Arial" w:hAnsi="Arial"/>
                <w:sz w:val="18"/>
                <w:szCs w:val="18"/>
                <w:color w:val="auto"/>
              </w:rPr>
              <w:t>(3.1)</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64"/>
        </w:trPr>
        <w:tc>
          <w:tcPr>
            <w:tcW w:w="3520" w:type="dxa"/>
            <w:vAlign w:val="bottom"/>
          </w:tcPr>
          <w:p>
            <w:pPr>
              <w:ind w:left="160"/>
              <w:spacing w:after="0"/>
              <w:rPr>
                <w:sz w:val="20"/>
                <w:szCs w:val="20"/>
                <w:color w:val="auto"/>
              </w:rPr>
            </w:pPr>
            <w:r>
              <w:rPr>
                <w:rFonts w:ascii="Arial" w:cs="Arial" w:eastAsia="Arial" w:hAnsi="Arial"/>
                <w:sz w:val="18"/>
                <w:szCs w:val="18"/>
                <w:color w:val="auto"/>
              </w:rPr>
              <w:t>Net other intangibles</w:t>
            </w:r>
          </w:p>
        </w:tc>
        <w:tc>
          <w:tcPr>
            <w:tcW w:w="2200" w:type="dxa"/>
            <w:vAlign w:val="bottom"/>
          </w:tcPr>
          <w:p>
            <w:pPr>
              <w:spacing w:after="0"/>
              <w:rPr>
                <w:sz w:val="24"/>
                <w:szCs w:val="24"/>
                <w:color w:val="auto"/>
              </w:rPr>
            </w:pPr>
          </w:p>
        </w:tc>
        <w:tc>
          <w:tcPr>
            <w:tcW w:w="1380" w:type="dxa"/>
            <w:vAlign w:val="bottom"/>
          </w:tcPr>
          <w:p>
            <w:pPr>
              <w:jc w:val="right"/>
              <w:ind w:right="932"/>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3.3</w:t>
            </w:r>
          </w:p>
        </w:tc>
        <w:tc>
          <w:tcPr>
            <w:tcW w:w="110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1.0</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464"/>
        </w:trPr>
        <w:tc>
          <w:tcPr>
            <w:tcW w:w="3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932"/>
              <w:spacing w:after="0"/>
              <w:rPr>
                <w:sz w:val="20"/>
                <w:szCs w:val="20"/>
                <w:color w:val="auto"/>
              </w:rPr>
            </w:pPr>
            <w:r>
              <w:rPr>
                <w:rFonts w:ascii="Arial" w:cs="Arial" w:eastAsia="Arial" w:hAnsi="Arial"/>
                <w:sz w:val="18"/>
                <w:szCs w:val="18"/>
                <w:b w:val="1"/>
                <w:bCs w:val="1"/>
                <w:color w:val="auto"/>
              </w:rPr>
              <w:t>3.1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b w:val="1"/>
                <w:bCs w:val="1"/>
                <w:color w:val="auto"/>
              </w:rPr>
              <w:t>3.5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b w:val="1"/>
                <w:bCs w:val="1"/>
                <w:color w:val="auto"/>
              </w:rPr>
              <w:t>1.3</w:t>
            </w:r>
          </w:p>
        </w:tc>
      </w:tr>
      <w:tr>
        <w:trPr>
          <w:trHeight w:val="110"/>
        </w:trPr>
        <w:tc>
          <w:tcPr>
            <w:tcW w:w="3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During the fourth quarter of fiscal 2008 the Company reviewed its intangible assets with indefinite lives and determined that certain intangible assets not previously subject to amortization should begin being amortized as of that fiscal period. Accordingly, approximately $4.6 of Other intangibles reported as not subject to amortization as of November 30, 2007 are reported as Other intangibles subject to amortization as of November 30, 2008 and May 31, 2008. This reclassification was based on the Company’s analysis of the cash flows related to these assets.</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Amortization expense for Other intangibles totaled $0.3 and $0.2 for the six month periods ended November 30, 2008 and 2007, and $2.5 for the twelve months ended May 31, 2008. Amortization expense for these assets is currently estimated to total $0.6 for the fiscal years ending May 31, 2009 through 2011 and $0.5 for the fiscal years ending May 31, 2012 and 2013. Intangible assets with definite lives consist principally of customer lists and covenants not to compete. Intangible assets with definite lives are amortized over their estimated useful lives. There were no impairments in the current period.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19"/>
                <w:szCs w:val="19"/>
                <w:color w:val="auto"/>
              </w:rPr>
            </w:pPr>
          </w:p>
        </w:tc>
        <w:tc>
          <w:tcPr>
            <w:tcW w:w="358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November 30, 2008</w:t>
            </w:r>
          </w:p>
        </w:tc>
        <w:tc>
          <w:tcPr>
            <w:tcW w:w="158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May 31, 2008</w:t>
            </w:r>
          </w:p>
        </w:tc>
        <w:tc>
          <w:tcPr>
            <w:tcW w:w="19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November 30, 2007</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430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8"/>
                <w:szCs w:val="18"/>
                <w:color w:val="auto"/>
              </w:rPr>
              <w:t>Titles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28.7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32"/>
              <w:spacing w:after="0"/>
              <w:rPr>
                <w:sz w:val="20"/>
                <w:szCs w:val="20"/>
                <w:color w:val="auto"/>
              </w:rPr>
            </w:pPr>
            <w:r>
              <w:rPr>
                <w:rFonts w:ascii="Arial" w:cs="Arial" w:eastAsia="Arial" w:hAnsi="Arial"/>
                <w:sz w:val="18"/>
                <w:szCs w:val="18"/>
                <w:color w:val="auto"/>
              </w:rPr>
              <w:t>28.7</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31.0</w:t>
            </w:r>
          </w:p>
        </w:tc>
      </w:tr>
      <w:tr>
        <w:trPr>
          <w:trHeight w:val="222"/>
        </w:trPr>
        <w:tc>
          <w:tcPr>
            <w:tcW w:w="430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540" w:type="dxa"/>
            <w:vAlign w:val="bottom"/>
          </w:tcPr>
          <w:p>
            <w:pPr>
              <w:spacing w:after="0"/>
              <w:rPr>
                <w:sz w:val="19"/>
                <w:szCs w:val="19"/>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15.3</w:t>
            </w:r>
          </w:p>
        </w:tc>
        <w:tc>
          <w:tcPr>
            <w:tcW w:w="680" w:type="dxa"/>
            <w:vAlign w:val="bottom"/>
          </w:tcPr>
          <w:p>
            <w:pPr>
              <w:spacing w:after="0"/>
              <w:rPr>
                <w:sz w:val="19"/>
                <w:szCs w:val="19"/>
                <w:color w:val="auto"/>
              </w:rPr>
            </w:pPr>
          </w:p>
        </w:tc>
        <w:tc>
          <w:tcPr>
            <w:tcW w:w="900" w:type="dxa"/>
            <w:vAlign w:val="bottom"/>
          </w:tcPr>
          <w:p>
            <w:pPr>
              <w:jc w:val="right"/>
              <w:ind w:right="432"/>
              <w:spacing w:after="0"/>
              <w:rPr>
                <w:sz w:val="20"/>
                <w:szCs w:val="20"/>
                <w:color w:val="auto"/>
              </w:rPr>
            </w:pPr>
            <w:r>
              <w:rPr>
                <w:rFonts w:ascii="Arial" w:cs="Arial" w:eastAsia="Arial" w:hAnsi="Arial"/>
                <w:sz w:val="18"/>
                <w:szCs w:val="18"/>
                <w:color w:val="auto"/>
              </w:rPr>
              <w:t>15.3</w:t>
            </w:r>
          </w:p>
        </w:tc>
        <w:tc>
          <w:tcPr>
            <w:tcW w:w="900" w:type="dxa"/>
            <w:vAlign w:val="bottom"/>
          </w:tcPr>
          <w:p>
            <w:pPr>
              <w:spacing w:after="0"/>
              <w:rPr>
                <w:sz w:val="19"/>
                <w:szCs w:val="19"/>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17.5</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b w:val="1"/>
                <w:bCs w:val="1"/>
                <w:color w:val="auto"/>
              </w:rPr>
              <w:t>44.0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32"/>
              <w:spacing w:after="0"/>
              <w:rPr>
                <w:sz w:val="20"/>
                <w:szCs w:val="20"/>
                <w:color w:val="auto"/>
              </w:rPr>
            </w:pPr>
            <w:r>
              <w:rPr>
                <w:rFonts w:ascii="Arial" w:cs="Arial" w:eastAsia="Arial" w:hAnsi="Arial"/>
                <w:sz w:val="18"/>
                <w:szCs w:val="18"/>
                <w:b w:val="1"/>
                <w:bCs w:val="1"/>
                <w:color w:val="auto"/>
              </w:rPr>
              <w:t>44.0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rPr>
              <w:t>48.5</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Benefits</w:t>
      </w:r>
    </w:p>
    <w:p>
      <w:pPr>
        <w:spacing w:after="0" w:line="23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 S. Pension Plan”), the defined benefit pension plan of Scholastic Ltd., an indirect subsidiary of Scholastic Corporation located in the United Kingdom (the “U. K. Pension Plan”), the defined benefit pension plan of Grolier Ltd., an indirect subsidiary of Scholastic Corporation located in Canada (the “Canadian Pension Plan” and together with the U. S. Pension Plan and the U. K. Pension Plan, the “Pension Plans”), and the post-retirement benefits provided by the Company to its retired United States-based employees, consisting of certain healthcare and life insurance benefits, including participants associated with both continuing operations and discontinued operations,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4"/>
              </w:rPr>
              <w:t>Pension Plans</w:t>
            </w:r>
          </w:p>
        </w:tc>
        <w:tc>
          <w:tcPr>
            <w:tcW w:w="270" w:type="dxa"/>
            <w:vAlign w:val="bottom"/>
          </w:tcPr>
          <w:p>
            <w:pPr>
              <w:spacing w:after="0"/>
              <w:rPr>
                <w:sz w:val="19"/>
                <w:szCs w:val="19"/>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color w:val="auto"/>
                <w:w w:val="87"/>
              </w:rPr>
              <w:t>Post-Retirement Benefits</w:t>
            </w:r>
          </w:p>
        </w:tc>
        <w:tc>
          <w:tcPr>
            <w:tcW w:w="20" w:type="dxa"/>
            <w:vAlign w:val="bottom"/>
          </w:tcPr>
          <w:p>
            <w:pPr>
              <w:spacing w:after="0"/>
              <w:rPr>
                <w:sz w:val="19"/>
                <w:szCs w:val="19"/>
                <w:color w:val="auto"/>
              </w:rPr>
            </w:pPr>
          </w:p>
        </w:tc>
      </w:tr>
      <w:tr>
        <w:trPr>
          <w:trHeight w:val="216"/>
        </w:trPr>
        <w:tc>
          <w:tcPr>
            <w:tcW w:w="4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270" w:type="dxa"/>
            <w:vAlign w:val="bottom"/>
          </w:tcPr>
          <w:p>
            <w:pPr>
              <w:spacing w:after="0"/>
              <w:rPr>
                <w:sz w:val="18"/>
                <w:szCs w:val="18"/>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20" w:type="dxa"/>
            <w:vAlign w:val="bottom"/>
          </w:tcPr>
          <w:p>
            <w:pPr>
              <w:spacing w:after="0"/>
              <w:rPr>
                <w:sz w:val="18"/>
                <w:szCs w:val="18"/>
                <w:color w:val="auto"/>
              </w:rPr>
            </w:pPr>
          </w:p>
        </w:tc>
      </w:tr>
      <w:tr>
        <w:trPr>
          <w:trHeight w:val="222"/>
        </w:trPr>
        <w:tc>
          <w:tcPr>
            <w:tcW w:w="4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i w:val="1"/>
                <w:iCs w:val="1"/>
                <w:color w:val="auto"/>
                <w:w w:val="84"/>
              </w:rPr>
              <w:t>November 30,</w:t>
            </w:r>
          </w:p>
        </w:tc>
        <w:tc>
          <w:tcPr>
            <w:tcW w:w="270" w:type="dxa"/>
            <w:vAlign w:val="bottom"/>
          </w:tcPr>
          <w:p>
            <w:pPr>
              <w:spacing w:after="0"/>
              <w:rPr>
                <w:sz w:val="19"/>
                <w:szCs w:val="19"/>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i w:val="1"/>
                <w:iCs w:val="1"/>
                <w:color w:val="auto"/>
                <w:w w:val="84"/>
              </w:rPr>
              <w:t>November 30,</w:t>
            </w:r>
          </w:p>
        </w:tc>
        <w:tc>
          <w:tcPr>
            <w:tcW w:w="20" w:type="dxa"/>
            <w:vAlign w:val="bottom"/>
          </w:tcPr>
          <w:p>
            <w:pPr>
              <w:spacing w:after="0"/>
              <w:rPr>
                <w:sz w:val="19"/>
                <w:szCs w:val="19"/>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2007</w:t>
            </w:r>
          </w:p>
        </w:tc>
        <w:tc>
          <w:tcPr>
            <w:tcW w:w="270" w:type="dxa"/>
            <w:vAlign w:val="bottom"/>
          </w:tcPr>
          <w:p>
            <w:pPr>
              <w:spacing w:after="0"/>
              <w:rPr>
                <w:sz w:val="24"/>
                <w:szCs w:val="24"/>
                <w:color w:val="auto"/>
              </w:rPr>
            </w:pPr>
          </w:p>
        </w:tc>
        <w:tc>
          <w:tcPr>
            <w:tcW w:w="1230" w:type="dxa"/>
            <w:vAlign w:val="bottom"/>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9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Service cost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270" w:type="dxa"/>
            <w:vAlign w:val="bottom"/>
          </w:tcPr>
          <w:p>
            <w:pPr>
              <w:spacing w:after="0"/>
              <w:rPr>
                <w:sz w:val="18"/>
                <w:szCs w:val="18"/>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Expected return on assets</w:t>
            </w:r>
          </w:p>
        </w:tc>
        <w:tc>
          <w:tcPr>
            <w:tcW w:w="16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270" w:type="dxa"/>
            <w:vAlign w:val="bottom"/>
          </w:tcPr>
          <w:p>
            <w:pPr>
              <w:spacing w:after="0"/>
              <w:rPr>
                <w:sz w:val="18"/>
                <w:szCs w:val="18"/>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Net amortization of prior service (credit)/cost</w:t>
            </w:r>
          </w:p>
        </w:tc>
        <w:tc>
          <w:tcPr>
            <w:tcW w:w="160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70" w:type="dxa"/>
            <w:vAlign w:val="bottom"/>
          </w:tcPr>
          <w:p>
            <w:pPr>
              <w:spacing w:after="0"/>
              <w:rPr>
                <w:sz w:val="18"/>
                <w:szCs w:val="18"/>
                <w:color w:val="auto"/>
              </w:rPr>
            </w:pPr>
          </w:p>
        </w:tc>
        <w:tc>
          <w:tcPr>
            <w:tcW w:w="1230" w:type="dxa"/>
            <w:vAlign w:val="bottom"/>
          </w:tcPr>
          <w:p>
            <w:pPr>
              <w:jc w:val="right"/>
              <w:ind w:right="23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980" w:type="dxa"/>
            <w:vAlign w:val="bottom"/>
          </w:tcPr>
          <w:p>
            <w:pPr>
              <w:ind w:left="320"/>
              <w:spacing w:after="0"/>
              <w:rPr>
                <w:sz w:val="20"/>
                <w:szCs w:val="20"/>
                <w:color w:val="auto"/>
              </w:rPr>
            </w:pPr>
            <w:r>
              <w:rPr>
                <w:rFonts w:ascii="Arial" w:cs="Arial" w:eastAsia="Arial" w:hAnsi="Arial"/>
                <w:sz w:val="18"/>
                <w:szCs w:val="18"/>
                <w:color w:val="auto"/>
              </w:rPr>
              <w:t>Amortization of loss</w:t>
            </w:r>
          </w:p>
        </w:tc>
        <w:tc>
          <w:tcPr>
            <w:tcW w:w="16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270" w:type="dxa"/>
            <w:vAlign w:val="bottom"/>
          </w:tcPr>
          <w:p>
            <w:pPr>
              <w:spacing w:after="0"/>
              <w:rPr>
                <w:sz w:val="19"/>
                <w:szCs w:val="19"/>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80" w:type="dxa"/>
            <w:vAlign w:val="bottom"/>
          </w:tcPr>
          <w:p>
            <w:pPr>
              <w:ind w:left="480"/>
              <w:spacing w:after="0"/>
              <w:rPr>
                <w:sz w:val="20"/>
                <w:szCs w:val="20"/>
                <w:color w:val="auto"/>
              </w:rPr>
            </w:pPr>
            <w:r>
              <w:rPr>
                <w:rFonts w:ascii="Arial" w:cs="Arial" w:eastAsia="Arial" w:hAnsi="Arial"/>
                <w:sz w:val="18"/>
                <w:szCs w:val="18"/>
                <w:b w:val="1"/>
                <w:bCs w:val="1"/>
                <w:color w:val="auto"/>
              </w:rPr>
              <w:t>Net periodic benefit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4"/>
                <w:szCs w:val="24"/>
                <w:color w:val="auto"/>
              </w:rPr>
            </w:pPr>
          </w:p>
        </w:tc>
      </w:tr>
      <w:tr>
        <w:trPr>
          <w:trHeight w:val="134"/>
        </w:trPr>
        <w:tc>
          <w:tcPr>
            <w:tcW w:w="49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gridSpan w:val="3"/>
          </w:tcPr>
          <w:p>
            <w:pPr>
              <w:spacing w:after="0"/>
              <w:rPr>
                <w:sz w:val="11"/>
                <w:szCs w:val="11"/>
                <w:color w:val="auto"/>
              </w:rPr>
            </w:pPr>
          </w:p>
        </w:tc>
        <w:tc>
          <w:tcPr>
            <w:tcW w:w="270" w:type="dxa"/>
            <w:vAlign w:val="bottom"/>
            <w:tcBorders>
              <w:bottom w:val="single" w:sz="8" w:color="808080"/>
            </w:tcBorders>
          </w:tcPr>
          <w:p>
            <w:pPr>
              <w:spacing w:after="0"/>
              <w:rPr>
                <w:sz w:val="11"/>
                <w:szCs w:val="11"/>
                <w:color w:val="auto"/>
              </w:rPr>
            </w:pPr>
          </w:p>
        </w:tc>
        <w:tc>
          <w:tcPr>
            <w:tcW w:w="123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461"/>
        </w:trPr>
        <w:tc>
          <w:tcPr>
            <w:tcW w:w="4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4"/>
              </w:rPr>
              <w:t>Pension Plans</w:t>
            </w:r>
          </w:p>
        </w:tc>
        <w:tc>
          <w:tcPr>
            <w:tcW w:w="270" w:type="dxa"/>
            <w:vAlign w:val="bottom"/>
          </w:tcPr>
          <w:p>
            <w:pPr>
              <w:spacing w:after="0"/>
              <w:rPr>
                <w:sz w:val="24"/>
                <w:szCs w:val="24"/>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color w:val="auto"/>
                <w:w w:val="87"/>
              </w:rPr>
              <w:t>Post-Retirement Benefits</w:t>
            </w:r>
          </w:p>
        </w:tc>
        <w:tc>
          <w:tcPr>
            <w:tcW w:w="2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i w:val="1"/>
                <w:iCs w:val="1"/>
                <w:color w:val="auto"/>
                <w:w w:val="82"/>
              </w:rPr>
              <w:t>Six months ended</w:t>
            </w:r>
          </w:p>
        </w:tc>
        <w:tc>
          <w:tcPr>
            <w:tcW w:w="270" w:type="dxa"/>
            <w:vAlign w:val="bottom"/>
          </w:tcPr>
          <w:p>
            <w:pPr>
              <w:spacing w:after="0"/>
              <w:rPr>
                <w:sz w:val="18"/>
                <w:szCs w:val="18"/>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i w:val="1"/>
                <w:iCs w:val="1"/>
                <w:color w:val="auto"/>
                <w:w w:val="82"/>
              </w:rPr>
              <w:t>Six months ended</w:t>
            </w:r>
          </w:p>
        </w:tc>
        <w:tc>
          <w:tcPr>
            <w:tcW w:w="20" w:type="dxa"/>
            <w:vAlign w:val="bottom"/>
          </w:tcPr>
          <w:p>
            <w:pPr>
              <w:spacing w:after="0"/>
              <w:rPr>
                <w:sz w:val="18"/>
                <w:szCs w:val="18"/>
                <w:color w:val="auto"/>
              </w:rPr>
            </w:pPr>
          </w:p>
        </w:tc>
      </w:tr>
      <w:tr>
        <w:trPr>
          <w:trHeight w:val="222"/>
        </w:trPr>
        <w:tc>
          <w:tcPr>
            <w:tcW w:w="4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20" w:type="dxa"/>
            <w:vAlign w:val="bottom"/>
            <w:gridSpan w:val="3"/>
          </w:tcPr>
          <w:p>
            <w:pPr>
              <w:jc w:val="center"/>
              <w:ind w:right="232"/>
              <w:spacing w:after="0"/>
              <w:rPr>
                <w:sz w:val="20"/>
                <w:szCs w:val="20"/>
                <w:color w:val="auto"/>
              </w:rPr>
            </w:pPr>
            <w:r>
              <w:rPr>
                <w:rFonts w:ascii="Arial" w:cs="Arial" w:eastAsia="Arial" w:hAnsi="Arial"/>
                <w:sz w:val="18"/>
                <w:szCs w:val="18"/>
                <w:b w:val="1"/>
                <w:bCs w:val="1"/>
                <w:i w:val="1"/>
                <w:iCs w:val="1"/>
                <w:color w:val="auto"/>
                <w:w w:val="84"/>
              </w:rPr>
              <w:t>November 30,</w:t>
            </w:r>
          </w:p>
        </w:tc>
        <w:tc>
          <w:tcPr>
            <w:tcW w:w="270" w:type="dxa"/>
            <w:vAlign w:val="bottom"/>
          </w:tcPr>
          <w:p>
            <w:pPr>
              <w:spacing w:after="0"/>
              <w:rPr>
                <w:sz w:val="19"/>
                <w:szCs w:val="19"/>
                <w:color w:val="auto"/>
              </w:rPr>
            </w:pPr>
          </w:p>
        </w:tc>
        <w:tc>
          <w:tcPr>
            <w:tcW w:w="2470" w:type="dxa"/>
            <w:vAlign w:val="bottom"/>
            <w:gridSpan w:val="3"/>
          </w:tcPr>
          <w:p>
            <w:pPr>
              <w:jc w:val="center"/>
              <w:ind w:right="162"/>
              <w:spacing w:after="0"/>
              <w:rPr>
                <w:sz w:val="20"/>
                <w:szCs w:val="20"/>
                <w:color w:val="auto"/>
              </w:rPr>
            </w:pPr>
            <w:r>
              <w:rPr>
                <w:rFonts w:ascii="Arial" w:cs="Arial" w:eastAsia="Arial" w:hAnsi="Arial"/>
                <w:sz w:val="18"/>
                <w:szCs w:val="18"/>
                <w:b w:val="1"/>
                <w:bCs w:val="1"/>
                <w:i w:val="1"/>
                <w:iCs w:val="1"/>
                <w:color w:val="auto"/>
                <w:w w:val="84"/>
              </w:rPr>
              <w:t>November 30,</w:t>
            </w:r>
          </w:p>
        </w:tc>
        <w:tc>
          <w:tcPr>
            <w:tcW w:w="20" w:type="dxa"/>
            <w:vAlign w:val="bottom"/>
          </w:tcPr>
          <w:p>
            <w:pPr>
              <w:spacing w:after="0"/>
              <w:rPr>
                <w:sz w:val="19"/>
                <w:szCs w:val="19"/>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2007</w:t>
            </w:r>
          </w:p>
        </w:tc>
        <w:tc>
          <w:tcPr>
            <w:tcW w:w="270" w:type="dxa"/>
            <w:vAlign w:val="bottom"/>
          </w:tcPr>
          <w:p>
            <w:pPr>
              <w:spacing w:after="0"/>
              <w:rPr>
                <w:sz w:val="24"/>
                <w:szCs w:val="24"/>
                <w:color w:val="auto"/>
              </w:rPr>
            </w:pPr>
          </w:p>
        </w:tc>
        <w:tc>
          <w:tcPr>
            <w:tcW w:w="1230" w:type="dxa"/>
            <w:vAlign w:val="bottom"/>
          </w:tcPr>
          <w:p>
            <w:pPr>
              <w:jc w:val="right"/>
              <w:ind w:right="59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9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Service cost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270" w:type="dxa"/>
            <w:vAlign w:val="bottom"/>
          </w:tcPr>
          <w:p>
            <w:pPr>
              <w:spacing w:after="0"/>
              <w:rPr>
                <w:sz w:val="18"/>
                <w:szCs w:val="18"/>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Expected return on assets</w:t>
            </w:r>
          </w:p>
        </w:tc>
        <w:tc>
          <w:tcPr>
            <w:tcW w:w="16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270" w:type="dxa"/>
            <w:vAlign w:val="bottom"/>
          </w:tcPr>
          <w:p>
            <w:pPr>
              <w:spacing w:after="0"/>
              <w:rPr>
                <w:sz w:val="18"/>
                <w:szCs w:val="18"/>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8"/>
                <w:szCs w:val="18"/>
                <w:color w:val="auto"/>
              </w:rPr>
              <w:t>Net amortization of prior service (credit)/cost</w:t>
            </w:r>
          </w:p>
        </w:tc>
        <w:tc>
          <w:tcPr>
            <w:tcW w:w="16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70" w:type="dxa"/>
            <w:vAlign w:val="bottom"/>
          </w:tcPr>
          <w:p>
            <w:pPr>
              <w:spacing w:after="0"/>
              <w:rPr>
                <w:sz w:val="18"/>
                <w:szCs w:val="18"/>
                <w:color w:val="auto"/>
              </w:rPr>
            </w:pPr>
          </w:p>
        </w:tc>
        <w:tc>
          <w:tcPr>
            <w:tcW w:w="1230" w:type="dxa"/>
            <w:vAlign w:val="bottom"/>
          </w:tcPr>
          <w:p>
            <w:pPr>
              <w:jc w:val="right"/>
              <w:ind w:right="23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4980" w:type="dxa"/>
            <w:vAlign w:val="bottom"/>
          </w:tcPr>
          <w:p>
            <w:pPr>
              <w:ind w:left="320"/>
              <w:spacing w:after="0"/>
              <w:rPr>
                <w:sz w:val="20"/>
                <w:szCs w:val="20"/>
                <w:color w:val="auto"/>
              </w:rPr>
            </w:pPr>
            <w:r>
              <w:rPr>
                <w:rFonts w:ascii="Arial" w:cs="Arial" w:eastAsia="Arial" w:hAnsi="Arial"/>
                <w:sz w:val="18"/>
                <w:szCs w:val="18"/>
                <w:color w:val="auto"/>
              </w:rPr>
              <w:t>Amortization of loss</w:t>
            </w:r>
          </w:p>
        </w:tc>
        <w:tc>
          <w:tcPr>
            <w:tcW w:w="16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270" w:type="dxa"/>
            <w:vAlign w:val="bottom"/>
          </w:tcPr>
          <w:p>
            <w:pPr>
              <w:spacing w:after="0"/>
              <w:rPr>
                <w:sz w:val="19"/>
                <w:szCs w:val="19"/>
                <w:color w:val="auto"/>
              </w:rPr>
            </w:pP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110"/>
        </w:trPr>
        <w:tc>
          <w:tcPr>
            <w:tcW w:w="49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80" w:type="dxa"/>
            <w:vAlign w:val="bottom"/>
          </w:tcPr>
          <w:p>
            <w:pPr>
              <w:ind w:left="480"/>
              <w:spacing w:after="0"/>
              <w:rPr>
                <w:sz w:val="20"/>
                <w:szCs w:val="20"/>
                <w:color w:val="auto"/>
              </w:rPr>
            </w:pPr>
            <w:r>
              <w:rPr>
                <w:rFonts w:ascii="Arial" w:cs="Arial" w:eastAsia="Arial" w:hAnsi="Arial"/>
                <w:sz w:val="18"/>
                <w:szCs w:val="18"/>
                <w:b w:val="1"/>
                <w:bCs w:val="1"/>
                <w:color w:val="auto"/>
              </w:rPr>
              <w:t>Net periodic benefit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92"/>
              <w:spacing w:after="0"/>
              <w:rPr>
                <w:sz w:val="20"/>
                <w:szCs w:val="20"/>
                <w:color w:val="auto"/>
              </w:rPr>
            </w:pPr>
            <w:r>
              <w:rPr>
                <w:rFonts w:ascii="Arial" w:cs="Arial" w:eastAsia="Arial" w:hAnsi="Arial"/>
                <w:sz w:val="18"/>
                <w:szCs w:val="18"/>
                <w:color w:val="auto"/>
              </w:rPr>
              <w:t>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r>
      <w:tr>
        <w:trPr>
          <w:trHeight w:val="134"/>
        </w:trPr>
        <w:tc>
          <w:tcPr>
            <w:tcW w:w="49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70" w:type="dxa"/>
            <w:vAlign w:val="bottom"/>
            <w:tcBorders>
              <w:bottom w:val="single" w:sz="8" w:color="808080"/>
            </w:tcBorders>
          </w:tcPr>
          <w:p>
            <w:pPr>
              <w:spacing w:after="0"/>
              <w:rPr>
                <w:sz w:val="11"/>
                <w:szCs w:val="11"/>
                <w:color w:val="auto"/>
              </w:rPr>
            </w:pPr>
          </w:p>
        </w:tc>
        <w:tc>
          <w:tcPr>
            <w:tcW w:w="123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-2327275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-2327275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-2327275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-2327275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-2327275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-2327275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-2327275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-2327275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-2327275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-2327275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-2327275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-2327275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-2327275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-2327275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-2327275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 These contributions are intended to provide for future benefits earned to date and those expected to be earned in the future. For the six months ended November 30, 2008, the Company contributed $8.3 to the U. S. Pension Plan, the U. K. Pension Plan and the Canadian Pension Plan in the aggregate. The Company expects, based on actuarial calculations, to contribute cash of approximately $14.5 in the aggregate to the Pension Plans in the fiscal year ending May 31,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60" w:type="dxa"/>
            <w:vAlign w:val="bottom"/>
            <w:gridSpan w:val="3"/>
          </w:tcPr>
          <w:p>
            <w:pPr>
              <w:jc w:val="right"/>
              <w:ind w:right="432"/>
              <w:spacing w:after="0"/>
              <w:rPr>
                <w:sz w:val="20"/>
                <w:szCs w:val="20"/>
                <w:color w:val="auto"/>
              </w:rPr>
            </w:pPr>
            <w:r>
              <w:rPr>
                <w:rFonts w:ascii="Arial" w:cs="Arial" w:eastAsia="Arial" w:hAnsi="Arial"/>
                <w:sz w:val="18"/>
                <w:szCs w:val="18"/>
                <w:b w:val="1"/>
                <w:bCs w:val="1"/>
                <w:i w:val="1"/>
                <w:iCs w:val="1"/>
                <w:color w:val="auto"/>
                <w:w w:val="97"/>
              </w:rPr>
              <w:t>Three months ended</w:t>
            </w:r>
          </w:p>
        </w:tc>
        <w:tc>
          <w:tcPr>
            <w:tcW w:w="450" w:type="dxa"/>
            <w:vAlign w:val="bottom"/>
          </w:tcPr>
          <w:p>
            <w:pPr>
              <w:spacing w:after="0"/>
              <w:rPr>
                <w:sz w:val="18"/>
                <w:szCs w:val="18"/>
                <w:color w:val="auto"/>
              </w:rPr>
            </w:pPr>
          </w:p>
        </w:tc>
        <w:tc>
          <w:tcPr>
            <w:tcW w:w="2570" w:type="dxa"/>
            <w:vAlign w:val="bottom"/>
            <w:gridSpan w:val="3"/>
          </w:tcPr>
          <w:p>
            <w:pPr>
              <w:jc w:val="right"/>
              <w:ind w:right="692"/>
              <w:spacing w:after="0"/>
              <w:rPr>
                <w:sz w:val="20"/>
                <w:szCs w:val="20"/>
                <w:color w:val="auto"/>
              </w:rPr>
            </w:pPr>
            <w:r>
              <w:rPr>
                <w:rFonts w:ascii="Arial" w:cs="Arial" w:eastAsia="Arial" w:hAnsi="Arial"/>
                <w:sz w:val="18"/>
                <w:szCs w:val="18"/>
                <w:b w:val="1"/>
                <w:bCs w:val="1"/>
                <w:i w:val="1"/>
                <w:iCs w:val="1"/>
                <w:color w:val="auto"/>
              </w:rPr>
              <w:t>Six months ended</w:t>
            </w:r>
          </w:p>
        </w:tc>
        <w:tc>
          <w:tcPr>
            <w:tcW w:w="20" w:type="dxa"/>
            <w:vAlign w:val="bottom"/>
          </w:tcPr>
          <w:p>
            <w:pPr>
              <w:spacing w:after="0"/>
              <w:rPr>
                <w:sz w:val="18"/>
                <w:szCs w:val="18"/>
                <w:color w:val="auto"/>
              </w:rPr>
            </w:pPr>
          </w:p>
        </w:tc>
      </w:tr>
      <w:tr>
        <w:trPr>
          <w:trHeight w:val="222"/>
        </w:trPr>
        <w:tc>
          <w:tcPr>
            <w:tcW w:w="4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November 30,</w:t>
            </w:r>
          </w:p>
        </w:tc>
        <w:tc>
          <w:tcPr>
            <w:tcW w:w="720" w:type="dxa"/>
            <w:vAlign w:val="bottom"/>
          </w:tcPr>
          <w:p>
            <w:pPr>
              <w:spacing w:after="0"/>
              <w:rPr>
                <w:sz w:val="19"/>
                <w:szCs w:val="19"/>
                <w:color w:val="auto"/>
              </w:rPr>
            </w:pPr>
          </w:p>
        </w:tc>
        <w:tc>
          <w:tcPr>
            <w:tcW w:w="450" w:type="dxa"/>
            <w:vAlign w:val="bottom"/>
          </w:tcPr>
          <w:p>
            <w:pPr>
              <w:spacing w:after="0"/>
              <w:rPr>
                <w:sz w:val="19"/>
                <w:szCs w:val="19"/>
                <w:color w:val="auto"/>
              </w:rPr>
            </w:pPr>
          </w:p>
        </w:tc>
        <w:tc>
          <w:tcPr>
            <w:tcW w:w="171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November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24"/>
                <w:szCs w:val="24"/>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2007</w:t>
            </w:r>
          </w:p>
        </w:tc>
        <w:tc>
          <w:tcPr>
            <w:tcW w:w="450" w:type="dxa"/>
            <w:vAlign w:val="bottom"/>
          </w:tcPr>
          <w:p>
            <w:pPr>
              <w:spacing w:after="0"/>
              <w:rPr>
                <w:sz w:val="24"/>
                <w:szCs w:val="24"/>
                <w:color w:val="auto"/>
              </w:rPr>
            </w:pPr>
          </w:p>
        </w:tc>
        <w:tc>
          <w:tcPr>
            <w:tcW w:w="990" w:type="dxa"/>
            <w:vAlign w:val="bottom"/>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72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w w:val="94"/>
              </w:rPr>
              <w:t>2007</w:t>
            </w:r>
          </w:p>
        </w:tc>
        <w:tc>
          <w:tcPr>
            <w:tcW w:w="20" w:type="dxa"/>
            <w:vAlign w:val="bottom"/>
          </w:tcPr>
          <w:p>
            <w:pPr>
              <w:spacing w:after="0"/>
              <w:rPr>
                <w:sz w:val="24"/>
                <w:szCs w:val="24"/>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340" w:type="dxa"/>
            <w:vAlign w:val="bottom"/>
          </w:tcPr>
          <w:p>
            <w:pPr>
              <w:spacing w:after="0"/>
              <w:rPr>
                <w:sz w:val="20"/>
                <w:szCs w:val="20"/>
                <w:color w:val="auto"/>
              </w:rPr>
            </w:pPr>
            <w:r>
              <w:rPr>
                <w:rFonts w:ascii="Arial" w:cs="Arial" w:eastAsia="Arial" w:hAnsi="Arial"/>
                <w:sz w:val="18"/>
                <w:szCs w:val="18"/>
                <w:color w:val="auto"/>
              </w:rPr>
              <w:t>Stock option expense</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45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18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45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182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4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43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450" w:type="dxa"/>
            <w:vAlign w:val="bottom"/>
          </w:tcPr>
          <w:p>
            <w:pPr>
              <w:jc w:val="right"/>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6.8</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134"/>
        </w:trPr>
        <w:tc>
          <w:tcPr>
            <w:tcW w:w="434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50" w:type="dxa"/>
            <w:vAlign w:val="bottom"/>
            <w:tcBorders>
              <w:bottom w:val="single" w:sz="8" w:color="808080"/>
            </w:tcBorders>
          </w:tcPr>
          <w:p>
            <w:pPr>
              <w:spacing w:after="0"/>
              <w:rPr>
                <w:sz w:val="11"/>
                <w:szCs w:val="11"/>
                <w:color w:val="auto"/>
              </w:rPr>
            </w:pPr>
          </w:p>
        </w:tc>
        <w:tc>
          <w:tcPr>
            <w:tcW w:w="99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During the three month periods ended November 30, 2008 and 2007,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Severance</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six months ended November 30, 2008, the company initiated certain cost reduction measures, including employee headcount reductions. The below table provides information regarding severance costs appearing on the Company’s Condensed Consolidated Statements of Operations associated with these cost reduction measures. The Company expects to incur additional expenses of approximately $4.8 during the second half of the current fiscal year. The below accrual of $5.7 as of November 30, 2008 is included in Other accrued expenses on the Company’s Condensed Consolidated Balance Sheets. These costs are incurred in Overhead.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940" w:type="dxa"/>
            <w:vAlign w:val="bottom"/>
            <w:gridSpan w:val="2"/>
          </w:tcPr>
          <w:p>
            <w:pPr>
              <w:jc w:val="right"/>
              <w:ind w:right="432"/>
              <w:spacing w:after="0"/>
              <w:rPr>
                <w:sz w:val="20"/>
                <w:szCs w:val="20"/>
                <w:color w:val="auto"/>
              </w:rPr>
            </w:pPr>
            <w:r>
              <w:rPr>
                <w:rFonts w:ascii="Arial" w:cs="Arial" w:eastAsia="Arial" w:hAnsi="Arial"/>
                <w:sz w:val="18"/>
                <w:szCs w:val="18"/>
                <w:b w:val="1"/>
                <w:bCs w:val="1"/>
                <w:i w:val="1"/>
                <w:iCs w:val="1"/>
                <w:color w:val="auto"/>
                <w:w w:val="95"/>
              </w:rPr>
              <w:t>Activity for six months ended</w:t>
            </w:r>
          </w:p>
        </w:tc>
      </w:tr>
      <w:tr>
        <w:trPr>
          <w:trHeight w:val="222"/>
        </w:trPr>
        <w:tc>
          <w:tcPr>
            <w:tcW w:w="5640" w:type="dxa"/>
            <w:vAlign w:val="bottom"/>
          </w:tcPr>
          <w:p>
            <w:pPr>
              <w:spacing w:after="0"/>
              <w:rPr>
                <w:sz w:val="19"/>
                <w:szCs w:val="19"/>
                <w:color w:val="auto"/>
              </w:rPr>
            </w:pPr>
          </w:p>
        </w:tc>
        <w:tc>
          <w:tcPr>
            <w:tcW w:w="2940" w:type="dxa"/>
            <w:vAlign w:val="bottom"/>
            <w:gridSpan w:val="2"/>
          </w:tcPr>
          <w:p>
            <w:pPr>
              <w:jc w:val="right"/>
              <w:ind w:right="792"/>
              <w:spacing w:after="0"/>
              <w:rPr>
                <w:sz w:val="20"/>
                <w:szCs w:val="20"/>
                <w:color w:val="auto"/>
              </w:rPr>
            </w:pPr>
            <w:r>
              <w:rPr>
                <w:rFonts w:ascii="Arial" w:cs="Arial" w:eastAsia="Arial" w:hAnsi="Arial"/>
                <w:sz w:val="18"/>
                <w:szCs w:val="18"/>
                <w:b w:val="1"/>
                <w:bCs w:val="1"/>
                <w:i w:val="1"/>
                <w:iCs w:val="1"/>
                <w:color w:val="auto"/>
              </w:rPr>
              <w:t>November 30, 2008</w:t>
            </w:r>
          </w:p>
        </w:tc>
      </w:tr>
      <w:tr>
        <w:trPr>
          <w:trHeight w:val="110"/>
        </w:trPr>
        <w:tc>
          <w:tcPr>
            <w:tcW w:w="56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5640" w:type="dxa"/>
            <w:vAlign w:val="bottom"/>
          </w:tcPr>
          <w:p>
            <w:pPr>
              <w:spacing w:after="0"/>
              <w:rPr>
                <w:sz w:val="20"/>
                <w:szCs w:val="20"/>
                <w:color w:val="auto"/>
              </w:rPr>
            </w:pPr>
            <w:r>
              <w:rPr>
                <w:rFonts w:ascii="Arial" w:cs="Arial" w:eastAsia="Arial" w:hAnsi="Arial"/>
                <w:sz w:val="18"/>
                <w:szCs w:val="18"/>
                <w:color w:val="auto"/>
              </w:rPr>
              <w:t>Balance at May 31, 2008</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rPr>
              <w:t>0.4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Accruals</w:t>
            </w:r>
          </w:p>
        </w:tc>
        <w:tc>
          <w:tcPr>
            <w:tcW w:w="1300" w:type="dxa"/>
            <w:vAlign w:val="bottom"/>
          </w:tcPr>
          <w:p>
            <w:pPr>
              <w:spacing w:after="0"/>
              <w:rPr>
                <w:sz w:val="18"/>
                <w:szCs w:val="18"/>
                <w:color w:val="auto"/>
              </w:rPr>
            </w:pP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rPr>
              <w:t>14.4</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Payments</w:t>
            </w:r>
          </w:p>
        </w:tc>
        <w:tc>
          <w:tcPr>
            <w:tcW w:w="1300" w:type="dxa"/>
            <w:vAlign w:val="bottom"/>
          </w:tcPr>
          <w:p>
            <w:pPr>
              <w:spacing w:after="0"/>
              <w:rPr>
                <w:sz w:val="19"/>
                <w:szCs w:val="19"/>
                <w:color w:val="auto"/>
              </w:rPr>
            </w:pPr>
          </w:p>
        </w:tc>
        <w:tc>
          <w:tcPr>
            <w:tcW w:w="1640" w:type="dxa"/>
            <w:vAlign w:val="bottom"/>
          </w:tcPr>
          <w:p>
            <w:pPr>
              <w:jc w:val="right"/>
              <w:ind w:right="1032"/>
              <w:spacing w:after="0"/>
              <w:rPr>
                <w:sz w:val="20"/>
                <w:szCs w:val="20"/>
                <w:color w:val="auto"/>
              </w:rPr>
            </w:pPr>
            <w:r>
              <w:rPr>
                <w:rFonts w:ascii="Arial" w:cs="Arial" w:eastAsia="Arial" w:hAnsi="Arial"/>
                <w:sz w:val="18"/>
                <w:szCs w:val="18"/>
                <w:color w:val="auto"/>
              </w:rPr>
              <w:t>(9.1)</w:t>
            </w:r>
          </w:p>
        </w:tc>
      </w:tr>
      <w:tr>
        <w:trPr>
          <w:trHeight w:val="110"/>
        </w:trPr>
        <w:tc>
          <w:tcPr>
            <w:tcW w:w="56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5640" w:type="dxa"/>
            <w:vAlign w:val="bottom"/>
          </w:tcPr>
          <w:p>
            <w:pPr>
              <w:ind w:left="320"/>
              <w:spacing w:after="0"/>
              <w:rPr>
                <w:sz w:val="20"/>
                <w:szCs w:val="20"/>
                <w:color w:val="auto"/>
              </w:rPr>
            </w:pPr>
            <w:r>
              <w:rPr>
                <w:rFonts w:ascii="Arial" w:cs="Arial" w:eastAsia="Arial" w:hAnsi="Arial"/>
                <w:sz w:val="18"/>
                <w:szCs w:val="18"/>
                <w:color w:val="auto"/>
              </w:rPr>
              <w:t>Balance at November 30, 2008</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92"/>
              <w:spacing w:after="0"/>
              <w:rPr>
                <w:sz w:val="20"/>
                <w:szCs w:val="20"/>
                <w:color w:val="auto"/>
              </w:rPr>
            </w:pPr>
            <w:r>
              <w:rPr>
                <w:rFonts w:ascii="Arial" w:cs="Arial" w:eastAsia="Arial" w:hAnsi="Arial"/>
                <w:sz w:val="18"/>
                <w:szCs w:val="18"/>
                <w:color w:val="auto"/>
              </w:rPr>
              <w:t>5.7</w:t>
            </w:r>
          </w:p>
        </w:tc>
      </w:tr>
      <w:tr>
        <w:trPr>
          <w:trHeight w:val="134"/>
        </w:trPr>
        <w:tc>
          <w:tcPr>
            <w:tcW w:w="56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May 28, 2008, the Corporation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its Common Stock, which will be funded with available cash, pursuant to which the Corporation may purchase shares, from time to time as conditions allow, on the open market. The repurchase program may be suspended at any time without prior notice. During the six months ended November 30, 2008, the Corporation repurchased approximately 0.8 million shares on the open market for $20.1 at an average cost of $24.83 per share. See Part II, “Other Information, 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Accounting Principles Board Opinion No. 28, “Interim Financial Reporting,” and FASB Interpretation No. 18, “Accounting for Income Taxes in Interim Periods” (“FIN 18”).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factors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provision for income taxes with respect to continuing operations resulted in an effective tax rate of 42.1% for the three months ended November 30, 2008, and a tax provision of $42.4. The effective tax rate for the six months ended November 30, 2008 was 52.6% and the tax provision for the same six month period was $16.3. The Company anticipates a full fiscal year tax rate of approximately 43% for the current fiscal year exclusive of expected discrete items. The Company’s expected full year effective tax rate exceeds statutory rates primarily as a result of net operating losses experienced in foreign operations for which the Company does not expect to realize future tax benefits. Accordingly, valuation allowances are provided for the net operating loss carry forwards of these operations.</w:t>
      </w:r>
    </w:p>
    <w:p>
      <w:pPr>
        <w:sectPr>
          <w:pgSz w:w="11900" w:h="16838" w:orient="portrait"/>
          <w:cols w:equalWidth="0" w:num="1">
            <w:col w:w="11460"/>
          </w:cols>
          <w:pgMar w:left="240" w:top="139" w:right="199" w:bottom="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In the current year, the Company completed the sale of the DTH business (see Note 3, “Discontinued Operations”). In Fiscal Year 2008, the Company recognized significant pretax losses and deferred tax benefits associated with this transaction. The Company expects to realize the majority of these deferred tax assets in the current fiscal year, reducing the Company’s domestic taxable income to levels significantly below the expected pretax income levels. Accordingly, the Company expects reduced federal and state tax payments in the current fiscal year as a result of the realization of these deferred tax assets, and expects a significant reduction in deferred tax assets at the end of the current fiscal year. The Company expects to realize future tax benefits on all domestic net operating losses generated in the current fiscal year.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FASB Interpretation No. 48, “Accounting for Uncertainty in Income Taxes” (“FIN 48”). The Company does not currently anticipate a material change to its unrecognized tax benefits within twelve months of November 30, 2008; however, actual developments can change these expectations, including settlement of audits.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believes it is no longer subject to an income tax assessment by the United States Internal Revenue Service (“IRS”) for the years ended on or before May 31, 2003 due to the expiration of the statute of limitations. The Company has been selected for audit by the IRS for its fiscal years ended May 2004, 2005 and 2006. The Company is also currently under audit by both New York State and New York City for its fiscal years ended May 2002, 2003 and 2004. It is possible that federal, state and foreign tax examinations will be settled during the next twelve months. If any of these tax examinations are concluded within that period, the Company will make any necessary adjustments to its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October 10, 2008, the Company agreed to purchase 100,000 shares of Common Stock from Richard Robinson, Chairman of the Board, President and Chief Executive Officer of the Company, at a price of $20.59 per share, or an aggregate purchase price of $2.1, pursuant to the Company’s previously announced stock repurchase program which had been approved by the Board in May 2008. The purchase price was determined with reference to the last transaction price reported on Nasdaq immediately prior to the purchase. The closing price of the Common Stock on Nasdaq on October 10, 2008 was $23.11 per share. The shares became available for sale due to Mr. Robinson, as a result of current market conditions, being required to sell the shares in order to protect the collateral value underlying a personal loan with a bank secured by the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3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On December 18, 2008, the Company announced that the Board had declared a quarterly dividend of $0.075 per share to be paid on March 16, 2009 to shareholders of record of the Corporation’s Common Stock and Class A Stock on January 30,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 sold its U.S. direct-to-home continuities business (“DTH Business”) in August 2008 and expects to complete the divestiture of its Canadian and U.K. direct-to-home continuities businesses (“DTH International) in the current fiscal year. In addition, the Company shut down its school-based continuities business effective May 31, 2008 and operations in Argentina (“Argentina”), its door-to-door sales operation in Puerto Rico (“Caribe”) and its Coach magazine business (“Coach”) effective November 30, 2008. The Company views the foregoing actions to be consistent with its plan to improve short-term profitability.</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Earnings from continuing operations, net of tax, for the quarter ended November 30, 2008 was $58.4 million compared to earnings from continuing operations, net of tax, of $82.3 million in the quarter ended November 30, 2007. Earnings from continuing operations in the current fiscal quarter were lower primarily due to $10.9 million of one-time expenses before taxes associated with the Company’s cost reduction plans as well as an unfavorable foreign exchange impact of $6.7 million before taxes. In addition, higher royalty expense and higher bad debt expense in domestic and international trade publishing operations, totaling $6.3 million before taxes, negatively impacted earnings from continuing operations. Loss from discontinued operations, net of tax, for the quarter ended November 30, 2008 was $15.3 million, compared to a loss of $6.7 million for the quarter ended November 30, 2007.</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Corporation paid its first dividend on September 15, 2008, under its previously announced dividend program established to return value to investors, and has declared quarterly cash dividends for the second and third fiscal quarters of fiscal 2009. Additionally, the Corporation continues to repurchase shares of its Common Stock from time to time under current programs approved by its Board of Directors.</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During the second quarter, the Company maintained a strong balance sheet and free cash flow with modest levels of debt and access to over $280.0 million in additional liquidity. Additionally, in the face of cut backs in consumer and educational spending, the Company essentially sustained sales levels in the current quarter compared to the same period in the prior fiscal year in its core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businesses and educational technology businesses; reduced costs significantly; and maintained a strong balance sheet and financial position. Strong support from its domestic customers was demonstrated by increased orders and unit volumes for school-based book clubs and higher revenue per fair for school-based book fairs, partially offset by fairs being moved to December 2008 as a result of the comparatively late Thanksgiving holiday resulting in fewer fairs held than in November 2007, and a strong list of best sellers sold through trade publishing channels. In its education technology businesses, in addition to sustaining sales levels for the current quarter compared to the same quarter in the prior year, the Company experienced strong presales of </w:t>
      </w:r>
      <w:r>
        <w:rPr>
          <w:rFonts w:ascii="Arial" w:cs="Arial" w:eastAsia="Arial" w:hAnsi="Arial"/>
          <w:sz w:val="16"/>
          <w:szCs w:val="16"/>
          <w:i w:val="1"/>
          <w:iCs w:val="1"/>
          <w:color w:val="auto"/>
        </w:rPr>
        <w:t>System 44,</w:t>
      </w:r>
      <w:r>
        <w:rPr>
          <w:rFonts w:ascii="Arial" w:cs="Arial" w:eastAsia="Arial" w:hAnsi="Arial"/>
          <w:sz w:val="16"/>
          <w:szCs w:val="16"/>
          <w:color w:val="auto"/>
        </w:rPr>
        <w:t xml:space="preserve"> the prequel to the Company’s successful </w:t>
      </w:r>
      <w:r>
        <w:rPr>
          <w:rFonts w:ascii="Arial" w:cs="Arial" w:eastAsia="Arial" w:hAnsi="Arial"/>
          <w:sz w:val="16"/>
          <w:szCs w:val="16"/>
          <w:i w:val="1"/>
          <w:iCs w:val="1"/>
          <w:color w:val="auto"/>
        </w:rPr>
        <w:t>Read 180</w:t>
      </w:r>
      <w:r>
        <w:rPr>
          <w:rFonts w:ascii="Arial" w:cs="Arial" w:eastAsia="Arial" w:hAnsi="Arial"/>
          <w:sz w:val="16"/>
          <w:szCs w:val="16"/>
          <w:color w:val="auto"/>
        </w:rPr>
        <w:t xml:space="preserve"> platform. </w:t>
      </w:r>
      <w:r>
        <w:rPr>
          <w:rFonts w:ascii="Arial" w:cs="Arial" w:eastAsia="Arial" w:hAnsi="Arial"/>
          <w:sz w:val="16"/>
          <w:szCs w:val="16"/>
          <w:i w:val="1"/>
          <w:iCs w:val="1"/>
          <w:color w:val="auto"/>
        </w:rPr>
        <w:t>System 44</w:t>
      </w:r>
      <w:r>
        <w:rPr>
          <w:rFonts w:ascii="Arial" w:cs="Arial" w:eastAsia="Arial" w:hAnsi="Arial"/>
          <w:sz w:val="16"/>
          <w:szCs w:val="16"/>
          <w:color w:val="auto"/>
        </w:rPr>
        <w:t xml:space="preserve"> began shipping in December, and therefore did not impact the quarter ended November 30, 2008, but is expected to positively impact the Company’s results prospectively.</w:t>
      </w:r>
    </w:p>
    <w:p>
      <w:pPr>
        <w:spacing w:after="0" w:line="17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During the second quarter, the Company also made significant progress by achieving the top end of its current costs savings goal, eliminating approximately $35 million in annualized expenses, including approximately $25 million in salary costs. The Company plans to further increase profitability by reducing spending in the second half of the fiscal year by approximately $20 million by eliminating management bonuses, reducing all categories of discretionary spending and taking steps to make core businesses more efficient. It also intends to continue to review existing unprofitable businesses to determine whether the Company should exit such businesses.</w:t>
      </w:r>
    </w:p>
    <w:p>
      <w:pPr>
        <w:spacing w:after="0" w:line="19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At November 30, 2008, the total market value of the Company’s outstanding Common and Class A shares was less than the carrying value of the Company’s net assets. While the Company remains profitable, and current results are comparable to historical results, the Company anticipates lower earnings for the current fiscal year than previously forecasted. Accordingly, the Company has evaluated these circumstances with regard to the carrying value of goodwill, investments in joint ventures, intangible assets, fixed assets, and other long-lived assets included in the Company’s Condensed Consolidated Balance Sheet as of November 30, 2008. The Company has concluded that there were no impairments of long-lived assets included in continuing operations for the three and six month periods ended November 30, 2008. The Company remains fundamentally sound, with significant available liquidity and capital resources, and believes that the long term prospects of its businesses remain unchanged. The recent decline in the market value of the Company’s outstanding Common and Class A shares is not indicative of the Company’s expected long-term cash flows, and is a function of the current condition of the capital markets. Accordingly, the Company does not believe that the recent decline in share price is reflective of declines in its businesses. However, the Company will continue to monitor its asset base for indicators of impairment, and if recent financial market conditions persist, it is possible that certain assets may become impaired.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 xml:space="preserve">Revenues for the quarter ended November 30, 2008 decreased by $26.0 million, or 3.8%, to $661.6 million, compared to $687.6 million in the prior fiscal year quarter. This decrease related principally to lower revenues in the </w:t>
      </w:r>
      <w:r>
        <w:rPr>
          <w:rFonts w:ascii="Arial" w:cs="Arial" w:eastAsia="Arial" w:hAnsi="Arial"/>
          <w:sz w:val="16"/>
          <w:szCs w:val="16"/>
          <w:i w:val="1"/>
          <w:iCs w:val="1"/>
          <w:color w:val="auto"/>
        </w:rPr>
        <w:t>International, Educational Publishing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segments of $20.4 million, $7.4 million and $5.1 million, respectively.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revenue reflected the $21.5 million impact of foreign exchange on the translation of foreign currency denominated revenues to US dollars. For the six months ended November 30, 2008, revenues decreased $272.2 million, or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22.4%, to $944.4 million compared to the prior fiscal year period, primarily due to lower revenues from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which in the prior year benefited from the July 2007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w:t>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Cost of goods sold as a percentage of revenue for the quarter ended November 30, 2008 increased to 43.0%, compared to 42.4% in the prior fiscal year quarter, primarily due to increased reserves on royalty advances. For the six months ended November 30, 2008, cost of goods sold decreased to $432.7 million, or 45.8% of revenues, compared to $589.5 million, or 48.5% of revenues, in the prior fiscal year period, primarily due to higher costs related to the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release in the prior fiscal year period.</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Selling, general and administrative expenses (“SG&amp;A”), combined with severance expenses, increased $8.1 million to $246.4 million, or 37.2% of revenues, for the quarter ended November 30, 2008, compared to $238.3 million, or 34.7% of revenues, in the prior fiscal year quarter. This increase was due to severance costs associated with cost reduction plans and costs incurred due to the accelerated vesting of restricted stock units for employees eligible for retirement totaling $10.9 million. For the six months ended November 30, 2008, SG&amp;A combined with severance expenses, as a percentage of revenues increased to 45.2% from 35.8% in the prior fiscal year period, primarily due to the prior year benefit of </w:t>
      </w:r>
      <w:r>
        <w:rPr>
          <w:rFonts w:ascii="Arial" w:cs="Arial" w:eastAsia="Arial" w:hAnsi="Arial"/>
          <w:sz w:val="16"/>
          <w:szCs w:val="16"/>
          <w:i w:val="1"/>
          <w:iCs w:val="1"/>
          <w:color w:val="auto"/>
        </w:rPr>
        <w:t>Harry Potter</w:t>
      </w:r>
      <w:r>
        <w:rPr>
          <w:rFonts w:ascii="Arial" w:cs="Arial" w:eastAsia="Arial" w:hAnsi="Arial"/>
          <w:sz w:val="16"/>
          <w:szCs w:val="16"/>
          <w:color w:val="auto"/>
        </w:rPr>
        <w:t xml:space="preserve"> revenues without a corresponding increase in expense.</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Bad debt expense increased to $7.4 million, or 1.1% of revenues, for the quarter ended November 30, 2008, compared to $3.5 million, or 0.5% of revenues, in the prior fiscal year quarter. For the six months ended November 30, 2008, bad debt expense increased to $8.7 million, or 0.9% of revenues, from $5.3 million, or 0.4% of revenues, in the prior fiscal year period. These increases were primarily due to increased bad debt reserves in the </w:t>
      </w:r>
      <w:r>
        <w:rPr>
          <w:rFonts w:ascii="Arial" w:cs="Arial" w:eastAsia="Arial" w:hAnsi="Arial"/>
          <w:sz w:val="18"/>
          <w:szCs w:val="18"/>
          <w:i w:val="1"/>
          <w:iCs w:val="1"/>
          <w:color w:val="auto"/>
        </w:rPr>
        <w:t>Children’s Book Publishing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 </w:t>
      </w:r>
      <w:r>
        <w:rPr>
          <w:rFonts w:ascii="Arial" w:cs="Arial" w:eastAsia="Arial" w:hAnsi="Arial"/>
          <w:sz w:val="18"/>
          <w:szCs w:val="18"/>
          <w:color w:val="auto"/>
        </w:rPr>
        <w:t>segments.</w:t>
      </w:r>
    </w:p>
    <w:p>
      <w:pPr>
        <w:sectPr>
          <w:pgSz w:w="11900" w:h="16838" w:orient="portrait"/>
          <w:cols w:equalWidth="0" w:num="1">
            <w:col w:w="11420"/>
          </w:cols>
          <w:pgMar w:left="240" w:top="139" w:right="239" w:bottom="0" w:gutter="0" w:footer="0" w:header="0"/>
        </w:sectPr>
      </w:pPr>
    </w:p>
    <w:bookmarkStart w:id="26" w:name="page27"/>
    <w:bookmarkEnd w:id="26"/>
    <w:p>
      <w:pPr>
        <w:spacing w:after="0" w:line="256" w:lineRule="auto"/>
        <w:rPr>
          <w:sz w:val="20"/>
          <w:szCs w:val="20"/>
          <w:color w:val="auto"/>
        </w:rPr>
      </w:pPr>
      <w:r>
        <w:rPr>
          <w:rFonts w:ascii="Arial" w:cs="Arial" w:eastAsia="Arial" w:hAnsi="Arial"/>
          <w:sz w:val="18"/>
          <w:szCs w:val="18"/>
          <w:color w:val="auto"/>
        </w:rPr>
        <w:t>The resulting operating income for the quarter ended November 30, 2008 decreased by $31.1 million, or 22.4%, to $107.8 million, compared to $138.9 million in the prior fiscal year quarter, primarily due to higher severance and one-time expenses associated with the Company’s cost reduction plans and unfavorable foreign exchange rates. For the six months ended November 30, 2008, operating income decreased to $43.9 million, compared to $155.0 million in the prior year, primarily due to lower Harry Potter revenues and profits.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interest expense decreased $2.7 million to $7.0 million in the quarter ended November 30, 2008, compared to $9.7 million in the prior fiscal year quarter. For the six months ended November 30, 2008, net interest expense decreased by $5.5 million to $12.9 million as compared to $18.4 million in the prior fiscal year period, driven by lower borrowing levels.</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provision for income taxes with respect to continuing operations resulted in an effective tax rate of 42.1% and 36.3% for the quarters ended November 30, 2008 and November 30, 2007, respectively. Effective tax rates for the six months ended November 30, 2008 and November 30, 2007 were 52.6% and 36.8%, respectively. The effective tax rates for the current period exceed the prior period effective tax rates primarily due to losses in certain foreign subsidiaries for which the Company does not expect to realize correlative income tax benefits, and reduced domestic tax deductions caused by lower taxable income.</w:t>
      </w:r>
    </w:p>
    <w:p>
      <w:pPr>
        <w:spacing w:after="0" w:line="19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Earnings from continuing operations was $58.4 million, or $1.55 per diluted share, for the quarter ended November 30, 2008, compared to earnings from continuing operations of $82.3 million, or $2.10 per diluted share, in the prior fiscal year quarter. For the six months ended November 30, 2008, earnings from continuing operations was $14.7 million, or $0.39 per diluted share, compared to $86.3 million, or $2.17 per diluted share, in the prior fiscal year period.</w:t>
      </w:r>
    </w:p>
    <w:p>
      <w:pPr>
        <w:spacing w:after="0" w:line="16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Loss from discontinued operations, net of tax, was $15.3 million, or $0.40 per diluted share, for the quarter ended November 30, 2008, compared to $6.7 million, or $0.17 per diluted share, in the prior fiscal year quarter. For the six months ended November 30, 2008, loss from discontinued operations, net of tax, was $20.7 million, or $0.55 per diluted share, compared to $13.5 million, or $0.34 per diluted share, in the prior fiscal year period.</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Net income was $43.1 million, or $1.15 per diluted share, for the quarter ended November 30, 2008, compared to $75.6 million, or $1.93 per diluted share, in the prior fiscal year quarter. For the six months ended November 30, 2008, net loss was $6.0 million, or $0.16 per diluted share, compared to net income of $72.8 million, or $1.83 per diluted share, in the prior fiscal year period, as the prior fiscal year benefited from the successful release of </w:t>
      </w:r>
      <w:r>
        <w:rPr>
          <w:rFonts w:ascii="Arial" w:cs="Arial" w:eastAsia="Arial" w:hAnsi="Arial"/>
          <w:sz w:val="18"/>
          <w:szCs w:val="18"/>
          <w:i w:val="1"/>
          <w:iCs w:val="1"/>
          <w:color w:val="auto"/>
        </w:rPr>
        <w:t>Harry Potter and the Deathly</w:t>
      </w:r>
      <w:r>
        <w:rPr>
          <w:rFonts w:ascii="Arial" w:cs="Arial" w:eastAsia="Arial" w:hAnsi="Arial"/>
          <w:sz w:val="18"/>
          <w:szCs w:val="18"/>
          <w:color w:val="auto"/>
        </w:rPr>
        <w:t xml:space="preserve"> </w:t>
      </w:r>
      <w:r>
        <w:rPr>
          <w:rFonts w:ascii="Arial" w:cs="Arial" w:eastAsia="Arial" w:hAnsi="Arial"/>
          <w:sz w:val="18"/>
          <w:szCs w:val="18"/>
          <w:i w:val="1"/>
          <w:iCs w:val="1"/>
          <w:color w:val="auto"/>
        </w:rPr>
        <w:t>Hallows</w:t>
      </w:r>
      <w:r>
        <w:rPr>
          <w:rFonts w:ascii="Arial" w:cs="Arial" w:eastAsia="Arial" w:hAnsi="Arial"/>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9"/>
        </w:trPr>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0" w:type="dxa"/>
            <w:vAlign w:val="bottom"/>
            <w:gridSpan w:val="3"/>
          </w:tcPr>
          <w:p>
            <w:pPr>
              <w:jc w:val="right"/>
              <w:ind w:right="612"/>
              <w:spacing w:after="0"/>
              <w:rPr>
                <w:sz w:val="20"/>
                <w:szCs w:val="20"/>
                <w:color w:val="auto"/>
              </w:rPr>
            </w:pPr>
            <w:r>
              <w:rPr>
                <w:rFonts w:ascii="Arial" w:cs="Arial" w:eastAsia="Arial" w:hAnsi="Arial"/>
                <w:sz w:val="18"/>
                <w:szCs w:val="18"/>
                <w:b w:val="1"/>
                <w:bCs w:val="1"/>
                <w:i w:val="1"/>
                <w:iCs w:val="1"/>
                <w:color w:val="auto"/>
                <w:w w:val="94"/>
              </w:rPr>
              <w:t>Three months ended</w:t>
            </w:r>
          </w:p>
        </w:tc>
        <w:tc>
          <w:tcPr>
            <w:tcW w:w="300" w:type="dxa"/>
            <w:vAlign w:val="bottom"/>
          </w:tcPr>
          <w:p>
            <w:pPr>
              <w:spacing w:after="0"/>
              <w:rPr>
                <w:sz w:val="24"/>
                <w:szCs w:val="24"/>
                <w:color w:val="auto"/>
              </w:rPr>
            </w:pPr>
          </w:p>
        </w:tc>
        <w:tc>
          <w:tcPr>
            <w:tcW w:w="2180" w:type="dxa"/>
            <w:vAlign w:val="bottom"/>
            <w:gridSpan w:val="3"/>
          </w:tcPr>
          <w:p>
            <w:pPr>
              <w:jc w:val="right"/>
              <w:ind w:right="572"/>
              <w:spacing w:after="0"/>
              <w:rPr>
                <w:sz w:val="20"/>
                <w:szCs w:val="20"/>
                <w:color w:val="auto"/>
              </w:rPr>
            </w:pPr>
            <w:r>
              <w:rPr>
                <w:rFonts w:ascii="Arial" w:cs="Arial" w:eastAsia="Arial" w:hAnsi="Arial"/>
                <w:sz w:val="18"/>
                <w:szCs w:val="18"/>
                <w:b w:val="1"/>
                <w:bCs w:val="1"/>
                <w:i w:val="1"/>
                <w:iCs w:val="1"/>
                <w:color w:val="auto"/>
                <w:w w:val="96"/>
              </w:rPr>
              <w:t>Six months ended</w:t>
            </w:r>
          </w:p>
        </w:tc>
      </w:tr>
      <w:tr>
        <w:trPr>
          <w:trHeight w:val="222"/>
        </w:trPr>
        <w:tc>
          <w:tcPr>
            <w:tcW w:w="486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700" w:type="dxa"/>
            <w:vAlign w:val="bottom"/>
          </w:tcPr>
          <w:p>
            <w:pPr>
              <w:spacing w:after="0"/>
              <w:rPr>
                <w:sz w:val="19"/>
                <w:szCs w:val="19"/>
                <w:color w:val="auto"/>
              </w:rPr>
            </w:pPr>
          </w:p>
        </w:tc>
        <w:tc>
          <w:tcPr>
            <w:tcW w:w="2400" w:type="dxa"/>
            <w:vAlign w:val="bottom"/>
            <w:gridSpan w:val="3"/>
          </w:tcPr>
          <w:p>
            <w:pPr>
              <w:jc w:val="right"/>
              <w:ind w:right="852"/>
              <w:spacing w:after="0"/>
              <w:rPr>
                <w:sz w:val="20"/>
                <w:szCs w:val="20"/>
                <w:color w:val="auto"/>
              </w:rPr>
            </w:pPr>
            <w:r>
              <w:rPr>
                <w:rFonts w:ascii="Arial" w:cs="Arial" w:eastAsia="Arial" w:hAnsi="Arial"/>
                <w:sz w:val="18"/>
                <w:szCs w:val="18"/>
                <w:b w:val="1"/>
                <w:bCs w:val="1"/>
                <w:i w:val="1"/>
                <w:iCs w:val="1"/>
                <w:color w:val="auto"/>
              </w:rPr>
              <w:t>November 30,</w:t>
            </w:r>
          </w:p>
        </w:tc>
        <w:tc>
          <w:tcPr>
            <w:tcW w:w="300" w:type="dxa"/>
            <w:vAlign w:val="bottom"/>
          </w:tcPr>
          <w:p>
            <w:pPr>
              <w:spacing w:after="0"/>
              <w:rPr>
                <w:sz w:val="19"/>
                <w:szCs w:val="19"/>
                <w:color w:val="auto"/>
              </w:rPr>
            </w:pPr>
          </w:p>
        </w:tc>
        <w:tc>
          <w:tcPr>
            <w:tcW w:w="218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8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10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r>
      <w:tr>
        <w:trPr>
          <w:trHeight w:val="110"/>
        </w:trPr>
        <w:tc>
          <w:tcPr>
            <w:tcW w:w="48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58"/>
        </w:trPr>
        <w:tc>
          <w:tcPr>
            <w:tcW w:w="486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381.8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386.9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442.8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683.7</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121.4</w:t>
            </w:r>
          </w:p>
        </w:tc>
      </w:tr>
      <w:tr>
        <w:trPr>
          <w:trHeight w:val="110"/>
        </w:trPr>
        <w:tc>
          <w:tcPr>
            <w:tcW w:w="48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464"/>
        </w:trPr>
        <w:tc>
          <w:tcPr>
            <w:tcW w:w="486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bl>
    <w:p>
      <w:pPr>
        <w:spacing w:after="0" w:line="21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November 30, 2008 decreased by $5.1 million, or 1.3%, to $381.8 million, compared to $386.9 million in the prior fiscal year quarter. This decline was due to a decrease in revenues in the Company’s trade business related to lower Harry Potter and Klutz revenues in the current period. Revenues for the six months ended November 30, 2008 decreased by $240.9 million to $442.8 million, compared to $683.7 million in the prior fiscal year period. This decrease was due to the unprecedented success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xml:space="preserve"> the seventh and final book in the series, in the prior year, which included approximately $250 million of Harry Potter revenues.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Segment operating income for the quarter ended November 30, 2008 decreased by $9.6 million, or 8.8%, to $99.2 million, compared to $108.8 million in the prior fiscal year quarter, principally due to increased promotional costs in school book clubs and lower revenues and an increase in bad debt reserves, due to credit concerns regarding a large retailer, and royalty expense in the Company’s trade business. Segment operating income for the six months ended November 30, 2008 declined by $78.1 million to $43.3 million, compared to $121.4 million in the prior fiscal year period, primarily due to lower operating results in the Company’s trade business resulting from lower Harry Potter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9"/>
        </w:trPr>
        <w:tc>
          <w:tcPr>
            <w:tcW w:w="40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80" w:type="dxa"/>
            <w:vAlign w:val="bottom"/>
            <w:gridSpan w:val="3"/>
          </w:tcPr>
          <w:p>
            <w:pPr>
              <w:jc w:val="center"/>
              <w:ind w:right="392"/>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320" w:type="dxa"/>
            <w:vAlign w:val="bottom"/>
          </w:tcPr>
          <w:p>
            <w:pPr>
              <w:spacing w:after="0"/>
              <w:rPr>
                <w:sz w:val="24"/>
                <w:szCs w:val="24"/>
                <w:color w:val="auto"/>
              </w:rPr>
            </w:pPr>
          </w:p>
        </w:tc>
        <w:tc>
          <w:tcPr>
            <w:tcW w:w="2160" w:type="dxa"/>
            <w:vAlign w:val="bottom"/>
            <w:gridSpan w:val="3"/>
          </w:tcPr>
          <w:p>
            <w:pPr>
              <w:jc w:val="center"/>
              <w:ind w:right="352"/>
              <w:spacing w:after="0"/>
              <w:rPr>
                <w:sz w:val="20"/>
                <w:szCs w:val="20"/>
                <w:color w:val="auto"/>
              </w:rPr>
            </w:pPr>
            <w:r>
              <w:rPr>
                <w:rFonts w:ascii="Arial" w:cs="Arial" w:eastAsia="Arial" w:hAnsi="Arial"/>
                <w:sz w:val="18"/>
                <w:szCs w:val="18"/>
                <w:b w:val="1"/>
                <w:bCs w:val="1"/>
                <w:i w:val="1"/>
                <w:iCs w:val="1"/>
                <w:color w:val="auto"/>
                <w:w w:val="82"/>
              </w:rPr>
              <w:t>Six months ended</w:t>
            </w:r>
          </w:p>
        </w:tc>
      </w:tr>
      <w:tr>
        <w:trPr>
          <w:trHeight w:val="222"/>
        </w:trPr>
        <w:tc>
          <w:tcPr>
            <w:tcW w:w="40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540" w:type="dxa"/>
            <w:vAlign w:val="bottom"/>
          </w:tcPr>
          <w:p>
            <w:pPr>
              <w:spacing w:after="0"/>
              <w:rPr>
                <w:sz w:val="19"/>
                <w:szCs w:val="19"/>
                <w:color w:val="auto"/>
              </w:rPr>
            </w:pPr>
          </w:p>
        </w:tc>
        <w:tc>
          <w:tcPr>
            <w:tcW w:w="1480" w:type="dxa"/>
            <w:vAlign w:val="bottom"/>
            <w:gridSpan w:val="2"/>
          </w:tcPr>
          <w:p>
            <w:pPr>
              <w:jc w:val="center"/>
              <w:ind w:left="332"/>
              <w:spacing w:after="0"/>
              <w:rPr>
                <w:sz w:val="20"/>
                <w:szCs w:val="20"/>
                <w:color w:val="auto"/>
              </w:rPr>
            </w:pPr>
            <w:r>
              <w:rPr>
                <w:rFonts w:ascii="Arial" w:cs="Arial" w:eastAsia="Arial" w:hAnsi="Arial"/>
                <w:sz w:val="18"/>
                <w:szCs w:val="18"/>
                <w:b w:val="1"/>
                <w:bCs w:val="1"/>
                <w:i w:val="1"/>
                <w:iCs w:val="1"/>
                <w:color w:val="auto"/>
                <w:w w:val="86"/>
              </w:rPr>
              <w:t>November 30,</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18"/>
                <w:szCs w:val="18"/>
                <w:b w:val="1"/>
                <w:bCs w:val="1"/>
                <w:i w:val="1"/>
                <w:iCs w:val="1"/>
                <w:color w:val="auto"/>
                <w:w w:val="84"/>
              </w:rPr>
              <w:t>November 30,</w:t>
            </w:r>
          </w:p>
        </w:tc>
        <w:tc>
          <w:tcPr>
            <w:tcW w:w="760" w:type="dxa"/>
            <w:vAlign w:val="bottom"/>
          </w:tcPr>
          <w:p>
            <w:pPr>
              <w:spacing w:after="0"/>
              <w:rPr>
                <w:sz w:val="19"/>
                <w:szCs w:val="19"/>
                <w:color w:val="auto"/>
              </w:rPr>
            </w:pPr>
          </w:p>
        </w:tc>
      </w:tr>
      <w:tr>
        <w:trPr>
          <w:trHeight w:val="110"/>
        </w:trPr>
        <w:tc>
          <w:tcPr>
            <w:tcW w:w="4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40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Arial" w:cs="Arial" w:eastAsia="Arial" w:hAnsi="Arial"/>
                <w:sz w:val="18"/>
                <w:szCs w:val="18"/>
                <w:b w:val="1"/>
                <w:bCs w:val="1"/>
                <w:color w:val="auto"/>
                <w:w w:val="84"/>
              </w:rPr>
              <w:t>2007</w:t>
            </w: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2007</w:t>
            </w:r>
          </w:p>
        </w:tc>
      </w:tr>
      <w:tr>
        <w:trPr>
          <w:trHeight w:val="110"/>
        </w:trPr>
        <w:tc>
          <w:tcPr>
            <w:tcW w:w="4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58"/>
        </w:trPr>
        <w:tc>
          <w:tcPr>
            <w:tcW w:w="4040" w:type="dxa"/>
            <w:vAlign w:val="bottom"/>
          </w:tcPr>
          <w:p>
            <w:pPr>
              <w:spacing w:after="0"/>
              <w:rPr>
                <w:sz w:val="20"/>
                <w:szCs w:val="20"/>
                <w:color w:val="auto"/>
              </w:rPr>
            </w:pPr>
            <w:r>
              <w:rPr>
                <w:rFonts w:ascii="Arial" w:cs="Arial" w:eastAsia="Arial" w:hAnsi="Arial"/>
                <w:sz w:val="18"/>
                <w:szCs w:val="18"/>
                <w:color w:val="auto"/>
              </w:rPr>
              <w:t>Revenues</w:t>
            </w:r>
          </w:p>
        </w:tc>
        <w:tc>
          <w:tcPr>
            <w:tcW w:w="2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ind w:left="460"/>
              <w:spacing w:after="0"/>
              <w:rPr>
                <w:sz w:val="20"/>
                <w:szCs w:val="20"/>
                <w:color w:val="auto"/>
              </w:rPr>
            </w:pPr>
            <w:r>
              <w:rPr>
                <w:rFonts w:ascii="Arial" w:cs="Arial" w:eastAsia="Arial" w:hAnsi="Arial"/>
                <w:sz w:val="18"/>
                <w:szCs w:val="18"/>
                <w:color w:val="auto"/>
              </w:rPr>
              <w:t>92.2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rPr>
              <w:t>99.6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208.6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227.4</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42.9</w:t>
            </w:r>
          </w:p>
        </w:tc>
      </w:tr>
      <w:tr>
        <w:trPr>
          <w:trHeight w:val="110"/>
        </w:trPr>
        <w:tc>
          <w:tcPr>
            <w:tcW w:w="40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40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54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8"/>
                <w:szCs w:val="18"/>
                <w:b w:val="1"/>
                <w:bCs w:val="1"/>
                <w:color w:val="auto"/>
              </w:rPr>
              <w:t>14.3%</w:t>
            </w:r>
          </w:p>
        </w:tc>
        <w:tc>
          <w:tcPr>
            <w:tcW w:w="44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18"/>
                <w:szCs w:val="18"/>
                <w:b w:val="1"/>
                <w:bCs w:val="1"/>
                <w:color w:val="auto"/>
              </w:rPr>
              <w:t>12.4%</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r>
    </w:tbl>
    <w:p>
      <w:pPr>
        <w:spacing w:after="0" w:line="2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for the quarter ended November 30, 2008 decreased by $7.4 million, or 7.4%, to $92.2 million, compared to $99.6 million in the prior fiscal year quarter. This decrease partially reflected the earlier timing of certain classroom book revenue in the first quarter of the current fiscal year rather than in the second quarter. Revenues from teaching resources materials also declined. Segment revenues for the six months ended November 30, 2008 decreased by $18.8 million, or 8.3%, to $208.6 million, compared to $227.4 million in the prior fiscal year period. This decrease was principally driven by lower revenues from sales of technology products, primarily due to lower sales of </w:t>
      </w:r>
      <w:r>
        <w:rPr>
          <w:rFonts w:ascii="Arial" w:cs="Arial" w:eastAsia="Arial" w:hAnsi="Arial"/>
          <w:sz w:val="18"/>
          <w:szCs w:val="18"/>
          <w:i w:val="1"/>
          <w:iCs w:val="1"/>
          <w:color w:val="auto"/>
        </w:rPr>
        <w:t>READ180</w:t>
      </w:r>
      <w:r>
        <w:rPr>
          <w:rFonts w:ascii="Arial" w:cs="Arial" w:eastAsia="Arial" w:hAnsi="Arial"/>
          <w:sz w:val="18"/>
          <w:szCs w:val="18"/>
          <w:color w:val="auto"/>
        </w:rPr>
        <w:t xml:space="preserve"> in the first quarter, and a large sale in the prior year period.</w:t>
      </w:r>
    </w:p>
    <w:p>
      <w:pPr>
        <w:spacing w:after="0" w:line="19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Segment operating income for the quarter ended November 30, 2008 increased to $13.2 million, as compared to $12.4 million in the prior fiscal year quarter, principally driven by lower selling expenses, more than offsetting the impact of lower revenues in the current fiscal year quarter. Segment operating income for the six months ended November 30, 2008 decreased by $8.7 million, or 20.3%, to $34.2 million, compared to $42.9 million in the prior fiscal year period. This decrease is primarily due to lower revenues partially offset by lower selling expenses.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9"/>
        </w:trPr>
        <w:tc>
          <w:tcPr>
            <w:tcW w:w="4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gridSpan w:val="3"/>
          </w:tcPr>
          <w:p>
            <w:pPr>
              <w:ind w:left="100"/>
              <w:spacing w:after="0"/>
              <w:rPr>
                <w:sz w:val="20"/>
                <w:szCs w:val="20"/>
                <w:color w:val="auto"/>
              </w:rPr>
            </w:pPr>
            <w:r>
              <w:rPr>
                <w:rFonts w:ascii="Arial" w:cs="Arial" w:eastAsia="Arial" w:hAnsi="Arial"/>
                <w:sz w:val="18"/>
                <w:szCs w:val="18"/>
                <w:b w:val="1"/>
                <w:bCs w:val="1"/>
                <w:i w:val="1"/>
                <w:iCs w:val="1"/>
                <w:color w:val="auto"/>
              </w:rPr>
              <w:t>Three months ended</w:t>
            </w:r>
          </w:p>
        </w:tc>
        <w:tc>
          <w:tcPr>
            <w:tcW w:w="240" w:type="dxa"/>
            <w:vAlign w:val="bottom"/>
          </w:tcPr>
          <w:p>
            <w:pPr>
              <w:spacing w:after="0"/>
              <w:rPr>
                <w:sz w:val="24"/>
                <w:szCs w:val="24"/>
                <w:color w:val="auto"/>
              </w:rPr>
            </w:pPr>
          </w:p>
        </w:tc>
        <w:tc>
          <w:tcPr>
            <w:tcW w:w="2200" w:type="dxa"/>
            <w:vAlign w:val="bottom"/>
            <w:gridSpan w:val="3"/>
          </w:tcPr>
          <w:p>
            <w:pPr>
              <w:jc w:val="right"/>
              <w:ind w:right="612"/>
              <w:spacing w:after="0"/>
              <w:rPr>
                <w:sz w:val="20"/>
                <w:szCs w:val="20"/>
                <w:color w:val="auto"/>
              </w:rPr>
            </w:pPr>
            <w:r>
              <w:rPr>
                <w:rFonts w:ascii="Arial" w:cs="Arial" w:eastAsia="Arial" w:hAnsi="Arial"/>
                <w:sz w:val="18"/>
                <w:szCs w:val="18"/>
                <w:b w:val="1"/>
                <w:bCs w:val="1"/>
                <w:i w:val="1"/>
                <w:iCs w:val="1"/>
                <w:color w:val="auto"/>
                <w:w w:val="95"/>
              </w:rPr>
              <w:t>Six months ended</w:t>
            </w:r>
          </w:p>
        </w:tc>
      </w:tr>
      <w:tr>
        <w:trPr>
          <w:trHeight w:val="222"/>
        </w:trPr>
        <w:tc>
          <w:tcPr>
            <w:tcW w:w="45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320" w:type="dxa"/>
            <w:vAlign w:val="bottom"/>
          </w:tcPr>
          <w:p>
            <w:pPr>
              <w:spacing w:after="0"/>
              <w:rPr>
                <w:sz w:val="19"/>
                <w:szCs w:val="19"/>
                <w:color w:val="auto"/>
              </w:rPr>
            </w:pPr>
          </w:p>
        </w:tc>
        <w:tc>
          <w:tcPr>
            <w:tcW w:w="2100" w:type="dxa"/>
            <w:vAlign w:val="bottom"/>
            <w:gridSpan w:val="3"/>
          </w:tcPr>
          <w:p>
            <w:pPr>
              <w:ind w:left="340"/>
              <w:spacing w:after="0"/>
              <w:rPr>
                <w:sz w:val="20"/>
                <w:szCs w:val="20"/>
                <w:color w:val="auto"/>
              </w:rPr>
            </w:pPr>
            <w:r>
              <w:rPr>
                <w:rFonts w:ascii="Arial" w:cs="Arial" w:eastAsia="Arial" w:hAnsi="Arial"/>
                <w:sz w:val="18"/>
                <w:szCs w:val="18"/>
                <w:b w:val="1"/>
                <w:bCs w:val="1"/>
                <w:i w:val="1"/>
                <w:iCs w:val="1"/>
                <w:color w:val="auto"/>
              </w:rPr>
              <w:t>November 30,</w:t>
            </w:r>
          </w:p>
        </w:tc>
        <w:tc>
          <w:tcPr>
            <w:tcW w:w="240" w:type="dxa"/>
            <w:vAlign w:val="bottom"/>
          </w:tcPr>
          <w:p>
            <w:pPr>
              <w:spacing w:after="0"/>
              <w:rPr>
                <w:sz w:val="19"/>
                <w:szCs w:val="19"/>
                <w:color w:val="auto"/>
              </w:rPr>
            </w:pPr>
          </w:p>
        </w:tc>
        <w:tc>
          <w:tcPr>
            <w:tcW w:w="2200" w:type="dxa"/>
            <w:vAlign w:val="bottom"/>
            <w:gridSpan w:val="3"/>
          </w:tcPr>
          <w:p>
            <w:pPr>
              <w:jc w:val="right"/>
              <w:ind w:right="75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58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4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b w:val="1"/>
                <w:bCs w:val="1"/>
                <w:color w:val="auto"/>
              </w:rPr>
              <w:t>2007</w:t>
            </w:r>
          </w:p>
        </w:tc>
      </w:tr>
      <w:tr>
        <w:trPr>
          <w:trHeight w:val="110"/>
        </w:trPr>
        <w:tc>
          <w:tcPr>
            <w:tcW w:w="458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rPr>
              <w:t>Revenues</w:t>
            </w:r>
          </w:p>
        </w:tc>
        <w:tc>
          <w:tcPr>
            <w:tcW w:w="2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ind w:left="440"/>
              <w:spacing w:after="0"/>
              <w:rPr>
                <w:sz w:val="20"/>
                <w:szCs w:val="20"/>
                <w:color w:val="auto"/>
              </w:rPr>
            </w:pPr>
            <w:r>
              <w:rPr>
                <w:rFonts w:ascii="Arial" w:cs="Arial" w:eastAsia="Arial" w:hAnsi="Arial"/>
                <w:sz w:val="18"/>
                <w:szCs w:val="18"/>
                <w:color w:val="auto"/>
              </w:rPr>
              <w:t>63.2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40"/>
              <w:spacing w:after="0"/>
              <w:rPr>
                <w:sz w:val="20"/>
                <w:szCs w:val="20"/>
                <w:color w:val="auto"/>
              </w:rPr>
            </w:pPr>
            <w:r>
              <w:rPr>
                <w:rFonts w:ascii="Arial" w:cs="Arial" w:eastAsia="Arial" w:hAnsi="Arial"/>
                <w:sz w:val="18"/>
                <w:szCs w:val="18"/>
                <w:color w:val="auto"/>
              </w:rPr>
              <w:t>56.3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82.4</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72.4</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19"/>
                <w:szCs w:val="19"/>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5.1</w:t>
            </w:r>
          </w:p>
        </w:tc>
      </w:tr>
      <w:tr>
        <w:trPr>
          <w:trHeight w:val="110"/>
        </w:trPr>
        <w:tc>
          <w:tcPr>
            <w:tcW w:w="458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5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32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18"/>
                <w:szCs w:val="18"/>
                <w:b w:val="1"/>
                <w:bCs w:val="1"/>
                <w:color w:val="auto"/>
                <w:w w:val="93"/>
              </w:rPr>
              <w:t>16.6%</w:t>
            </w:r>
          </w:p>
        </w:tc>
        <w:tc>
          <w:tcPr>
            <w:tcW w:w="22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18"/>
                <w:szCs w:val="18"/>
                <w:b w:val="1"/>
                <w:bCs w:val="1"/>
                <w:color w:val="auto"/>
                <w:w w:val="93"/>
              </w:rPr>
              <w:t>18.5%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bl>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for the quarter ended November 30, 2008 increased by $6.9 million, or 12.3%, to $63.2 million, compared to $56.3 million in the prior fiscal year quarter, primarily due to increased sales of software and interactive products and increased advertising revenue in the custom publishing business. Segment revenues for the six months ended November 30, 2008 increased by $10.0 million, or 13.8%, to $82.4 million, compared to $72.4 million in the prior fiscal year period, primarily due to higher revenues from sales of software and interactive products, as well as higher advertising revenue in the custom publishing business.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Segment operating income for the quarter ended November 30, 2008 increased slightly to $10.5 million, compared to $10.4 million in the prior fiscal year quarter. Segment operating income for the six months ended November 30, 2008 increased by $1.1 million, or 21.6%, to $6.2 million, compared to $5.1 million in the prior fiscal year period, primarily due to the higher 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39"/>
        </w:trPr>
        <w:tc>
          <w:tcPr>
            <w:tcW w:w="4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00" w:type="dxa"/>
            <w:vAlign w:val="bottom"/>
            <w:gridSpan w:val="3"/>
          </w:tcPr>
          <w:p>
            <w:pPr>
              <w:jc w:val="right"/>
              <w:ind w:right="432"/>
              <w:spacing w:after="0"/>
              <w:rPr>
                <w:sz w:val="20"/>
                <w:szCs w:val="20"/>
                <w:color w:val="auto"/>
              </w:rPr>
            </w:pPr>
            <w:r>
              <w:rPr>
                <w:rFonts w:ascii="Arial" w:cs="Arial" w:eastAsia="Arial" w:hAnsi="Arial"/>
                <w:sz w:val="18"/>
                <w:szCs w:val="18"/>
                <w:b w:val="1"/>
                <w:bCs w:val="1"/>
                <w:i w:val="1"/>
                <w:iCs w:val="1"/>
                <w:color w:val="auto"/>
                <w:w w:val="88"/>
              </w:rPr>
              <w:t>Three months ended</w:t>
            </w:r>
          </w:p>
        </w:tc>
        <w:tc>
          <w:tcPr>
            <w:tcW w:w="260" w:type="dxa"/>
            <w:vAlign w:val="bottom"/>
          </w:tcPr>
          <w:p>
            <w:pPr>
              <w:spacing w:after="0"/>
              <w:rPr>
                <w:sz w:val="24"/>
                <w:szCs w:val="24"/>
                <w:color w:val="auto"/>
              </w:rPr>
            </w:pPr>
          </w:p>
        </w:tc>
        <w:tc>
          <w:tcPr>
            <w:tcW w:w="2160" w:type="dxa"/>
            <w:vAlign w:val="bottom"/>
            <w:gridSpan w:val="3"/>
          </w:tcPr>
          <w:p>
            <w:pPr>
              <w:jc w:val="right"/>
              <w:ind w:right="552"/>
              <w:spacing w:after="0"/>
              <w:rPr>
                <w:sz w:val="20"/>
                <w:szCs w:val="20"/>
                <w:color w:val="auto"/>
              </w:rPr>
            </w:pPr>
            <w:r>
              <w:rPr>
                <w:rFonts w:ascii="Arial" w:cs="Arial" w:eastAsia="Arial" w:hAnsi="Arial"/>
                <w:sz w:val="18"/>
                <w:szCs w:val="18"/>
                <w:b w:val="1"/>
                <w:bCs w:val="1"/>
                <w:i w:val="1"/>
                <w:iCs w:val="1"/>
                <w:color w:val="auto"/>
                <w:w w:val="96"/>
              </w:rPr>
              <w:t>Six months ended</w:t>
            </w:r>
          </w:p>
        </w:tc>
      </w:tr>
      <w:tr>
        <w:trPr>
          <w:trHeight w:val="222"/>
        </w:trPr>
        <w:tc>
          <w:tcPr>
            <w:tcW w:w="42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720" w:type="dxa"/>
            <w:vAlign w:val="bottom"/>
          </w:tcPr>
          <w:p>
            <w:pPr>
              <w:spacing w:after="0"/>
              <w:rPr>
                <w:sz w:val="19"/>
                <w:szCs w:val="19"/>
                <w:color w:val="auto"/>
              </w:rPr>
            </w:pPr>
          </w:p>
        </w:tc>
        <w:tc>
          <w:tcPr>
            <w:tcW w:w="2100" w:type="dxa"/>
            <w:vAlign w:val="bottom"/>
            <w:gridSpan w:val="3"/>
          </w:tcPr>
          <w:p>
            <w:pPr>
              <w:jc w:val="right"/>
              <w:ind w:right="672"/>
              <w:spacing w:after="0"/>
              <w:rPr>
                <w:sz w:val="20"/>
                <w:szCs w:val="20"/>
                <w:color w:val="auto"/>
              </w:rPr>
            </w:pPr>
            <w:r>
              <w:rPr>
                <w:rFonts w:ascii="Arial" w:cs="Arial" w:eastAsia="Arial" w:hAnsi="Arial"/>
                <w:sz w:val="18"/>
                <w:szCs w:val="18"/>
                <w:b w:val="1"/>
                <w:bCs w:val="1"/>
                <w:i w:val="1"/>
                <w:iCs w:val="1"/>
                <w:color w:val="auto"/>
              </w:rPr>
              <w:t>November 30,</w:t>
            </w:r>
          </w:p>
        </w:tc>
        <w:tc>
          <w:tcPr>
            <w:tcW w:w="260" w:type="dxa"/>
            <w:vAlign w:val="bottom"/>
          </w:tcPr>
          <w:p>
            <w:pPr>
              <w:spacing w:after="0"/>
              <w:rPr>
                <w:sz w:val="19"/>
                <w:szCs w:val="19"/>
                <w:color w:val="auto"/>
              </w:rPr>
            </w:pPr>
          </w:p>
        </w:tc>
        <w:tc>
          <w:tcPr>
            <w:tcW w:w="2160" w:type="dxa"/>
            <w:vAlign w:val="bottom"/>
            <w:gridSpan w:val="3"/>
          </w:tcPr>
          <w:p>
            <w:pPr>
              <w:jc w:val="right"/>
              <w:ind w:right="692"/>
              <w:spacing w:after="0"/>
              <w:rPr>
                <w:sz w:val="20"/>
                <w:szCs w:val="20"/>
                <w:color w:val="auto"/>
              </w:rPr>
            </w:pPr>
            <w:r>
              <w:rPr>
                <w:rFonts w:ascii="Arial" w:cs="Arial" w:eastAsia="Arial" w:hAnsi="Arial"/>
                <w:sz w:val="18"/>
                <w:szCs w:val="18"/>
                <w:b w:val="1"/>
                <w:bCs w:val="1"/>
                <w:i w:val="1"/>
                <w:iCs w:val="1"/>
                <w:color w:val="auto"/>
              </w:rPr>
              <w:t>November 30,</w:t>
            </w:r>
          </w:p>
        </w:tc>
      </w:tr>
      <w:tr>
        <w:trPr>
          <w:trHeight w:val="110"/>
        </w:trPr>
        <w:tc>
          <w:tcPr>
            <w:tcW w:w="420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6"/>
        </w:trPr>
        <w:tc>
          <w:tcPr>
            <w:tcW w:w="4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2008</w:t>
            </w:r>
          </w:p>
        </w:tc>
        <w:tc>
          <w:tcPr>
            <w:tcW w:w="260" w:type="dxa"/>
            <w:vAlign w:val="bottom"/>
          </w:tcPr>
          <w:p>
            <w:pPr>
              <w:spacing w:after="0"/>
              <w:rPr>
                <w:sz w:val="24"/>
                <w:szCs w:val="24"/>
                <w:color w:val="auto"/>
              </w:rPr>
            </w:pPr>
          </w:p>
        </w:tc>
        <w:tc>
          <w:tcPr>
            <w:tcW w:w="9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2007</w:t>
            </w:r>
          </w:p>
        </w:tc>
        <w:tc>
          <w:tcPr>
            <w:tcW w:w="260" w:type="dxa"/>
            <w:vAlign w:val="bottom"/>
          </w:tcPr>
          <w:p>
            <w:pPr>
              <w:spacing w:after="0"/>
              <w:rPr>
                <w:sz w:val="24"/>
                <w:szCs w:val="24"/>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4"/>
                <w:szCs w:val="24"/>
                <w:color w:val="auto"/>
              </w:rPr>
            </w:pPr>
          </w:p>
        </w:tc>
        <w:tc>
          <w:tcPr>
            <w:tcW w:w="94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2007</w:t>
            </w:r>
          </w:p>
        </w:tc>
      </w:tr>
      <w:tr>
        <w:trPr>
          <w:trHeight w:val="110"/>
        </w:trPr>
        <w:tc>
          <w:tcPr>
            <w:tcW w:w="420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58"/>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124.4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144.8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233.1</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Operating income</w:t>
            </w:r>
          </w:p>
        </w:tc>
        <w:tc>
          <w:tcPr>
            <w:tcW w:w="272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24.0</w:t>
            </w:r>
          </w:p>
        </w:tc>
      </w:tr>
      <w:tr>
        <w:trPr>
          <w:trHeight w:val="110"/>
        </w:trPr>
        <w:tc>
          <w:tcPr>
            <w:tcW w:w="420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464"/>
        </w:trPr>
        <w:tc>
          <w:tcPr>
            <w:tcW w:w="42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r>
    </w:tbl>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for the quarter ended November 30, 2008 decreased by $20.4 million, or 14.1%, to $124.4 million, compared to $144.8 million in the prior fiscal year quarter, due to the unfavorable impact of foreign currency exchange rates of $21.5 million. Segment revenues for the six months ended November 30, 2008 decreased by $22.5 million, or 9.7%, to $210.6 million, compared to $233.1 million in the prior fiscal year period, primarily due to the unfavorable impact of foreign currency exchange rates of $18.6 million.</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Segment operating income for the quarter ended November 30, 2008 decreased by $11.1 million, or 44.2% to $14.0 million, compared to $25.1 million in the prior fiscal year quarter, primarily due to the unfavorable impact of foreign currency exchange rates of $6.7 million and lower operating income in the United Kingdom of $4.9 million, partially offset by higher operating income in the Company’s export business of $2.3 million. Segment operating income for the six months ended November 30, 2008 decreased by $13.5 million, or 56.3%, to $10.5 million, compared to $24.0 million in the prior fiscal year period. This decrease was primarily due to the unfavorable impact of foreign currency exchange rates of $6.2 million and lower operating income in the United Kingdom of $4.2 million, which benefited from the prior year release of </w:t>
      </w:r>
      <w:r>
        <w:rPr>
          <w:rFonts w:ascii="Arial" w:cs="Arial" w:eastAsia="Arial" w:hAnsi="Arial"/>
          <w:sz w:val="16"/>
          <w:szCs w:val="16"/>
          <w:i w:val="1"/>
          <w:iCs w:val="1"/>
          <w:color w:val="auto"/>
        </w:rPr>
        <w:t>The Golden Compass</w:t>
      </w:r>
      <w:r>
        <w:rPr>
          <w:rFonts w:ascii="Arial" w:cs="Arial" w:eastAsia="Arial" w:hAnsi="Arial"/>
          <w:sz w:val="16"/>
          <w:szCs w:val="16"/>
          <w:color w:val="auto"/>
        </w:rPr>
        <w:t>.</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As previously announced, the Company sold its DTH business in August 2008, has shut down its SC business effective May 31, 2008 and intends to sell its Maumelle facility. Additionally, the Company intends to complete the divestiture of DTH International in 2009. In the three months ended November 30, 2008, the Company exited certain unprofitable, non-core businesses including Argentina, Caribe and Coach. The results of operations associated with these businesses are presented as discontinued operations for accounting purposes in the fiscal 2009 and prior year periods. The Company’s DTH and SC businesses were formerly included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 DTH international business, Caribe and Argentina were formerly included in the </w:t>
      </w: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segment; and Coach was formerly included in the</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segment. The Company’s Maumelle facility, which is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discontinued operations, was formerly included in Overhead. During the three months ended November 30, 2008, the Company recognized impairment and other charges related to discontinued operations, net of tax, of $8.4 million.</w:t>
      </w:r>
    </w:p>
    <w:p>
      <w:pPr>
        <w:spacing w:after="0" w:line="17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Loss from discontinued operations, net of tax, was $15.3 million for the quarter ended November 30, 2008, compared to $6.7 million in the prior fiscal year quarter. Loss from discontinued operations, net of tax, was $20.7 million for the six months ended November 30, 2008, compared to $13.5 million in the prior fiscal year. The higher losses in the current year periods are primarily due to costs associated with the closure of Caribe, Argentina and Coach.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historically has experienced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cash and cash equivalents, including cash from discontinued operations, totaled $31.8 million at November 30, 2008, compared to $120.4 million at May 31, 2008 and $187.6 million at November 30, 2007.</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used in operating activities was $63.3 million for the six months ended November 30, 2008, compared to cash provided by operating activities of $218.8 million in the prior fiscal year period. The net decrease of $282.1 million consists primarily of the timing of royalty payments accrued in the prior year as well as accounts payable and other accrued expenses of $156.7 million, lower net income from continuing operations of $78.8 million and $30.4 million related to accelerated inventory purchases in the current fiscal year period.</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Cash used in investing activities remained relatively flat at $43.0 million for the six months ended November 30, 2008, as proceeds from the sale of the DTH business offset higher capital spending.</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provided by financing activities was $19.4 million for the six months ended November 30, 2008, compared to $1.4 million for the prior fiscal year period, representing an $18.0 million increase year over year. The change is primarily due to a higher cash outflow of $179.9 million from the amount of funds expended for repurchase of Common Stock in the prior period and higher net borrowings on lines of credit of $46.4 million in the prior year period, partially offset by reduced net borrowings on the Loan Agreement of $176.4 million versus the prior year and lower proceeds from the exercise of employee stock options of $28.8 million.</w:t>
      </w:r>
    </w:p>
    <w:p>
      <w:pPr>
        <w:spacing w:after="0" w:line="19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 In the current fiscal year, borrowings peaked in October 2008, and are expected to decline in the second half of the fiscal year. The Company expects to realize the benefit of deferred tax assets related to the DTH business divestiture in the current fiscal year. Accordingly, net tax payments will be lower than historical levels in the current fiscal year.</w:t>
      </w:r>
    </w:p>
    <w:p>
      <w:pPr>
        <w:spacing w:after="0" w:line="17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to making acquisitions that will complement its portfolio of businesses, as well as to engage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current fiscal year, the Company expects higher uses of cash than in previous years for severance payments, pension funding and dividends while continuing modest discretionary common share repurchases. Despite the current economic conditions and the aforementioned uses of cash expected in the current fiscal year, the Company has maintained, and expects to maintain for the foreseeable future, sufficient liquidity to fund ongoing operations (including severance payments and pension contributions), dividends, authorized common share repurchases, debt service, planned capital expenditures and other investments. As of November 30, 2008, the Company’s primary sources of liquidity consisted of cash and cash equivalents of $31.8 million, cash from operations, and borrowings remaining available under the Revolving Loan (as described under “Financing” below) totaling $280.0 million. Approximately 54% of the Company’s outstanding debt is not due until fiscal year 2013, and the remaining 46%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and its financing and investing activities.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November 30, 2008, the Company was rated BB by Standard &amp; Poor’s Rating Services and Ba1 by Moody’s Investors Service. If current economic trends cause the Company’s results from operations to decline, combined with the aforementioned uses of cash expected in the current fiscal year, it is possible that the Company’s credit rating could be reduced. In the event the Company’s credit rating is reduced, the Company believes that existing committed credit lines and other sources of cash will be sufficient to meet the Company’s liquidity needs for the near term, as the Company is currently compliant with its debt covenants and expects to remain compliant for the foreseeable future. The Company’s interest rates for the Loan Agreement are associated with certain leverage ratios, and, accordingly, a change in the Company’s credit rating does not necessarily result in an increase in interest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an Accelerated Share Repurchase Agreement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w:t>
      </w:r>
    </w:p>
    <w:p>
      <w:pPr>
        <w:spacing w:after="0" w:line="3" w:lineRule="exact"/>
        <w:rPr>
          <w:sz w:val="20"/>
          <w:szCs w:val="20"/>
          <w:color w:val="auto"/>
        </w:rPr>
      </w:pPr>
    </w:p>
    <w:p>
      <w:pPr>
        <w:ind w:right="100" w:firstLine="8"/>
        <w:spacing w:after="0" w:line="286"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prevailing Federal Funds rate plus 0.500% or (2) an adjusted LIBOR rate plus an applicable margin, ranging from 0.500% to 1.250% based on the Company’s prevailing consolidated debt to total capital ratio. As of November 30, 2008, the applicable margin on the Term Loan was 0.875% and the applicable margin on the Revolving Loan was 0.700%. The Loan Agreement also provides for the payment of a facility fee ranging from 0.125% to 0.250% per annum on the Revolving Loan only, which at November 30, 2008 was 0.175%. As of November 30, 2008, the term loan had an outstanding balance of $157.2 million at an interest rate of 4.7%.; at May 31, 3008 the Term Loan had an outstanding balance of $178.6 million at an interest rate of 3.8%; and at November 30, 2007, the Term Loan had an outstanding balance of $200.0 million at an interest rate of 5.9%. The Revolving Loan had an outstanding balance of $45.0 million as of November 30, 2008 at an interest rate of 2.1%. There were no outstanding borrowings under the Revolving Loan as of May 31, 2008 and November 30, 2007. Interest rates on the Revolving Loan were significantly lower than the interest rates on the Term Loan due to the timing of interest resets on the loans. The Loan Agreement contains certain covenants, including interest coverage and leverage ratio tests and certain limitations on the amount of dividends and other distributions, and at November 30, 2008 the Company was in compliance with these covenants.</w:t>
      </w:r>
    </w:p>
    <w:p>
      <w:pPr>
        <w:spacing w:after="0" w:line="1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fourth quarter of fiscal 2008, the Company renewed unsecured money market bid rate credit lines totaling $50.0 million that were originally entered into during the fourth quarter of fiscal 2007. Currently, the Company’s credit line under this facility is $45.0 million. There were no outstanding borrowings under these credit lines at November 30, 2008, May 31, 2008 and November 30, 2007. All loans made under these credit lines are at the sole discretion of the lender and at an interest rate and term, not to exceed 364 days, agreed to at the time each loan is made. These credit lines are typically available for loans up to 364 days and may be renewed, if requested by the Company, at the sole option of the lender.</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November 30, 2008, the Company had various local currency credit lines, with maximum available borrowings in amounts equivalent to $65.2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$27.4 million at November 30, 2008 at a weighted average interest rate of 4.5%, compared to the equivalent of $11.8 million at May 31, 2008 at a weighted average interest rate of 6.4% and to the equivalent of $40.5 million at November 30, 2007 at a weighted average interest rate of 7.0%. In December 2008, the Company recapitalized its United Kingdom operations via a cash contribution from the Company’s domestic operations, due to the cancellation of the local currency credit line in the United Kingdom.</w:t>
      </w:r>
    </w:p>
    <w:p>
      <w:pPr>
        <w:spacing w:after="0" w:line="17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November 30, 2008, the Company had open standby letters of credit of $8.1 million issued under certain credit lines, as compared to $8.4 million as of May 31, 2008 and November 30, 2007.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total debt obligations were $389.0 million at November 30, 2008, $349.7 million at May 31, 2008 and $414.1 million at November 30, 2007. The higher level of debt at November 30, 2008 as compared to May 31, 2008 was primarily due to higher borrowings against the Revolving Loan and higher borrowings by the foreign subsidiaries. The lower level of debt at November 30, 2008 compared to the levels at November 30, 2007 was due to the repayments made on the Term Loan and the repurchase in fiscal 2008 of the Company’s 5% Notes due 2013 on the open market as well as lower borrowings by the foreign subsidiaries. This was partially offset by higher borrowings against the Revolving Loan.</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Condensed Consolidated Financial Statements – Unaudited in Item 1, “Financial Statements.”</w:t>
      </w:r>
    </w:p>
    <w:p>
      <w:pPr>
        <w:sectPr>
          <w:pgSz w:w="11900" w:h="16838" w:orient="portrait"/>
          <w:cols w:equalWidth="0" w:num="1">
            <w:col w:w="11400"/>
          </w:cols>
          <w:pgMar w:left="240" w:top="139" w:right="25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39" w:right="259" w:bottom="0" w:gutter="0" w:footer="0" w:header="0"/>
          <w:type w:val="continuous"/>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acquiror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acquiror’s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 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 The Company is currently evaluating the effect, if any, that the adoption of FSP 133-1 will have on its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adopted SFAS 157 beginning June 1, 2008, except for nonfinancial assets and liabilities measured at fair value on a non-recurring basis, which will be effective for the Company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November 30, 2008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foreign exchange impact to the financial statements, are based on quotations from financial institutions, a Level 2 fair value measure.</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Since the date of the Company’s Annual Report on Form 10-K for the fiscal year ended May 31, 2008 (the “Annual Report”), there have been no material changes to the Company’s critical accounting policies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conducts its business in various foreign countries, and as such, its cash flows and earnings are subject to fluctuations from changes in foreign currency exchange rates. Management believes that the impact of currency fluctuations does not represent a significant risk to the Company given the size and scope of its current international operations. The Company manages its exposures to this market risk through internally established procedures and, when deemed appropriate, through the use of short-term forward exchange contracts. All foreign exchange hedging transactions are supported by an identifiable commitment or a forecasted transaction. The Company does not enter into derivative transactions or use other financial instruments for trading or speculative purposes.</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59% of the Company’s debt at November 30, 2008 bore interest at a variable rate and was sensitive to changes in interest rates, compared to approximately 55% at May 31, 2008 and approximately 58% at November 30, 2007. The increase in variable-rate debt as of November 30, 2008 compared to May 31, 2008 was primarily due to higher borrowings against the Revolving Loan and higher borrowings by the foreign subsidiaries.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November 30, 2008 (see Note 5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w w:val="91"/>
              </w:rPr>
              <w:t>Fiscal Year Maturity</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10"/>
        </w:trPr>
        <w:tc>
          <w:tcPr>
            <w:tcW w:w="37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6"/>
        </w:trPr>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2010</w:t>
            </w:r>
          </w:p>
        </w:tc>
        <w:tc>
          <w:tcPr>
            <w:tcW w:w="220" w:type="dxa"/>
            <w:vAlign w:val="bottom"/>
          </w:tcPr>
          <w:p>
            <w:pPr>
              <w:spacing w:after="0"/>
              <w:rPr>
                <w:sz w:val="24"/>
                <w:szCs w:val="24"/>
                <w:color w:val="auto"/>
              </w:rPr>
            </w:pPr>
          </w:p>
        </w:tc>
        <w:tc>
          <w:tcPr>
            <w:tcW w:w="64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2011</w:t>
            </w:r>
          </w:p>
        </w:tc>
        <w:tc>
          <w:tcPr>
            <w:tcW w:w="300" w:type="dxa"/>
            <w:vAlign w:val="bottom"/>
          </w:tcPr>
          <w:p>
            <w:pPr>
              <w:spacing w:after="0"/>
              <w:rPr>
                <w:sz w:val="24"/>
                <w:szCs w:val="24"/>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2012</w:t>
            </w:r>
          </w:p>
        </w:tc>
        <w:tc>
          <w:tcPr>
            <w:tcW w:w="22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2013</w:t>
            </w: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Thereafter</w:t>
            </w:r>
          </w:p>
        </w:tc>
        <w:tc>
          <w:tcPr>
            <w:tcW w:w="3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8"/>
              </w:rPr>
              <w:t>Total</w:t>
            </w:r>
          </w:p>
        </w:tc>
      </w:tr>
      <w:tr>
        <w:trPr>
          <w:trHeight w:val="110"/>
        </w:trPr>
        <w:tc>
          <w:tcPr>
            <w:tcW w:w="37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458"/>
        </w:trPr>
        <w:tc>
          <w:tcPr>
            <w:tcW w:w="378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78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27.4</w:t>
            </w:r>
          </w:p>
        </w:tc>
      </w:tr>
      <w:tr>
        <w:trPr>
          <w:trHeight w:val="222"/>
        </w:trPr>
        <w:tc>
          <w:tcPr>
            <w:tcW w:w="378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78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8"/>
        </w:trPr>
        <w:tc>
          <w:tcPr>
            <w:tcW w:w="3780" w:type="dxa"/>
            <w:vAlign w:val="bottom"/>
          </w:tcPr>
          <w:p>
            <w:pPr>
              <w:ind w:left="160"/>
              <w:spacing w:after="0"/>
              <w:rPr>
                <w:sz w:val="20"/>
                <w:szCs w:val="20"/>
                <w:color w:val="auto"/>
              </w:rPr>
            </w:pPr>
            <w:r>
              <w:rPr>
                <w:rFonts w:ascii="Arial" w:cs="Arial" w:eastAsia="Arial" w:hAnsi="Arial"/>
                <w:sz w:val="18"/>
                <w:szCs w:val="18"/>
                <w:color w:val="auto"/>
              </w:rPr>
              <w:t>Long-term debt including current portion:</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78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160.5</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160.5</w:t>
            </w:r>
          </w:p>
        </w:tc>
      </w:tr>
      <w:tr>
        <w:trPr>
          <w:trHeight w:val="222"/>
        </w:trPr>
        <w:tc>
          <w:tcPr>
            <w:tcW w:w="378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9"/>
        </w:trPr>
        <w:tc>
          <w:tcPr>
            <w:tcW w:w="3780" w:type="dxa"/>
            <w:vAlign w:val="bottom"/>
          </w:tcPr>
          <w:p>
            <w:pPr>
              <w:ind w:left="320"/>
              <w:spacing w:after="0"/>
              <w:rPr>
                <w:sz w:val="20"/>
                <w:szCs w:val="20"/>
                <w:color w:val="auto"/>
              </w:rPr>
            </w:pPr>
            <w:r>
              <w:rPr>
                <w:rFonts w:ascii="Arial" w:cs="Arial" w:eastAsia="Arial" w:hAnsi="Arial"/>
                <w:sz w:val="18"/>
                <w:szCs w:val="18"/>
                <w:color w:val="auto"/>
              </w:rPr>
              <w:t>Variable-rate debt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52.4</w:t>
            </w:r>
            <w:r>
              <w:rPr>
                <w:rFonts w:ascii="Arial" w:cs="Arial" w:eastAsia="Arial" w:hAnsi="Arial"/>
                <w:sz w:val="14"/>
                <w:szCs w:val="14"/>
                <w:color w:val="auto"/>
              </w:rPr>
              <w:t>(1)</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202.2</w:t>
            </w:r>
          </w:p>
        </w:tc>
      </w:tr>
      <w:tr>
        <w:trPr>
          <w:trHeight w:val="372"/>
        </w:trPr>
        <w:tc>
          <w:tcPr>
            <w:tcW w:w="378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(2)</w:t>
            </w:r>
          </w:p>
        </w:tc>
        <w:tc>
          <w:tcPr>
            <w:tcW w:w="7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72"/>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the final payment of $7.4 million under the Term Loan, which has a final maturity of June 1, 2012 but may be repaid at any time.</w:t>
      </w:r>
    </w:p>
    <w:p>
      <w:pPr>
        <w:spacing w:after="0" w:line="180"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periods through 2012, the rate represents the interest rate under the Term Loan at November 30, 2008; the interest rate is subject to change over the life of the Term Loan. For 2013, the rate represents the weighted average interest rate on the $7.4 million Term Loan and the $45 million Revolving Loan at November 30, 2008; this interest rate is subject to change over the life of such loans.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November 30, 2008,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November 30, 2008 that has materially affected, or is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previously reported in the Company’s Quarterly Report on Form 10-Q for the period ended August 31, 2007 and the Company’s Annual Report on Form 10-K for the fiscal year ended May 31, 2008, the Company is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which remains pending. The second amended class action complaint continues to allege securities fraud relating to statements made by the Company concerning its operations and financial results between March 2005 and March 2006 and seeks unspecified compensatory damages. The Company continues to believe that the allegations in such complaint are without merit and is vigorously defending the lawsuit.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six months ended November 30, 2008:</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Total number of shares</w:t>
            </w:r>
          </w:p>
        </w:tc>
        <w:tc>
          <w:tcPr>
            <w:tcW w:w="16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 part of publicly</w:t>
            </w:r>
          </w:p>
        </w:tc>
        <w:tc>
          <w:tcPr>
            <w:tcW w:w="3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Maximum number of shares (or</w:t>
            </w:r>
          </w:p>
        </w:tc>
      </w:tr>
      <w:tr>
        <w:trPr>
          <w:trHeight w:val="216"/>
        </w:trPr>
        <w:tc>
          <w:tcPr>
            <w:tcW w:w="316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 number of</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Average price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announced plans</w:t>
            </w:r>
          </w:p>
        </w:tc>
        <w:tc>
          <w:tcPr>
            <w:tcW w:w="3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approximate dollar value) that may yet be</w:t>
            </w:r>
          </w:p>
        </w:tc>
      </w:tr>
      <w:tr>
        <w:trPr>
          <w:trHeight w:val="228"/>
        </w:trPr>
        <w:tc>
          <w:tcPr>
            <w:tcW w:w="3160" w:type="dxa"/>
            <w:vAlign w:val="bottom"/>
          </w:tcPr>
          <w:p>
            <w:pPr>
              <w:ind w:left="136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3"/>
              </w:rPr>
              <w:t>shares purchased</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paid per share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or programs</w:t>
            </w:r>
          </w:p>
        </w:tc>
        <w:tc>
          <w:tcPr>
            <w:tcW w:w="3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purchased under the plans or programs</w:t>
            </w:r>
          </w:p>
        </w:tc>
      </w:tr>
      <w:tr>
        <w:trPr>
          <w:trHeight w:val="110"/>
        </w:trPr>
        <w:tc>
          <w:tcPr>
            <w:tcW w:w="3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532"/>
        </w:trPr>
        <w:tc>
          <w:tcPr>
            <w:tcW w:w="3160" w:type="dxa"/>
            <w:vAlign w:val="bottom"/>
          </w:tcPr>
          <w:p>
            <w:pPr>
              <w:spacing w:after="0"/>
              <w:rPr>
                <w:sz w:val="20"/>
                <w:szCs w:val="20"/>
                <w:color w:val="auto"/>
              </w:rPr>
            </w:pPr>
            <w:r>
              <w:rPr>
                <w:rFonts w:ascii="Arial" w:cs="Arial" w:eastAsia="Arial" w:hAnsi="Arial"/>
                <w:sz w:val="18"/>
                <w:szCs w:val="18"/>
                <w:color w:val="auto"/>
              </w:rPr>
              <w:t>June 1, 2008 through June 30, 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151,075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28.95</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151,075</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w w:val="95"/>
              </w:rPr>
              <w:t>15.6</w:t>
            </w:r>
            <w:r>
              <w:rPr>
                <w:rFonts w:ascii="Arial" w:cs="Arial" w:eastAsia="Arial" w:hAnsi="Arial"/>
                <w:sz w:val="14"/>
                <w:szCs w:val="14"/>
                <w:color w:val="auto"/>
                <w:w w:val="95"/>
              </w:rPr>
              <w:t>(1)</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July 1, 2008 through July 31, 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100,713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27.36</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100,713</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w w:val="95"/>
              </w:rPr>
              <w:t>12.9</w:t>
            </w:r>
            <w:r>
              <w:rPr>
                <w:rFonts w:ascii="Arial" w:cs="Arial" w:eastAsia="Arial" w:hAnsi="Arial"/>
                <w:sz w:val="14"/>
                <w:szCs w:val="14"/>
                <w:color w:val="auto"/>
                <w:w w:val="95"/>
              </w:rPr>
              <w:t>(1)</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w w:val="97"/>
              </w:rPr>
              <w:t>August 1, 2008 through August 31, 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171,792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26.36</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171,792</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rPr>
              <w:t>8.3</w:t>
            </w:r>
            <w:r>
              <w:rPr>
                <w:rFonts w:ascii="Arial" w:cs="Arial" w:eastAsia="Arial" w:hAnsi="Arial"/>
                <w:sz w:val="14"/>
                <w:szCs w:val="14"/>
                <w:color w:val="auto"/>
              </w:rPr>
              <w:t>(1)</w:t>
            </w:r>
          </w:p>
        </w:tc>
      </w:tr>
      <w:tr>
        <w:trPr>
          <w:trHeight w:val="426"/>
        </w:trPr>
        <w:tc>
          <w:tcPr>
            <w:tcW w:w="3160" w:type="dxa"/>
            <w:vAlign w:val="bottom"/>
          </w:tcPr>
          <w:p>
            <w:pPr>
              <w:spacing w:after="0"/>
              <w:rPr>
                <w:sz w:val="20"/>
                <w:szCs w:val="20"/>
                <w:color w:val="auto"/>
              </w:rPr>
            </w:pPr>
            <w:r>
              <w:rPr>
                <w:rFonts w:ascii="Arial" w:cs="Arial" w:eastAsia="Arial" w:hAnsi="Arial"/>
                <w:sz w:val="18"/>
                <w:szCs w:val="18"/>
                <w:color w:val="auto"/>
                <w:w w:val="91"/>
              </w:rPr>
              <w:t>September 1, 2008 through September 30,</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3160" w:type="dxa"/>
            <w:vAlign w:val="bottom"/>
          </w:tcPr>
          <w:p>
            <w:pPr>
              <w:ind w:left="160"/>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33,508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25.58</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33,508</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(1)</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w w:val="92"/>
              </w:rPr>
              <w:t>October 1, 2008 through October 31, 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345,380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21.67</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345,380</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r>
      <w:tr>
        <w:trPr>
          <w:trHeight w:val="426"/>
        </w:trPr>
        <w:tc>
          <w:tcPr>
            <w:tcW w:w="3160" w:type="dxa"/>
            <w:vAlign w:val="bottom"/>
          </w:tcPr>
          <w:p>
            <w:pPr>
              <w:spacing w:after="0"/>
              <w:rPr>
                <w:sz w:val="20"/>
                <w:szCs w:val="20"/>
                <w:color w:val="auto"/>
              </w:rPr>
            </w:pPr>
            <w:r>
              <w:rPr>
                <w:rFonts w:ascii="Arial" w:cs="Arial" w:eastAsia="Arial" w:hAnsi="Arial"/>
                <w:sz w:val="18"/>
                <w:szCs w:val="18"/>
                <w:color w:val="auto"/>
                <w:w w:val="94"/>
              </w:rPr>
              <w:t>November 1, 2008 through November 30,</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3160" w:type="dxa"/>
            <w:vAlign w:val="bottom"/>
          </w:tcPr>
          <w:p>
            <w:pPr>
              <w:ind w:left="160"/>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6,407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13.28</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6,407</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rPr>
              <w:t>9.9</w:t>
            </w:r>
            <w:r>
              <w:rPr>
                <w:rFonts w:ascii="Arial" w:cs="Arial" w:eastAsia="Arial" w:hAnsi="Arial"/>
                <w:sz w:val="14"/>
                <w:szCs w:val="14"/>
                <w:color w:val="auto"/>
              </w:rPr>
              <w:t>(1)</w:t>
            </w:r>
          </w:p>
        </w:tc>
      </w:tr>
      <w:tr>
        <w:trPr>
          <w:trHeight w:val="432"/>
        </w:trPr>
        <w:tc>
          <w:tcPr>
            <w:tcW w:w="3160" w:type="dxa"/>
            <w:vAlign w:val="bottom"/>
          </w:tcPr>
          <w:p>
            <w:pPr>
              <w:ind w:left="32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808,875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w w:val="93"/>
              </w:rPr>
              <w:t>24.83</w:t>
            </w:r>
          </w:p>
        </w:tc>
        <w:tc>
          <w:tcPr>
            <w:tcW w:w="2280" w:type="dxa"/>
            <w:vAlign w:val="bottom"/>
          </w:tcPr>
          <w:p>
            <w:pPr>
              <w:jc w:val="right"/>
              <w:ind w:right="812"/>
              <w:spacing w:after="0"/>
              <w:rPr>
                <w:sz w:val="20"/>
                <w:szCs w:val="20"/>
                <w:color w:val="auto"/>
              </w:rPr>
            </w:pPr>
            <w:r>
              <w:rPr>
                <w:rFonts w:ascii="Arial" w:cs="Arial" w:eastAsia="Arial" w:hAnsi="Arial"/>
                <w:sz w:val="18"/>
                <w:szCs w:val="18"/>
                <w:color w:val="auto"/>
              </w:rPr>
              <w:t>808,875</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92"/>
              <w:spacing w:after="0"/>
              <w:rPr>
                <w:sz w:val="20"/>
                <w:szCs w:val="20"/>
                <w:color w:val="auto"/>
              </w:rPr>
            </w:pPr>
            <w:r>
              <w:rPr>
                <w:rFonts w:ascii="Arial" w:cs="Arial" w:eastAsia="Arial" w:hAnsi="Arial"/>
                <w:sz w:val="18"/>
                <w:szCs w:val="18"/>
                <w:color w:val="auto"/>
              </w:rPr>
              <w:t>9.9</w:t>
            </w:r>
            <w:r>
              <w:rPr>
                <w:rFonts w:ascii="Arial" w:cs="Arial" w:eastAsia="Arial" w:hAnsi="Arial"/>
                <w:sz w:val="14"/>
                <w:szCs w:val="14"/>
                <w:color w:val="auto"/>
              </w:rPr>
              <w:t>(1)</w:t>
            </w:r>
          </w:p>
        </w:tc>
      </w:tr>
      <w:tr>
        <w:trPr>
          <w:trHeight w:val="110"/>
        </w:trPr>
        <w:tc>
          <w:tcPr>
            <w:tcW w:w="3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580" w:right="300" w:hanging="572"/>
        <w:spacing w:after="0" w:line="298"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28, 2008, the Corporation announced that its Board of Directors had authorized a new program to purchase up to $20.0 million of Common Stock, from time to time as conditions allow, on the open market or through negotiated private transactions. On November 20, 2008, the Board of Directors authorized a further program to repurchase up to an additional $10.0 million of its Common Stock, which will be funded with available cash and pursuant to which the Corporation may purchase shares, from time to time as conditions allow, on the open market.</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Annual Meeting of Stockholders of the Corporation was held on September 24, 2008 (the “Annual Meeting”). The following sets forth the results of the proposals presented at the Annual Meeting voted upon by the stockholders of the Corporation entitled to vote thereon:</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Holders of the 1,656,200 outstanding shares of the Class A Stock (the “Class A Stockholders”) voted unanimously in favor of electing Richard Robinson, Ramon C. Cortines, John L. Davies, Andrew S. Hedden, Mae C. Jemison, Peter M. Mayer, Augustus K. Oliver and Richard M. Spaulding as directors to serve until the next annual meeting of the Corporation’s stockholders and until their respective successors are duly elected and qualified.</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Holders of the Common Stock elected the following nominees as directors to serve until the next annual meeting of the Corporation’s stockholders and until their respective successors are duly elected and qualified. Votes cast by holders of the Common Stock were:</w:t>
      </w:r>
    </w:p>
    <w:p>
      <w:pPr>
        <w:spacing w:after="0" w:line="199" w:lineRule="exact"/>
        <w:rPr>
          <w:sz w:val="20"/>
          <w:szCs w:val="20"/>
          <w:color w:val="auto"/>
        </w:rPr>
      </w:pPr>
    </w:p>
    <w:tbl>
      <w:tblPr>
        <w:tblLayout w:type="fixed"/>
        <w:tblInd w:w="176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Nominee</w:t>
            </w:r>
          </w:p>
        </w:tc>
        <w:tc>
          <w:tcPr>
            <w:tcW w:w="248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For</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Withheld</w:t>
            </w:r>
          </w:p>
        </w:tc>
      </w:tr>
      <w:tr>
        <w:trPr>
          <w:trHeight w:val="110"/>
        </w:trPr>
        <w:tc>
          <w:tcPr>
            <w:tcW w:w="34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09"/>
        </w:trPr>
        <w:tc>
          <w:tcPr>
            <w:tcW w:w="1420" w:type="dxa"/>
            <w:vAlign w:val="bottom"/>
            <w:gridSpan w:val="2"/>
          </w:tcPr>
          <w:p>
            <w:pPr>
              <w:spacing w:after="0"/>
              <w:rPr>
                <w:sz w:val="20"/>
                <w:szCs w:val="20"/>
                <w:color w:val="auto"/>
              </w:rPr>
            </w:pPr>
            <w:r>
              <w:rPr>
                <w:rFonts w:ascii="Arial" w:cs="Arial" w:eastAsia="Arial" w:hAnsi="Arial"/>
                <w:sz w:val="18"/>
                <w:szCs w:val="18"/>
                <w:color w:val="auto"/>
              </w:rPr>
              <w:t>James W. Barge</w:t>
            </w:r>
          </w:p>
        </w:tc>
        <w:tc>
          <w:tcPr>
            <w:tcW w:w="5380" w:type="dxa"/>
            <w:vAlign w:val="bottom"/>
            <w:gridSpan w:val="3"/>
          </w:tcPr>
          <w:p>
            <w:pPr>
              <w:ind w:left="2360"/>
              <w:spacing w:after="0"/>
              <w:rPr>
                <w:sz w:val="20"/>
                <w:szCs w:val="20"/>
                <w:color w:val="auto"/>
              </w:rPr>
            </w:pPr>
            <w:r>
              <w:rPr>
                <w:rFonts w:ascii="Arial" w:cs="Arial" w:eastAsia="Arial" w:hAnsi="Arial"/>
                <w:sz w:val="18"/>
                <w:szCs w:val="18"/>
                <w:color w:val="auto"/>
              </w:rPr>
              <w:t>30,896,726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770,574 shares</w:t>
            </w:r>
          </w:p>
        </w:tc>
      </w:tr>
      <w:tr>
        <w:trPr>
          <w:trHeight w:val="222"/>
        </w:trPr>
        <w:tc>
          <w:tcPr>
            <w:tcW w:w="1420" w:type="dxa"/>
            <w:vAlign w:val="bottom"/>
            <w:gridSpan w:val="2"/>
          </w:tcPr>
          <w:p>
            <w:pPr>
              <w:spacing w:after="0"/>
              <w:rPr>
                <w:sz w:val="20"/>
                <w:szCs w:val="20"/>
                <w:color w:val="auto"/>
              </w:rPr>
            </w:pPr>
            <w:r>
              <w:rPr>
                <w:rFonts w:ascii="Arial" w:cs="Arial" w:eastAsia="Arial" w:hAnsi="Arial"/>
                <w:sz w:val="18"/>
                <w:szCs w:val="18"/>
                <w:color w:val="auto"/>
                <w:w w:val="93"/>
              </w:rPr>
              <w:t>John G. McDonald</w:t>
            </w:r>
          </w:p>
        </w:tc>
        <w:tc>
          <w:tcPr>
            <w:tcW w:w="5380" w:type="dxa"/>
            <w:vAlign w:val="bottom"/>
            <w:gridSpan w:val="3"/>
          </w:tcPr>
          <w:p>
            <w:pPr>
              <w:ind w:left="2360"/>
              <w:spacing w:after="0"/>
              <w:rPr>
                <w:sz w:val="20"/>
                <w:szCs w:val="20"/>
                <w:color w:val="auto"/>
              </w:rPr>
            </w:pPr>
            <w:r>
              <w:rPr>
                <w:rFonts w:ascii="Arial" w:cs="Arial" w:eastAsia="Arial" w:hAnsi="Arial"/>
                <w:sz w:val="18"/>
                <w:szCs w:val="18"/>
                <w:color w:val="auto"/>
              </w:rPr>
              <w:t>30,320,236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3"/>
              </w:rPr>
              <w:t>1,347,064 shares</w:t>
            </w:r>
          </w:p>
        </w:tc>
      </w:tr>
    </w:tbl>
    <w:p>
      <w:pPr>
        <w:spacing w:after="0" w:line="21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Class A Stockholders also voted unanimously in favor of the approval of an amendment to the Scholastic Corporation Employee Stock Purchase Plan to increase the number of shares of Common Stock available for issuance thereunder by 500,000 shares and the approval of the Scholastic Corporation 2008 Executive Performance Incentive Plan establishing the performance-based framework pursuant to which certain key employees may receive annual incentive payments.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19"/>
                <w:szCs w:val="19"/>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1152"/>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139" w:right="6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January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6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January 9, 2009</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6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139" w:right="6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NOVEMBER 30,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28"/>
        </w:trPr>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6940" w:type="dxa"/>
            <w:vAlign w:val="bottom"/>
          </w:tcPr>
          <w:p>
            <w:pPr>
              <w:spacing w:after="0"/>
              <w:rPr>
                <w:sz w:val="9"/>
                <w:szCs w:val="9"/>
                <w:color w:val="auto"/>
              </w:rPr>
            </w:pPr>
          </w:p>
        </w:tc>
      </w:tr>
      <w:tr>
        <w:trPr>
          <w:trHeight w:val="464"/>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976"/>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139" w:right="6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158"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26" w:lineRule="exact"/>
        <w:rPr>
          <w:rFonts w:ascii="Arial" w:cs="Arial" w:eastAsia="Arial" w:hAnsi="Arial"/>
          <w:sz w:val="18"/>
          <w:szCs w:val="18"/>
          <w:color w:val="auto"/>
        </w:rPr>
      </w:pPr>
    </w:p>
    <w:p>
      <w:pPr>
        <w:ind w:left="1160" w:right="30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16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160" w:right="780" w:hanging="571"/>
        <w:spacing w:after="0" w:line="370" w:lineRule="auto"/>
        <w:tabs>
          <w:tab w:leader="none" w:pos="11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2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500" w:hanging="572"/>
        <w:spacing w:after="0" w:line="33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160" w:right="200" w:hanging="571"/>
        <w:spacing w:after="0" w:line="33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160" w:hanging="571"/>
        <w:spacing w:after="0" w:line="268"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2009</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80010</wp:posOffset>
            </wp:positionV>
            <wp:extent cx="2521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15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160" w:right="30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16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160" w:right="780" w:hanging="571"/>
        <w:spacing w:after="0" w:line="370" w:lineRule="auto"/>
        <w:tabs>
          <w:tab w:leader="none" w:pos="11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2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50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160" w:right="200" w:hanging="571"/>
        <w:spacing w:after="0" w:line="332" w:lineRule="auto"/>
        <w:tabs>
          <w:tab w:leader="none" w:pos="11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160" w:hanging="571"/>
        <w:spacing w:after="0" w:line="268"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2009</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80010</wp:posOffset>
            </wp:positionV>
            <wp:extent cx="19208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November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88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November 30, 2008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Date: January 9, 2009</w:t>
            </w:r>
          </w:p>
        </w:tc>
        <w:tc>
          <w:tcPr>
            <w:tcW w:w="3100" w:type="dxa"/>
            <w:vAlign w:val="bottom"/>
          </w:tcPr>
          <w:p>
            <w:pPr>
              <w:spacing w:after="0"/>
              <w:rPr>
                <w:sz w:val="20"/>
                <w:szCs w:val="20"/>
                <w:color w:val="auto"/>
              </w:rPr>
            </w:pPr>
            <w:r>
              <w:rPr>
                <w:rFonts w:ascii="Arial" w:cs="Arial" w:eastAsia="Arial" w:hAnsi="Arial"/>
                <w:sz w:val="18"/>
                <w:szCs w:val="18"/>
                <w:color w:val="auto"/>
              </w:rPr>
              <w:t>/s/ Richard Robinson</w:t>
            </w:r>
          </w:p>
        </w:tc>
      </w:tr>
      <w:tr>
        <w:trPr>
          <w:trHeight w:val="110"/>
        </w:trPr>
        <w:tc>
          <w:tcPr>
            <w:tcW w:w="530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r>
      <w:tr>
        <w:trPr>
          <w:trHeight w:val="458"/>
        </w:trPr>
        <w:tc>
          <w:tcPr>
            <w:tcW w:w="53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3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73"/>
        </w:trPr>
        <w:tc>
          <w:tcPr>
            <w:tcW w:w="5300" w:type="dxa"/>
            <w:vAlign w:val="bottom"/>
          </w:tcPr>
          <w:p>
            <w:pPr>
              <w:spacing w:after="0"/>
              <w:rPr>
                <w:sz w:val="20"/>
                <w:szCs w:val="20"/>
                <w:color w:val="auto"/>
              </w:rPr>
            </w:pPr>
            <w:r>
              <w:rPr>
                <w:rFonts w:ascii="Arial" w:cs="Arial" w:eastAsia="Arial" w:hAnsi="Arial"/>
                <w:sz w:val="18"/>
                <w:szCs w:val="18"/>
                <w:color w:val="auto"/>
              </w:rPr>
              <w:t>Date: January 9, 2009</w:t>
            </w:r>
          </w:p>
        </w:tc>
        <w:tc>
          <w:tcPr>
            <w:tcW w:w="3100" w:type="dxa"/>
            <w:vAlign w:val="bottom"/>
          </w:tcPr>
          <w:p>
            <w:pPr>
              <w:spacing w:after="0"/>
              <w:rPr>
                <w:sz w:val="20"/>
                <w:szCs w:val="20"/>
                <w:color w:val="auto"/>
              </w:rPr>
            </w:pPr>
            <w:r>
              <w:rPr>
                <w:rFonts w:ascii="Arial" w:cs="Arial" w:eastAsia="Arial" w:hAnsi="Arial"/>
                <w:sz w:val="18"/>
                <w:szCs w:val="18"/>
                <w:color w:val="auto"/>
              </w:rPr>
              <w:t>/s/ Maureen O’Connell</w:t>
            </w:r>
          </w:p>
        </w:tc>
      </w:tr>
      <w:tr>
        <w:trPr>
          <w:trHeight w:val="110"/>
        </w:trPr>
        <w:tc>
          <w:tcPr>
            <w:tcW w:w="530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280" w:firstLine="436"/>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2019-12-10T09:12:24Z</dcterms:created>
  <dcterms:modified xsi:type="dcterms:W3CDTF">2019-12-10T09:12:24Z</dcterms:modified>
</cp:coreProperties>
</file>